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55880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83820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00" w:right="2820" w:hanging="592"/>
        <w:spacing w:after="0" w:line="238" w:lineRule="auto"/>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1934</w:t>
      </w:r>
    </w:p>
    <w:p>
      <w:pPr>
        <w:spacing w:after="0" w:line="22"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80" w:type="dxa"/>
            <w:vAlign w:val="bottom"/>
            <w:gridSpan w:val="5"/>
          </w:tcPr>
          <w:p>
            <w:pPr>
              <w:ind w:left="860"/>
              <w:spacing w:after="0"/>
              <w:rPr>
                <w:sz w:val="20"/>
                <w:szCs w:val="20"/>
                <w:color w:val="auto"/>
              </w:rPr>
            </w:pPr>
            <w:r>
              <w:rPr>
                <w:rFonts w:ascii="Arial" w:cs="Arial" w:eastAsia="Arial" w:hAnsi="Arial"/>
                <w:sz w:val="14"/>
                <w:szCs w:val="14"/>
                <w:b w:val="1"/>
                <w:bCs w:val="1"/>
                <w:color w:val="auto"/>
              </w:rPr>
              <w:t>For the Transition Period from</w:t>
            </w:r>
          </w:p>
        </w:tc>
        <w:tc>
          <w:tcPr>
            <w:tcW w:w="160" w:type="dxa"/>
            <w:vAlign w:val="bottom"/>
          </w:tcPr>
          <w:p>
            <w:pPr>
              <w:spacing w:after="0"/>
              <w:rPr>
                <w:sz w:val="14"/>
                <w:szCs w:val="14"/>
                <w:color w:val="auto"/>
              </w:rPr>
            </w:pPr>
          </w:p>
        </w:tc>
        <w:tc>
          <w:tcPr>
            <w:tcW w:w="4280" w:type="dxa"/>
            <w:vAlign w:val="bottom"/>
            <w:gridSpan w:val="5"/>
          </w:tcPr>
          <w:p>
            <w:pPr>
              <w:ind w:left="20"/>
              <w:spacing w:after="0"/>
              <w:rPr>
                <w:sz w:val="20"/>
                <w:szCs w:val="20"/>
                <w:color w:val="auto"/>
              </w:rPr>
            </w:pPr>
            <w:r>
              <w:rPr>
                <w:rFonts w:ascii="Arial" w:cs="Arial" w:eastAsia="Arial" w:hAnsi="Arial"/>
                <w:sz w:val="14"/>
                <w:szCs w:val="14"/>
                <w:b w:val="1"/>
                <w:bCs w:val="1"/>
                <w:color w:val="auto"/>
              </w:rPr>
              <w:t>to</w:t>
            </w:r>
          </w:p>
        </w:tc>
      </w:tr>
      <w:tr>
        <w:trPr>
          <w:trHeight w:val="20"/>
        </w:trPr>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60" w:type="dxa"/>
            <w:vAlign w:val="bottom"/>
            <w:gridSpan w:val="9"/>
          </w:tcPr>
          <w:p>
            <w:pPr>
              <w:jc w:val="center"/>
              <w:ind w:right="3757"/>
              <w:spacing w:after="0"/>
              <w:rPr>
                <w:sz w:val="20"/>
                <w:szCs w:val="20"/>
                <w:color w:val="auto"/>
              </w:rPr>
            </w:pPr>
            <w:r>
              <w:rPr>
                <w:rFonts w:ascii="Arial" w:cs="Arial" w:eastAsia="Arial" w:hAnsi="Arial"/>
                <w:sz w:val="14"/>
                <w:szCs w:val="14"/>
                <w:b w:val="1"/>
                <w:bCs w:val="1"/>
                <w:color w:val="auto"/>
                <w:w w:val="93"/>
              </w:rPr>
              <w:t>Commission File Number: 001-37708</w:t>
            </w:r>
          </w:p>
        </w:tc>
      </w:tr>
      <w:tr>
        <w:trPr>
          <w:trHeight w:val="66"/>
        </w:trPr>
        <w:tc>
          <w:tcPr>
            <w:tcW w:w="1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3240" w:type="dxa"/>
            <w:vAlign w:val="bottom"/>
          </w:tcPr>
          <w:p>
            <w:pPr>
              <w:spacing w:after="0"/>
              <w:rPr>
                <w:sz w:val="5"/>
                <w:szCs w:val="5"/>
                <w:color w:val="auto"/>
              </w:rPr>
            </w:pPr>
          </w:p>
        </w:tc>
      </w:tr>
      <w:tr>
        <w:trPr>
          <w:trHeight w:val="533"/>
        </w:trPr>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920" w:type="dxa"/>
            <w:vAlign w:val="bottom"/>
            <w:gridSpan w:val="11"/>
          </w:tcPr>
          <w:p>
            <w:pPr>
              <w:jc w:val="center"/>
              <w:ind w:right="2297"/>
              <w:spacing w:after="0"/>
              <w:rPr>
                <w:sz w:val="20"/>
                <w:szCs w:val="20"/>
                <w:color w:val="auto"/>
              </w:rPr>
            </w:pPr>
            <w:r>
              <w:rPr>
                <w:rFonts w:ascii="Arial" w:cs="Arial" w:eastAsia="Arial" w:hAnsi="Arial"/>
                <w:sz w:val="43"/>
                <w:szCs w:val="43"/>
                <w:b w:val="1"/>
                <w:bCs w:val="1"/>
                <w:color w:val="auto"/>
                <w:w w:val="90"/>
              </w:rPr>
              <w:t>Syndax Pharmaceuticals, Inc.</w:t>
            </w:r>
          </w:p>
        </w:tc>
      </w:tr>
      <w:tr>
        <w:trPr>
          <w:trHeight w:val="210"/>
        </w:trPr>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920" w:type="dxa"/>
            <w:vAlign w:val="bottom"/>
            <w:gridSpan w:val="11"/>
          </w:tcPr>
          <w:p>
            <w:pPr>
              <w:jc w:val="center"/>
              <w:ind w:right="231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01"/>
        </w:trPr>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05"/>
        </w:trPr>
        <w:tc>
          <w:tcPr>
            <w:tcW w:w="160" w:type="dxa"/>
            <w:vAlign w:val="bottom"/>
          </w:tcPr>
          <w:p>
            <w:pPr>
              <w:spacing w:after="0"/>
              <w:rPr>
                <w:sz w:val="17"/>
                <w:szCs w:val="17"/>
                <w:color w:val="auto"/>
              </w:rPr>
            </w:pPr>
          </w:p>
        </w:tc>
        <w:tc>
          <w:tcPr>
            <w:tcW w:w="2340" w:type="dxa"/>
            <w:vAlign w:val="bottom"/>
          </w:tcPr>
          <w:p>
            <w:pPr>
              <w:jc w:val="center"/>
              <w:ind w:left="209"/>
              <w:spacing w:after="0"/>
              <w:rPr>
                <w:sz w:val="20"/>
                <w:szCs w:val="20"/>
                <w:color w:val="auto"/>
              </w:rPr>
            </w:pPr>
            <w:r>
              <w:rPr>
                <w:rFonts w:ascii="Arial" w:cs="Arial" w:eastAsia="Arial" w:hAnsi="Arial"/>
                <w:sz w:val="14"/>
                <w:szCs w:val="14"/>
                <w:b w:val="1"/>
                <w:bCs w:val="1"/>
                <w:color w:val="auto"/>
                <w:w w:val="94"/>
              </w:rPr>
              <w:t>Delaware</w:t>
            </w:r>
          </w:p>
        </w:tc>
        <w:tc>
          <w:tcPr>
            <w:tcW w:w="2940" w:type="dxa"/>
            <w:vAlign w:val="bottom"/>
            <w:gridSpan w:val="4"/>
          </w:tcPr>
          <w:p>
            <w:pPr>
              <w:jc w:val="center"/>
              <w:ind w:left="2501"/>
              <w:spacing w:after="0"/>
              <w:rPr>
                <w:sz w:val="20"/>
                <w:szCs w:val="20"/>
                <w:color w:val="auto"/>
              </w:rPr>
            </w:pPr>
            <w:r>
              <w:rPr>
                <w:rFonts w:ascii="Arial" w:cs="Arial" w:eastAsia="Arial" w:hAnsi="Arial"/>
                <w:sz w:val="14"/>
                <w:szCs w:val="14"/>
                <w:b w:val="1"/>
                <w:bCs w:val="1"/>
                <w:color w:val="auto"/>
                <w:w w:val="96"/>
              </w:rPr>
              <w:t>2834</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4"/>
          </w:tcPr>
          <w:p>
            <w:pPr>
              <w:jc w:val="center"/>
              <w:ind w:left="1394"/>
              <w:spacing w:after="0"/>
              <w:rPr>
                <w:sz w:val="20"/>
                <w:szCs w:val="20"/>
                <w:color w:val="auto"/>
              </w:rPr>
            </w:pPr>
            <w:r>
              <w:rPr>
                <w:rFonts w:ascii="Arial" w:cs="Arial" w:eastAsia="Arial" w:hAnsi="Arial"/>
                <w:sz w:val="14"/>
                <w:szCs w:val="14"/>
                <w:b w:val="1"/>
                <w:bCs w:val="1"/>
                <w:color w:val="auto"/>
                <w:w w:val="93"/>
              </w:rPr>
              <w:t>32-0162505</w:t>
            </w:r>
          </w:p>
        </w:tc>
      </w:tr>
      <w:tr>
        <w:trPr>
          <w:trHeight w:val="135"/>
        </w:trPr>
        <w:tc>
          <w:tcPr>
            <w:tcW w:w="160" w:type="dxa"/>
            <w:vAlign w:val="bottom"/>
          </w:tcPr>
          <w:p>
            <w:pPr>
              <w:spacing w:after="0"/>
              <w:rPr>
                <w:sz w:val="11"/>
                <w:szCs w:val="11"/>
                <w:color w:val="auto"/>
              </w:rPr>
            </w:pPr>
          </w:p>
        </w:tc>
        <w:tc>
          <w:tcPr>
            <w:tcW w:w="2340" w:type="dxa"/>
            <w:vAlign w:val="bottom"/>
          </w:tcPr>
          <w:p>
            <w:pPr>
              <w:jc w:val="center"/>
              <w:ind w:left="209"/>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gridSpan w:val="5"/>
          </w:tcPr>
          <w:p>
            <w:pPr>
              <w:jc w:val="center"/>
              <w:ind w:left="230"/>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40" w:type="dxa"/>
            <w:vAlign w:val="bottom"/>
          </w:tcPr>
          <w:p>
            <w:pPr>
              <w:jc w:val="center"/>
              <w:ind w:left="49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60" w:type="dxa"/>
            <w:vAlign w:val="bottom"/>
          </w:tcPr>
          <w:p>
            <w:pPr>
              <w:spacing w:after="0"/>
              <w:rPr>
                <w:sz w:val="14"/>
                <w:szCs w:val="14"/>
                <w:color w:val="auto"/>
              </w:rPr>
            </w:pPr>
          </w:p>
        </w:tc>
        <w:tc>
          <w:tcPr>
            <w:tcW w:w="2340" w:type="dxa"/>
            <w:vAlign w:val="bottom"/>
          </w:tcPr>
          <w:p>
            <w:pPr>
              <w:jc w:val="center"/>
              <w:ind w:left="209"/>
              <w:spacing w:after="0"/>
              <w:rPr>
                <w:sz w:val="20"/>
                <w:szCs w:val="20"/>
                <w:color w:val="auto"/>
              </w:rPr>
            </w:pPr>
            <w:r>
              <w:rPr>
                <w:rFonts w:ascii="Arial" w:cs="Arial" w:eastAsia="Arial" w:hAnsi="Arial"/>
                <w:sz w:val="13"/>
                <w:szCs w:val="13"/>
                <w:b w:val="1"/>
                <w:bCs w:val="1"/>
                <w:color w:val="auto"/>
                <w:w w:val="90"/>
              </w:rPr>
              <w:t>Incorporation or Organization)</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5"/>
          </w:tcPr>
          <w:p>
            <w:pPr>
              <w:jc w:val="center"/>
              <w:ind w:left="230"/>
              <w:spacing w:after="0"/>
              <w:rPr>
                <w:sz w:val="20"/>
                <w:szCs w:val="20"/>
                <w:color w:val="auto"/>
              </w:rPr>
            </w:pPr>
            <w:r>
              <w:rPr>
                <w:rFonts w:ascii="Arial" w:cs="Arial" w:eastAsia="Arial" w:hAnsi="Arial"/>
                <w:sz w:val="13"/>
                <w:szCs w:val="13"/>
                <w:b w:val="1"/>
                <w:bCs w:val="1"/>
                <w:color w:val="auto"/>
                <w:w w:val="87"/>
              </w:rPr>
              <w:t>Classification Code Number)</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tcPr>
          <w:p>
            <w:pPr>
              <w:jc w:val="center"/>
              <w:ind w:left="497"/>
              <w:spacing w:after="0"/>
              <w:rPr>
                <w:sz w:val="20"/>
                <w:szCs w:val="20"/>
                <w:color w:val="auto"/>
              </w:rPr>
            </w:pPr>
            <w:r>
              <w:rPr>
                <w:rFonts w:ascii="Arial" w:cs="Arial" w:eastAsia="Arial" w:hAnsi="Arial"/>
                <w:sz w:val="13"/>
                <w:szCs w:val="13"/>
                <w:b w:val="1"/>
                <w:bCs w:val="1"/>
                <w:color w:val="auto"/>
                <w:w w:val="89"/>
              </w:rPr>
              <w:t>Identification Number)</w:t>
            </w:r>
          </w:p>
        </w:tc>
      </w:tr>
      <w:tr>
        <w:trPr>
          <w:trHeight w:val="196"/>
        </w:trPr>
        <w:tc>
          <w:tcPr>
            <w:tcW w:w="1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60" w:type="dxa"/>
            <w:vAlign w:val="bottom"/>
            <w:gridSpan w:val="9"/>
          </w:tcPr>
          <w:p>
            <w:pPr>
              <w:jc w:val="center"/>
              <w:ind w:right="3777"/>
              <w:spacing w:after="0"/>
              <w:rPr>
                <w:sz w:val="20"/>
                <w:szCs w:val="20"/>
                <w:color w:val="auto"/>
              </w:rPr>
            </w:pPr>
            <w:r>
              <w:rPr>
                <w:rFonts w:ascii="Arial" w:cs="Arial" w:eastAsia="Arial" w:hAnsi="Arial"/>
                <w:sz w:val="14"/>
                <w:szCs w:val="14"/>
                <w:b w:val="1"/>
                <w:bCs w:val="1"/>
                <w:color w:val="auto"/>
                <w:w w:val="93"/>
              </w:rPr>
              <w:t>35 Gatehouse Drive, Building D, Floor 3</w:t>
            </w:r>
          </w:p>
        </w:tc>
      </w:tr>
      <w:tr>
        <w:trPr>
          <w:trHeight w:val="186"/>
        </w:trPr>
        <w:tc>
          <w:tcPr>
            <w:tcW w:w="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gridSpan w:val="5"/>
          </w:tcPr>
          <w:p>
            <w:pPr>
              <w:jc w:val="center"/>
              <w:ind w:left="270"/>
              <w:spacing w:after="0"/>
              <w:rPr>
                <w:sz w:val="20"/>
                <w:szCs w:val="20"/>
                <w:color w:val="auto"/>
              </w:rPr>
            </w:pPr>
            <w:r>
              <w:rPr>
                <w:rFonts w:ascii="Arial" w:cs="Arial" w:eastAsia="Arial" w:hAnsi="Arial"/>
                <w:sz w:val="14"/>
                <w:szCs w:val="14"/>
                <w:b w:val="1"/>
                <w:bCs w:val="1"/>
                <w:color w:val="auto"/>
                <w:w w:val="91"/>
              </w:rPr>
              <w:t>Waltham, Massachusetts 02451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6"/>
        </w:trPr>
        <w:tc>
          <w:tcPr>
            <w:tcW w:w="1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480" w:type="dxa"/>
            <w:vAlign w:val="bottom"/>
            <w:gridSpan w:val="5"/>
          </w:tcPr>
          <w:p>
            <w:pPr>
              <w:jc w:val="center"/>
              <w:ind w:left="1961"/>
              <w:spacing w:after="0"/>
              <w:rPr>
                <w:sz w:val="20"/>
                <w:szCs w:val="20"/>
                <w:color w:val="auto"/>
              </w:rPr>
            </w:pPr>
            <w:r>
              <w:rPr>
                <w:rFonts w:ascii="Arial" w:cs="Arial" w:eastAsia="Arial" w:hAnsi="Arial"/>
                <w:sz w:val="14"/>
                <w:szCs w:val="14"/>
                <w:b w:val="1"/>
                <w:bCs w:val="1"/>
                <w:color w:val="auto"/>
                <w:w w:val="93"/>
              </w:rPr>
              <w:t>(781) 419-1400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149"/>
        </w:trPr>
        <w:tc>
          <w:tcPr>
            <w:tcW w:w="160" w:type="dxa"/>
            <w:vAlign w:val="bottom"/>
          </w:tcPr>
          <w:p>
            <w:pPr>
              <w:spacing w:after="0"/>
              <w:rPr>
                <w:sz w:val="12"/>
                <w:szCs w:val="12"/>
                <w:color w:val="auto"/>
              </w:rPr>
            </w:pPr>
          </w:p>
        </w:tc>
        <w:tc>
          <w:tcPr>
            <w:tcW w:w="10260" w:type="dxa"/>
            <w:vAlign w:val="bottom"/>
            <w:gridSpan w:val="12"/>
          </w:tcPr>
          <w:p>
            <w:pPr>
              <w:jc w:val="center"/>
              <w:spacing w:after="0"/>
              <w:rPr>
                <w:sz w:val="20"/>
                <w:szCs w:val="20"/>
                <w:color w:val="auto"/>
              </w:rPr>
            </w:pPr>
            <w:r>
              <w:rPr>
                <w:rFonts w:ascii="Arial" w:cs="Arial" w:eastAsia="Arial" w:hAnsi="Arial"/>
                <w:sz w:val="13"/>
                <w:szCs w:val="13"/>
                <w:b w:val="1"/>
                <w:bCs w:val="1"/>
                <w:color w:val="auto"/>
                <w:w w:val="87"/>
              </w:rPr>
              <w:t>(Address, Including Zip Code, and Telephone Number, Including Area Code, of Registrant’s Principal Executive Offices)</w:t>
            </w:r>
          </w:p>
        </w:tc>
      </w:tr>
      <w:tr>
        <w:trPr>
          <w:trHeight w:val="164"/>
        </w:trPr>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40" w:type="dxa"/>
            <w:vAlign w:val="bottom"/>
            <w:gridSpan w:val="10"/>
          </w:tcPr>
          <w:p>
            <w:pPr>
              <w:jc w:val="center"/>
              <w:ind w:right="3377"/>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r>
      <w:tr>
        <w:trPr>
          <w:trHeight w:val="138"/>
        </w:trPr>
        <w:tc>
          <w:tcPr>
            <w:tcW w:w="160" w:type="dxa"/>
            <w:vAlign w:val="bottom"/>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r>
      <w:tr>
        <w:trPr>
          <w:trHeight w:val="207"/>
        </w:trPr>
        <w:tc>
          <w:tcPr>
            <w:tcW w:w="160" w:type="dxa"/>
            <w:vAlign w:val="bottom"/>
            <w:tcBorders>
              <w:right w:val="single" w:sz="8" w:color="auto"/>
            </w:tcBorders>
          </w:tcPr>
          <w:p>
            <w:pPr>
              <w:spacing w:after="0"/>
              <w:rPr>
                <w:sz w:val="17"/>
                <w:szCs w:val="17"/>
                <w:color w:val="auto"/>
              </w:rPr>
            </w:pPr>
          </w:p>
        </w:tc>
        <w:tc>
          <w:tcPr>
            <w:tcW w:w="2340" w:type="dxa"/>
            <w:vAlign w:val="bottom"/>
            <w:tcBorders>
              <w:bottom w:val="single" w:sz="8" w:color="auto"/>
            </w:tcBorders>
          </w:tcPr>
          <w:p>
            <w:pPr>
              <w:jc w:val="center"/>
              <w:ind w:left="969"/>
              <w:spacing w:after="0"/>
              <w:rPr>
                <w:sz w:val="20"/>
                <w:szCs w:val="20"/>
                <w:color w:val="auto"/>
              </w:rPr>
            </w:pPr>
            <w:r>
              <w:rPr>
                <w:rFonts w:ascii="Arial" w:cs="Arial" w:eastAsia="Arial" w:hAnsi="Arial"/>
                <w:sz w:val="16"/>
                <w:szCs w:val="16"/>
                <w:b w:val="1"/>
                <w:bCs w:val="1"/>
                <w:color w:val="auto"/>
                <w:w w:val="88"/>
              </w:rPr>
              <w:t>Title of each class</w:t>
            </w:r>
          </w:p>
        </w:tc>
        <w:tc>
          <w:tcPr>
            <w:tcW w:w="10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1"/>
              </w:rPr>
              <w:t>Trading Symbol(s)</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100" w:type="dxa"/>
            <w:vAlign w:val="bottom"/>
            <w:tcBorders>
              <w:bottom w:val="single" w:sz="8" w:color="auto"/>
              <w:right w:val="single" w:sz="8" w:color="auto"/>
            </w:tcBorders>
            <w:gridSpan w:val="3"/>
          </w:tcPr>
          <w:p>
            <w:pPr>
              <w:jc w:val="center"/>
              <w:ind w:right="877"/>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160" w:type="dxa"/>
            <w:vAlign w:val="bottom"/>
            <w:tcBorders>
              <w:right w:val="single" w:sz="8" w:color="auto"/>
            </w:tcBorders>
          </w:tcPr>
          <w:p>
            <w:pPr>
              <w:spacing w:after="0"/>
              <w:rPr>
                <w:sz w:val="18"/>
                <w:szCs w:val="18"/>
                <w:color w:val="auto"/>
              </w:rPr>
            </w:pPr>
          </w:p>
        </w:tc>
        <w:tc>
          <w:tcPr>
            <w:tcW w:w="2340" w:type="dxa"/>
            <w:vAlign w:val="bottom"/>
            <w:tcBorders>
              <w:bottom w:val="single" w:sz="8" w:color="auto"/>
            </w:tcBorders>
          </w:tcPr>
          <w:p>
            <w:pPr>
              <w:jc w:val="center"/>
              <w:ind w:left="969"/>
              <w:spacing w:after="0"/>
              <w:rPr>
                <w:sz w:val="20"/>
                <w:szCs w:val="20"/>
                <w:color w:val="auto"/>
              </w:rPr>
            </w:pPr>
            <w:r>
              <w:rPr>
                <w:rFonts w:ascii="Arial" w:cs="Arial" w:eastAsia="Arial" w:hAnsi="Arial"/>
                <w:sz w:val="16"/>
                <w:szCs w:val="16"/>
                <w:color w:val="auto"/>
                <w:w w:val="93"/>
              </w:rPr>
              <w:t>Common Stock</w:t>
            </w:r>
          </w:p>
        </w:tc>
        <w:tc>
          <w:tcPr>
            <w:tcW w:w="10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gridSpan w:val="2"/>
          </w:tcPr>
          <w:p>
            <w:pPr>
              <w:jc w:val="center"/>
              <w:ind w:right="440"/>
              <w:spacing w:after="0"/>
              <w:rPr>
                <w:sz w:val="20"/>
                <w:szCs w:val="20"/>
                <w:color w:val="auto"/>
              </w:rPr>
            </w:pPr>
            <w:r>
              <w:rPr>
                <w:rFonts w:ascii="Arial" w:cs="Arial" w:eastAsia="Arial" w:hAnsi="Arial"/>
                <w:sz w:val="16"/>
                <w:szCs w:val="16"/>
                <w:color w:val="auto"/>
                <w:w w:val="98"/>
              </w:rPr>
              <w:t>SNDX</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gridSpan w:val="2"/>
          </w:tcPr>
          <w:p>
            <w:pPr>
              <w:jc w:val="center"/>
              <w:ind w:right="1157"/>
              <w:spacing w:after="0"/>
              <w:rPr>
                <w:sz w:val="20"/>
                <w:szCs w:val="20"/>
                <w:color w:val="auto"/>
              </w:rPr>
            </w:pPr>
            <w:r>
              <w:rPr>
                <w:rFonts w:ascii="Arial" w:cs="Arial" w:eastAsia="Arial" w:hAnsi="Arial"/>
                <w:sz w:val="16"/>
                <w:szCs w:val="16"/>
                <w:color w:val="auto"/>
                <w:w w:val="93"/>
              </w:rPr>
              <w:t>The Nasdaq Stock Market, LLC</w:t>
            </w:r>
          </w:p>
        </w:tc>
      </w:tr>
      <w:tr>
        <w:trPr>
          <w:trHeight w:val="315"/>
        </w:trPr>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920" w:type="dxa"/>
            <w:vAlign w:val="bottom"/>
            <w:gridSpan w:val="11"/>
          </w:tcPr>
          <w:p>
            <w:pPr>
              <w:jc w:val="center"/>
              <w:ind w:right="2297"/>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r>
      <w:tr>
        <w:trPr>
          <w:trHeight w:val="101"/>
        </w:trPr>
        <w:tc>
          <w:tcPr>
            <w:tcW w:w="3960" w:type="dxa"/>
            <w:vAlign w:val="bottom"/>
            <w:gridSpan w:val="4"/>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21"/>
        </w:trPr>
        <w:tc>
          <w:tcPr>
            <w:tcW w:w="5980" w:type="dxa"/>
            <w:vAlign w:val="bottom"/>
            <w:gridSpan w:val="7"/>
          </w:tcPr>
          <w:p>
            <w:pPr>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w:t>
            </w:r>
          </w:p>
        </w:tc>
        <w:tc>
          <w:tcPr>
            <w:tcW w:w="280" w:type="dxa"/>
            <w:vAlign w:val="bottom"/>
            <w:gridSpan w:val="2"/>
          </w:tcPr>
          <w:p>
            <w:pPr>
              <w:ind w:left="60"/>
              <w:spacing w:after="0"/>
              <w:rPr>
                <w:sz w:val="20"/>
                <w:szCs w:val="20"/>
                <w:color w:val="auto"/>
              </w:rPr>
            </w:pPr>
            <w:r>
              <w:rPr>
                <w:rFonts w:ascii="Arial" w:cs="Arial" w:eastAsia="Arial" w:hAnsi="Arial"/>
                <w:sz w:val="13"/>
                <w:szCs w:val="13"/>
                <w:color w:val="auto"/>
                <w:w w:val="89"/>
              </w:rPr>
              <w:t>Yes</w:t>
            </w:r>
          </w:p>
        </w:tc>
        <w:tc>
          <w:tcPr>
            <w:tcW w:w="4160" w:type="dxa"/>
            <w:vAlign w:val="bottom"/>
            <w:gridSpan w:val="4"/>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r>
        <w:trPr>
          <w:trHeight w:val="203"/>
        </w:trPr>
        <w:tc>
          <w:tcPr>
            <w:tcW w:w="6260" w:type="dxa"/>
            <w:vAlign w:val="bottom"/>
            <w:gridSpan w:val="9"/>
          </w:tcPr>
          <w:p>
            <w:pPr>
              <w:spacing w:after="0"/>
              <w:rPr>
                <w:sz w:val="20"/>
                <w:szCs w:val="20"/>
                <w:color w:val="auto"/>
              </w:rPr>
            </w:pPr>
            <w:r>
              <w:rPr>
                <w:rFonts w:ascii="Arial" w:cs="Arial" w:eastAsia="Arial" w:hAnsi="Arial"/>
                <w:sz w:val="13"/>
                <w:szCs w:val="13"/>
                <w:color w:val="auto"/>
                <w:w w:val="90"/>
              </w:rPr>
              <w:t>Indicate by check mark if the registrant is not required to file reports pursuant to Section 13 or 15(d) of the Securities Act.</w:t>
            </w:r>
          </w:p>
        </w:tc>
        <w:tc>
          <w:tcPr>
            <w:tcW w:w="4160" w:type="dxa"/>
            <w:vAlign w:val="bottom"/>
            <w:gridSpan w:val="4"/>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15" w:lineRule="exact"/>
        <w:rPr>
          <w:sz w:val="24"/>
          <w:szCs w:val="24"/>
          <w:color w:val="auto"/>
        </w:rPr>
      </w:pPr>
    </w:p>
    <w:p>
      <w:pPr>
        <w:ind w:firstLine="439"/>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 w:firstLine="439"/>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380" w:firstLine="439"/>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9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80"/>
              <w:spacing w:after="0"/>
              <w:rPr>
                <w:sz w:val="20"/>
                <w:szCs w:val="20"/>
                <w:color w:val="auto"/>
              </w:rPr>
            </w:pPr>
            <w:r>
              <w:rPr>
                <w:rFonts w:ascii="Arial" w:cs="Arial" w:eastAsia="Arial" w:hAnsi="Arial"/>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90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80"/>
              <w:spacing w:after="0"/>
              <w:rPr>
                <w:sz w:val="20"/>
                <w:szCs w:val="20"/>
                <w:color w:val="auto"/>
              </w:rPr>
            </w:pPr>
            <w:r>
              <w:rPr>
                <w:rFonts w:ascii="Arial" w:cs="Arial" w:eastAsia="Arial" w:hAnsi="Arial"/>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9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8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15" w:lineRule="exact"/>
        <w:rPr>
          <w:sz w:val="24"/>
          <w:szCs w:val="24"/>
          <w:color w:val="auto"/>
        </w:rPr>
      </w:pPr>
    </w:p>
    <w:p>
      <w:pPr>
        <w:ind w:right="20" w:firstLine="439"/>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ind w:left="440"/>
        <w:spacing w:after="0" w:line="150" w:lineRule="exact"/>
        <w:tabs>
          <w:tab w:leader="none" w:pos="6280" w:val="left"/>
          <w:tab w:leader="none" w:pos="67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4" w:lineRule="exact"/>
        <w:rPr>
          <w:sz w:val="24"/>
          <w:szCs w:val="24"/>
          <w:color w:val="auto"/>
        </w:rPr>
      </w:pPr>
    </w:p>
    <w:p>
      <w:pPr>
        <w:jc w:val="both"/>
        <w:ind w:right="60" w:firstLine="439"/>
        <w:spacing w:after="0" w:line="230" w:lineRule="auto"/>
        <w:rPr>
          <w:sz w:val="20"/>
          <w:szCs w:val="20"/>
          <w:color w:val="auto"/>
        </w:rPr>
      </w:pPr>
      <w:r>
        <w:rPr>
          <w:rFonts w:ascii="Arial" w:cs="Arial" w:eastAsia="Arial" w:hAnsi="Arial"/>
          <w:sz w:val="13"/>
          <w:szCs w:val="13"/>
          <w:color w:val="auto"/>
        </w:rPr>
        <w:t>As of June 30, 2019, the last day of the registrant’s most recently completed second fiscal quarter, the aggregate market value of the Common Stock held by non-affiliates of the registrant was approximately $208.3 million, based on the closing price of the registrant’s common stock on June 30, 2019. Shares of the registrant’s common stock held by each officer and director and stockholders that the registrant has concluded are affiliates of the registrant. This determination of affiliate status is not a determination for other purposes.</w:t>
      </w:r>
    </w:p>
    <w:p>
      <w:pPr>
        <w:spacing w:after="0" w:line="29" w:lineRule="exact"/>
        <w:rPr>
          <w:sz w:val="24"/>
          <w:szCs w:val="24"/>
          <w:color w:val="auto"/>
        </w:rPr>
      </w:pPr>
    </w:p>
    <w:p>
      <w:pPr>
        <w:ind w:left="440"/>
        <w:spacing w:after="0"/>
        <w:rPr>
          <w:sz w:val="20"/>
          <w:szCs w:val="20"/>
          <w:color w:val="auto"/>
        </w:rPr>
      </w:pPr>
      <w:r>
        <w:rPr>
          <w:rFonts w:ascii="Arial" w:cs="Arial" w:eastAsia="Arial" w:hAnsi="Arial"/>
          <w:sz w:val="13"/>
          <w:szCs w:val="13"/>
          <w:color w:val="auto"/>
        </w:rPr>
        <w:t>As of March 4, 2020, there were 30,240,838 shares of common stock outstanding.</w:t>
      </w:r>
    </w:p>
    <w:p>
      <w:pPr>
        <w:spacing w:after="0" w:line="36"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4"/>
          <w:szCs w:val="24"/>
          <w:color w:val="auto"/>
        </w:rPr>
      </w:pPr>
    </w:p>
    <w:p>
      <w:pPr>
        <w:ind w:right="100" w:firstLine="447"/>
        <w:spacing w:after="0" w:line="237" w:lineRule="auto"/>
        <w:rPr>
          <w:sz w:val="20"/>
          <w:szCs w:val="20"/>
          <w:color w:val="auto"/>
        </w:rPr>
      </w:pPr>
      <w:r>
        <w:rPr>
          <w:rFonts w:ascii="Arial" w:cs="Arial" w:eastAsia="Arial" w:hAnsi="Arial"/>
          <w:sz w:val="13"/>
          <w:szCs w:val="13"/>
          <w:color w:val="auto"/>
        </w:rPr>
        <w:t>Portions of the registrant’s definitive proxy statement for its 2020 Annual Meeting of Stockholders, which the registrant intends to file pursuant to Regulation 14A with the Securities and Exchange Commission not later than 120 days after the registrant’s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143510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6"/>
          </w:tcPr>
          <w:p>
            <w:pPr>
              <w:ind w:left="4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675"/>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183"/>
        </w:trPr>
        <w:tc>
          <w:tcPr>
            <w:tcW w:w="10900" w:type="dxa"/>
            <w:vAlign w:val="bottom"/>
            <w:gridSpan w:val="30"/>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20"/>
        </w:trPr>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13"/>
          </w:tcPr>
          <w:p>
            <w:pPr>
              <w:jc w:val="center"/>
              <w:ind w:right="51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1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8"/>
                <w:szCs w:val="18"/>
                <w:color w:val="auto"/>
              </w:rPr>
            </w:pPr>
          </w:p>
        </w:tc>
        <w:tc>
          <w:tcPr>
            <w:tcW w:w="5160" w:type="dxa"/>
            <w:vAlign w:val="bottom"/>
            <w:gridSpan w:val="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2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99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Unresolved Staff Comments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880" w:type="dxa"/>
            <w:vAlign w:val="bottom"/>
            <w:gridSpan w:val="1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Legal Proceedings</w:t>
              </w:r>
            </w:hyperlink>
          </w:p>
        </w:tc>
        <w:tc>
          <w:tcPr>
            <w:tcW w:w="8580" w:type="dxa"/>
            <w:vAlign w:val="bottom"/>
            <w:gridSpan w:val="2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p>
        </w:tc>
        <w:tc>
          <w:tcPr>
            <w:tcW w:w="51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9920" w:type="dxa"/>
            <w:vAlign w:val="bottom"/>
            <w:gridSpan w:val="2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Market for Registrant’s Common Equity, Related Stockholder Matters and Issuers Purchases of Equity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8140" w:type="dxa"/>
            <w:vAlign w:val="bottom"/>
            <w:tcBorders>
              <w:top w:val="single" w:sz="8" w:color="0000EE"/>
            </w:tcBorders>
            <w:gridSpan w:val="2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Selected Financial Data</w:t>
              </w:r>
            </w:hyperlink>
          </w:p>
        </w:tc>
        <w:tc>
          <w:tcPr>
            <w:tcW w:w="1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9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7A.</w:t>
            </w:r>
          </w:p>
        </w:tc>
        <w:tc>
          <w:tcPr>
            <w:tcW w:w="9920" w:type="dxa"/>
            <w:vAlign w:val="bottom"/>
            <w:gridSpan w:val="2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Financial Statements and Supplementary Data</w:t>
              </w:r>
            </w:hyperlink>
          </w:p>
        </w:tc>
        <w:tc>
          <w:tcPr>
            <w:tcW w:w="562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9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Changes in and Disagreements with Accountants on Accounting and Financial Disclosure</w:t>
              </w:r>
            </w:hyperlink>
          </w:p>
        </w:tc>
        <w:tc>
          <w:tcPr>
            <w:tcW w:w="34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Controls and Procedures</w:t>
              </w:r>
            </w:hyperlink>
          </w:p>
        </w:tc>
        <w:tc>
          <w:tcPr>
            <w:tcW w:w="8140" w:type="dxa"/>
            <w:vAlign w:val="bottom"/>
            <w:gridSpan w:val="2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9B.</w:t>
            </w:r>
          </w:p>
        </w:tc>
        <w:tc>
          <w:tcPr>
            <w:tcW w:w="9920" w:type="dxa"/>
            <w:vAlign w:val="bottom"/>
            <w:gridSpan w:val="2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III</w:t>
              </w:r>
            </w:hyperlink>
          </w:p>
        </w:tc>
        <w:tc>
          <w:tcPr>
            <w:tcW w:w="50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Directors, Executive Officers and Corporate Governance</w:t>
              </w:r>
            </w:hyperlink>
          </w:p>
        </w:tc>
        <w:tc>
          <w:tcPr>
            <w:tcW w:w="5820" w:type="dxa"/>
            <w:vAlign w:val="bottom"/>
            <w:gridSpan w:val="1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11.</w:t>
            </w:r>
          </w:p>
        </w:tc>
        <w:tc>
          <w:tcPr>
            <w:tcW w:w="992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9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Security Ownership of Certain Beneficial Owners and Management and Related Stockholder Matters</w:t>
              </w:r>
            </w:hyperlink>
          </w:p>
        </w:tc>
        <w:tc>
          <w:tcPr>
            <w:tcW w:w="262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Certain Relationships and Related Transactions, and Director Independence</w:t>
              </w:r>
            </w:hyperlink>
          </w:p>
        </w:tc>
        <w:tc>
          <w:tcPr>
            <w:tcW w:w="446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14.</w:t>
            </w:r>
          </w:p>
        </w:tc>
        <w:tc>
          <w:tcPr>
            <w:tcW w:w="992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4"/>
          </w:tcPr>
          <w:p>
            <w:pPr>
              <w:jc w:val="center"/>
              <w:ind w:right="5100"/>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IV</w:t>
              </w:r>
            </w:hyperlink>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Exhibits and Financial Statement Schedules</w:t>
              </w:r>
            </w:hyperlink>
          </w:p>
        </w:tc>
        <w:tc>
          <w:tcPr>
            <w:tcW w:w="960" w:type="dxa"/>
            <w:vAlign w:val="bottom"/>
            <w:gridSpan w:val="3"/>
          </w:tcPr>
          <w:p>
            <w:pPr>
              <w:spacing w:after="0"/>
              <w:rPr>
                <w:sz w:val="18"/>
                <w:szCs w:val="18"/>
                <w:color w:val="auto"/>
              </w:rPr>
            </w:pPr>
          </w:p>
        </w:tc>
        <w:tc>
          <w:tcPr>
            <w:tcW w:w="700" w:type="dxa"/>
            <w:vAlign w:val="bottom"/>
            <w:tcBorders>
              <w:top w:val="single" w:sz="8" w:color="0000EE"/>
            </w:tcBorders>
            <w:gridSpan w:val="7"/>
          </w:tcPr>
          <w:p>
            <w:pPr>
              <w:spacing w:after="0"/>
              <w:rPr>
                <w:sz w:val="18"/>
                <w:szCs w:val="18"/>
                <w:color w:val="auto"/>
              </w:rPr>
            </w:pPr>
          </w:p>
        </w:tc>
        <w:tc>
          <w:tcPr>
            <w:tcW w:w="510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Form 10-K Summary</w:t>
              </w:r>
            </w:hyperlink>
          </w:p>
        </w:tc>
        <w:tc>
          <w:tcPr>
            <w:tcW w:w="8360" w:type="dxa"/>
            <w:vAlign w:val="bottom"/>
            <w:gridSpan w:val="2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hormone receptor positive, human epidermal growth factor receptor 2 negative (HR+, HER2-) breast cancer;</w:t>
      </w:r>
    </w:p>
    <w:p>
      <w:pPr>
        <w:spacing w:after="0" w:line="62" w:lineRule="exact"/>
        <w:rPr>
          <w:rFonts w:ascii="Arial" w:cs="Arial" w:eastAsia="Arial" w:hAnsi="Arial"/>
          <w:sz w:val="18"/>
          <w:szCs w:val="18"/>
          <w:color w:val="auto"/>
        </w:rPr>
      </w:pPr>
    </w:p>
    <w:p>
      <w:pPr>
        <w:ind w:left="1200" w:right="44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62" w:lineRule="exact"/>
        <w:rPr>
          <w:rFonts w:ascii="Arial" w:cs="Arial" w:eastAsia="Arial" w:hAnsi="Arial"/>
          <w:sz w:val="18"/>
          <w:szCs w:val="18"/>
          <w:color w:val="auto"/>
        </w:rPr>
      </w:pPr>
    </w:p>
    <w:p>
      <w:pPr>
        <w:ind w:left="1200" w:right="74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 of SNDX-6352 in chronic Graft Versus Host Disease (cGVHD);</w:t>
      </w:r>
    </w:p>
    <w:p>
      <w:pPr>
        <w:spacing w:after="0" w:line="62"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 of entinostat with Tecentriq® (atezolizumab) from Genentech, Inc., a member of the Roche Group, in advanced HR+, HER2- breast cancer;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Kirin Co., Ltd., UCB Biopharma Sprl and Vitae Pharmaceuticals, Inc., a subsidiary of Allergan plc;</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political, social and economic instability, natural disasters or public health epidemics in countries where we or our collaborators do business.</w:t>
      </w:r>
    </w:p>
    <w:p>
      <w:pPr>
        <w:spacing w:after="0" w:line="24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Factors that may cause actual results to differ materially from current expectations include, among other things, those set forth in Part I, Item 1A, “Risk Factors,” below and for the reasons described elsewhere in this Annual Report on Form 10-K. Any forward-looking statement in this Annual Report on Form 10-K reflects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line="279" w:lineRule="auto"/>
        <w:rPr>
          <w:sz w:val="20"/>
          <w:szCs w:val="20"/>
          <w:color w:val="auto"/>
        </w:rPr>
      </w:pPr>
      <w:r>
        <w:rPr>
          <w:rFonts w:ascii="Arial" w:cs="Arial" w:eastAsia="Arial" w:hAnsi="Arial"/>
          <w:sz w:val="17"/>
          <w:szCs w:val="17"/>
          <w:color w:val="auto"/>
        </w:rPr>
        <w:t>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17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7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this Annual Report on Form 10-K, unless otherwise stated or as the context otherwise requires, references to “Syndax,” “the Company,” “we,” “us,” “our” and similar references refer to Syndax Pharmaceuticals, Inc. and its wholly owned subsidiaries. This Annual Report on Form 10-K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lead product candidate, entinostat is a once-weekly, oral, small molecule, Class I HDAC inhibitor currently being evaluated in the Phase 3 E2112 registrational clinical trial in combination with exemestane for advanced hormone receptor positive, or HR+, human epidermal growth factor receptor 2 negative, or HER2-, breast cancer, an indication for which entinostat has been granted breakthrough therapy designation from the U.S Food and Drug Administration, or FDA. We continue to anticipate that the Phase 3 E2112 clinical trial will reach 410 death events in the second quarter of 2020, triggering the final overall survival, or OS, analysis. The Phase 3 E2112 clinical trial design was informed by the Phase 2b ENCORE 301 clinical trial, the results of which led to entinostat’s breakthrough therapy designation from the FDA in HR+ breast cancer, in which patients receiving the entinostat/exemestane combination demonstrated a clinically meaningful OS benefit over treatment with exemestane alone.</w:t>
      </w:r>
    </w:p>
    <w:p>
      <w:pPr>
        <w:spacing w:after="0" w:line="192"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Our second clinical-stage product candidate, SNDX-5613, is our orally available, small molecule inhibitor of the interaction of menin with the mixed lineage leukemia protein, or MLL. We are developing SNDX-5613 as a targeted therapy to potentially treat two genetically defined acute leukemias: (i) mixed lineage leukemia-rearranged, or MLLr, a genetically-defined subset of acute leukemias with chromosomal rearrangements in the MLL gene; and (ii) acute myeloid leukemia, or AML, with a mutated nucleophosmin 1, or NPM1, characterized by a somatic mutation in the NPM1 gene, or NPM1c. We anticipate presenting initial clinical data from a Phase 1/2 open-label AUGMENT-101 clinical trial of orally administered SNDX-5613 in the fourth quarter of 2020. The Phase 1 dose escalation portion of AUGMENT-101 is enrolling adults with relapsed/refractory acute leukemias, including patients with MLL-rearrangements and NPM1c mutations, to establish a recommended dose for the Phase 2 portion of the trial. The Phase 2 portion will evaluate efficacy, as defined by Complete Response rate (per International Working Group response criteria), across three expansion cohorts: MLL-r acute lymphoblastic leukemia, AML and NPM1 mutant AML.</w:t>
      </w:r>
    </w:p>
    <w:p>
      <w:pPr>
        <w:spacing w:after="0" w:line="18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are also developing SNDX-6352, a monoclonal antibody targeting the colony stimulating factor-1 receptor, or CSF-1R, a cell surface protein thought to control the survival and function of monocytes and macrophages. In many cancers, inhibition of CSF-1R will reduce the number of immunosuppressive tumor-associated macrophages, or TAMs, and enable an immune response against tumors. In December 2019, we presented clinical proof-of-concept data from a Phase 1 clinical trial in which we observed the effects of SNDX-6352 for the treatment of chronic Graft Versus Host Disease, or cGVHD. We are initiating a Phase 2 expansion cohort based on this evidence of clinical efficacy at all dosage levels to date and expect to present Phase 1 and 2 results in the second half of 2020.</w:t>
      </w:r>
    </w:p>
    <w:p>
      <w:pPr>
        <w:spacing w:after="0" w:line="193"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plan to continue to leverage the technical and business expertise of our management team and scientific collaborators to opportunistically license, acquire and develop additional cancer therapies to expand our pipeline.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We are developing entinostat, SNDX-5613 and SNDX-6352 for use in multiple cancer and potentially other indications in combination with complementary therapeutic drugs and potentially as single agents. Key elements of our strategy include:</w:t>
      </w:r>
    </w:p>
    <w:p>
      <w:pPr>
        <w:spacing w:after="0" w:line="62" w:lineRule="exact"/>
        <w:rPr>
          <w:sz w:val="20"/>
          <w:szCs w:val="20"/>
          <w:color w:val="auto"/>
        </w:rPr>
      </w:pPr>
    </w:p>
    <w:p>
      <w:pPr>
        <w:ind w:left="1200" w:right="38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obtain regulatory approval for entinostat in combination with hormone therapy in advanced HR+, HER2- breast cancer. We believe that the submission of the OS results of the Phase 3 clinical trial, if successful, would be sufficient for regulatory approval of entinostat in the United States.</w:t>
      </w:r>
    </w:p>
    <w:p>
      <w:pPr>
        <w:spacing w:after="0" w:line="73" w:lineRule="exact"/>
        <w:rPr>
          <w:rFonts w:ascii="Arial" w:cs="Arial" w:eastAsia="Arial" w:hAnsi="Arial"/>
          <w:sz w:val="18"/>
          <w:szCs w:val="18"/>
          <w:color w:val="auto"/>
        </w:rPr>
      </w:pPr>
    </w:p>
    <w:p>
      <w:pPr>
        <w:ind w:left="1200" w:right="22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SNDX-5613 for the treatment of genetically defined leukemias. We believe that SNDX-5613 has the potential to treat at least two genetically defined acute leukemias: (i) MLLr and (ii) NPM1 AML. Our Phase 1/2 open-label AUGMENT-101 trial is ongoing, and we anticipate receiving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1200"/>
        <w:spacing w:after="0"/>
        <w:rPr>
          <w:sz w:val="20"/>
          <w:szCs w:val="20"/>
          <w:color w:val="auto"/>
        </w:rPr>
      </w:pPr>
      <w:r>
        <w:rPr>
          <w:rFonts w:ascii="Arial" w:cs="Arial" w:eastAsia="Arial" w:hAnsi="Arial"/>
          <w:sz w:val="18"/>
          <w:szCs w:val="18"/>
          <w:color w:val="auto"/>
        </w:rPr>
        <w:t>meaningful interim data including pharmacokinetic, pharmacodynamic and efficacy data in the fourth quarter of 2020.</w:t>
      </w:r>
    </w:p>
    <w:p>
      <w:pPr>
        <w:spacing w:after="0" w:line="117" w:lineRule="exact"/>
        <w:rPr>
          <w:sz w:val="20"/>
          <w:szCs w:val="20"/>
          <w:color w:val="auto"/>
        </w:rPr>
      </w:pPr>
    </w:p>
    <w:p>
      <w:pPr>
        <w:ind w:left="1200" w:right="20" w:hanging="598"/>
        <w:spacing w:after="0" w:line="312"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 SNDX-6352 as monotherapy and in combination in one or more tumor types. We are conducting a Phase 1/2 trial of SNDX-6352 as a monotherapy in patients with cGVHD and are currently looking to establish a recommended Phase 2 dose for use of SNDX-6352 as a monotherapy. In 2019, we established a recommend Phase 2 dose for use of SNDX-6352 as a combination agent in solid tumors.</w:t>
      </w:r>
    </w:p>
    <w:p>
      <w:pPr>
        <w:spacing w:after="0" w:line="38" w:lineRule="exact"/>
        <w:rPr>
          <w:rFonts w:ascii="Arial" w:cs="Arial" w:eastAsia="Arial" w:hAnsi="Arial"/>
          <w:sz w:val="16"/>
          <w:szCs w:val="16"/>
          <w:color w:val="auto"/>
        </w:rPr>
      </w:pPr>
    </w:p>
    <w:p>
      <w:pPr>
        <w:ind w:left="1200" w:right="80" w:hanging="598"/>
        <w:spacing w:after="0" w:line="255"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entinostat as the combination therapy of choice with immune checkpoint inhibitors, initially PD-1 and PD-L1 inhibitors, by conducting clinical trials in patients where we believe the response to PD-1 or PD-L1 inhibitors can be improved. To that end, we have entered into non-exclusive collaborations with MSD International GmbH, an affiliate of Merck, Genentech, Ares Trading, S.A., a subsidiary of Merck KGaA, Darmstadt, Germany, and Pfizer, Inc. We are currently prioritizing our resources and have placed the initiation of potential registration trials in non-small cell lung cancer and melanoma on hold until we receive final OS results from the E2112 clinical trial. Following availability of positive E2112 OS results, we will determine whether to advance our entinostat-PD-1 combination programs into one or more registration trials.</w:t>
      </w:r>
    </w:p>
    <w:p>
      <w:pPr>
        <w:spacing w:after="0" w:line="81" w:lineRule="exact"/>
        <w:rPr>
          <w:rFonts w:ascii="Arial" w:cs="Arial" w:eastAsia="Arial" w:hAnsi="Arial"/>
          <w:sz w:val="18"/>
          <w:szCs w:val="18"/>
          <w:color w:val="auto"/>
        </w:rPr>
      </w:pPr>
    </w:p>
    <w:p>
      <w:pPr>
        <w:ind w:left="1200" w:right="40" w:hanging="598"/>
        <w:spacing w:after="0" w:line="259"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technical and business expertise of our management team and scientific collaborators to license, acquire and develop additional cancer therapies to expand our pipeline. We acquired the exclusive rights to SNDX-6352 in 2016 and to SNDX-5613 in 2017. We intend to continue leveraging the collective talent within our organization and network of advisors to guide our pipeline expansion and development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85725</wp:posOffset>
            </wp:positionV>
            <wp:extent cx="5342890" cy="2975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289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Entinostat is our oral, small molecule product candidate that has direct effects on both cancer cells and immune regulatory cells, potentially enhancing the body’s immune response to tumors. The favorable safety profile of entinostat has been demonstrated in clinical trials in more than 1,200 cancer patients. The long half-life of entinostat allows for once weekly dosing while also providing continuous exposure to therapy potentially resulting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 w:name="page7"/>
    <w:bookmarkEnd w:id="6"/>
    <w:p>
      <w:pPr>
        <w:ind w:right="120"/>
        <w:spacing w:after="0" w:line="308" w:lineRule="auto"/>
        <w:rPr>
          <w:sz w:val="20"/>
          <w:szCs w:val="20"/>
          <w:color w:val="auto"/>
        </w:rPr>
      </w:pPr>
      <w:r>
        <w:rPr>
          <w:rFonts w:ascii="Arial" w:cs="Arial" w:eastAsia="Arial" w:hAnsi="Arial"/>
          <w:sz w:val="17"/>
          <w:szCs w:val="17"/>
          <w:color w:val="auto"/>
        </w:rPr>
        <w:t>in positive efficacy benefits. Based on entinostat’s ability to reverse hormone resistance, alter cancer stem cells, and modulate immunosensitivity, we believe entinostat may have broad applications in tumor types which have become resistant to hormone and/or immunotherapy.</w:t>
      </w:r>
    </w:p>
    <w:p>
      <w:pPr>
        <w:spacing w:after="0" w:line="147"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Entinostat has also been shown to enhance the immune system’s ability to identify and target tumor cells. It is now widely accepted that many tumors have the ability to evade the immune system either through direct cellular interactions and recruitment of immuno-suppressive cells to the area surrounding the tumor, or through parallel evasion-mechanisms focused on the interaction between the T cell with other immune cells found within the surrounding tumor microenvironment. Entinostat has been observed to decrease the population of immuno-suppressive cells known as myeloid-derived suppressor cells, or MDSCs, and regulatory T cells, or Tregs, which localize in the area surrounding the tumor and block T cells from killing cancer cells,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are evaluating entinostat in an ongoing Phase 3 clinical trial testing exemestane in combination with entinostat versus exemestane in combination with placebo in patients with advanced HR+, HER2- breast cancer. ECOG-ACRIN Cancer Research Group, or ECOG-ACRIN, is conducting this clinical trial under sponsorship and funding support from the National Cancer Institute, or NCI. The Phase 3 clinical trial was designed to determine whether the addition of entinostat to exemestane improves progression-free survival, or PFS, OS, or both in patients who have previously progressed after treatment with standard-of-care hormonal agents.</w:t>
      </w:r>
    </w:p>
    <w:p>
      <w:pPr>
        <w:spacing w:after="0" w:line="18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To confirm the PFS and OS benefits observed in the Phase 2b clinical trial, we collaborated with ECOG-ACRIN to develop and conduct the Phase 3 clinical trial, E2112. ECOG-ACRIN is conducting the trial under sponsorship and funding support from the NCI. We are providing financial and operational support for the Phase 3 clinical trial under a Cooperative Research and Development Agreement, or CRADA, with theNational Cancer Institute, or NCI, and a separate agreement with ECOG-ACRIN. The trial is a randomized, double-blind, placebo-controlled trial of entinostat in combination with exemestane compared to exemestane and a placebo. The protocol for the Phase 3 clinical trial was reviewed and agreed upon by the FDA under a Special Protocol Assessment, or SPA, agreement with the NCI in January 2014.</w:t>
      </w:r>
    </w:p>
    <w:p>
      <w:pPr>
        <w:spacing w:after="0" w:line="193" w:lineRule="exact"/>
        <w:rPr>
          <w:sz w:val="20"/>
          <w:szCs w:val="20"/>
          <w:color w:val="auto"/>
        </w:rPr>
      </w:pPr>
    </w:p>
    <w:p>
      <w:pPr>
        <w:jc w:val="both"/>
        <w:ind w:right="140" w:firstLine="598"/>
        <w:spacing w:after="0" w:line="257" w:lineRule="auto"/>
        <w:rPr>
          <w:sz w:val="20"/>
          <w:szCs w:val="20"/>
          <w:color w:val="auto"/>
        </w:rPr>
      </w:pPr>
      <w:r>
        <w:rPr>
          <w:rFonts w:ascii="Arial" w:cs="Arial" w:eastAsia="Arial" w:hAnsi="Arial"/>
          <w:sz w:val="18"/>
          <w:szCs w:val="18"/>
          <w:color w:val="auto"/>
        </w:rPr>
        <w:t>Syndax, the NCI and ECOG-ACRIN designed the trial to evaluate whether the addition of entinostat to exemestane improves PFS, OS or both PFS and OS in patients with advanced HR+, HER2- breast cancer who have previously progressed after treatment with standard of care hormonal agents such as NSAIs or Faslodex. In November 2017, ECOG-ACRIN notified us that the Data Safety Monitoring Committee, or DSMC, completed the final PFS analysis and the first interim analysis for OS. The results of this analysis are held confidentially by the ECOG-ACRIN study statistician and the DSMC until the trial completed enrollment.</w:t>
      </w:r>
    </w:p>
    <w:p>
      <w:pPr>
        <w:spacing w:after="0" w:line="188"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October 2018, we announced that enrollment in E2112 concluded, with a total of 608 patients enrolled. ECOG-ACRIN and NCI conducted the primary analysis of PFS after 247 events occurred among the initial 360 patients enrolled and informed us that the trial did not meet the first primary endpoint of improving PFS. Although a positive result on PFS would have provided the earliest regulatory filing opportunity, it does not impact the potential for the trial to achieve the OS endpoint. The trial has now successfully passed five interim OS analyses, all conducted by the trial’s DSMC, continuing until the occurrence of 410 death events, which will trigger the final OS analysis. We expect to achieve this milestone in the second quarter of 2020.</w:t>
      </w:r>
    </w:p>
    <w:p>
      <w:pPr>
        <w:spacing w:after="0" w:line="158"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Entinostat in HR+ breast cancer obtained breakthrough therapy designation from the FDA based on positive Phase 2b OS results. Accordingly, any positive OS assessment would enable us to file for full regulatory approval. We continue to actively engage in expanding our commercial and medical affairs activities, to support the planned launch of entinostat in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Entinostat in Immuno-Oncology</w:t>
      </w:r>
    </w:p>
    <w:p>
      <w:pPr>
        <w:spacing w:after="0" w:line="11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We have completed multiple clinical trials of entinostat across a broad range of solid tumors, including breast, non-small cell lung cancer, or NSCLC, melanoma, ovarian and microsatellite stable colorectal carcinoma, or MSS-CRC. We conducted these trials in collaboration with partners, including Merck, Genentech, and Ares Trading, S.A., a subsidiary of Merck KGaA, Darmstadt, Germany, and Pfizer in combination with their anti-PD-(L)1 antibodies.</w:t>
      </w:r>
    </w:p>
    <w:p>
      <w:pPr>
        <w:spacing w:after="0" w:line="39"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We designed these trials to test whether entinostat could enhance the activity of PD-1 pathway antagonists across a variety of immunologic environments. NSCLC and melanoma represent settings where the tumors are infiltrated with T cells, MSS-CRC and TNBC are characterized as excluded where the T cells cannot enter the tumor and instead organize around the edges of the tumor, and ovarian cancer which is characterized by having an absence of T-cells. The data that we have received thus far suggest that the addition of entinostat to a PD-1 antagonist can help overcome resistance in patients who have stopped responding to anti-PD-1 therapy in tumors that have been infiltrated with T cells such as NSCLC and melanoma. We presented these results most recently at the 2019 American Association of Cancer Research annual meeting.</w:t>
      </w:r>
    </w:p>
    <w:p>
      <w:pPr>
        <w:spacing w:after="0" w:line="70"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In January 2018, we entered into a second clinical collaboration with Genentech to evaluate the combination of entinostat with Tecentriq in patients with HR+, HER2- metastatic breast cancer in a Phase 1b/2, open-label, multicenter, randomized trial that is enrolling patients with metastatic HR+, HER2-breast cancer who have experienced disease progression during or following treatment with a CDK4/6 inhibitor. Genentech is responsible for conducting the trial and has initiated patient enrollment.</w:t>
      </w:r>
    </w:p>
    <w:p>
      <w:pPr>
        <w:spacing w:after="0" w:line="7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Entinostat is also being evaluated in over a dozen ongoing and additional planned investigator-sponsored clinical trials that are designed to provide further validation of entinostat’s immuno-modulatory activity in various other immuno-responsive tumors.</w:t>
      </w:r>
    </w:p>
    <w:p>
      <w:pPr>
        <w:spacing w:after="0" w:line="6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believe that there may be further opportunities through these and additional collaborations to expand the indications in which entinostat may target immunologic mechanisms of resistance to cancer therapies. In the first quarter of 2019, we completed a full portfolio prioritization assessment and have determined to place the initiation of potential registration trials in non-small cell lung cancer and melanoma on hold until we receive final OS results from E2112.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SNDX-5613</w:t>
      </w:r>
    </w:p>
    <w:p>
      <w:pPr>
        <w:spacing w:after="0" w:line="12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SNDX-5613 is a potent, orally active inhibitor of the high affinity interaction site on menin with the protein MLL1. This specific interaction is a key driver for two genetically defined acute leukemias: (i) MLLr and (ii) NPM1c AML. Both diseases have a poor prognosis with an unmet need. In preclinical testing, SNDX-5613 has demonstrated complete tumor regression and profound, dose-dependent and long-lasting survival benefit in leukemic models of disease.</w:t>
      </w:r>
    </w:p>
    <w:p>
      <w:pPr>
        <w:spacing w:after="0" w:line="187"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Our near-term focus is to rapidly establish proof of concept that SNDX-5613 is a targeted therapy that can potentially provide meaningful clinical benefit to adult and pediatric leukemia patients having relapsed or refractory MLLr or NPM1c AML. Our IND application for SNDX-5613 was approved by the FDA in second quarter of 2019 and we commenced AUGMENT-101, a clinical trial consisting initially of a Phase 1 dose escalation portion to determine the maximum tolerated dose, or MTD, and recommended Phase 2 dose of SNDX-5613 in patients with acute leukemia. Upon completion of the Phase 1 portion of the trial and identification of the recommended Phase 2 dose, we will initiate the Phase 2 portion of the trial with patients to be enrolled in three indication-specific expansion cohorts to determine the efficacy, short- and long-term safety, and tolerability of SNDX-5613 in MLLr ALL, MLLr AML and NPM1c AML. We are conducting the trial at multiple centers in the United States and anticipate completing enrollment of the Phase 1 portion in the second half of 2020, with an expected total enrollment of up to 132 patients for the Phase 1/2 clinical trial.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SNDX-6352</w:t>
      </w:r>
    </w:p>
    <w:p>
      <w:pPr>
        <w:spacing w:after="0" w:line="229" w:lineRule="exact"/>
        <w:rPr>
          <w:sz w:val="20"/>
          <w:szCs w:val="20"/>
          <w:color w:val="auto"/>
        </w:rPr>
      </w:pPr>
    </w:p>
    <w:p>
      <w:pPr>
        <w:ind w:right="20" w:firstLine="543"/>
        <w:spacing w:after="0" w:line="255" w:lineRule="auto"/>
        <w:rPr>
          <w:sz w:val="20"/>
          <w:szCs w:val="20"/>
          <w:color w:val="auto"/>
        </w:rPr>
      </w:pPr>
      <w:r>
        <w:rPr>
          <w:rFonts w:ascii="Arial" w:cs="Arial" w:eastAsia="Arial" w:hAnsi="Arial"/>
          <w:sz w:val="18"/>
          <w:szCs w:val="18"/>
          <w:color w:val="auto"/>
        </w:rPr>
        <w:t>SNDX-6352 is a humanized monoclonal antibody that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cGVHD, to be the key regulatory pathway involved in the expansion and infiltration of the macrophages that mediate the cGVHD disease process. Blocking CSF-1R activity with an experimental CSF-1R antibody in these studies was shown to prevent and treat the symptoms of cGVHD. We are developing SNDX-6352 to bind to CSF-1R and block the ability of CSF-1 and IL-34 to activate CSF-1R signaling. We believe that by inhibiting CSF-1R activation on monocytes and macrophages, that SNDX-6352 has the potential to be used to treat cGVHD.</w:t>
      </w:r>
    </w:p>
    <w:p>
      <w:pPr>
        <w:spacing w:after="0" w:line="189" w:lineRule="exact"/>
        <w:rPr>
          <w:sz w:val="20"/>
          <w:szCs w:val="20"/>
          <w:color w:val="auto"/>
        </w:rPr>
      </w:pPr>
    </w:p>
    <w:p>
      <w:pPr>
        <w:ind w:firstLine="543"/>
        <w:spacing w:after="0" w:line="255" w:lineRule="auto"/>
        <w:rPr>
          <w:sz w:val="20"/>
          <w:szCs w:val="20"/>
          <w:color w:val="auto"/>
        </w:rPr>
      </w:pPr>
      <w:r>
        <w:rPr>
          <w:rFonts w:ascii="Arial" w:cs="Arial" w:eastAsia="Arial" w:hAnsi="Arial"/>
          <w:sz w:val="18"/>
          <w:szCs w:val="18"/>
          <w:color w:val="auto"/>
        </w:rPr>
        <w:t>CSF-1R is also expressed on immuno-suppressive cells (e.g., TAMs) known to play a role in the growth, survival, and metastasis of cancer. Inhibition of CSF-1R is thought to disrupt the activity of TAMs, resulting in a decrease in the immunosuppressive environment immediately surrounding the tumor, or tumor micro-environment. This mode of action is thought to make CSF-1R inhibitors such as SNDX-6352 well suited for use in combination with checkpoint inhibitors, particularly in cancers where there may be limited activity of immune checkpoint inhibitors as monotherapy. We believe that SNDX-6352 has the potential to be used to treat a variety of cancers in combination with entinostat and with other oncology agents, including immune checkpoint inhibitors, radiation, and chemotherapy.</w:t>
      </w:r>
    </w:p>
    <w:p>
      <w:pPr>
        <w:spacing w:after="0" w:line="193" w:lineRule="exact"/>
        <w:rPr>
          <w:sz w:val="20"/>
          <w:szCs w:val="20"/>
          <w:color w:val="auto"/>
        </w:rPr>
      </w:pPr>
    </w:p>
    <w:p>
      <w:pPr>
        <w:ind w:right="60" w:firstLine="543"/>
        <w:spacing w:after="0" w:line="259" w:lineRule="auto"/>
        <w:rPr>
          <w:sz w:val="20"/>
          <w:szCs w:val="20"/>
          <w:color w:val="auto"/>
        </w:rPr>
      </w:pPr>
      <w:r>
        <w:rPr>
          <w:rFonts w:ascii="Arial" w:cs="Arial" w:eastAsia="Arial" w:hAnsi="Arial"/>
          <w:sz w:val="18"/>
          <w:szCs w:val="18"/>
          <w:color w:val="auto"/>
        </w:rPr>
        <w:t>Our near-term focus is to rapidly establish proof of concept that SNDX-6352 can provide meaningful clinical benefit to patients in one or more tumor types when combined with standard of care therapies for a given indication as well as to patients with cGVHD when used as a single agent. We intend to conduct clinical trials in patients with tumor types having clear unmet needs (e.g., NSCLC, TNBC, prostate, melanoma, pancreatic, ovarian, bladder) and in patients with advanced cGVHD where prior therapies are no longer effective.</w:t>
      </w:r>
    </w:p>
    <w:p>
      <w:pPr>
        <w:spacing w:after="0" w:line="187" w:lineRule="exact"/>
        <w:rPr>
          <w:sz w:val="20"/>
          <w:szCs w:val="20"/>
          <w:color w:val="auto"/>
        </w:rPr>
      </w:pPr>
    </w:p>
    <w:p>
      <w:pPr>
        <w:ind w:firstLine="543"/>
        <w:spacing w:after="0" w:line="276" w:lineRule="auto"/>
        <w:rPr>
          <w:sz w:val="20"/>
          <w:szCs w:val="20"/>
          <w:color w:val="auto"/>
        </w:rPr>
      </w:pPr>
      <w:r>
        <w:rPr>
          <w:rFonts w:ascii="Arial" w:cs="Arial" w:eastAsia="Arial" w:hAnsi="Arial"/>
          <w:sz w:val="17"/>
          <w:szCs w:val="17"/>
          <w:color w:val="auto"/>
        </w:rPr>
        <w:t>We are conducting a Phase 1 dose escalation trial of SNDX-6352-502. In addition to assessing safety at increasing doses of SNDX-6352, this trial will provide information on the concentration of SNDX-6352 and levels of CSF-1, IL-34 and non-classical monocytes in the blood. We are conducting the trial at multiple centers in the United States and completed enrollment at the end of 2019, with safety and bioanalytical assessments ongoing and expected to be completed by the end of the first quarter of 2020. We expect to utilize the safety assessment of SNDX-6352 to determine the starting dose for subsequent clinical trials testing multiple doses of SNDX-6352 as a single agent and in combinations.</w:t>
      </w:r>
    </w:p>
    <w:p>
      <w:pPr>
        <w:spacing w:after="0" w:line="173" w:lineRule="exact"/>
        <w:rPr>
          <w:sz w:val="20"/>
          <w:szCs w:val="20"/>
          <w:color w:val="auto"/>
        </w:rPr>
      </w:pPr>
    </w:p>
    <w:p>
      <w:pPr>
        <w:ind w:firstLine="543"/>
        <w:spacing w:after="0" w:line="279" w:lineRule="auto"/>
        <w:rPr>
          <w:sz w:val="20"/>
          <w:szCs w:val="20"/>
          <w:color w:val="auto"/>
        </w:rPr>
      </w:pPr>
      <w:r>
        <w:rPr>
          <w:rFonts w:ascii="Arial" w:cs="Arial" w:eastAsia="Arial" w:hAnsi="Arial"/>
          <w:sz w:val="17"/>
          <w:szCs w:val="17"/>
          <w:color w:val="auto"/>
        </w:rPr>
        <w:t xml:space="preserve">In early 2018, we expanded SNDX-6352-502 to include a Phase 1b dose escalation study evaluating the safety of SNDX-6352 in combination with </w:t>
      </w:r>
      <w:r>
        <w:rPr>
          <w:rFonts w:ascii="Arial" w:cs="Arial" w:eastAsia="Arial" w:hAnsi="Arial"/>
          <w:sz w:val="17"/>
          <w:szCs w:val="17"/>
          <w:i w:val="1"/>
          <w:iCs w:val="1"/>
          <w:color w:val="auto"/>
        </w:rPr>
        <w:t>Imfinzi</w:t>
      </w:r>
      <w:r>
        <w:rPr>
          <w:rFonts w:ascii="Arial" w:cs="Arial" w:eastAsia="Arial" w:hAnsi="Arial"/>
          <w:sz w:val="17"/>
          <w:szCs w:val="17"/>
          <w:color w:val="auto"/>
        </w:rPr>
        <w:t>, AstraZeneca’s human monoclonal antibody directed against PD-L1. These cohorts will also provide information on pharmacokinetic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pharmacodynamic effects of the combination. We completed enrollment of the Phase 1b portion and at the end of the second quarter of 2019 we identified the required Phase 2 dose and schedule as 3 mg/kg every 2 weeks for SNDX-6352 in combination with </w:t>
      </w:r>
      <w:r>
        <w:rPr>
          <w:rFonts w:ascii="Arial" w:cs="Arial" w:eastAsia="Arial" w:hAnsi="Arial"/>
          <w:sz w:val="17"/>
          <w:szCs w:val="17"/>
          <w:i w:val="1"/>
          <w:iCs w:val="1"/>
          <w:color w:val="auto"/>
        </w:rPr>
        <w:t>Imfinzi</w:t>
      </w:r>
      <w:r>
        <w:rPr>
          <w:rFonts w:ascii="Arial" w:cs="Arial" w:eastAsia="Arial" w:hAnsi="Arial"/>
          <w:sz w:val="17"/>
          <w:szCs w:val="17"/>
          <w:color w:val="auto"/>
        </w:rPr>
        <w:t>.</w:t>
      </w:r>
    </w:p>
    <w:p>
      <w:pPr>
        <w:spacing w:after="0" w:line="171" w:lineRule="exact"/>
        <w:rPr>
          <w:sz w:val="20"/>
          <w:szCs w:val="20"/>
          <w:color w:val="auto"/>
        </w:rPr>
      </w:pPr>
    </w:p>
    <w:p>
      <w:pPr>
        <w:ind w:right="60" w:firstLine="543"/>
        <w:spacing w:after="0" w:line="274" w:lineRule="auto"/>
        <w:rPr>
          <w:sz w:val="20"/>
          <w:szCs w:val="20"/>
          <w:color w:val="auto"/>
        </w:rPr>
      </w:pPr>
      <w:r>
        <w:rPr>
          <w:rFonts w:ascii="Arial" w:cs="Arial" w:eastAsia="Arial" w:hAnsi="Arial"/>
          <w:sz w:val="17"/>
          <w:szCs w:val="17"/>
          <w:color w:val="auto"/>
        </w:rPr>
        <w:t>In the fourth quarter of 2018, we opened enrollment in SNDX-6352-503, a Phase 1 dose escalation trial of SNDX-6352 in patients with cGVHD. The objectives of this trial are to evaluate the safety and preliminary efficacy of SNDX-6352 in cGVHD and to identify a required Phase 2 dose and</w:t>
      </w:r>
    </w:p>
    <w:p>
      <w:pPr>
        <w:ind w:right="40"/>
        <w:spacing w:after="0" w:line="302" w:lineRule="auto"/>
        <w:rPr>
          <w:sz w:val="20"/>
          <w:szCs w:val="20"/>
          <w:color w:val="auto"/>
        </w:rPr>
      </w:pPr>
      <w:r>
        <w:rPr>
          <w:rFonts w:ascii="Arial" w:cs="Arial" w:eastAsia="Arial" w:hAnsi="Arial"/>
          <w:sz w:val="16"/>
          <w:szCs w:val="16"/>
          <w:color w:val="auto"/>
        </w:rPr>
        <w:t>schedule. The trial remains ongoing with up to 30 patients anticipated to participate in the trial. We anticipate completing enrollment in the second quarter of 2020. Based on emerging data suggesting preliminary activity at 1 mg/kg, we have amended the protocol to add an expansion cohort of approximately 20 patients to further explore this dose level. We anticipate that enrollment in the expansion cohort will be completed by the fourth quarter of 2020.</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Patients in the United States with advanced HR+ breast cancer are treated with hormone therapies with the goal to prolong OS and to delay treatment with more toxic chemotherapies. Hormone therapies are designed to inhibit estrogen stimulation of HR-driven breast cancers. Due to limited efficacy of hormone therapies in the advanced HR+ breast cancer setting, multiple lines of treatment are typically used, with each additional line of hormone therapy resulting in a shorter PFS and lower OS. The cause of resistance is multi-factorial and results in tumor progression independent of estrogen stimulation. In 2019, approximately 35,000 patients with HR+ breast cancer were treated with a hormone therapy as second-line or later treatment in the United States. The median OS for advanced HR+ breast cancer in the second-line setting is approximately two years.</w:t>
      </w:r>
    </w:p>
    <w:p>
      <w:pPr>
        <w:spacing w:after="0" w:line="178"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 xml:space="preserve">Over the past decade, the FDA has approved multiple agents for use in combination with hormone therapy to treat advanced or metastatic HR+ breast cancer. </w:t>
      </w:r>
      <w:r>
        <w:rPr>
          <w:rFonts w:ascii="Arial" w:cs="Arial" w:eastAsia="Arial" w:hAnsi="Arial"/>
          <w:sz w:val="18"/>
          <w:szCs w:val="18"/>
          <w:i w:val="1"/>
          <w:iCs w:val="1"/>
          <w:color w:val="auto"/>
        </w:rPr>
        <w:t>Afinitor</w:t>
      </w:r>
      <w:r>
        <w:rPr>
          <w:rFonts w:ascii="Arial" w:cs="Arial" w:eastAsia="Arial" w:hAnsi="Arial"/>
          <w:sz w:val="15"/>
          <w:szCs w:val="15"/>
          <w:color w:val="auto"/>
        </w:rPr>
        <w:t>®</w:t>
      </w:r>
      <w:r>
        <w:rPr>
          <w:rFonts w:ascii="Arial" w:cs="Arial" w:eastAsia="Arial" w:hAnsi="Arial"/>
          <w:sz w:val="18"/>
          <w:szCs w:val="18"/>
          <w:color w:val="auto"/>
        </w:rPr>
        <w:t xml:space="preserve"> (everolimus), an inhibitor of mammalian target of rapamycin, was the first drug approved in combination with hormone therapy, followed by the cyclin-dependent kinase 4 and 6, or CDK4/6, inhibitors, </w:t>
      </w:r>
      <w:r>
        <w:rPr>
          <w:rFonts w:ascii="Arial" w:cs="Arial" w:eastAsia="Arial" w:hAnsi="Arial"/>
          <w:sz w:val="18"/>
          <w:szCs w:val="18"/>
          <w:i w:val="1"/>
          <w:iCs w:val="1"/>
          <w:color w:val="auto"/>
        </w:rPr>
        <w:t>Ibrance</w:t>
      </w:r>
      <w:r>
        <w:rPr>
          <w:rFonts w:ascii="Arial" w:cs="Arial" w:eastAsia="Arial" w:hAnsi="Arial"/>
          <w:sz w:val="15"/>
          <w:szCs w:val="15"/>
          <w:color w:val="auto"/>
        </w:rPr>
        <w:t>®</w:t>
      </w:r>
      <w:r>
        <w:rPr>
          <w:rFonts w:ascii="Arial" w:cs="Arial" w:eastAsia="Arial" w:hAnsi="Arial"/>
          <w:sz w:val="18"/>
          <w:szCs w:val="18"/>
          <w:color w:val="auto"/>
        </w:rPr>
        <w:t xml:space="preserve"> (palbociclib), </w:t>
      </w:r>
      <w:r>
        <w:rPr>
          <w:rFonts w:ascii="Arial" w:cs="Arial" w:eastAsia="Arial" w:hAnsi="Arial"/>
          <w:sz w:val="18"/>
          <w:szCs w:val="18"/>
          <w:i w:val="1"/>
          <w:iCs w:val="1"/>
          <w:color w:val="auto"/>
        </w:rPr>
        <w:t>Kisqali</w:t>
      </w:r>
      <w:r>
        <w:rPr>
          <w:rFonts w:ascii="Arial" w:cs="Arial" w:eastAsia="Arial" w:hAnsi="Arial"/>
          <w:sz w:val="15"/>
          <w:szCs w:val="15"/>
          <w:color w:val="auto"/>
        </w:rPr>
        <w:t>®</w:t>
      </w:r>
      <w:r>
        <w:rPr>
          <w:rFonts w:ascii="Arial" w:cs="Arial" w:eastAsia="Arial" w:hAnsi="Arial"/>
          <w:sz w:val="18"/>
          <w:szCs w:val="18"/>
          <w:color w:val="auto"/>
        </w:rPr>
        <w:t xml:space="preserve"> (ribociclib) and </w:t>
      </w:r>
      <w:r>
        <w:rPr>
          <w:rFonts w:ascii="Arial" w:cs="Arial" w:eastAsia="Arial" w:hAnsi="Arial"/>
          <w:sz w:val="18"/>
          <w:szCs w:val="18"/>
          <w:i w:val="1"/>
          <w:iCs w:val="1"/>
          <w:color w:val="auto"/>
        </w:rPr>
        <w:t>Verzenio</w:t>
      </w:r>
      <w:r>
        <w:rPr>
          <w:rFonts w:ascii="Arial" w:cs="Arial" w:eastAsia="Arial" w:hAnsi="Arial"/>
          <w:sz w:val="15"/>
          <w:szCs w:val="15"/>
          <w:i w:val="1"/>
          <w:iCs w:val="1"/>
          <w:color w:val="auto"/>
        </w:rPr>
        <w:t>®</w:t>
      </w:r>
      <w:r>
        <w:rPr>
          <w:rFonts w:ascii="Arial" w:cs="Arial" w:eastAsia="Arial" w:hAnsi="Arial"/>
          <w:sz w:val="18"/>
          <w:szCs w:val="18"/>
          <w:color w:val="auto"/>
        </w:rPr>
        <w:t xml:space="preserve"> (abemaciclib). More recently </w:t>
      </w:r>
      <w:r>
        <w:rPr>
          <w:rFonts w:ascii="Arial" w:cs="Arial" w:eastAsia="Arial" w:hAnsi="Arial"/>
          <w:sz w:val="18"/>
          <w:szCs w:val="18"/>
          <w:i w:val="1"/>
          <w:iCs w:val="1"/>
          <w:color w:val="auto"/>
        </w:rPr>
        <w:t>Piqray</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(alpelisib), an inhibitor of the alpha isoform phosphatidylinositol-3-kinase, became the first agent approved for use in a specific subpopulation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HR+ HER2- mBC, patients with PI3Kalpha mutations, which represent 20 to 40% of the HR+ HER2- mBC population. Notably, all agents have been approved based on their ability to prolong the time to disease progression versus treatment with hormone therapy alone, though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and </w:t>
      </w:r>
      <w:r>
        <w:rPr>
          <w:rFonts w:ascii="Arial" w:cs="Arial" w:eastAsia="Arial" w:hAnsi="Arial"/>
          <w:sz w:val="18"/>
          <w:szCs w:val="18"/>
          <w:i w:val="1"/>
          <w:iCs w:val="1"/>
          <w:color w:val="auto"/>
        </w:rPr>
        <w:t>Verzenio</w:t>
      </w:r>
      <w:r>
        <w:rPr>
          <w:rFonts w:ascii="Arial" w:cs="Arial" w:eastAsia="Arial" w:hAnsi="Arial"/>
          <w:sz w:val="18"/>
          <w:szCs w:val="18"/>
          <w:color w:val="auto"/>
        </w:rPr>
        <w:t xml:space="preserve"> also showed a survival benefit in treated patients. Based on the significant PFS and OS benefit observed in combination with endocrine therapy, CDK4/6 inhibitors have become a mainstay in the front-line treatment of advanced HR+, HER2- mBC, while Afinitor is more likely to be reserved for second-line treatment or later.</w:t>
      </w:r>
    </w:p>
    <w:p>
      <w:pPr>
        <w:spacing w:after="0" w:line="19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While the treatment of advanced HR+ breast cancer is evolving given the introduction of multiple combination therapies</w:t>
      </w:r>
      <w:r>
        <w:rPr>
          <w:rFonts w:ascii="Arial" w:cs="Arial" w:eastAsia="Arial" w:hAnsi="Arial"/>
          <w:sz w:val="16"/>
          <w:szCs w:val="16"/>
          <w:i w:val="1"/>
          <w:iCs w:val="1"/>
          <w:color w:val="auto"/>
        </w:rPr>
        <w:t>,</w:t>
      </w:r>
      <w:r>
        <w:rPr>
          <w:rFonts w:ascii="Arial" w:cs="Arial" w:eastAsia="Arial" w:hAnsi="Arial"/>
          <w:sz w:val="16"/>
          <w:szCs w:val="16"/>
          <w:color w:val="auto"/>
        </w:rPr>
        <w:t xml:space="preserve"> we believe physicians will welcome the introduction of a well-tolerated therapy that improves survival, which has not been demonstrated to date for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or </w:t>
      </w:r>
      <w:r>
        <w:rPr>
          <w:rFonts w:ascii="Arial" w:cs="Arial" w:eastAsia="Arial" w:hAnsi="Arial"/>
          <w:sz w:val="16"/>
          <w:szCs w:val="16"/>
          <w:i w:val="1"/>
          <w:iCs w:val="1"/>
          <w:color w:val="auto"/>
        </w:rPr>
        <w:t>Piqray</w:t>
      </w:r>
      <w:r>
        <w:rPr>
          <w:rFonts w:ascii="Arial" w:cs="Arial" w:eastAsia="Arial" w:hAnsi="Arial"/>
          <w:sz w:val="16"/>
          <w:szCs w:val="16"/>
          <w:color w:val="auto"/>
        </w:rPr>
        <w:t>. We believe current data suggests that entinostat could demonstrate an improvement in OS combined with favorable benefit-risk profile and could become a preferred treatment option for patients with advanced HR+ breast cancer who have stopped responding to their first line endocrine-based regimen.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with Immune Checkpoint Inhibitors in NSCLC, Melanoma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NSCLC</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Lung cancer is the leading cause of cancer death among men and women, with more people dying of lung cancer each year than of colon, breast and prostate cancers combined. According to the American Cancer Society, approximately 84% of lung cancers are NSCLC, with an estimated 228,820 new cases of lung cancer and 135,720 deaths from lung cancer expected in the United States in 2020. The five-year survival rate for patients with non-small cell lung cancer is 24% and for patients with Stage IV is approximately 6%, indicating a significant need for new therapies that can prolong OS.</w:t>
      </w:r>
    </w:p>
    <w:p>
      <w:pPr>
        <w:spacing w:after="0" w:line="154"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Advanced/metastatic NSCLC is a severe disease with a poor prognosis in the majority of patients. Treatment typically has included a first-line combination chemotherapy followed by a choice of a second-line therapeutic approaches. Though the availability of immune checkpoint inhibitors has brought a significant advancement for NSCLC patients, most patients may still see their disease progress and the proportion of treated patients with low PD-L1 expression who respond to approved regimens is quite low (approximately 10%). We believe with these disease-progressing patients and low response rates, there is significant room to improve upon the benefit of PD-L1 inhibitors through combinations with drugs, like entinostat, that target immune modulation through complementary mechanisms.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Melanoma</w:t>
      </w:r>
    </w:p>
    <w:p>
      <w:pPr>
        <w:spacing w:after="0" w:line="117" w:lineRule="exact"/>
        <w:rPr>
          <w:sz w:val="20"/>
          <w:szCs w:val="20"/>
          <w:color w:val="auto"/>
        </w:rPr>
      </w:pPr>
    </w:p>
    <w:p>
      <w:pPr>
        <w:jc w:val="both"/>
        <w:ind w:right="440" w:firstLine="598"/>
        <w:spacing w:after="0" w:line="264" w:lineRule="auto"/>
        <w:rPr>
          <w:sz w:val="20"/>
          <w:szCs w:val="20"/>
          <w:color w:val="auto"/>
        </w:rPr>
      </w:pPr>
      <w:r>
        <w:rPr>
          <w:rFonts w:ascii="Arial" w:cs="Arial" w:eastAsia="Arial" w:hAnsi="Arial"/>
          <w:sz w:val="18"/>
          <w:szCs w:val="18"/>
          <w:color w:val="auto"/>
        </w:rPr>
        <w:t>The incidence of malignant melanoma in most developed countries has risen faster than any other cancer type since the mid-1950s. In 2011, the average survival duration for patients with Stage IV melanoma, in which the melanoma has metastasized, was only six to ten months; and the five-year survival rate for such patients was 16%.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 w:name="page11"/>
    <w:bookmarkEnd w:id="10"/>
    <w:p>
      <w:pPr>
        <w:ind w:right="340"/>
        <w:spacing w:after="0" w:line="264" w:lineRule="auto"/>
        <w:rPr>
          <w:sz w:val="20"/>
          <w:szCs w:val="20"/>
          <w:color w:val="auto"/>
        </w:rPr>
      </w:pPr>
      <w:r>
        <w:rPr>
          <w:rFonts w:ascii="Arial" w:cs="Arial" w:eastAsia="Arial" w:hAnsi="Arial"/>
          <w:sz w:val="18"/>
          <w:szCs w:val="18"/>
          <w:color w:val="auto"/>
        </w:rPr>
        <w:t xml:space="preserve">Although this rate had not changed in some time, a major advance for melanoma came with the development and approval of drugs such as </w:t>
      </w:r>
      <w:r>
        <w:rPr>
          <w:rFonts w:ascii="Arial" w:cs="Arial" w:eastAsia="Arial" w:hAnsi="Arial"/>
          <w:sz w:val="18"/>
          <w:szCs w:val="18"/>
          <w:i w:val="1"/>
          <w:iCs w:val="1"/>
          <w:color w:val="auto"/>
        </w:rPr>
        <w:t>Zelboraf</w:t>
      </w:r>
      <w:r>
        <w:rPr>
          <w:rFonts w:ascii="Arial" w:cs="Arial" w:eastAsia="Arial" w:hAnsi="Arial"/>
          <w:sz w:val="15"/>
          <w:szCs w:val="15"/>
          <w:i w:val="1"/>
          <w:iCs w:val="1"/>
          <w:color w:val="auto"/>
        </w:rPr>
        <w:t>®</w:t>
      </w:r>
      <w:r>
        <w:rPr>
          <w:rFonts w:ascii="Arial" w:cs="Arial" w:eastAsia="Arial" w:hAnsi="Arial"/>
          <w:sz w:val="18"/>
          <w:szCs w:val="18"/>
          <w:color w:val="auto"/>
        </w:rPr>
        <w:t xml:space="preserve"> (vemurafenib), </w:t>
      </w:r>
      <w:r>
        <w:rPr>
          <w:rFonts w:ascii="Arial" w:cs="Arial" w:eastAsia="Arial" w:hAnsi="Arial"/>
          <w:sz w:val="18"/>
          <w:szCs w:val="18"/>
          <w:i w:val="1"/>
          <w:iCs w:val="1"/>
          <w:color w:val="auto"/>
        </w:rPr>
        <w:t>Tafinlar</w:t>
      </w:r>
      <w:r>
        <w:rPr>
          <w:rFonts w:ascii="Arial" w:cs="Arial" w:eastAsia="Arial" w:hAnsi="Arial"/>
          <w:sz w:val="15"/>
          <w:szCs w:val="15"/>
          <w:i w:val="1"/>
          <w:iCs w:val="1"/>
          <w:color w:val="auto"/>
        </w:rPr>
        <w:t>®</w:t>
      </w:r>
      <w:r>
        <w:rPr>
          <w:rFonts w:ascii="Arial" w:cs="Arial" w:eastAsia="Arial" w:hAnsi="Arial"/>
          <w:sz w:val="18"/>
          <w:szCs w:val="18"/>
          <w:color w:val="auto"/>
        </w:rPr>
        <w:t xml:space="preserve"> (dabrafenib) and </w:t>
      </w:r>
      <w:r>
        <w:rPr>
          <w:rFonts w:ascii="Arial" w:cs="Arial" w:eastAsia="Arial" w:hAnsi="Arial"/>
          <w:sz w:val="18"/>
          <w:szCs w:val="18"/>
          <w:i w:val="1"/>
          <w:iCs w:val="1"/>
          <w:color w:val="auto"/>
        </w:rPr>
        <w:t>Mekinist</w:t>
      </w:r>
      <w:r>
        <w:rPr>
          <w:rFonts w:ascii="Arial" w:cs="Arial" w:eastAsia="Arial" w:hAnsi="Arial"/>
          <w:sz w:val="15"/>
          <w:szCs w:val="15"/>
          <w:i w:val="1"/>
          <w:iCs w:val="1"/>
          <w:color w:val="auto"/>
        </w:rPr>
        <w:t>®</w:t>
      </w:r>
      <w:r>
        <w:rPr>
          <w:rFonts w:ascii="Arial" w:cs="Arial" w:eastAsia="Arial" w:hAnsi="Arial"/>
          <w:sz w:val="18"/>
          <w:szCs w:val="18"/>
          <w:color w:val="auto"/>
        </w:rPr>
        <w:t xml:space="preserve"> (trametinib), </w:t>
      </w:r>
      <w:r>
        <w:rPr>
          <w:rFonts w:ascii="Arial" w:cs="Arial" w:eastAsia="Arial" w:hAnsi="Arial"/>
          <w:sz w:val="18"/>
          <w:szCs w:val="18"/>
          <w:i w:val="1"/>
          <w:iCs w:val="1"/>
          <w:color w:val="auto"/>
        </w:rPr>
        <w:t>Braftovi</w:t>
      </w:r>
      <w:r>
        <w:rPr>
          <w:rFonts w:ascii="Arial" w:cs="Arial" w:eastAsia="Arial" w:hAnsi="Arial"/>
          <w:sz w:val="15"/>
          <w:szCs w:val="15"/>
          <w:i w:val="1"/>
          <w:iCs w:val="1"/>
          <w:color w:val="auto"/>
        </w:rPr>
        <w:t>®</w:t>
      </w:r>
      <w:r>
        <w:rPr>
          <w:rFonts w:ascii="Arial" w:cs="Arial" w:eastAsia="Arial" w:hAnsi="Arial"/>
          <w:sz w:val="18"/>
          <w:szCs w:val="18"/>
          <w:color w:val="auto"/>
        </w:rPr>
        <w:t xml:space="preserve"> (encorafenib) and </w:t>
      </w:r>
      <w:r>
        <w:rPr>
          <w:rFonts w:ascii="Arial" w:cs="Arial" w:eastAsia="Arial" w:hAnsi="Arial"/>
          <w:sz w:val="18"/>
          <w:szCs w:val="18"/>
          <w:i w:val="1"/>
          <w:iCs w:val="1"/>
          <w:color w:val="auto"/>
        </w:rPr>
        <w:t>Mektovi</w:t>
      </w:r>
      <w:r>
        <w:rPr>
          <w:rFonts w:ascii="Arial" w:cs="Arial" w:eastAsia="Arial" w:hAnsi="Arial"/>
          <w:sz w:val="15"/>
          <w:szCs w:val="15"/>
          <w:i w:val="1"/>
          <w:iCs w:val="1"/>
          <w:color w:val="auto"/>
        </w:rPr>
        <w:t>®</w:t>
      </w:r>
      <w:r>
        <w:rPr>
          <w:rFonts w:ascii="Arial" w:cs="Arial" w:eastAsia="Arial" w:hAnsi="Arial"/>
          <w:sz w:val="18"/>
          <w:szCs w:val="18"/>
          <w:color w:val="auto"/>
        </w:rPr>
        <w:t xml:space="preserve"> (binimetinib) for patients with a mutated BRAF gene, which is a human gene that encodes a protein called B Raf.</w:t>
      </w:r>
    </w:p>
    <w:p>
      <w:pPr>
        <w:spacing w:after="0" w:line="18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 xml:space="preserve">Melanoma is a particularly immune-responsive tumor, and thus, immunotherapy of melanoma has developed as a dynamic field for clinical research. To date, immunotherapies such as </w:t>
      </w:r>
      <w:r>
        <w:rPr>
          <w:rFonts w:ascii="Arial" w:cs="Arial" w:eastAsia="Arial" w:hAnsi="Arial"/>
          <w:sz w:val="18"/>
          <w:szCs w:val="18"/>
          <w:i w:val="1"/>
          <w:iCs w:val="1"/>
          <w:color w:val="auto"/>
        </w:rPr>
        <w:t>Yervoy</w:t>
      </w:r>
      <w:r>
        <w:rPr>
          <w:rFonts w:ascii="Arial" w:cs="Arial" w:eastAsia="Arial" w:hAnsi="Arial"/>
          <w:sz w:val="15"/>
          <w:szCs w:val="15"/>
          <w:color w:val="auto"/>
        </w:rPr>
        <w:t>®</w:t>
      </w:r>
      <w:r>
        <w:rPr>
          <w:rFonts w:ascii="Arial" w:cs="Arial" w:eastAsia="Arial" w:hAnsi="Arial"/>
          <w:sz w:val="18"/>
          <w:szCs w:val="18"/>
          <w:color w:val="auto"/>
        </w:rPr>
        <w:t xml:space="preserve"> (ipilmumab),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w:t>
      </w:r>
      <w:r>
        <w:rPr>
          <w:rFonts w:ascii="Arial" w:cs="Arial" w:eastAsia="Arial" w:hAnsi="Arial"/>
          <w:sz w:val="18"/>
          <w:szCs w:val="18"/>
          <w:i w:val="1"/>
          <w:iCs w:val="1"/>
          <w:color w:val="auto"/>
        </w:rPr>
        <w:t>Opdivo</w:t>
      </w:r>
      <w:r>
        <w:rPr>
          <w:rFonts w:ascii="Arial" w:cs="Arial" w:eastAsia="Arial" w:hAnsi="Arial"/>
          <w:sz w:val="15"/>
          <w:szCs w:val="15"/>
          <w:color w:val="auto"/>
        </w:rPr>
        <w:t>®</w:t>
      </w:r>
      <w:r>
        <w:rPr>
          <w:rFonts w:ascii="Arial" w:cs="Arial" w:eastAsia="Arial" w:hAnsi="Arial"/>
          <w:sz w:val="18"/>
          <w:szCs w:val="18"/>
          <w:color w:val="auto"/>
        </w:rPr>
        <w:t xml:space="preserve"> (nivolumab), have been approved for the treatment of malignant melanoma patients with unresectable or metastatic disease. However, in this tumor type as well, the immunotherapies represent a significant advance for only a small proportion of patients, leaving significant room to improve upon the benefit of immune checkpoint inhibitors through combinations with drugs, like entinostat, that target immune modulation through a complementary mechanism.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MLLr</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MLLr leukemias arise by rare, spontaneous translocations at the MLL1 locus (11q23). It is estimated that approximately 10% of AML and ALL harbor this MLL-re-arrangement with a worldwide incidence of approximately 5,000 to 7,000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targeted strategy for the treatment of MLLr leukemias.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Nucleophosmin 1 Mutant AML</w:t>
      </w:r>
    </w:p>
    <w:p>
      <w:pPr>
        <w:spacing w:after="0" w:line="117"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NPM1 is among the most frequently mutated genes in AML, found in approximately 30% of AML cases for an incidence of approximately 20,000 cases per year. Mutations in NPM1 lead to the aberrant cytoplasmic localization of the mutants, termed NPM1c. Loss of NPM1c from the nucleus leads to suppression of differentiation and enables a leukemic transcription program that relies critically on the menin-MLL1 complex to drive and maintain the program. As a result, NPM1c harboring cells are sensitive to menin-MLL interaction inhibitors. In NPM1c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NPM1c xenografts. Based on these findings, blocking the menin-MLL1 interaction represents a novel targeted strategy for the treatment of NPM1c AML.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 in GVHD</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cGVHD, an immune response of the donor-derived hematopoietic cells against recipient tissues, is a serious, potentially life-threatening complication of allogeneic hematopoietic stem cell transplantation, or HSCT, that can last for years. cGVHD is estimated to develop in approximately 40% of transplant recipients and affects approximately 14,000 patients in the United States. cGVHD typically manifests across multiple organ systems, with the skin and mucosa being commonly involved, and is characterized by the development of fibrotic tissue</w:t>
      </w:r>
    </w:p>
    <w:p>
      <w:pPr>
        <w:spacing w:after="0" w:line="18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 xml:space="preserve">The first line of therapy for cGVHD is typically corticosteroids, though approximately 50% of patients may require treatment with additional systemic therapies, such as extracorporeal photopheresis, cytostatic agents such as mycophenolate moftetil, methotrexate, and immunmodulators such as rituximab, IL-2. </w:t>
      </w:r>
      <w:r>
        <w:rPr>
          <w:rFonts w:ascii="Arial" w:cs="Arial" w:eastAsia="Arial" w:hAnsi="Arial"/>
          <w:sz w:val="18"/>
          <w:szCs w:val="18"/>
          <w:i w:val="1"/>
          <w:iCs w:val="1"/>
          <w:color w:val="auto"/>
        </w:rPr>
        <w:t>Imbruvica</w:t>
      </w:r>
      <w:r>
        <w:rPr>
          <w:rFonts w:ascii="Arial" w:cs="Arial" w:eastAsia="Arial" w:hAnsi="Arial"/>
          <w:sz w:val="18"/>
          <w:szCs w:val="18"/>
          <w:color w:val="auto"/>
        </w:rPr>
        <w:t xml:space="preserve">® (ibrutinib), a BTK inhibitor, is the only FDA-approved therapy for cGVHD and is indicated for use after one or more lines of therapy. </w:t>
      </w:r>
      <w:r>
        <w:rPr>
          <w:rFonts w:ascii="Arial" w:cs="Arial" w:eastAsia="Arial" w:hAnsi="Arial"/>
          <w:sz w:val="18"/>
          <w:szCs w:val="18"/>
          <w:i w:val="1"/>
          <w:iCs w:val="1"/>
          <w:color w:val="auto"/>
        </w:rPr>
        <w:t>Imbruvica</w:t>
      </w:r>
      <w:r>
        <w:rPr>
          <w:rFonts w:ascii="Arial" w:cs="Arial" w:eastAsia="Arial" w:hAnsi="Arial"/>
          <w:sz w:val="18"/>
          <w:szCs w:val="18"/>
          <w:color w:val="auto"/>
        </w:rPr>
        <w:t xml:space="preserve"> received approval based on Phase 1/2 clinical trial data that showed a 68% overall response rate, with 48% of responses lasting 20 weeks or longer and reduced dependence on steroids for most patients. KD-025 and Ruxolitinib are currently in registration-directed clinical trials for patients with steroid refractory cGVHD,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results expected in 2020. Still, a significant unmet need remains for these patients as no agent has demonstrated an improvement in long-term outcomes.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Collaborations in Immuno-Oncology</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have entered into several clinical collaborations in immuno-oncology, as we have further described below. To the extent that any inventions arise from such a collaboration, each party will solely own inventions relating to its drug alone, and the parties will jointly own any inventions relating to the combination of the two drugs. In most cases, clinical data from the trial will be jointly owned. In general, either party may terminate the applicable collaboration agreement for the other party’s uncured material breach. In addition, either party may terminate the applicable agreement if it determines that the trial may unreasonably affect patient safety, or if a regulatory authority withdraws the approval to conduct a trial or takes an action that prevent such party from supplying its drug, or if the other party or its employees are sanctioned under certain healthcare-related laws, or if such party decides to discontinue development of its drug.</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Merck—MSD International GmbH</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 xml:space="preserve">In March 2015, we entered into a clinical trial collaboration and supply agreement with MSD International GmbH, an affiliate of Merck, under which we conducted a clinical trial evaluating entinostat in combination with Merck’s drug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in patients with NSCLC and melanoma. We were the sponsor of the clinical trial and Merck supplied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for use in the clinical trial. Neither party will have any obligation to reimburse any costs incurred by the other party, except that a party may be required to reimburse the manufacturing costs of the other party upon certain early termination events. We remain interested in potentially conducting further studies in NSCLC and melanoma.</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 xml:space="preserve">In August 2015, we entered into a combination study collaboration agreement with Genentech under which we conducted a clinical trial evaluating entinostat in combination with Genentech’s drug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patients with TNBC. In March 2019, we announced that this trial did not meet its primary endpoint of statistically significant improvement in PFS for the combination regimen versus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monotherapy.</w:t>
      </w:r>
    </w:p>
    <w:p>
      <w:pPr>
        <w:spacing w:after="0" w:line="18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In January 2018, we entered into a combination study collaboration agreement with Genentech under which Genentech will conduct a clinical trial evaluating entinostat in combination with Genentech’s drug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patients with HR+, HER2-, metastatic breast cancer. Genentech is the sponsor of the clinical trial. We are supplying entinostat for use in the clinical trial. Each party will perform its obligations under the agreement at its own expense, including its internal costs.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Merck KGaA and Pfizer</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 xml:space="preserve">In December 2015, we entered into a clinical trial collaboration and supply agreement with Merck KGaA and Pfizer under which we conducted a clinical trial evaluating entinostat in combination with an investigational monoclonal antibody, </w:t>
      </w:r>
      <w:r>
        <w:rPr>
          <w:rFonts w:ascii="Arial" w:cs="Arial" w:eastAsia="Arial" w:hAnsi="Arial"/>
          <w:sz w:val="18"/>
          <w:szCs w:val="18"/>
          <w:i w:val="1"/>
          <w:iCs w:val="1"/>
          <w:color w:val="auto"/>
        </w:rPr>
        <w:t>Bavencio</w:t>
      </w:r>
      <w:r>
        <w:rPr>
          <w:rFonts w:ascii="Arial" w:cs="Arial" w:eastAsia="Arial" w:hAnsi="Arial"/>
          <w:sz w:val="18"/>
          <w:szCs w:val="18"/>
          <w:color w:val="auto"/>
        </w:rPr>
        <w:t xml:space="preserve">, in patients with ovarian cancer. In March 2019, we announced that this did not meet its primary endpoint of a statistically significant improvement in PFS for the combination regimen compared with </w:t>
      </w:r>
      <w:r>
        <w:rPr>
          <w:rFonts w:ascii="Arial" w:cs="Arial" w:eastAsia="Arial" w:hAnsi="Arial"/>
          <w:sz w:val="18"/>
          <w:szCs w:val="18"/>
          <w:i w:val="1"/>
          <w:iCs w:val="1"/>
          <w:color w:val="auto"/>
        </w:rPr>
        <w:t>Bavencio</w:t>
      </w:r>
      <w:r>
        <w:rPr>
          <w:rFonts w:ascii="Arial" w:cs="Arial" w:eastAsia="Arial" w:hAnsi="Arial"/>
          <w:sz w:val="18"/>
          <w:szCs w:val="18"/>
          <w:color w:val="auto"/>
        </w:rPr>
        <w:t xml:space="preserve"> monotherapy.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w:t>
      </w:r>
    </w:p>
    <w:p>
      <w:pPr>
        <w:spacing w:after="0" w:line="117"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Our collaboration with the NCI is governed by a CRADA between us and the NCI. The CRADA was originally signed by Mitsui Pharmaceuticals, Inc., or Mitsui, and was then assigned to Schering AG following Schering AG’s acquisition of Mitsui. In 2007, Schering AG, then known as Bayer Schering Pharma AG), agreed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color w:val="auto"/>
        </w:rPr>
        <w:t>assign the CRADA to us in connection with the execution of a license, development and commercialization agreement, or the Bayer license agreement, with Bayer.</w:t>
      </w:r>
    </w:p>
    <w:p>
      <w:pPr>
        <w:spacing w:after="0" w:line="170"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5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88" w:lineRule="exact"/>
        <w:rPr>
          <w:sz w:val="20"/>
          <w:szCs w:val="20"/>
          <w:color w:val="auto"/>
        </w:rPr>
      </w:pPr>
    </w:p>
    <w:p>
      <w:pPr>
        <w:ind w:right="300" w:firstLine="598"/>
        <w:spacing w:after="0" w:line="308" w:lineRule="auto"/>
        <w:rPr>
          <w:sz w:val="20"/>
          <w:szCs w:val="20"/>
          <w:color w:val="auto"/>
        </w:rPr>
      </w:pPr>
      <w:r>
        <w:rPr>
          <w:rFonts w:ascii="Arial" w:cs="Arial" w:eastAsia="Arial" w:hAnsi="Arial"/>
          <w:sz w:val="17"/>
          <w:szCs w:val="17"/>
          <w:color w:val="auto"/>
        </w:rPr>
        <w:t>Either party may terminate the CRADA either by mutual consent or unilaterally upon advance written notice to the other party. Absent such early termination, the CRADA will expire on May 21, 2023. As we have in the past, we expect to renew the CRADA at that time.</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 Agreement with Eastern Cooperative Oncology Group</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March 2014, we entered into a clinical trial agreement with Eastern Cooperative Oncology Group, a contracting entity for ECOG-ACRIN,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describes the parties’ obligations with respect to the NCI-sponsored pivotal Phase 3 clinical trial of entinostat. Under the terms of the clinical trial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ECOG-ACRIN is performing this clinical trial in accordance with the clinical trial protocol and a mutually agreed scope of work. In January 2015,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the agreement to provide for additional patient site reimbursement funds, which will be paid based on milestone-based payments. We will provide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level of financial support for the clinical trial through an upfront payment of $0.7 million and a series of time- and milestone-based payments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each that are comprised of milestone payments through the completion of enrollment and time-based payments through the completion of patient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monitoring post-enrollment. In addition, we are obligated to supply entinostat and placebo to ECOG-ACRIN for use in the clinical trial. From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2016 through the fourth quarter of 2018, we have entered into a number of amendments to the agreement to provide for additional study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resulting in an increase of the contractual obligation of $5.1 million. We have agreed to provide this additional financial support to fund the additional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required to ensure that the E2112 clinical trial will satisfy FDA registration requirements. As of December 31, 2018, our aggregate payment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this agreement are approximately $24.5 million; and our remaining obligations under this agreement were $9.6 million over an estimated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of approximately three years.</w:t>
      </w:r>
    </w:p>
    <w:p>
      <w:pPr>
        <w:spacing w:after="0" w:line="21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ECOG-ACRIN owns data and inventions from the Phase 3 clinical trial.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8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 and SNDX-6352</w:t>
      </w:r>
    </w:p>
    <w:p>
      <w:pPr>
        <w:spacing w:after="0" w:line="117"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In September 2016, we entered into a collaboration with the NCI related to both entinostat and SNDX-6352 is governed by a CRADA between us and the NCI. Under the CRADA, the NCI sponsors clinical studies on entinostat and SNDX-6352 using researchers at the NCI as well as NCI-funded researchers at other institutions. In return, we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3" w:name="page14"/>
    <w:bookmarkEnd w:id="13"/>
    <w:p>
      <w:pPr>
        <w:jc w:val="both"/>
        <w:ind w:right="220"/>
        <w:spacing w:after="0" w:line="264" w:lineRule="auto"/>
        <w:rPr>
          <w:sz w:val="20"/>
          <w:szCs w:val="20"/>
          <w:color w:val="auto"/>
        </w:rPr>
      </w:pPr>
      <w:r>
        <w:rPr>
          <w:rFonts w:ascii="Arial" w:cs="Arial" w:eastAsia="Arial" w:hAnsi="Arial"/>
          <w:sz w:val="18"/>
          <w:szCs w:val="18"/>
          <w:color w:val="auto"/>
        </w:rPr>
        <w:t>receive access to the data generated in these clinical studies, and we are obligated to supply the clinical trial sites with sufficient quantities of entinostat and SNDX-6352. Additionally, we are required to make an annual payment to a particular NCI laboratory to help support certain research studies related to this and other clinical trial. We have no other payment obligations under the CRADA.</w:t>
      </w:r>
    </w:p>
    <w:p>
      <w:pPr>
        <w:spacing w:after="0" w:line="18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own all intellectual property generated during the collaboration with the NCI, or 6352 Collaboration IP, to the extent that 6352 Collaboration IP is generated by our employees. We also have an exclusive option to obtain an exclusive or non-exclusive commercialization license under 6352 Collaboration IP generated by the NCI. With respect to any 6352 Collaboration IP that is owned by or licensed to us, we have agreed to grant the United States government a non-exclusive license to practice or have practiced this 6352 Collaboration IP throughout the world by or on behalf of the government for research or other government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w:t>
      </w:r>
    </w:p>
    <w:p>
      <w:pPr>
        <w:spacing w:after="0" w:line="117"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In December 2014, we entered into a license, development and commercialization agreement with Kyowa Kirin Co., Ltd., or KKC, under which we granted KKC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I HDAC, such drug will be included in this license as well. We will manufacture and supply entinostat to KKC during the term of the agreement, and such obligation may continue for a longer period if KKC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I HDACs for the same indication as entinostat, with all forms of cancer being treated as the same indication.</w:t>
      </w:r>
    </w:p>
    <w:p>
      <w:pPr>
        <w:spacing w:after="0" w:line="167"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received an upfront license fee of $17.5 million, and KKC purchased 536,049 shares of our Series B-1 Preferred Stock for an aggregate price of approximately $7.5 million. We are eligible to receive up to $50.0 million in development and regulatory milestone payments and up to $25.0 million in sales milestone payments. In October 2017, we announced that KKC dosed the first patient in a randomized, double-blind, placebo-controlled, pivotal Phase 2 trial of entinostat (designated KHK2375 by KKC), in combination with exemestane versus exemestane plus placebo in Japanese patients with advanced or recurrent HR+, HER2- breast cancer. Enrollment of the first patient in this trial triggered a $5 million milestone payment to us from KKC.</w:t>
      </w:r>
    </w:p>
    <w:p>
      <w:pPr>
        <w:spacing w:after="0" w:line="158" w:lineRule="exact"/>
        <w:rPr>
          <w:sz w:val="20"/>
          <w:szCs w:val="20"/>
          <w:color w:val="auto"/>
        </w:rPr>
      </w:pPr>
    </w:p>
    <w:p>
      <w:pPr>
        <w:ind w:right="220" w:firstLine="598"/>
        <w:spacing w:after="0" w:line="276" w:lineRule="auto"/>
        <w:rPr>
          <w:sz w:val="20"/>
          <w:szCs w:val="20"/>
          <w:color w:val="auto"/>
        </w:rPr>
      </w:pPr>
      <w:r>
        <w:rPr>
          <w:rFonts w:ascii="Arial" w:cs="Arial" w:eastAsia="Arial" w:hAnsi="Arial"/>
          <w:sz w:val="17"/>
          <w:szCs w:val="17"/>
          <w:color w:val="auto"/>
        </w:rPr>
        <w:t>KKC will pay us a transfer price for the supply of entinostat as well as royalties on net sales of entinostat above a specified threshold each calendar year by KKC, its affiliates and sublicensees in the low single digits. Royalty payment obligations will be payable in each country in the KKC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KKC development and commercialization of entinostat in the KKC territory will be made by us out of the payments we receive from KKC.</w:t>
      </w:r>
    </w:p>
    <w:p>
      <w:pPr>
        <w:spacing w:after="0" w:line="17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The agreement with KKC will expire with respect to each country in the KKC territory upon the expiration of all royalty payment obligations in such country. In addition, we may terminate the agreement in its entirety upon written notice to KKC if KKC or any affiliate commences any action or proceeding that challenges the validity, enforceability or scope of any licensed patent in the KKC territory. KKC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KKC may, instead of terminating the agreement, elect to continue the agreement in full force and effect except certain payments to us will be reduced.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are creating a commercial infrastructure to support sales of our product candidates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We do not own or operate manufacturing facilities for the production of entinostat, SNDX-6352 or SNDX-5613,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long-term agreements with any of these third parties. We also do not have any current contractual relationship for the manufacture of commercial supplies. If entinostat, SNDX-6352 or SNDX-5613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88"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strive to protect entinostat with multiple layers of patents. As of December 31, 2019, our portfolio included one owned U.S. provisional patent application, five owned pending U.S. non-provisional patent applications, one owned allowed U.S. patent, five granted non-U.S. patents (including one Canadian patent jointly owned with The Regents of the University of Colorado), and 71 owned non-U.S. pending patent applications (including one pending international patent application under the Patent Cooperation Treaty, or PCT). Also, we have filed national phase applications in the Eurasia Regional Patent Office, Ukraine and Georgia based on our owned PCT application directed to treatment of selected breast cancer patients with a combination of entinostat and exemestane. We have assigned our rights to the application we filed in the Eurasia Regional Patent Office to Domain Russia Investments Limited, or DRI. We have also assigned our rights to the applications we filed in Ukraine and Georgia to NovaMedica LLC, or NovaMedica. We have also filed national phase applications based on our owned PCT application directed to treatment of selected breast cancer patients with the combination of entinostat and exemestane in the U.S. Patent and Trademark Office, or USPTO, the European Patent Office, or EPO,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t>China, India, Australia, Canada, Japan, South Korea, South Africa, Brazil and Mexico. Our owned entinostat patent portfolio includes pending U.S. and ex-U.S. patent applications directed to methods of treating cancer patients by administration of entinostat according to selected dosing regimens, methods of treating cancer patients by administration of entinostat in combination with an HER2 inhibitor, and treatments with entinostat combined with anti PD-1 or anti PD-L1 antibodies. Our owned pending PCT applications relate to entinostat and CSF-1 or CSF-1R combination therapies and patient selection for combination therapy comprising entinostat and a second therapeutic agent, respectively. If issued, patents based on our owned pending U.S. applications and non-U.S. filings based on our owned PCT applications would expire between April 2029 and May 2039.</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2019,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193"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9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Of the 62 foreign-granted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15 of the 17 pending foreign applications are counterparts of the ‘166 crystalline polymorph B patent. Other patents and patent applications in the licensed Bayer portfolio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expires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 Patent Portfolio</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We have also in-licensed from UCB a patent portfolio directed to SNDX-6352, an IND-ready anti-CSF-1R monoclonal antibody. As of December 31, 2019, the SNDX-6352 composition-of-matter patent portfolio included one granted U.S. non-provisional patent application, two allowed non-U.S. applications, four granted non-U.S. patents and 33 non-U.S. pending patent applications. If issued, patents based on the in-licensed pending U.S. application and non-U.S. applications covering SNDX-6352 would expire in August 2034. 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issued, patents based on these pending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right="100"/>
        <w:spacing w:after="0" w:line="259" w:lineRule="auto"/>
        <w:rPr>
          <w:sz w:val="20"/>
          <w:szCs w:val="20"/>
          <w:color w:val="auto"/>
        </w:rPr>
      </w:pPr>
      <w:r>
        <w:rPr>
          <w:rFonts w:ascii="Arial" w:cs="Arial" w:eastAsia="Arial" w:hAnsi="Arial"/>
          <w:sz w:val="18"/>
          <w:szCs w:val="18"/>
          <w:color w:val="auto"/>
        </w:rPr>
        <w:t>applications would expire between November 2024 and February 2036. Further, the in-licensed portfolio includes three non-U.S. patents directed to methods of treating solid tumors by administration of an inhibitor of CSF-1R activity. The three patents will expire in October 2020. Our owned SNDX-6352 patent portfolio consists of a U.S. provisional patent application directed to a method of use. If issued, patents based on this provisional application would expire in December 2040.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 Asset Patent Portfolio</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in-licensed from Vitae Pharmaceuticals, Inc., a subsidiary of Allergan, a patent portfolio directed to a series of selective preclinical inhibitors targeting the binding interaction of menin with MLL-r. As of December 31, 2019, the in-licensed portfolio included two pending U.S. applications and 28 non-U.S. pending patent applications covering composition of matter and methods of treating, e.g., MLL. If issued, patents based on the in-licensed applications would expire between June 2037 and September 2037.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70"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In-Licensed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Development and Commercialization Agreement with Bayer</w:t>
      </w:r>
    </w:p>
    <w:p>
      <w:pPr>
        <w:spacing w:after="0" w:line="11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5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connection with the execution of the Bayer license agreement, we paid Bayer an upfront license fee of $2.0 million. We are also obligated to pay up to approximately $50.0 million in the aggregate upon obtaining certain milestones in the development and marketing approval of entinostat, assuming that we pursue at least two different indications for entinostat or any other licensed product.</w:t>
      </w:r>
    </w:p>
    <w:p>
      <w:pPr>
        <w:spacing w:after="0" w:line="18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both"/>
        <w:ind w:right="20"/>
        <w:spacing w:after="0" w:line="264" w:lineRule="auto"/>
        <w:rPr>
          <w:sz w:val="20"/>
          <w:szCs w:val="20"/>
          <w:color w:val="auto"/>
        </w:rPr>
      </w:pPr>
      <w:r>
        <w:rPr>
          <w:rFonts w:ascii="Arial" w:cs="Arial" w:eastAsia="Arial" w:hAnsi="Arial"/>
          <w:sz w:val="18"/>
          <w:szCs w:val="18"/>
          <w:color w:val="auto"/>
        </w:rPr>
        <w:t>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8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UCB</w:t>
      </w:r>
    </w:p>
    <w:p>
      <w:pPr>
        <w:spacing w:after="0" w:line="117" w:lineRule="exact"/>
        <w:rPr>
          <w:sz w:val="20"/>
          <w:szCs w:val="20"/>
          <w:color w:val="auto"/>
        </w:rPr>
      </w:pPr>
    </w:p>
    <w:p>
      <w:pPr>
        <w:ind w:right="340" w:firstLine="598"/>
        <w:spacing w:after="0" w:line="257" w:lineRule="auto"/>
        <w:rPr>
          <w:sz w:val="20"/>
          <w:szCs w:val="20"/>
          <w:color w:val="auto"/>
        </w:rPr>
      </w:pPr>
      <w:r>
        <w:rPr>
          <w:rFonts w:ascii="Arial" w:cs="Arial" w:eastAsia="Arial" w:hAnsi="Arial"/>
          <w:sz w:val="18"/>
          <w:szCs w:val="18"/>
          <w:color w:val="auto"/>
        </w:rPr>
        <w:t>In July 2016, we entered into a license agreement with UCB, or the UCB license agreement, under which UCB granted us a worldwide, sublicenseable, exclusive license to UCB6352, which the Company refers to as SNDX-6352, an IND-ready anti-CSF-1R monoclonal antibody. The UCB license agreement permits us to use SNDX-6352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w:t>
      </w:r>
    </w:p>
    <w:p>
      <w:pPr>
        <w:spacing w:after="0" w:line="18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In consideration for the license grant, we made a nonrefundable upfront payment of $5.0 million to UCB in the third quarter of 2016. Additionally,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We are solely responsible for the development and commercialization of SNDX-6352, except that UCB is performing a limited set of transitional chemistry, manufacturing and control tasks related to SNDX-6352.</w:t>
      </w:r>
    </w:p>
    <w:p>
      <w:pPr>
        <w:spacing w:after="0" w:line="19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Vitae Pharmaceuticals, Inc.</w:t>
      </w:r>
    </w:p>
    <w:p>
      <w:pPr>
        <w:spacing w:after="0" w:line="117" w:lineRule="exact"/>
        <w:rPr>
          <w:sz w:val="20"/>
          <w:szCs w:val="20"/>
          <w:color w:val="auto"/>
        </w:rPr>
      </w:pPr>
    </w:p>
    <w:p>
      <w:pPr>
        <w:jc w:val="both"/>
        <w:ind w:right="80" w:firstLine="598"/>
        <w:spacing w:after="0" w:line="288" w:lineRule="auto"/>
        <w:rPr>
          <w:sz w:val="20"/>
          <w:szCs w:val="20"/>
          <w:color w:val="auto"/>
        </w:rPr>
      </w:pPr>
      <w:r>
        <w:rPr>
          <w:rFonts w:ascii="Arial" w:cs="Arial" w:eastAsia="Arial" w:hAnsi="Arial"/>
          <w:sz w:val="16"/>
          <w:szCs w:val="16"/>
          <w:color w:val="auto"/>
        </w:rPr>
        <w:t>In October 2017, we entered into a license agreement with Vitae Pharmaceuticals, Inc., a subsidiary of Allergan, or the Allergan License Agreement, under which Allergan granted us an exclusive, sublicenseable, worldwide license to, preclinical, orally-available, small molecule inhibitors of the interaction of menin with the MLL protein, or the Menin Assets. We made a nonrefundable upfront payment of $5.0 million to Allergan in the fourth quarter of</w:t>
      </w:r>
    </w:p>
    <w:p>
      <w:pPr>
        <w:ind w:right="80"/>
        <w:spacing w:after="0" w:line="253" w:lineRule="auto"/>
        <w:rPr>
          <w:sz w:val="20"/>
          <w:szCs w:val="20"/>
          <w:color w:val="auto"/>
        </w:rPr>
      </w:pPr>
      <w:r>
        <w:rPr>
          <w:rFonts w:ascii="Arial" w:cs="Arial" w:eastAsia="Arial" w:hAnsi="Arial"/>
          <w:sz w:val="18"/>
          <w:szCs w:val="18"/>
          <w:color w:val="auto"/>
        </w:rPr>
        <w:t>2017. Additionally, subject to the achievement of certain milestone events, we may be required to pay Allergan up to an aggregate of $99 million in one-time development and regulatory milestone payments over the term of the Allergan License Agreement. In the event that we or any of its affiliates or sublicensees commercializes the Menin Assets, we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we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may be required to share a percentage of non-royalty income from sublicensees, subject to certain deductions, with Allergan. We are solely responsible for the development and commercialization of the Menin Assets.</w:t>
      </w:r>
    </w:p>
    <w:p>
      <w:pPr>
        <w:spacing w:after="0" w:line="170" w:lineRule="exact"/>
        <w:rPr>
          <w:sz w:val="20"/>
          <w:szCs w:val="20"/>
          <w:color w:val="auto"/>
        </w:rPr>
      </w:pPr>
    </w:p>
    <w:p>
      <w:pPr>
        <w:jc w:val="both"/>
        <w:ind w:right="240" w:firstLine="598"/>
        <w:spacing w:after="0" w:line="286" w:lineRule="auto"/>
        <w:rPr>
          <w:sz w:val="20"/>
          <w:szCs w:val="20"/>
          <w:color w:val="auto"/>
        </w:rPr>
      </w:pPr>
      <w:r>
        <w:rPr>
          <w:rFonts w:ascii="Arial" w:cs="Arial" w:eastAsia="Arial" w:hAnsi="Arial"/>
          <w:sz w:val="16"/>
          <w:szCs w:val="16"/>
          <w:color w:val="auto"/>
        </w:rPr>
        <w:t>Each party may terminate the Allergan License Agreement for the other party’s uncured material breach or insolvency; and we may terminate the Allergan License Agreement at will at any time upon advance written notice to Allergan. Allergan may terminate the Allergan License Agreement if we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w:t>
      </w:r>
    </w:p>
    <w:p>
      <w:pPr>
        <w:spacing w:after="0" w:line="2" w:lineRule="exact"/>
        <w:rPr>
          <w:sz w:val="20"/>
          <w:szCs w:val="20"/>
          <w:color w:val="auto"/>
        </w:rPr>
      </w:pPr>
    </w:p>
    <w:p>
      <w:pPr>
        <w:ind w:right="140" w:firstLine="8"/>
        <w:spacing w:after="0" w:line="261"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81" w:lineRule="exact"/>
        <w:rPr>
          <w:sz w:val="20"/>
          <w:szCs w:val="20"/>
          <w:color w:val="auto"/>
        </w:rPr>
      </w:pPr>
    </w:p>
    <w:p>
      <w:pPr>
        <w:ind w:right="280" w:firstLine="598"/>
        <w:spacing w:after="0" w:line="312"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Biopharmaceutical Product Development Process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process required by the FDA before biopharmaceutical products may be marketed in the United States generally involves the following:</w:t>
      </w:r>
    </w:p>
    <w:p>
      <w:pPr>
        <w:spacing w:after="0" w:line="129" w:lineRule="exact"/>
        <w:rPr>
          <w:sz w:val="20"/>
          <w:szCs w:val="20"/>
          <w:color w:val="auto"/>
        </w:rPr>
      </w:pPr>
    </w:p>
    <w:p>
      <w:pPr>
        <w:ind w:left="1200" w:right="16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17" w:lineRule="exact"/>
        <w:rPr>
          <w:rFonts w:ascii="Arial" w:cs="Arial" w:eastAsia="Arial" w:hAnsi="Arial"/>
          <w:sz w:val="18"/>
          <w:szCs w:val="18"/>
          <w:color w:val="auto"/>
        </w:rPr>
      </w:pPr>
    </w:p>
    <w:p>
      <w:pPr>
        <w:ind w:left="1200" w:right="320" w:hanging="598"/>
        <w:spacing w:after="0" w:line="342"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 or a Biologics License Application, or BLA, for biologics;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application for filing and review;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9" w:name="page20"/>
    <w:bookmarkEnd w:id="19"/>
    <w:p>
      <w:pPr>
        <w:ind w:left="120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an NDA or BLA; and</w:t>
      </w:r>
    </w:p>
    <w:p>
      <w:pPr>
        <w:spacing w:after="0" w:line="117"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an NDA or BLA prior to any commercial marketing or sale of the biopharmaceutical product in the United States.</w:t>
      </w:r>
    </w:p>
    <w:p>
      <w:pPr>
        <w:spacing w:after="0" w:line="170"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66"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17" w:lineRule="exact"/>
        <w:rPr>
          <w:sz w:val="20"/>
          <w:szCs w:val="20"/>
          <w:color w:val="auto"/>
        </w:rPr>
      </w:pPr>
    </w:p>
    <w:p>
      <w:pPr>
        <w:ind w:left="1200" w:right="300" w:hanging="598"/>
        <w:spacing w:after="0" w:line="342"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15" w:lineRule="exact"/>
        <w:rPr>
          <w:rFonts w:ascii="Arial" w:cs="Arial" w:eastAsia="Arial" w:hAnsi="Arial"/>
          <w:sz w:val="16"/>
          <w:szCs w:val="16"/>
          <w:color w:val="auto"/>
        </w:rPr>
      </w:pPr>
    </w:p>
    <w:p>
      <w:pPr>
        <w:ind w:left="1200" w:right="160" w:hanging="598"/>
        <w:spacing w:after="0" w:line="264"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73"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8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1"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FDCA permits the FDA and an IND sponsor to agree in writing on the design and size of clinical studies intended to form the primary basis of a claim of effectiveness in an NDA or BLA.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right="80" w:firstLine="598"/>
        <w:spacing w:after="0" w:line="312" w:lineRule="auto"/>
        <w:rPr>
          <w:sz w:val="20"/>
          <w:szCs w:val="20"/>
          <w:color w:val="auto"/>
        </w:rPr>
      </w:pPr>
      <w:r>
        <w:rPr>
          <w:rFonts w:ascii="Arial" w:cs="Arial" w:eastAsia="Arial" w:hAnsi="Arial"/>
          <w:sz w:val="16"/>
          <w:szCs w:val="16"/>
          <w:color w:val="auto"/>
        </w:rPr>
        <w:t>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4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17" w:lineRule="exact"/>
        <w:rPr>
          <w:sz w:val="20"/>
          <w:szCs w:val="20"/>
          <w:color w:val="auto"/>
        </w:rPr>
      </w:pPr>
    </w:p>
    <w:p>
      <w:pPr>
        <w:jc w:val="both"/>
        <w:ind w:right="180" w:firstLine="598"/>
        <w:spacing w:after="0" w:line="293" w:lineRule="auto"/>
        <w:rPr>
          <w:sz w:val="20"/>
          <w:szCs w:val="20"/>
          <w:color w:val="auto"/>
        </w:rPr>
      </w:pPr>
      <w:r>
        <w:rPr>
          <w:rFonts w:ascii="Arial" w:cs="Arial" w:eastAsia="Arial" w:hAnsi="Arial"/>
          <w:sz w:val="16"/>
          <w:szCs w:val="16"/>
          <w:color w:val="auto"/>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6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8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87"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right="40" w:firstLine="598"/>
        <w:spacing w:after="0" w:line="255" w:lineRule="auto"/>
        <w:rPr>
          <w:sz w:val="20"/>
          <w:szCs w:val="20"/>
          <w:color w:val="auto"/>
        </w:rPr>
      </w:pPr>
      <w:r>
        <w:rPr>
          <w:rFonts w:ascii="Arial" w:cs="Arial" w:eastAsia="Arial" w:hAnsi="Arial"/>
          <w:sz w:val="18"/>
          <w:szCs w:val="18"/>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Breakthrough therapy designation does not change the standards for approval, but may expedite the development or review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70"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167" w:lineRule="exact"/>
        <w:rPr>
          <w:sz w:val="20"/>
          <w:szCs w:val="20"/>
          <w:color w:val="auto"/>
        </w:rPr>
      </w:pPr>
    </w:p>
    <w:p>
      <w:pPr>
        <w:jc w:val="both"/>
        <w:ind w:right="200" w:firstLine="598"/>
        <w:spacing w:after="0" w:line="312" w:lineRule="auto"/>
        <w:rPr>
          <w:sz w:val="20"/>
          <w:szCs w:val="20"/>
          <w:color w:val="auto"/>
        </w:rPr>
      </w:pPr>
      <w:r>
        <w:rPr>
          <w:rFonts w:ascii="Arial" w:cs="Arial" w:eastAsia="Arial" w:hAnsi="Arial"/>
          <w:sz w:val="16"/>
          <w:szCs w:val="16"/>
          <w:color w:val="auto"/>
        </w:rPr>
        <w:t>The FDA closely regulates the labeling, marketing and promotion of drugs and biologics.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6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65"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left="1200" w:hanging="598"/>
        <w:spacing w:after="0" w:line="271"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70" w:lineRule="exact"/>
        <w:rPr>
          <w:rFonts w:ascii="Arial" w:cs="Arial" w:eastAsia="Arial" w:hAnsi="Arial"/>
          <w:sz w:val="17"/>
          <w:szCs w:val="17"/>
          <w:color w:val="auto"/>
        </w:rPr>
      </w:pPr>
    </w:p>
    <w:p>
      <w:pPr>
        <w:ind w:left="1200" w:right="20" w:hanging="598"/>
        <w:spacing w:after="0" w:line="255"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85"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spacing w:after="0" w:line="73" w:lineRule="exact"/>
        <w:rPr>
          <w:rFonts w:ascii="Arial" w:cs="Arial" w:eastAsia="Arial" w:hAnsi="Arial"/>
          <w:sz w:val="18"/>
          <w:szCs w:val="18"/>
          <w:color w:val="auto"/>
        </w:rPr>
      </w:pPr>
    </w:p>
    <w:p>
      <w:pPr>
        <w:ind w:left="1200" w:right="140" w:hanging="598"/>
        <w:spacing w:after="0" w:line="276"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w:t>
      </w:r>
    </w:p>
    <w:p>
      <w:pPr>
        <w:spacing w:after="0" w:line="64" w:lineRule="exact"/>
        <w:rPr>
          <w:rFonts w:ascii="Arial" w:cs="Arial" w:eastAsia="Arial" w:hAnsi="Arial"/>
          <w:sz w:val="17"/>
          <w:szCs w:val="17"/>
          <w:color w:val="auto"/>
        </w:rPr>
      </w:pPr>
    </w:p>
    <w:p>
      <w:pPr>
        <w:ind w:left="1200" w:hanging="598"/>
        <w:spacing w:after="0" w:line="25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as defined by such law, and teaching hospitals; and (ii) ownership and investment interests held by physicians and their immediate family members;</w:t>
      </w:r>
    </w:p>
    <w:p>
      <w:pPr>
        <w:spacing w:after="0" w:line="80" w:lineRule="exact"/>
        <w:rPr>
          <w:rFonts w:ascii="Arial" w:cs="Arial" w:eastAsia="Arial" w:hAnsi="Arial"/>
          <w:sz w:val="18"/>
          <w:szCs w:val="18"/>
          <w:color w:val="auto"/>
        </w:rPr>
      </w:pPr>
    </w:p>
    <w:p>
      <w:pPr>
        <w:ind w:left="1200" w:right="20" w:hanging="598"/>
        <w:spacing w:after="0" w:line="291"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pacing w:after="0" w:line="16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40" w:firstLine="598"/>
        <w:spacing w:after="0" w:line="27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78"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changed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74"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200" w:right="32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 sale discounts off negotiated prices;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60" w:firstLine="598"/>
        <w:spacing w:after="0" w:line="288" w:lineRule="auto"/>
        <w:rPr>
          <w:sz w:val="20"/>
          <w:szCs w:val="20"/>
          <w:color w:val="auto"/>
        </w:rPr>
      </w:pPr>
      <w:r>
        <w:rPr>
          <w:rFonts w:ascii="Arial" w:cs="Arial" w:eastAsia="Arial" w:hAnsi="Arial"/>
          <w:sz w:val="16"/>
          <w:szCs w:val="16"/>
          <w:color w:val="auto"/>
        </w:rPr>
        <w:t>There remain judicial and Congressional challenges to certain aspects of the Affordable Care Act, and we expect such challenges to continue. For example, the Tax Cuts and Jobs Act of 2017, or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eliminates the health insurer tax.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It is unclear how this decision, future decisions, subsequent appeals, and other efforts to repeal and replace the Affordable Care Act will impact the Affordable Care Act.</w:t>
      </w:r>
    </w:p>
    <w:p>
      <w:pPr>
        <w:spacing w:after="0" w:line="169"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potentially hazardous substances. We may incur significant costs to comply with such laws and regulations now or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As of March 4, 2020, we had 35 full-time employees. Of the full-time employees, 20 were primarily engaged in research and development activities and 12 have an M.D. or Ph.D. degree. None of our employees are represented by labor unions or covered by collective bargaining agreements. We consider our relationship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21" w:lineRule="exact"/>
        <w:rPr>
          <w:sz w:val="20"/>
          <w:szCs w:val="20"/>
          <w:color w:val="auto"/>
        </w:rPr>
      </w:pPr>
    </w:p>
    <w:p>
      <w:pPr>
        <w:jc w:val="both"/>
        <w:ind w:right="80" w:firstLine="598"/>
        <w:spacing w:after="0" w:line="308" w:lineRule="auto"/>
        <w:rPr>
          <w:sz w:val="20"/>
          <w:szCs w:val="20"/>
          <w:color w:val="auto"/>
        </w:rPr>
      </w:pPr>
      <w:r>
        <w:rPr>
          <w:rFonts w:ascii="Arial" w:cs="Arial" w:eastAsia="Arial" w:hAnsi="Arial"/>
          <w:sz w:val="17"/>
          <w:szCs w:val="17"/>
          <w:color w:val="auto"/>
        </w:rPr>
        <w:t>We were incorporated in Delaware in 2005. In 2011, we established a wholly owned subsidiary in the United Kingdom and in 2014 we established a wholly owned U.S. subsidiary. There have been no material activities for these entities to date. We currently operate in one segment.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35 Gatehouse Drive, Building D, Floor 3, Waltham, Massachusetts 02451 and our telephone number is</w:t>
      </w:r>
    </w:p>
    <w:p>
      <w:pPr>
        <w:spacing w:after="0" w:line="46" w:lineRule="exact"/>
        <w:rPr>
          <w:sz w:val="20"/>
          <w:szCs w:val="20"/>
          <w:color w:val="auto"/>
        </w:rPr>
      </w:pPr>
    </w:p>
    <w:p>
      <w:pPr>
        <w:ind w:right="140" w:firstLine="8"/>
        <w:spacing w:after="0" w:line="261"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419-1400. Our corporate website address is www.syndax.com. Information contained on or accessible through our website is not a part of this Annual Report, and the inclusion of our website address in this Annual Report is an inactive textual reference only.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amendments to those reports filed or furnished pursuant to Section 13(a) or 15(d) of the Exchange Act. We make available on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www.syndax.com</w:t>
      </w:r>
      <w:r>
        <w:rPr>
          <w:rFonts w:ascii="Arial" w:cs="Arial" w:eastAsia="Arial" w:hAnsi="Arial"/>
          <w:sz w:val="16"/>
          <w:szCs w:val="16"/>
          <w:color w:val="auto"/>
        </w:rPr>
        <w:t>, under “Investors,” free of charge, copies of these reports as soon as reasonably practicable after filing or furnishing these reports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on Form 10-K as well as our other publicly available filings with the Securities and Exchange Commission.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Cancer Research Group, or ECOG-ACRIN, to conduct the Phase 3 clinical trial of entinostat in combination with exemestane in advanced hormone receptor positive, human epidermal growth factor receptor 2 negative, or (HR+, HER2-, breast cancer patients. The National Cancer Institute, or NCI, designed the trial to measure two primary endpoints, progression-free survival, or PFS, and overall survival, or OS. We received the final PFS analysis from ECOG-ACRIN in October 2018 and we expect to receive the final OS analysis no later than the second quarter of 2020. In October 2018, ECOG-ACRIN informed us that the trial did not achieve the first primary endpoint of improving PFS, which would have provided the earliest regulatory filing opportunity. In accordance with the trial protocol, ECOG-ACRIN is confidentially holding the findings from the PFS analysis until reporting final OS results. We will not be able to submit an NDA unless and until we receive data demonstrating that the trial has achieved the primary endpoint for OS. In addition, based on scientific advice that we received from the European Medicines Agency, the current Phase 3 clinical trial may not be sufficient to receive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regulatory approval in Europe for entinostat to treat advanced HR+, HER2- breast cancer, and it is unclear whether we would be able to complete an alternate clinical trial that would be sufficient.</w:t>
      </w:r>
    </w:p>
    <w:p>
      <w:pPr>
        <w:spacing w:after="0" w:line="170"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adverse drug reactions in the Phase 3 clinical trial.</w:t>
      </w:r>
    </w:p>
    <w:p>
      <w:pPr>
        <w:spacing w:after="0" w:line="154"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7"/>
          <w:szCs w:val="17"/>
          <w:i w:val="1"/>
          <w:iCs w:val="1"/>
          <w:color w:val="auto"/>
        </w:rPr>
        <w:t>Verzenio</w:t>
      </w:r>
      <w:r>
        <w:rPr>
          <w:rFonts w:ascii="Arial" w:cs="Arial" w:eastAsia="Arial" w:hAnsi="Arial"/>
          <w:sz w:val="17"/>
          <w:szCs w:val="17"/>
          <w:color w:val="auto"/>
        </w:rPr>
        <w:t>,</w:t>
      </w:r>
      <w:r>
        <w:rPr>
          <w:rFonts w:ascii="Arial" w:cs="Arial" w:eastAsia="Arial" w:hAnsi="Arial"/>
          <w:sz w:val="17"/>
          <w:szCs w:val="17"/>
          <w:i w:val="1"/>
          <w:iCs w:val="1"/>
          <w:color w:val="auto"/>
        </w:rPr>
        <w:t xml:space="preserve"> Kisqali</w:t>
      </w:r>
      <w:r>
        <w:rPr>
          <w:rFonts w:ascii="Arial" w:cs="Arial" w:eastAsia="Arial" w:hAnsi="Arial"/>
          <w:sz w:val="17"/>
          <w:szCs w:val="17"/>
          <w:color w:val="auto"/>
        </w:rPr>
        <w:t>,</w:t>
      </w:r>
      <w:r>
        <w:rPr>
          <w:rFonts w:ascii="Arial" w:cs="Arial" w:eastAsia="Arial" w:hAnsi="Arial"/>
          <w:sz w:val="17"/>
          <w:szCs w:val="17"/>
          <w:i w:val="1"/>
          <w:iCs w:val="1"/>
          <w:color w:val="auto"/>
        </w:rPr>
        <w:t xml:space="preserve"> Ibrance </w:t>
      </w:r>
      <w:r>
        <w:rPr>
          <w:rFonts w:ascii="Arial" w:cs="Arial" w:eastAsia="Arial" w:hAnsi="Arial"/>
          <w:sz w:val="17"/>
          <w:szCs w:val="17"/>
          <w:color w:val="auto"/>
        </w:rPr>
        <w:t>and</w:t>
      </w:r>
      <w:r>
        <w:rPr>
          <w:rFonts w:ascii="Arial" w:cs="Arial" w:eastAsia="Arial" w:hAnsi="Arial"/>
          <w:sz w:val="17"/>
          <w:szCs w:val="17"/>
          <w:i w:val="1"/>
          <w:iCs w:val="1"/>
          <w:color w:val="auto"/>
        </w:rPr>
        <w:t xml:space="preserve"> Piqray </w:t>
      </w:r>
      <w:r>
        <w:rPr>
          <w:rFonts w:ascii="Arial" w:cs="Arial" w:eastAsia="Arial" w:hAnsi="Arial"/>
          <w:sz w:val="17"/>
          <w:szCs w:val="17"/>
          <w:color w:val="auto"/>
        </w:rPr>
        <w:t>patients enrolled in the Phase 3 clinical trial may be different than those enrolled in our previous Phase 2b clinical trial</w:t>
      </w:r>
      <w:r>
        <w:rPr>
          <w:rFonts w:ascii="Arial" w:cs="Arial" w:eastAsia="Arial" w:hAnsi="Arial"/>
          <w:sz w:val="17"/>
          <w:szCs w:val="17"/>
          <w:i w:val="1"/>
          <w:iCs w:val="1"/>
          <w:color w:val="auto"/>
        </w:rPr>
        <w:t xml:space="preserve"> </w:t>
      </w:r>
      <w:r>
        <w:rPr>
          <w:rFonts w:ascii="Arial" w:cs="Arial" w:eastAsia="Arial" w:hAnsi="Arial"/>
          <w:sz w:val="17"/>
          <w:szCs w:val="17"/>
          <w:color w:val="auto"/>
        </w:rPr>
        <w:t>in that 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286"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Good Clinical Practices, or GCPs,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74"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GCP, which are regulations and guidelines enforced by the U.S. Food and Drug Administration, or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current Good Manufacturing Practices regulations, or cGMP requirements. Failure to comply with any of these regulations may require us to repeat preclinical and clinical trials, which would delay the regulatory development process.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OS analysis no later than the second quarter of 2020. Our product development costs could increase if we experience delays in the overall number of survival events.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5" w:lineRule="exact"/>
        <w:rPr>
          <w:sz w:val="20"/>
          <w:szCs w:val="20"/>
          <w:color w:val="auto"/>
        </w:rPr>
      </w:pPr>
    </w:p>
    <w:p>
      <w:pPr>
        <w:ind w:left="1200" w:right="240" w:hanging="598"/>
        <w:spacing w:after="0" w:line="308"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unexpectedly high rate of patients withdrawing consent or being lost to follow-up, including patients that withdraw or are lost to follow-up following our announcement in October 2018 that the trial did not achieve the first primary endpoint of improving PFS;</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200" w:right="20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Institutional Review Boards, or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200" w:right="7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62" w:lineRule="exact"/>
        <w:rPr>
          <w:rFonts w:ascii="Arial" w:cs="Arial" w:eastAsia="Arial" w:hAnsi="Arial"/>
          <w:sz w:val="18"/>
          <w:szCs w:val="18"/>
          <w:color w:val="auto"/>
        </w:rPr>
      </w:pPr>
    </w:p>
    <w:p>
      <w:pPr>
        <w:ind w:left="1200" w:right="64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withdrawal of sponsorship of the NCI because of a failure of ECOG-ACRIN to meet certain performance metrics in the clinical trial;</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drug reactions;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 or</w:t>
      </w:r>
    </w:p>
    <w:p>
      <w:pPr>
        <w:spacing w:after="0" w:line="117"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and public health epidemics, such as the coronavirus currently impacting China and elsewhere.</w:t>
      </w:r>
    </w:p>
    <w:p>
      <w:pPr>
        <w:spacing w:after="0" w:line="170"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right="120"/>
        <w:spacing w:after="0" w:line="287" w:lineRule="auto"/>
        <w:rPr>
          <w:sz w:val="20"/>
          <w:szCs w:val="20"/>
          <w:color w:val="auto"/>
        </w:rPr>
      </w:pPr>
      <w:r>
        <w:rPr>
          <w:rFonts w:ascii="Arial" w:cs="Arial" w:eastAsia="Arial" w:hAnsi="Arial"/>
          <w:sz w:val="16"/>
          <w:szCs w:val="16"/>
          <w:color w:val="auto"/>
        </w:rPr>
        <w:t>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In October 2018, ECOG-ACRIN informed us that the trial did not achieve the statistical hurdle for the first primary endpoint of improving PFS, which would have provided the earliest regulatory filing opportunity. Further, obtaining clinical trial data meeting the OS endpoint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OS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received breakthrough therapy designation from the FDA for entinostat when used in combination with exemestane based on the OS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our Phase 3 trial in HR+, HER2- breast cancer patients failed to achieve one of its primary endpoints of improving PFS. We expect to receive final analysis on the second primary endpoint, OS, no later than the second quarter of 2020. If the results do not confirm the improvement in OS observed in our Phase 2b clinical trial, the FDA may rescind our breakthrough therapy designation.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17"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200" w:right="12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ind w:right="40" w:firstLine="59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Entinostat, SNDX-5613 and SNDX-6352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200" w:right="6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the Phase 3 clinical trial in advanced HR+, HER2- breast cancer, which will depend substantially upon the satisfactory performance of ECOG-ACRIN and the NCI and other third-party contractors for entinostat;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completion of the Phase 1/2 clinical trial of SNDX-5613 in patients with relapsed/refractory acute leukemia;</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completion of the Phase 1a/1b clinical trials of SNDX-6352 as a monotherapy and in combination with durvalumab and of the Phase 2 clinical trial of SNDX-6352 in patients with cGVHD;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200" w:right="3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200" w:right="300" w:hanging="598"/>
        <w:spacing w:after="0" w:line="308"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availability of commercial supplies of therapeutics, including exemestane and clinical supplies of investigational drugs, to support the development and marketing of the entinostat therapy as a component of a combination drug regimen for entinostat;</w:t>
      </w:r>
    </w:p>
    <w:p>
      <w:pPr>
        <w:spacing w:after="0" w:line="38" w:lineRule="exact"/>
        <w:rPr>
          <w:rFonts w:ascii="Arial" w:cs="Arial" w:eastAsia="Arial" w:hAnsi="Arial"/>
          <w:sz w:val="17"/>
          <w:szCs w:val="17"/>
          <w:color w:val="auto"/>
        </w:rPr>
      </w:pPr>
    </w:p>
    <w:p>
      <w:pPr>
        <w:ind w:left="1200" w:right="600" w:hanging="598"/>
        <w:spacing w:after="0" w:line="308"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availability of commercial supplies of therapeutics, including </w:t>
      </w:r>
      <w:r>
        <w:rPr>
          <w:rFonts w:ascii="Arial" w:cs="Arial" w:eastAsia="Arial" w:hAnsi="Arial"/>
          <w:sz w:val="17"/>
          <w:szCs w:val="17"/>
          <w:i w:val="1"/>
          <w:iCs w:val="1"/>
          <w:color w:val="auto"/>
        </w:rPr>
        <w:t>Imfinzi</w:t>
      </w:r>
      <w:r>
        <w:rPr>
          <w:rFonts w:ascii="Arial" w:cs="Arial" w:eastAsia="Arial" w:hAnsi="Arial"/>
          <w:sz w:val="17"/>
          <w:szCs w:val="17"/>
          <w:color w:val="auto"/>
        </w:rPr>
        <w:t>, and clinical supplies of investigational drugs, to support the development and marketing of the SNDX-6352 therapy as a component of a combination drug regimen for SNDX-6352;</w:t>
      </w:r>
    </w:p>
    <w:p>
      <w:pPr>
        <w:spacing w:after="0" w:line="38" w:lineRule="exact"/>
        <w:rPr>
          <w:rFonts w:ascii="Arial" w:cs="Arial" w:eastAsia="Arial" w:hAnsi="Arial"/>
          <w:sz w:val="17"/>
          <w:szCs w:val="17"/>
          <w:color w:val="auto"/>
        </w:rPr>
      </w:pPr>
    </w:p>
    <w:p>
      <w:pPr>
        <w:ind w:left="1200" w:right="4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76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has undergone limited clinical testing and we may fail to show that the combination is well tolerated and demonstrates additional clinical benefit from the combination.</w:t>
      </w:r>
    </w:p>
    <w:p>
      <w:pPr>
        <w:spacing w:after="0" w:line="62"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Preclinical studies conducted by us and others suggest a strong rationale for combining entinostat with immune checkpoint inhibitors, including PD-1 pathway antagonists, to enhance the immune system’s ability to detect and eliminate tumor cells. Our approach was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However, we have not yet sufficiently demonstrated a favorable risk-benefit of this combination in patients, and we may be unable to establish efficacy to warrant regulatory submission or approval. In the first quarter of 2019, we completed a full portfolio prioritization assessment and have determined to place the initiation of potential registration trials in non-small cell lung cancer and melanoma on hold until we receive final OS results from E2112.</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SNDX-6352 has undergone limited clinical testing and we may fail to show that this drug is well tolerated and provides a clinical benefit for patients.</w:t>
      </w:r>
    </w:p>
    <w:p>
      <w:pPr>
        <w:spacing w:after="0" w:line="62"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Preclinical studies suggest that CSF-1/CSF-1R signaling may be the key regulatory pathway involved in the expansion and infiltration of donor derived macrophages that mediate the disease processes involved in Graft Versus Host Disease, or cGVHD.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SNDX-6352 may play a meaningful role as a monotherapy agent in the treatment of cGVHD. Our approach is to conduct Phase 1 clinical trial with SNDX-6352 in subjects with active cGVHD who have failed at least two prior lines of therapy. If our initial clinical data lend support for our hypothesis, we plan to continue developing SNDX-6352 in this indication. At this time however, we have not yet sufficiently demonstrated a favorable risk-benefit of SNDX-6352 in patients and we may be unable to establish sufficient efficacy to warrant continued development in this indication.</w:t>
      </w: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undergone limited clinical testing and we may fail to show that the drug is well tolerated and provides clinical benefit for patients.</w:t>
      </w:r>
    </w:p>
    <w:p>
      <w:pPr>
        <w:spacing w:after="0" w:line="62"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MLL-r, a rare, spontaneous fusion between the N-terminus of the mixed lineage leukemia protein-1, or MLL1, and a host of signaling molecules and nuclear transcription factors. This fusion produces an aberrant transcription program that drives leukemic transformation., also known as KMT2A. In pre-clinical animal models, small molecule inhibitors of the menin-MLL-r interactionmolecules, such as SNDX-5613, which bind to, and block the interaction of menin with MLL1, have demonstrated deep and durable single agent treatment effects in multiple leukemic xenograftsxenograft models harboring MLL fusions or NPM1 mutations. Our approachstrategy for developing SNDX-5613 is to conduct a Phase 1/2 clinical trial in patients with MLL-r leukemia and assess bothrelapsed/refractory acute leukemias. The Phase 1 portion of the trial is assessing the safety, tolerability and pharmacokinetics of SNDX-5613, and seeks to establish a recommended Phase 2 dose. The Phase 2 portion will evaluate efficacy of SNDX-5613, as defined by Complete Remission rate, across three expansion cohorts enrolling adult patients with MLL-r acute lymphoblastic leukemia, or ALL, MLL-r acute myeloid leukemia, or AML, and NPM1 mutant AML. If our initial clinical data lend support for our hypothesis, we plan to continue developing SNDX-5613 in one or more of these indications. At this time however, we have not yet sufficiently demonstrated a favorable risk-benefit of SNDX-5613 in patients, and we may be unable to establish sufficient efficacy to warrant continued development in one or more of these indications.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unable to transfer, qualify and validate an assay for determining peripheral monocyte levels to be used in conjunction with a future registration enabling non-small cell lung cancer, or NSCLC, trial.</w:t>
      </w:r>
    </w:p>
    <w:p>
      <w:pPr>
        <w:spacing w:after="0" w:line="6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 xml:space="preserve">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 successfully transfer, qualify and validate an assay for determining peripheral monocyte levels that will be acceptable to the FDA. In the first quarter of 2019, we completed a full portfolio prioritization assessment and have determined to place the initiation of this trial on hold until we receive final OS results from E2112.</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coronavirus currently impacting China and elsewhere.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34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actions of Kyowa Kirin Co., Ltd., or KKC, Eddingpharm Investment Company Limited, or Eddingpharm, and any other current or future sublicensees could adversely affect our business.</w:t>
      </w:r>
    </w:p>
    <w:p>
      <w:pPr>
        <w:spacing w:after="0" w:line="6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SNDX-6352.</w:t>
      </w:r>
    </w:p>
    <w:p>
      <w:pPr>
        <w:spacing w:after="0" w:line="11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200" w:right="112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200" w:right="44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left="1200" w:right="12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60"/>
        <w:spacing w:after="0" w:line="259" w:lineRule="auto"/>
        <w:rPr>
          <w:sz w:val="20"/>
          <w:szCs w:val="20"/>
          <w:color w:val="auto"/>
        </w:rPr>
      </w:pPr>
      <w:r>
        <w:rPr>
          <w:rFonts w:ascii="Arial" w:cs="Arial" w:eastAsia="Arial" w:hAnsi="Arial"/>
          <w:sz w:val="18"/>
          <w:szCs w:val="18"/>
          <w:color w:val="auto"/>
        </w:rPr>
        <w:t>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9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9"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or other drugs that we are testing in combination with entinostat could adversely affect our ability to timely conduct the Phase 3 clinical trial in advanced HR+, HER2- breast cancer, our future potential Phase 3 clinical trial in NSCLC, any future clinical trials in melanoma, and if entinostat receives regulatory approval, to commercialize entinostat for treatment of advanced HR+, HER2- breast cancer, NSCLC, or melanoma. A shortage of supply may also result in an increase, which could be significant, in our costs of procuring exemestane.</w:t>
      </w:r>
    </w:p>
    <w:p>
      <w:pPr>
        <w:spacing w:after="0" w:line="178"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firstLine="59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coronavirus currently impacting China and elsewhere, may impact the ability of our existing or future manufacturers to perform their obligations to us.</w:t>
      </w:r>
    </w:p>
    <w:p>
      <w:pPr>
        <w:spacing w:after="0" w:line="50"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left="1200" w:right="28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260" w:firstLine="59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200" w:right="62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 xml:space="preserve">Even if entinostat in combination with exemestane were approved for treatment of advanced HR+, HER2- breast cancer, it would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xml:space="preserve">, </w:t>
      </w:r>
      <w:r>
        <w:rPr>
          <w:rFonts w:ascii="Arial" w:cs="Arial" w:eastAsia="Arial" w:hAnsi="Arial"/>
          <w:sz w:val="18"/>
          <w:szCs w:val="18"/>
          <w:i w:val="1"/>
          <w:iCs w:val="1"/>
          <w:color w:val="auto"/>
        </w:rPr>
        <w:t>Piqray</w:t>
      </w:r>
      <w:r>
        <w:rPr>
          <w:rFonts w:ascii="Arial" w:cs="Arial" w:eastAsia="Arial" w:hAnsi="Arial"/>
          <w:sz w:val="18"/>
          <w:szCs w:val="18"/>
          <w:color w:val="auto"/>
        </w:rPr>
        <w:t xml:space="preserve"> and other therapies under FDA review or currently in Phase 3 clinical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140" w:firstLine="598"/>
        <w:spacing w:after="0" w:line="257" w:lineRule="auto"/>
        <w:rPr>
          <w:sz w:val="20"/>
          <w:szCs w:val="20"/>
          <w:color w:val="auto"/>
        </w:rPr>
      </w:pPr>
      <w:r>
        <w:rPr>
          <w:rFonts w:ascii="Arial" w:cs="Arial" w:eastAsia="Arial" w:hAnsi="Arial"/>
          <w:sz w:val="18"/>
          <w:szCs w:val="18"/>
          <w:color w:val="auto"/>
        </w:rPr>
        <w:t xml:space="preserve">The pharmacologic treatment of NSCLC and melanoma patients has included chemotherapies and therapies targeting specific gene mutations. Over the past few years, immune checkpoint inhibitors have been approved for NSCLC and melanoma. Currently there are few approved combination immuno-oncology therapies although numerous drugs are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were approved for the treatment of NSCLC or melanoma it would face competition from standard-of-care approaches and other investigational drugs being tested in combination with any of these approaches.</w:t>
      </w:r>
    </w:p>
    <w:p>
      <w:pPr>
        <w:spacing w:after="0" w:line="80" w:lineRule="exact"/>
        <w:rPr>
          <w:sz w:val="20"/>
          <w:szCs w:val="20"/>
          <w:color w:val="auto"/>
        </w:rPr>
      </w:pPr>
    </w:p>
    <w:p>
      <w:pPr>
        <w:ind w:right="260" w:firstLine="598"/>
        <w:spacing w:after="0" w:line="286" w:lineRule="auto"/>
        <w:rPr>
          <w:sz w:val="20"/>
          <w:szCs w:val="20"/>
          <w:color w:val="auto"/>
        </w:rPr>
      </w:pPr>
      <w:r>
        <w:rPr>
          <w:rFonts w:ascii="Arial" w:cs="Arial" w:eastAsia="Arial" w:hAnsi="Arial"/>
          <w:sz w:val="17"/>
          <w:szCs w:val="17"/>
          <w:color w:val="auto"/>
        </w:rPr>
        <w:t>Chronic graft versus host disease has historically been managed by off-label treatments. However, in 2017 ibrutinib (</w:t>
      </w:r>
      <w:r>
        <w:rPr>
          <w:rFonts w:ascii="Arial" w:cs="Arial" w:eastAsia="Arial" w:hAnsi="Arial"/>
          <w:sz w:val="17"/>
          <w:szCs w:val="17"/>
          <w:i w:val="1"/>
          <w:iCs w:val="1"/>
          <w:color w:val="auto"/>
        </w:rPr>
        <w:t>Imbruvica®</w:t>
      </w:r>
      <w:r>
        <w:rPr>
          <w:rFonts w:ascii="Arial" w:cs="Arial" w:eastAsia="Arial" w:hAnsi="Arial"/>
          <w:sz w:val="17"/>
          <w:szCs w:val="17"/>
          <w:color w:val="auto"/>
        </w:rPr>
        <w:t>) became the first drug approved for use patients with cGVHD after failure of one or more lines of systemic therapy. KD-025 and Ruxolitinib (</w:t>
      </w:r>
      <w:r>
        <w:rPr>
          <w:rFonts w:ascii="Arial" w:cs="Arial" w:eastAsia="Arial" w:hAnsi="Arial"/>
          <w:sz w:val="17"/>
          <w:szCs w:val="17"/>
          <w:i w:val="1"/>
          <w:iCs w:val="1"/>
          <w:color w:val="auto"/>
        </w:rPr>
        <w:t>Jakafi</w:t>
      </w:r>
      <w:r>
        <w:rPr>
          <w:rFonts w:ascii="Arial" w:cs="Arial" w:eastAsia="Arial" w:hAnsi="Arial"/>
          <w:sz w:val="17"/>
          <w:szCs w:val="17"/>
          <w:color w:val="auto"/>
        </w:rPr>
        <w:t>®), are currently in registration-directed studies to treat steroid refractory cGVHD patients and, if approved, may also compete with SNDX-6352.</w:t>
      </w:r>
    </w:p>
    <w:p>
      <w:pPr>
        <w:spacing w:after="0" w:line="57"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SNDX-5613 is being developed for the treatment of adult and pediatric patients with MLL-r ALL,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18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acceptance of entinostat in combination with exemestane, </w:t>
      </w:r>
      <w:r>
        <w:rPr>
          <w:rFonts w:ascii="Arial" w:cs="Arial" w:eastAsia="Arial" w:hAnsi="Arial"/>
          <w:sz w:val="17"/>
          <w:szCs w:val="17"/>
          <w:i w:val="1"/>
          <w:iCs w:val="1"/>
          <w:color w:val="auto"/>
        </w:rPr>
        <w:t>Keytruda</w:t>
      </w:r>
      <w:r>
        <w:rPr>
          <w:rFonts w:ascii="Arial" w:cs="Arial" w:eastAsia="Arial" w:hAnsi="Arial"/>
          <w:sz w:val="17"/>
          <w:szCs w:val="17"/>
          <w:color w:val="auto"/>
        </w:rPr>
        <w:t>, and other drugs by physicians and other healthcare providers.</w:t>
      </w:r>
    </w:p>
    <w:p>
      <w:pPr>
        <w:spacing w:after="0" w:line="23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1" w:name="page42"/>
    <w:bookmarkEnd w:id="41"/>
    <w:p>
      <w:pPr>
        <w:ind w:right="280"/>
        <w:spacing w:after="0" w:line="277" w:lineRule="auto"/>
        <w:rPr>
          <w:sz w:val="20"/>
          <w:szCs w:val="20"/>
          <w:color w:val="auto"/>
        </w:rPr>
      </w:pPr>
      <w:r>
        <w:rPr>
          <w:rFonts w:ascii="Arial" w:cs="Arial" w:eastAsia="Arial" w:hAnsi="Arial"/>
          <w:sz w:val="18"/>
          <w:szCs w:val="18"/>
          <w:color w:val="auto"/>
        </w:rPr>
        <w:t>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93"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60" w:firstLine="59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remain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several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the 2020 federal spending package permanently eliminated, effective January 1, 2020, the Affordable Care Act’s mandated “Cadillac” tax on high-cost employer-sponsored health coverage and medical device tax and, effective January 1, 2021, also eliminates the health insurer tax.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December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It is unclear how this decision, future decisions, subsequent appeals, and other efforts to repeal and replace the Affordable Care Act will impact the Affordable Care and our business. In addition, Congress may consider other legislation to repeal and replace elements of the Affordable Care Act.</w:t>
      </w:r>
    </w:p>
    <w:p>
      <w:pPr>
        <w:spacing w:after="0" w:line="200" w:lineRule="exact"/>
        <w:rPr>
          <w:sz w:val="20"/>
          <w:szCs w:val="20"/>
          <w:color w:val="auto"/>
        </w:rPr>
      </w:pPr>
    </w:p>
    <w:p>
      <w:pPr>
        <w:spacing w:after="0" w:line="202"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2029.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20" w:firstLine="598"/>
        <w:spacing w:after="0" w:line="286"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years 2021 includes a $135 billion allowance to support legislative proposals seeking to reduce drug prices, increase competition, lower out-of-pocket drug costs for patients, and increase patient access to lower-cost generic and biosimilar drugs.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through additional legislation to become effective, Congress and the Trump administration have each indicated that it will continue to seek new legislative administrative and executive measures, including the President’s issuance of future executive orders,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spacing w:after="0" w:line="286" w:lineRule="auto"/>
        <w:rPr>
          <w:sz w:val="20"/>
          <w:szCs w:val="20"/>
          <w:color w:val="auto"/>
        </w:rPr>
      </w:pPr>
      <w:r>
        <w:rPr>
          <w:rFonts w:ascii="Arial" w:cs="Arial" w:eastAsia="Arial" w:hAnsi="Arial"/>
          <w:sz w:val="17"/>
          <w:szCs w:val="17"/>
          <w:color w:val="auto"/>
        </w:rPr>
        <w:t>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7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200" w:right="140" w:hanging="598"/>
        <w:spacing w:after="0" w:line="279"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200" w:right="40" w:hanging="598"/>
        <w:spacing w:after="0" w:line="259"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200" w:right="20" w:hanging="598"/>
        <w:spacing w:after="0" w:line="264"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200" w:right="280" w:hanging="598"/>
        <w:spacing w:after="0" w:line="290"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58" w:lineRule="exact"/>
        <w:rPr>
          <w:rFonts w:ascii="Arial" w:cs="Arial" w:eastAsia="Arial" w:hAnsi="Arial"/>
          <w:sz w:val="16"/>
          <w:szCs w:val="16"/>
          <w:color w:val="auto"/>
        </w:rPr>
      </w:pPr>
    </w:p>
    <w:p>
      <w:pPr>
        <w:ind w:left="1200" w:right="80" w:hanging="598"/>
        <w:spacing w:after="0" w:line="272"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state and local laws that require the registration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left="1200" w:right="140"/>
        <w:spacing w:after="0" w:line="297" w:lineRule="auto"/>
        <w:rPr>
          <w:sz w:val="20"/>
          <w:szCs w:val="20"/>
          <w:color w:val="auto"/>
        </w:rPr>
      </w:pPr>
      <w:r>
        <w:rPr>
          <w:rFonts w:ascii="Arial" w:cs="Arial" w:eastAsia="Arial" w:hAnsi="Arial"/>
          <w:sz w:val="16"/>
          <w:szCs w:val="16"/>
          <w:color w:val="auto"/>
        </w:rPr>
        <w:t>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58"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novel coronavirus outbreak could impact our business.</w:t>
      </w:r>
    </w:p>
    <w:p>
      <w:pPr>
        <w:spacing w:after="0" w:line="23"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In December 2019, a novel strain of coronavirus was reported in China and other countries, including the United States. Global health concerns, such as coronavirus, could result in social, economic and labor instability in the countries in which we or the third parties with whom we engage operate. We cannot presently predict the scope and severity of any potential business shutdowns or disruptions, but if we or any of the third parties with whom we engage, including the suppliers, clinical trial sites, regulators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such as this one could disproportionately impact the hospitals and clinical sites, as well as recruitment and retention, in a region or city whose health care system becomes overwhelmed due to the illness. The extent to which the coronavirus impacts our business will depend on future developments, which are highly uncertain and cannot be predicted, including new information which may emerge concerning the severity of the coronavirus and the actions to contain the coronavirus and to address its impact, including on financial markets or otherwise. The occurrence of any of these disruptions could have a material adverse effect on our business and our results of operation and financial condition.</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6" w:name="page47"/>
    <w:bookmarkEnd w:id="46"/>
    <w:p>
      <w:pPr>
        <w:ind w:left="600"/>
        <w:spacing w:after="0"/>
        <w:rPr>
          <w:sz w:val="20"/>
          <w:szCs w:val="20"/>
          <w:color w:val="auto"/>
        </w:rPr>
      </w:pPr>
      <w:r>
        <w:rPr>
          <w:rFonts w:ascii="Arial" w:cs="Arial" w:eastAsia="Arial" w:hAnsi="Arial"/>
          <w:sz w:val="16"/>
          <w:szCs w:val="16"/>
          <w:color w:val="auto"/>
        </w:rPr>
        <w:t>For the year ended December 31, 2019, we reported a net loss of $56.0 million; and as of December 31, 2019, we had an accumulated deficit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$495.5 million, which included non-cash charges for stock-based compensation, preferred stock accretion and extinguishment charges. We expect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incur significant losses for the foreseeable future, and we expect these losses to increase as we continue our pre-commercialization activities for,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of, and seek regulatory approvals for, our product candidates. We may also encounter unforeseen expenses, difficulties,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complications, delays and other unknown factors that may adversely affect our business. The size of our future net losses will depend, in part, on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growth of our expenses and our ability to generate revenues, if any. Our prior losses and expected future losses have had and will continue to have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on our stockholders’ equity and working capital.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88"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7" w:name="page48"/>
    <w:bookmarkEnd w:id="47"/>
    <w:p>
      <w:pPr>
        <w:ind w:right="20"/>
        <w:spacing w:after="0" w:line="259" w:lineRule="auto"/>
        <w:rPr>
          <w:sz w:val="20"/>
          <w:szCs w:val="20"/>
          <w:color w:val="auto"/>
        </w:rPr>
      </w:pPr>
      <w:r>
        <w:rPr>
          <w:rFonts w:ascii="Arial" w:cs="Arial" w:eastAsia="Arial" w:hAnsi="Arial"/>
          <w:sz w:val="18"/>
          <w:szCs w:val="18"/>
          <w:color w:val="auto"/>
        </w:rPr>
        <w:t>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8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200" w:right="260" w:hanging="598"/>
        <w:spacing w:after="0" w:line="308"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200" w:right="200" w:hanging="598"/>
        <w:spacing w:after="0" w:line="264"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4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48" w:name="page49"/>
    <w:bookmarkEnd w:id="48"/>
    <w:p>
      <w:pPr>
        <w:ind w:right="360"/>
        <w:spacing w:after="0" w:line="258"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loan and security agreement, or the Loan Agreement, with Hercules Capital, Inc., or Hercules, for aggregate maximum borrowings of up to $30.0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the Credit Facility, is collateralized by substantially all of our and our subsidiaries personal property and other assets, other than our intellectual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property. As of March 1, 2020, the outstanding principal balance under the Credit Facility was $20.0 million, resulting from the closing of the first tranche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funding which occurred on February 7, 2020. The Credit Facility contains customary representations, warranties, affirmative and negative covenants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events of default applicable to us and our subsidiaries.</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2"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b w:val="1"/>
          <w:bCs w:val="1"/>
          <w:i w:val="1"/>
          <w:iCs w:val="1"/>
          <w:color w:val="auto"/>
        </w:rPr>
        <w:t>The Tax Cuts and Jobs Act of 2017, or the Tax Act, and possible future changes in tax laws or regulations could adversely affect our business and financial condition.</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On December 22, 2017, President Trump signed into law the Tax Act, which significantly revised the Internal Revenue Code of 1986, as amended, or the Code. Future guidance from the U.S. Internal Revenue Service and other tax authorities with respect to the Tax Act may affect us, and certain aspects of the Tax Act could be repealed or modified in future legislation. Changes in corporate tax rates, the realization of net deferred tax assets relating to our U.S. operations, the taxation of foreign earnings, the deductibility of expenses, and the reduction of the Orphan Drug Credit from 50% to 25% of clinical costs under the Tax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Act or any newly enacted federal tax legislation.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March 31, 2019 and determined that on March 30, 2007 and August 21, 2015 ownership changes had occurred. We may have experienced an ownership change since March 31, 2019,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0" w:name="page51"/>
    <w:bookmarkEnd w:id="50"/>
    <w:p>
      <w:pPr>
        <w:ind w:right="20" w:firstLine="59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183"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2036. The actual term of any patents granted based on the pending applications that we licensed from Allergan can only be determined after such patents are actually granted.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97"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right="20" w:firstLine="59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60" w:firstLine="59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34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commercial success depends upon our ability to develop, manufacture, market and sell SNDX-5613. Subject to the achievement of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milestone events, we may be required to pay Vitae, a subsidiary of Allergan, up to $99 million in one-time development and regulatory milestone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term of the Allergan license agreement. In the event that we or any of our affiliates or sublicensees commercializes SNDX-5613, we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obligated to pay Allergan low single to low double-digit royalties on sales, subject to reduction in certain circumstances, as well as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in potential one-time sales-based milestone payments based on achievement of certain annual sales thresholds. Under certain circumstances,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required to share a percentage of non-royalty income from sublicensees, subject to certain deductions, with Allergan.</w:t>
      </w:r>
    </w:p>
    <w:p>
      <w:pPr>
        <w:spacing w:after="0" w:line="211"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SNDX-5613 have occurred and the last-to-expire relevant patent covering SNDX-5613 in a given country may change in the future.</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right="20" w:firstLine="59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9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80" w:firstLine="59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jc w:val="both"/>
        <w:ind w:right="140" w:firstLine="59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60" w:firstLine="598"/>
        <w:spacing w:after="0" w:line="255"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w:t>
      </w:r>
    </w:p>
    <w:p>
      <w:pPr>
        <w:spacing w:after="0" w:line="28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00" w:right="72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1200" w:hanging="598"/>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In August 2019, we filed a shelf registration statement on Form S-3 (Registration No. 333-233564) that allows us to sell up to an aggregate of $300 million of our common stock, which includes up to $50.0 million designated for an at-the-market offering program. As of December 31, 2019, $50.0 million of common stock remained available for sale under the at-the-market offering program. We have sold no shares of common stock pursuant to the ATM program from December 31, 2019 through the date of this filing. Further, in January 2020, we sold 3,036,719 shares of our common stock at a price per share of $8.00 and pre-funded warrants to purchase 1,338,287 shares of our common stock for gross proceeds of approximately $35.0 million. Upon the completion of the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w:t>
      </w:r>
    </w:p>
    <w:p>
      <w:pPr>
        <w:spacing w:after="0" w:line="70"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also have two outstanding series of warrants, Series 1 warrants and Series 2 warrants. As of December 31, 2019, there were 2,297,517 shares of our common stock issuable upon the exercise of Series 1 warrants outstanding, at an exercise price of $12.00 per share, and there were 2,297,522 shares of our common stock issuable upon the exercise of Series 2 warrants outstanding, at an exercise price of $18.00 per share. The Series 1 warrants and Series 2 warrants contain a one-time exercise price adjustment. If we sell shares or share equivalents at less than $12.00 per share at a time when our Series 1 warrants and Series 2 warrants are outstanding, then an exercise price for those warrants would be adjusted downward, which will result in us receiving less proceeds than we otherwise would and could result in further dilution to our stockholders if such warrants were then exercised. As a result of the 2020 offering, the initial exercise price of the Series 1 warrants was reduced to $10.00 per share and the initial exercise price of the Series 2 warrants was reduced to $13.00 per share. To the extent that these have been or may be exercised, our stockholders may experience further dilution.</w:t>
      </w:r>
    </w:p>
    <w:p>
      <w:pPr>
        <w:spacing w:after="0" w:line="58"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59" w:name="page60"/>
    <w:bookmarkEnd w:id="59"/>
    <w:p>
      <w:pPr>
        <w:ind w:right="80"/>
        <w:spacing w:after="0" w:line="270" w:lineRule="auto"/>
        <w:rPr>
          <w:sz w:val="20"/>
          <w:szCs w:val="20"/>
          <w:color w:val="auto"/>
        </w:rPr>
      </w:pPr>
      <w:r>
        <w:rPr>
          <w:rFonts w:ascii="Arial" w:cs="Arial" w:eastAsia="Arial" w:hAnsi="Arial"/>
          <w:sz w:val="17"/>
          <w:szCs w:val="17"/>
          <w:color w:val="auto"/>
        </w:rPr>
        <w:t>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Credit Facility with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70"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89"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As of December 31, 2019, our executive officers, directors, holders of 5% or more of our capital stock and their respective affiliates beneficially own approximately 64.0% of our outstanding voting stock and options.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73"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200" w:right="320" w:hanging="598"/>
        <w:spacing w:after="0" w:line="308" w:lineRule="auto"/>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left="1200" w:right="20" w:hanging="598"/>
        <w:spacing w:after="0" w:line="259"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200" w:hanging="598"/>
        <w:spacing w:after="0" w:line="342" w:lineRule="auto"/>
        <w:tabs>
          <w:tab w:leader="none" w:pos="1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200" w:right="26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We may take advantage of these exemptions until we are no longer an “emerging growth company.” We would cease to be an “emerging growth company” upon the earliest of: (i) December 31, 2021;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54" w:lineRule="exact"/>
        <w:rPr>
          <w:sz w:val="20"/>
          <w:szCs w:val="20"/>
          <w:color w:val="auto"/>
        </w:rPr>
      </w:pPr>
    </w:p>
    <w:p>
      <w:pPr>
        <w:ind w:right="140" w:firstLine="598"/>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also a smaller reporting company as defined in the Securities Exchange Act of 1934, as amended, or the Exchange Act. We may continue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 a smaller reporting company even after we are no longer an emerging growth company. We may take advantage of certain of the scaled disclosures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available to smaller reporting companies and will be able to take advantage of these scaled disclosures for so long as (i) our voting and non-voting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held by nonaffiliates is less than $250.0 million measured on the last business day of our second fiscal quarter or (ii) our annual revenue is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during the most recently completed fiscal year and our voting and non-voting common stock held by non-affiliates is less than $700.0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measured on the last business day of our second fiscal quarter.</w:t>
      </w:r>
    </w:p>
    <w:p>
      <w:pPr>
        <w:spacing w:after="0" w:line="3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In August 2019, we entered into a sales agreement with Cowen and Company, LLC, or Cowen, under which we may issue and sell shares of our common stock having aggregate sales proceeds of up to $50.0 million from time to time through Cowen, acting as agent, in a series of one or more ATM equity offerings, or the 2019 ATM Program. Cowen is not required to sell any specific amount but acts as our sales agent using commercially reasonable efforts consistent with its normal trading and sales practices. To date no shares of common stock were sold under the 2019 ATM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ind w:right="12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6"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Our headquarters is currently located in Waltham, Massachusetts, and consists of 12,207 square feet of leased office space under a lease that expires on March 1, 2022. We also have 4,039 square feet of leased office space in New York, New York, under a lease that expires on February 28, 2021. We believe that our existing facilities are sufficient for our needs for the foreseeable future. If we determine that additional or new facilities are needed in the future, we believe that sufficient options would be available to us on commercially reasonable terms.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firstLine="598"/>
        <w:spacing w:after="0" w:line="277" w:lineRule="auto"/>
        <w:rPr>
          <w:sz w:val="20"/>
          <w:szCs w:val="20"/>
          <w:color w:val="auto"/>
        </w:rPr>
      </w:pPr>
      <w:r>
        <w:rPr>
          <w:rFonts w:ascii="Arial" w:cs="Arial" w:eastAsia="Arial" w:hAnsi="Arial"/>
          <w:sz w:val="18"/>
          <w:szCs w:val="18"/>
          <w:color w:val="auto"/>
        </w:rPr>
        <w:t>Our common stock began trading on the Nasdaq Global Select Market on March 2, 2016, under the symbol “SNDX.” Prior to that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of March 4, 2020, we had approximately 51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i w:val="1"/>
          <w:iCs w:val="1"/>
          <w:color w:val="auto"/>
        </w:rPr>
        <w:t>The following table sets forth our selected consolidated financial data. We derived the consolidated statement of operations data for the years ended December 31, 2019, 2018, and 2017 and the consolidated balance sheet data as of December 31, 2019 and 2018, from our audited consolidated financial statements, included elsewhere in this Annual Report on Form 10-K. The following selected consolidated statements of operations data for the years ended December 31, 2016 and 2015 and the selected consolidated balance sheet data as of December 31, 2017, 2016 and 2015 are derived from our audited consolidated financial statements not included in this Annual Report on Form 10-K.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on Form 10-K. The selected consolidated financial data in this section is not intended to replace our consolidated financial statements and the related notes thereto.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 of Operations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gridSpan w:val="2"/>
            <w:vMerge w:val="continue"/>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3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30"/>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16,062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17,287</w:t>
            </w:r>
          </w:p>
        </w:tc>
        <w:tc>
          <w:tcPr>
            <w:tcW w:w="3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15,861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13,321</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59,056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77,393</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(57,539)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(75,876)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(61,954)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(43,766)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(expense)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55"/>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(56,047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300" w:type="dxa"/>
            <w:vAlign w:val="bottom"/>
            <w:tcBorders>
              <w:top w:val="single" w:sz="8" w:color="CFF0FC"/>
              <w:bottom w:val="single" w:sz="8" w:color="CFF0FC"/>
            </w:tcBorders>
            <w:shd w:val="clear" w:color="auto" w:fill="CFF0FC"/>
          </w:tcPr>
          <w:p>
            <w:pPr>
              <w:jc w:val="right"/>
              <w:ind w:right="155"/>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22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w:t>
            </w: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14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15"/>
                <w:szCs w:val="15"/>
                <w:color w:val="auto"/>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(56,047)</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55"/>
              <w:spacing w:after="0"/>
              <w:rPr>
                <w:sz w:val="20"/>
                <w:szCs w:val="20"/>
                <w:color w:val="auto"/>
              </w:rPr>
            </w:pPr>
            <w:r>
              <w:rPr>
                <w:rFonts w:ascii="Arial" w:cs="Arial" w:eastAsia="Arial" w:hAnsi="Arial"/>
                <w:sz w:val="18"/>
                <w:szCs w:val="18"/>
                <w:color w:val="auto"/>
              </w:rPr>
              <w:t>(73,961)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(60,802)</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(47,070)</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 (103,845)</w:t>
            </w:r>
          </w:p>
        </w:tc>
        <w:tc>
          <w:tcPr>
            <w:tcW w:w="0" w:type="dxa"/>
            <w:vAlign w:val="bottom"/>
          </w:tcPr>
          <w:p>
            <w:pPr>
              <w:spacing w:after="0"/>
              <w:rPr>
                <w:sz w:val="1"/>
                <w:szCs w:val="1"/>
                <w:color w:val="auto"/>
              </w:rPr>
            </w:pPr>
          </w:p>
        </w:tc>
      </w:tr>
      <w:tr>
        <w:trPr>
          <w:trHeight w:val="196"/>
        </w:trPr>
        <w:tc>
          <w:tcPr>
            <w:tcW w:w="426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w:t>
            </w:r>
          </w:p>
        </w:tc>
        <w:tc>
          <w:tcPr>
            <w:tcW w:w="10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stockholders--basic and diluted </w:t>
            </w:r>
            <w:r>
              <w:rPr>
                <w:rFonts w:ascii="Arial" w:cs="Arial" w:eastAsia="Arial" w:hAnsi="Arial"/>
                <w:sz w:val="15"/>
                <w:szCs w:val="15"/>
                <w:color w:val="auto"/>
              </w:rPr>
              <w:t>(1)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(1.84)</w:t>
            </w: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155"/>
              <w:spacing w:after="0"/>
              <w:rPr>
                <w:sz w:val="20"/>
                <w:szCs w:val="20"/>
                <w:color w:val="auto"/>
              </w:rPr>
            </w:pPr>
            <w:r>
              <w:rPr>
                <w:rFonts w:ascii="Arial" w:cs="Arial" w:eastAsia="Arial" w:hAnsi="Arial"/>
                <w:sz w:val="18"/>
                <w:szCs w:val="18"/>
                <w:color w:val="auto"/>
              </w:rPr>
              <w:t>(2.92)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(3.22)</w:t>
            </w:r>
          </w:p>
        </w:tc>
        <w:tc>
          <w:tcPr>
            <w:tcW w:w="10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 (1,519.27)</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common shares</w:t>
            </w: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140"/>
              <w:spacing w:after="0"/>
              <w:rPr>
                <w:sz w:val="20"/>
                <w:szCs w:val="20"/>
                <w:color w:val="auto"/>
              </w:rPr>
            </w:pPr>
            <w:r>
              <w:rPr>
                <w:rFonts w:ascii="Arial" w:cs="Arial" w:eastAsia="Arial" w:hAnsi="Arial"/>
                <w:sz w:val="18"/>
                <w:szCs w:val="18"/>
                <w:color w:val="auto"/>
              </w:rPr>
              <w:t xml:space="preserve">outstanding--basic and diluted </w:t>
            </w:r>
            <w:r>
              <w:rPr>
                <w:rFonts w:ascii="Arial" w:cs="Arial" w:eastAsia="Arial" w:hAnsi="Arial"/>
                <w:sz w:val="15"/>
                <w:szCs w:val="15"/>
                <w:color w:val="auto"/>
              </w:rPr>
              <w:t>(1)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30,490,783</w:t>
            </w:r>
          </w:p>
        </w:tc>
        <w:tc>
          <w:tcPr>
            <w:tcW w:w="220" w:type="dxa"/>
            <w:vAlign w:val="bottom"/>
          </w:tcPr>
          <w:p>
            <w:pPr>
              <w:spacing w:after="0"/>
              <w:rPr>
                <w:sz w:val="20"/>
                <w:szCs w:val="20"/>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25,371,511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20,997,211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14,619,716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w w:val="89"/>
              </w:rPr>
              <w:t>Consolidated Balance Sheet Data:</w:t>
            </w:r>
          </w:p>
        </w:tc>
        <w:tc>
          <w:tcPr>
            <w:tcW w:w="164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2620" w:type="dxa"/>
            <w:vAlign w:val="bottom"/>
            <w:tcBorders>
              <w:bottom w:val="single" w:sz="8" w:color="auto"/>
            </w:tcBorders>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short-term and long-</w:t>
            </w:r>
          </w:p>
        </w:tc>
        <w:tc>
          <w:tcPr>
            <w:tcW w:w="10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term investments</w:t>
            </w: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  59,775</w:t>
            </w: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80,911</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$ 133,220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$ 105,330</w:t>
            </w:r>
          </w:p>
        </w:tc>
        <w:tc>
          <w:tcPr>
            <w:tcW w:w="180" w:type="dxa"/>
            <w:vAlign w:val="bottom"/>
            <w:shd w:val="clear" w:color="auto" w:fill="CFF0FC"/>
          </w:tcPr>
          <w:p>
            <w:pPr>
              <w:spacing w:after="0"/>
              <w:rPr>
                <w:sz w:val="20"/>
                <w:szCs w:val="20"/>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43,963</w:t>
            </w: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67,241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117,644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98,144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63,525</w:t>
            </w: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109,013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319,113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15"/>
                <w:szCs w:val="15"/>
                <w:color w:val="auto"/>
              </w:rPr>
              <w:t>(2)</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6"/>
            <w:shd w:val="clear" w:color="auto" w:fill="CFF0FC"/>
          </w:tcPr>
          <w:p>
            <w:pPr>
              <w:jc w:val="right"/>
              <w:ind w:right="80"/>
              <w:spacing w:after="0"/>
              <w:rPr>
                <w:sz w:val="20"/>
                <w:szCs w:val="20"/>
                <w:color w:val="auto"/>
              </w:rPr>
            </w:pPr>
            <w:r>
              <w:rPr>
                <w:rFonts w:ascii="Arial" w:cs="Arial" w:eastAsia="Arial" w:hAnsi="Arial"/>
                <w:sz w:val="18"/>
                <w:szCs w:val="18"/>
                <w:color w:val="auto"/>
              </w:rPr>
              <w:t>(495,470)</w:t>
            </w:r>
          </w:p>
        </w:tc>
        <w:tc>
          <w:tcPr>
            <w:tcW w:w="1180" w:type="dxa"/>
            <w:vAlign w:val="bottom"/>
            <w:gridSpan w:val="5"/>
            <w:shd w:val="clear" w:color="auto" w:fill="CFF0FC"/>
          </w:tcPr>
          <w:p>
            <w:pPr>
              <w:jc w:val="right"/>
              <w:ind w:right="25"/>
              <w:spacing w:after="0"/>
              <w:rPr>
                <w:sz w:val="20"/>
                <w:szCs w:val="20"/>
                <w:color w:val="auto"/>
              </w:rPr>
            </w:pPr>
            <w:r>
              <w:rPr>
                <w:rFonts w:ascii="Arial" w:cs="Arial" w:eastAsia="Arial" w:hAnsi="Arial"/>
                <w:sz w:val="18"/>
                <w:szCs w:val="18"/>
                <w:color w:val="auto"/>
              </w:rPr>
              <w:t>(439,423)</w:t>
            </w:r>
          </w:p>
        </w:tc>
        <w:tc>
          <w:tcPr>
            <w:tcW w:w="12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(366,111)</w:t>
            </w:r>
          </w:p>
        </w:tc>
        <w:tc>
          <w:tcPr>
            <w:tcW w:w="10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(305,293)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(259,675)</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53,047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104,319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84,139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(252,415)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54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54" w:lineRule="exact"/>
        <w:rPr>
          <w:sz w:val="20"/>
          <w:szCs w:val="20"/>
          <w:color w:val="auto"/>
        </w:rPr>
      </w:pPr>
    </w:p>
    <w:p>
      <w:pPr>
        <w:ind w:left="600" w:right="40" w:hanging="592"/>
        <w:spacing w:after="0" w:line="221" w:lineRule="auto"/>
        <w:tabs>
          <w:tab w:leader="none" w:pos="6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See Note 6 to our consolidated financial statements included elsewhere herein for an explanation of the method used to compute basic and diluted net loss and net loss per share and the weighted-average number of shares used in the computation of the per share amounts.</w:t>
      </w:r>
    </w:p>
    <w:p>
      <w:pPr>
        <w:spacing w:after="0" w:line="27" w:lineRule="exact"/>
        <w:rPr>
          <w:rFonts w:ascii="Arial" w:cs="Arial" w:eastAsia="Arial" w:hAnsi="Arial"/>
          <w:sz w:val="25"/>
          <w:szCs w:val="25"/>
          <w:color w:val="auto"/>
          <w:vertAlign w:val="superscript"/>
        </w:rPr>
      </w:pPr>
    </w:p>
    <w:p>
      <w:pPr>
        <w:ind w:left="600" w:right="140" w:hanging="592"/>
        <w:spacing w:after="0" w:line="211" w:lineRule="auto"/>
        <w:tabs>
          <w:tab w:leader="none" w:pos="60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 xml:space="preserve">Accumulated deficit for 2018 includes the impact of the adoption of Accounting Standard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The impact on Accumulated deficit was an increase of $648,000.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60" w:firstLine="598"/>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entitled “Special Note Regarding Forward-Looking Statements.”</w:t>
      </w:r>
    </w:p>
    <w:p>
      <w:pPr>
        <w:spacing w:after="0" w:line="7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i w:val="1"/>
          <w:iCs w:val="1"/>
          <w:color w:val="auto"/>
        </w:rPr>
        <w:t>For the discussion of the financial condition and results of operations for the year ended December 31, 2018 compared to the year ended December 31, 2017, refer to "Management's Discussion and Analysis of Financial Condition and Results of Operations—Results of Operations" and "—Liquidity and Capital Resources" included in the Annual Report on Form 10-K filed with the SEC on March 7, 2019, and as amended on March 18, 2019, and is incorporated by reference herein.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are a clinical stage biopharmaceutical company developing an innovative pipeline of cancer therapies. We are developing our lead product candidate, entinostat, a once-weekly, oral, small molecule, Class I HDAC inhibitor, in combination with exemestane and several approved PD-1/PD-L1 antagonists. Our pipeline also includes SNDX-6352, a monoclonal antibody that blocks the colony stimulating factor 1, or CSF-1 receptor, as well as a portfolio of potent and selective inhibitors, including our lead candidate SNDX-5613, targeting the binding interaction of menin with mixed lineage leukemia-rearranged, or MLLr, and acute myeloid leukemia, or AML, with a mutated nucleophosmin 1, or NPM1. We plan to continue to leverage the technical and business expertise of our management team and scientific collaborators to license, acquire and develop additional cancer therapies to expand our pipeline.</w:t>
      </w:r>
    </w:p>
    <w:p>
      <w:pPr>
        <w:spacing w:after="0" w:line="16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years ended December 31, 2019, 2018, and 2017, we reported a net loss of $56.0 million, $74.0 million and $60.8 million, respectively. As of December 31, 2019, we had an accumulated deficit of $495.5 million, which included non-cash charges for stock-based compensation, preferred stock accretion and extinguishment charges. As of December 31, 2019, we had cash, cash equivalents and short-term investments of $59.8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continue to anticipate that the E2112 trial will reach 410 death events in the second quarter of 2020, which will trigger the final overall survival (OS) analysis. E2112 is our NCI-sponsored, ECOG-ACRIN-led Phase 3 registration trial of entinostat, a Class I selective HDAC inhibitor, plus exemestane in advanced hormone receptor positive, human epidermal growth factor receptor 2 negative (HR+, HER2-) breast cancer. A positive OS assessment would allow us to file for full regulatory approval in the U.S.</w:t>
      </w:r>
    </w:p>
    <w:p>
      <w:pPr>
        <w:spacing w:after="0" w:line="7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E2112 trial design was informed by the Phase 2b ENCORE 301 trial, the results of which led to entinostat's Breakthrough Therapy designation in HR+ breast cancer, in which patients receiving the entinostat/exemestane combination demonstrated a clinically meaningful OS benefit over treatment with exemestane alone. In preparation for the potential launch of entinostat in the U.S. in 2021, we are actively engaged in the expansion of our commercial and medical affairs functions.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SNDX-5613</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We recently announced two preclinical publications in </w:t>
      </w:r>
      <w:r>
        <w:rPr>
          <w:rFonts w:ascii="Arial" w:cs="Arial" w:eastAsia="Arial" w:hAnsi="Arial"/>
          <w:sz w:val="18"/>
          <w:szCs w:val="18"/>
          <w:i w:val="1"/>
          <w:iCs w:val="1"/>
          <w:u w:val="single" w:color="auto"/>
          <w:color w:val="auto"/>
        </w:rPr>
        <w:t>Cancer Cell</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Science</w:t>
      </w:r>
      <w:r>
        <w:rPr>
          <w:rFonts w:ascii="Arial" w:cs="Arial" w:eastAsia="Arial" w:hAnsi="Arial"/>
          <w:sz w:val="18"/>
          <w:szCs w:val="18"/>
          <w:color w:val="auto"/>
        </w:rPr>
        <w:t xml:space="preserve"> magazine supporting the potential for inhibitors of the MLL1-Menin interaction to serve as a treatment of acute leukemia patients with mixed lineage leukemia rearranged (MLL-r) or nucleophosmin (NPM1) mutations. These findings provide additional support for our ongoing AUGMENT-101 trial, a Phase 1/2 open-label trial of SNDX-5613, our potent, highly selective oral Menin inhibitor, in adults with relapsed/refractory acute leukemias, including MLL-r acute lymphoblastic leukemia (ALL), MLL-r acute myeloid leukemia (AML) and NPM1 mutant AML.</w:t>
      </w:r>
    </w:p>
    <w:p>
      <w:pPr>
        <w:spacing w:after="0" w:line="80"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Enrollment is ongoing in the Phase 1 dose escalation portion of AUGMENT-101. Following completion of the Phase 1 portion of the trial, which will establish a recommended Phase 2 dose, the Phase 2 portion will evaluate efficacy, as defined by Complete Response rate (per International Working Group response criteria), across three expansion cohorts: MLL-r ALL, MLL-r AML, and NPM1 mutant AML.</w:t>
      </w:r>
    </w:p>
    <w:p>
      <w:pPr>
        <w:spacing w:after="0" w:line="73"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As previously communicated, we anticipate presenting initial clinical data from AUGMENT-101 at a medical conference in the fourth quarter of 2020. Due to the open-label nature of the trial, meaningful interim data, including pharmacokinetic, pharmacodynamic and efficacy data, may be available earlier in the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SNDX-6352</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Enrollment of patients to the Phase 2 expansion cohort of axatilamab, the Company’s anti-CSF-1R monoclonal antibody, for the treatment of chronic graft versus host disease (cGVHD) is underway. The decision to move to the Phase 2 expansion was driven by </w:t>
      </w:r>
      <w:r>
        <w:rPr>
          <w:rFonts w:ascii="Arial" w:cs="Arial" w:eastAsia="Arial" w:hAnsi="Arial"/>
          <w:sz w:val="18"/>
          <w:szCs w:val="18"/>
          <w:u w:val="single" w:color="auto"/>
          <w:color w:val="auto"/>
        </w:rPr>
        <w:t>recently reported</w:t>
      </w:r>
      <w:r>
        <w:rPr>
          <w:rFonts w:ascii="Arial" w:cs="Arial" w:eastAsia="Arial" w:hAnsi="Arial"/>
          <w:sz w:val="18"/>
          <w:szCs w:val="18"/>
          <w:color w:val="auto"/>
        </w:rPr>
        <w:t xml:space="preserve"> encouraging proof of concept results from the Phase 1 portion of the trial, in which responses were observed in all evaluable patients as of the data cutoff date, with no dose limiting toxicities reported.</w:t>
      </w:r>
    </w:p>
    <w:p>
      <w:pPr>
        <w:spacing w:after="0" w:line="79" w:lineRule="exact"/>
        <w:rPr>
          <w:sz w:val="20"/>
          <w:szCs w:val="20"/>
          <w:color w:val="auto"/>
        </w:rPr>
      </w:pPr>
    </w:p>
    <w:p>
      <w:pPr>
        <w:ind w:right="600" w:firstLine="598"/>
        <w:spacing w:after="0" w:line="308" w:lineRule="auto"/>
        <w:rPr>
          <w:sz w:val="20"/>
          <w:szCs w:val="20"/>
          <w:color w:val="auto"/>
        </w:rPr>
      </w:pPr>
      <w:r>
        <w:rPr>
          <w:rFonts w:ascii="Arial" w:cs="Arial" w:eastAsia="Arial" w:hAnsi="Arial"/>
          <w:sz w:val="17"/>
          <w:szCs w:val="17"/>
          <w:color w:val="auto"/>
        </w:rPr>
        <w:t>The Phase 2 expansion cohort is expected to enroll up to 22 patients to further characterize the safety and efficacy of 1.0 mg/kg of axatilamab administered every two weeks. We expect to present additional results from the Phase 1/2 trial in the fourth quarter of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years ended December 31, 2019 and 2018 have been solely derived from our license agreement with Kyowa Kirin Co., Ltd., or KKC, under which 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 purchase of shares of our convertible preferred stock.</w:t>
      </w:r>
    </w:p>
    <w:p>
      <w:pPr>
        <w:spacing w:after="0" w:line="189" w:lineRule="exact"/>
        <w:rPr>
          <w:sz w:val="20"/>
          <w:szCs w:val="20"/>
          <w:color w:val="auto"/>
        </w:rPr>
      </w:pPr>
    </w:p>
    <w:p>
      <w:pPr>
        <w:jc w:val="both"/>
        <w:ind w:right="500" w:firstLine="598"/>
        <w:spacing w:after="0" w:line="264" w:lineRule="auto"/>
        <w:rPr>
          <w:sz w:val="20"/>
          <w:szCs w:val="20"/>
          <w:color w:val="auto"/>
        </w:rPr>
      </w:pPr>
      <w:r>
        <w:rPr>
          <w:rFonts w:ascii="Arial" w:cs="Arial" w:eastAsia="Arial" w:hAnsi="Arial"/>
          <w:sz w:val="18"/>
          <w:szCs w:val="18"/>
          <w:color w:val="auto"/>
        </w:rPr>
        <w:t>In October 2017, KKC enrolled the first Japanese patient into a local pivotal study of entinostat for the treatment of hormone receptor positive, human epidermal growth factor receptor 2 negative breast cancer. In accordance with the terms of the KKC License Agreement, in December 2017 we received a $5.0 million milestone payment from KKC for achievement of the development milestone.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200" w:right="100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7" w:name="page68"/>
    <w:bookmarkEnd w:id="67"/>
    <w:p>
      <w:pPr>
        <w:ind w:left="1200" w:right="18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December 31, 2019, we have incurred $254.7 million in research and development expenses.</w:t>
      </w:r>
    </w:p>
    <w:p>
      <w:pPr>
        <w:spacing w:after="0" w:line="15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8" w:name="page69"/>
    <w:bookmarkEnd w:id="68"/>
    <w:p>
      <w:pPr>
        <w:ind w:right="420"/>
        <w:spacing w:after="0" w:line="297" w:lineRule="auto"/>
        <w:rPr>
          <w:sz w:val="20"/>
          <w:szCs w:val="20"/>
          <w:color w:val="auto"/>
        </w:rPr>
      </w:pPr>
      <w:r>
        <w:rPr>
          <w:rFonts w:ascii="Arial" w:cs="Arial" w:eastAsia="Arial" w:hAnsi="Arial"/>
          <w:sz w:val="16"/>
          <w:szCs w:val="16"/>
          <w:color w:val="auto"/>
        </w:rPr>
        <w:t>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operating and capital leases.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on Form 10-K, we believe that the impact of recently issued standards that are not yet effective will not have a material impact on our financial position or results of operations upon adoption.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and liabilities, revenues and expenses, and other financial information.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89" w:lineRule="exact"/>
        <w:rPr>
          <w:sz w:val="20"/>
          <w:szCs w:val="20"/>
          <w:color w:val="auto"/>
        </w:rPr>
      </w:pPr>
    </w:p>
    <w:p>
      <w:pPr>
        <w:ind w:right="200" w:firstLine="598"/>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3 to our consolidated financial statements included elsewhere in this Annual Report on Form 10-K,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On January 1, 2018, we adopted Financial Accounting Standards Board Accounting Standards Codification Topic 606, Revenue from Contracts with Customers, or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reported results for 2019 and 2018 reflect the application of ASC 606 guidance, while the reported results for 2017 were prepared under the guidance of ASC 605, Revenue Recognition (ASC 605). The adoption of ASC 606 requires us to provide expanded disclosures related to our contracts with customers but did not have a material impact on the Company’s consolidated financial position, results of operations, equity or cash flows as of the adoption date. See note 4 to our consolidated financial statements included elsewhere herein for additional information on the impact of ASC 606 on our consolidated financial statements.</w:t>
      </w:r>
    </w:p>
    <w:p>
      <w:pPr>
        <w:spacing w:after="0" w:line="182"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license fee revenues, we applied and may continue to apply significant judgment to our KKC Agreement. We evaluated whether our contractual obligations represented distinct performance obligations. Such evaluation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9" w:name="page70"/>
    <w:bookmarkEnd w:id="69"/>
    <w:p>
      <w:pPr>
        <w:spacing w:after="0" w:line="254" w:lineRule="auto"/>
        <w:rPr>
          <w:sz w:val="20"/>
          <w:szCs w:val="20"/>
          <w:color w:val="auto"/>
        </w:rPr>
      </w:pPr>
      <w:r>
        <w:rPr>
          <w:rFonts w:ascii="Arial" w:cs="Arial" w:eastAsia="Arial" w:hAnsi="Arial"/>
          <w:sz w:val="18"/>
          <w:szCs w:val="18"/>
          <w:color w:val="auto"/>
        </w:rPr>
        <w:t>required judgment since it was made from the customer’s perspective. We determined that our performance obligations under the collaboration at contract inception were not distinct and represented a single performance obligation. The KKC agreement also includes variable consideration. We assess variable consideration at each reporting period as to whether it is not subject to significant future reversal and, therefore, should be included in the transaction price. For development milestones related to the KKC Agreement, the Company does not take a substantive role or control the research, development or commercialization of any products generated by KKC. Therefore, the Company is not able to reasonably estimate when, if at all, any development milestone payments may be payable to the Company. As such, the development milestone payments associated with the KKC Agreement involve a substantial degree of uncertainty and risk that they may never be received. Sales-based milestones and royalties will be recognized as royalty revenue in the period the related sale occurred.</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89"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years ended December 31, 2019, 2018 and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Years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2019 - 2018 Increase</w:t>
            </w:r>
          </w:p>
        </w:tc>
        <w:tc>
          <w:tcPr>
            <w:tcW w:w="200" w:type="dxa"/>
            <w:vAlign w:val="bottom"/>
          </w:tcPr>
          <w:p>
            <w:pPr>
              <w:spacing w:after="0"/>
              <w:rPr>
                <w:sz w:val="14"/>
                <w:szCs w:val="14"/>
                <w:color w:val="auto"/>
              </w:rPr>
            </w:pPr>
          </w:p>
        </w:tc>
        <w:tc>
          <w:tcPr>
            <w:tcW w:w="1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2018 - 2017 Increase</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(Decrease)</w:t>
            </w: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2"/>
              </w:rPr>
              <w:t>(Decrease)</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6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1,517</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2,108</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vMerge w:val="continue"/>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(17,112)</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1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17,287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15,861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(1,225)</w:t>
            </w:r>
          </w:p>
        </w:tc>
        <w:tc>
          <w:tcPr>
            <w:tcW w:w="2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vMerge w:val="continue"/>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77,393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(18,337)</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(75,876)</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(61,954)</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(18,337)</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60"/>
              <w:spacing w:after="0"/>
              <w:rPr>
                <w:sz w:val="20"/>
                <w:szCs w:val="20"/>
                <w:color w:val="auto"/>
              </w:rPr>
            </w:pPr>
            <w:r>
              <w:rPr>
                <w:rFonts w:ascii="Arial" w:cs="Arial" w:eastAsia="Arial" w:hAnsi="Arial"/>
                <w:sz w:val="18"/>
                <w:szCs w:val="18"/>
                <w:color w:val="auto"/>
              </w:rPr>
              <w:t>Interest (expense) income, net</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vMerge w:val="continue"/>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(56,047)</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(73,961)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(60,802)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(17,914)</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0"/>
        <w:spacing w:after="0" w:line="253" w:lineRule="auto"/>
        <w:rPr>
          <w:sz w:val="20"/>
          <w:szCs w:val="20"/>
          <w:color w:val="auto"/>
        </w:rPr>
      </w:pPr>
      <w:r>
        <w:rPr>
          <w:rFonts w:ascii="Arial" w:cs="Arial" w:eastAsia="Arial" w:hAnsi="Arial"/>
          <w:sz w:val="14"/>
          <w:szCs w:val="14"/>
          <w:i w:val="1"/>
          <w:iCs w:val="1"/>
          <w:color w:val="auto"/>
        </w:rPr>
        <w:t>For a comparison of our results of operations for the fiscal years ended December 31, 2018 and December 31, 2017, see “Part II, Item 7. Management’s Discussion and Analysis of Financial Condition and Results of Operations” of our Annual Report on Form 10-K for the fiscal year ended December 31, 2018, filed with the SEC on March 7,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the years ended December 31, 2019 and 2018, we recognized license fees of $1.5 million, derived from the KKC license agreement.</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For the year ended December 31, 2019, our total research and development expenses decreased $17.1 million, or 28%, to $43.0 million from $60.1 million for the prior year due to decreases in clinical trial activities of $11.1 million, employee related expenses of $1.3 million, professional expenses of $4.4 million and facility costs of $0.3 million. The decrease in clinical trial activities was primarily due to decreases in spending related to our ENCORE programs of $5.0 million, costs related to SNDX-6352 trials of $1.6 million, reduced clinical pharmacology programs of $0.4 million, reduced pharmacovigilance of $0.6 million and research studies of $1.3 million and chemical, manufacturing and control (CMC) activities related to SNDX-6352 of $9.4 million. This was partially offset by a $4.0 million expense recognized in 2019 upon achievement of certain milestones in connection with the menin program, increased clinical spending on menin of $2.9 million and increased spending on our E2112 program of $0.4 million. The decrease in employee compensation costs was primarily due to decreased headcount and travel, offset by increased stock option expenses. Professional fees decreased due to reduced NDA preparation expenses of $3.8 million and decreased contracted research of $0.6 million.</w:t>
      </w:r>
    </w:p>
    <w:p>
      <w:pPr>
        <w:spacing w:after="0" w:line="74"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We expect research and development expenses to fluctuate from quarter to quarter depending on the timing of clinical trial activities, clinical manufacturing and other development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ind w:left="60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Increase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(Decrease)</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(15,555)</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15,561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(1,557)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vMerge w:val="continue"/>
            <w:shd w:val="clear" w:color="auto" w:fill="CFF0FC"/>
          </w:tcPr>
          <w:p>
            <w:pPr>
              <w:spacing w:after="0"/>
              <w:rPr>
                <w:sz w:val="20"/>
                <w:szCs w:val="20"/>
                <w:color w:val="auto"/>
              </w:rPr>
            </w:pPr>
          </w:p>
        </w:tc>
        <w:tc>
          <w:tcPr>
            <w:tcW w:w="1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5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5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(17,112)</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For the year ended December 31, 2019, our total general and administrative expenses decreased $1.2 million, or 7%, to $16.1 million, from $17.3 million for the prior year. The decrease in general and administrative expenses was primarily due to decreased professional fees of $0.7 million, reduced legal spending of $0.4 million and decreased employee compensation of $0.1 million. The decrease in employee compensation was due to decreased non-cash charges related to stock-based compensation of $0.3 million, partially offset by increased salaries and bonuses of $0.2 million.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For the year ended December 31, 2019, interest income (expense), net, decreased $0.5 million from the prior year. This decrease was primarily due to a lower average cash and investment balance.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change in fair value of common stock warrant liability for the year ended December 31, 2017 decreased $1.7 million. There was no common stock warrant liability outstanding during the year ended December 31, 2017. At each period end until the closing of our IPO, the fair value of the outstanding common stock warrant liability was re-measured; and the change in the fair value was recorded in other expense in the consolidated statement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of December 31, 2019, we had cash, cash equivalents and short-term investments totaling $59.8 million. Since our inception, our operations have been primarily financed by net proceeds from our IPO, our follow-on stock offering, sale of convertible preferred stock and convertible debt securities and proceeds from our license agreements. We believe that our cash, cash equivalents and short-term investments as of December 31, 2019, in combination with the net proceeds of our January 2020 equity financing and February 2020 debt financing, described below,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74"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In January 2020, we sold 3,036,719 shares of our common stock at a price per share of $8.00 and pre-funded warrants to purchase 1,338,287 shares of our common stock for gross proceeds of approximately $35.0 million. Upon the completion of the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ind w:left="600"/>
        <w:spacing w:after="0"/>
        <w:rPr>
          <w:sz w:val="20"/>
          <w:szCs w:val="20"/>
          <w:color w:val="auto"/>
        </w:rPr>
      </w:pPr>
      <w:r>
        <w:rPr>
          <w:rFonts w:ascii="Arial" w:cs="Arial" w:eastAsia="Arial" w:hAnsi="Arial"/>
          <w:sz w:val="16"/>
          <w:szCs w:val="16"/>
          <w:color w:val="auto"/>
        </w:rPr>
        <w:t>In March 2019, we issued to certain investors an aggregate of 2,095,039 shares of our common stock and 2,500,000 pre-funded warrants to 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at a price of $6.00 per share of common stock and $5.9999 for each pre-funded warrant. We sold the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prefunded warrants together with two series of warrants, Series 1 warrants and Series 2 warrants, to purchase an aggregate of 4,595,039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pre-funded warrants enable the holder to make a cash investment in our common stock without increasing their beneficial ownership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because the shares of common stock underlying the pre-funded warrant are not issued or issuable until the warrant is actually exercised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becomes exercisable without exceeding the ownership limitations set forth in the pre-funded warrant. Each Series 1 warrant has an initial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 per share of common stock and each Series 2 warrant has an initial exercise price of $18.00 per share of common stock, in each case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The Series 1 warrants and Series 2 warrants contain a one-time exercise price adjustment. If we sell shares or share equivalents at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 per share at a time when our Series 1 warrants and Series 2 warrants are outstanding, then an exercise price for those warrants would be 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downward, which will result in us receiving less proceeds than we otherwise would and could result in further dilution to our stockholders if such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then exercised. As a result of the 2020 offering, the initial exercise price of the Series 1 warrants was reduced to $10.00 per share and the initial exercise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the Series 2 warrants was reduced to $13.00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3"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w:t>
      </w:r>
    </w:p>
    <w:p>
      <w:pPr>
        <w:spacing w:after="0" w:line="1" w:lineRule="exact"/>
        <w:rPr>
          <w:sz w:val="20"/>
          <w:szCs w:val="20"/>
          <w:color w:val="auto"/>
        </w:rPr>
      </w:pPr>
    </w:p>
    <w:p>
      <w:pPr>
        <w:ind w:right="20" w:firstLine="8"/>
        <w:spacing w:after="0" w:line="281"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Hercules’ investment committee approval, an additional term loan of up to $10.0 million, available for borrowing from February 7, 2020 to December 15, 2020, which we refer to as the Tranche 2 Advance. Borrowings under the Loan Agreement bear interest at an annual rate equal to the greater of</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9.85% or (ii) 5.10% plus the Wall Street Journal prime rate.</w:t>
      </w:r>
    </w:p>
    <w:p>
      <w:pPr>
        <w:spacing w:after="0" w:line="9" w:lineRule="exact"/>
        <w:rPr>
          <w:rFonts w:ascii="Arial" w:cs="Arial" w:eastAsia="Arial" w:hAnsi="Arial"/>
          <w:sz w:val="18"/>
          <w:szCs w:val="18"/>
          <w:color w:val="auto"/>
        </w:rPr>
      </w:pPr>
    </w:p>
    <w:p>
      <w:pPr>
        <w:ind w:right="40" w:firstLine="598"/>
        <w:spacing w:after="0" w:line="281" w:lineRule="auto"/>
        <w:rPr>
          <w:rFonts w:ascii="Arial" w:cs="Arial" w:eastAsia="Arial" w:hAnsi="Arial"/>
          <w:sz w:val="18"/>
          <w:szCs w:val="18"/>
          <w:color w:val="auto"/>
        </w:rPr>
      </w:pPr>
      <w:r>
        <w:rPr>
          <w:rFonts w:ascii="Arial" w:cs="Arial" w:eastAsia="Arial" w:hAnsi="Arial"/>
          <w:sz w:val="16"/>
          <w:szCs w:val="16"/>
          <w:color w:val="auto"/>
        </w:rPr>
        <w:t>Borrowings under the Loan Agreement are repayable in monthly interest-only payments through October 1, 2021, or April 1, 2022 if the Phase 3 clinical trial of entinostat (E2112) in patients with advanced HR+, HER2- breast cancer has achieved the primary efficacy endpoint sufficient to file an NDA as the next step in clinical development, or the Performance Milestone. After the interest-only payment period, borrowings under the Loan Agreement are repayable in equal monthly payments of principal and accrued interest until the maturity date of the loan, which is either (i) September 1, 2023, or (ii) March 1, 2024 upon achievement of the Performance Milestone, or the Maturity Date. At our option, we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we paid a $100,000 facility charge upon closing and will pay a $50,000 facility charge in connection with the Tranche 2 Advance. The Loan Agreement also provides for a final payment, payable upon maturity or the repayment in full of all obligations under the agreement, of up to $998,000.</w:t>
      </w:r>
    </w:p>
    <w:p>
      <w:pPr>
        <w:spacing w:after="0" w:line="6" w:lineRule="exact"/>
        <w:rPr>
          <w:rFonts w:ascii="Arial" w:cs="Arial" w:eastAsia="Arial" w:hAnsi="Arial"/>
          <w:sz w:val="18"/>
          <w:szCs w:val="18"/>
          <w:color w:val="auto"/>
        </w:rPr>
      </w:pPr>
    </w:p>
    <w:p>
      <w:pPr>
        <w:ind w:firstLine="598"/>
        <w:spacing w:after="0" w:line="268" w:lineRule="auto"/>
        <w:rPr>
          <w:rFonts w:ascii="Arial" w:cs="Arial" w:eastAsia="Arial" w:hAnsi="Arial"/>
          <w:sz w:val="18"/>
          <w:szCs w:val="18"/>
          <w:color w:val="auto"/>
        </w:rPr>
      </w:pPr>
      <w:r>
        <w:rPr>
          <w:rFonts w:ascii="Arial" w:cs="Arial" w:eastAsia="Arial" w:hAnsi="Arial"/>
          <w:sz w:val="17"/>
          <w:szCs w:val="17"/>
          <w:color w:val="auto"/>
        </w:rPr>
        <w:t>Borrowings under the Loan Agreement are collateralized by substantially all of our and our subsidiaries personal property and other assets, other than our intellectual property. The Loan Agreement includes a minimum cash covenant of $12.5 million that applies commencing on September 30, 2020, subject to reduction upon satisfaction of certain conditions as set forth in the Loan Agreement.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3" w:name="page74"/>
    <w:bookmarkEnd w:id="73"/>
    <w:p>
      <w:pPr>
        <w:ind w:right="2200"/>
        <w:spacing w:after="0" w:line="277" w:lineRule="auto"/>
        <w:rPr>
          <w:sz w:val="20"/>
          <w:szCs w:val="20"/>
          <w:color w:val="auto"/>
        </w:rPr>
      </w:pPr>
      <w:r>
        <w:rPr>
          <w:rFonts w:ascii="Arial" w:cs="Arial" w:eastAsia="Arial" w:hAnsi="Arial"/>
          <w:sz w:val="18"/>
          <w:szCs w:val="18"/>
          <w:color w:val="auto"/>
        </w:rPr>
        <w:t xml:space="preserve">declare all outstanding obligations immediately due and payable and take such other actions as set forth in the Loan Agreement. </w:t>
      </w:r>
      <w:r>
        <w:rPr>
          <w:rFonts w:ascii="Arial" w:cs="Arial" w:eastAsia="Arial" w:hAnsi="Arial"/>
          <w:sz w:val="18"/>
          <w:szCs w:val="18"/>
          <w:b w:val="1"/>
          <w:bCs w:val="1"/>
          <w:i w:val="1"/>
          <w:iCs w:val="1"/>
          <w:color w:val="auto"/>
        </w:rPr>
        <w:t>At-the-Market Offering Program</w:t>
      </w:r>
    </w:p>
    <w:p>
      <w:pPr>
        <w:spacing w:after="0" w:line="170"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In April 2017, we entered into a sales agreement with Cowen, under which we may issue and sell shares of our common stock having aggregate sales proceeds of up to $50.0 million from time to time, or the 2017 ATM Program. Shares sold pursuant to the sales agreement were sold pursuant to a shelf registration statement on Form S-3 (Registration No. 333-217172), which was declared effective on April 20, 2017. The proceeds from the offerings, if any, were used for general corporate purposes, including expenditures for research and development of our drug products. In 2019, prior to the effectiveness of the 2019 ATM Program, we sold 140,819 shares of common stock, with net proceeds of $0.9 million.</w:t>
      </w:r>
    </w:p>
    <w:p>
      <w:pPr>
        <w:spacing w:after="0" w:line="17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August 2019, we entered into a new sales agreement with Cowen under which we may issue and sell shares of our common stock having aggregate sales proceeds of up to $50.0 million from time to time pursuant to the ATM program, or the 2019 ATM Program. Cowen is not required to sell any specific amount but acts as our sales agent using commercially reasonable efforts consistent with their normal trading and sales practices. This agreement replaced the sales agreement signed in April 2017. Shares sold pursuant to the sales agreement will be sold pursuant to a shelf registration statement on Form S-3 (Registration No. 333-233564), which was declared effective on September 10, 2019. Our common stock will be sold at prevailing market prices at the time of the sale; and as a result, prices may vary. We will pay Cowen up to 3% of the gross proceeds from any common stock sold through the sales agreement. The proceeds from the offerings, if any, will be used to fund the research and development of our product candidates, acquire or invest in businesses, products or technologies that are complementary to our own, although we have no current plans, commitments or agreements with respect to any acquisitions as of the date of this prospectus, and for working capital and general corporate purposes. As of December 31, 2019, $50.0 million of common stock remained available for sale under the 2019 ATM Program. No shares of common stock have been sold under the 2019 ATM Program from December 31, 2019 through the date of this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73" w:lineRule="exact"/>
        <w:rPr>
          <w:sz w:val="20"/>
          <w:szCs w:val="20"/>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200" w:right="340" w:hanging="598"/>
        <w:spacing w:after="0" w:line="308" w:lineRule="auto"/>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200" w:right="280" w:hanging="598"/>
        <w:spacing w:after="0" w:line="264"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left="1200" w:right="12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product candidate receives regulatory approval and we determine to commercialize it ourselves;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as we grow our company; and</w:t>
      </w:r>
    </w:p>
    <w:p>
      <w:pPr>
        <w:spacing w:after="0" w:line="62" w:lineRule="exact"/>
        <w:rPr>
          <w:rFonts w:ascii="Arial" w:cs="Arial" w:eastAsia="Arial" w:hAnsi="Arial"/>
          <w:sz w:val="18"/>
          <w:szCs w:val="18"/>
          <w:color w:val="auto"/>
        </w:rPr>
      </w:pPr>
    </w:p>
    <w:p>
      <w:pPr>
        <w:ind w:left="1200" w:right="620" w:hanging="598"/>
        <w:spacing w:after="0" w:line="342" w:lineRule="auto"/>
        <w:tabs>
          <w:tab w:leader="none" w:pos="1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cost of conducting pre-commercialization activities and establishing sales, marketing and distribution capabilities for our product candidates if any of our product candidates receives regulatory approval and we determine to commercialize it ourselves.</w:t>
      </w:r>
    </w:p>
    <w:p>
      <w:pPr>
        <w:spacing w:after="0" w:line="124"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54"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As of December 31, 2019, we had an accumulated deficit of $495.5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ectPr>
          <w:pgSz w:w="11900" w:h="16838" w:orient="portrait"/>
          <w:cols w:equalWidth="0" w:num="1">
            <w:col w:w="11380"/>
          </w:cols>
          <w:pgMar w:left="240" w:top="449" w:right="27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cash flows:</w:t>
      </w: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operating activities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cash provided by (used in) investing activities</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0"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Net (decrease) increase in cash and cash equivalents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852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5" w:lineRule="exact"/>
        <w:rPr>
          <w:sz w:val="20"/>
          <w:szCs w:val="20"/>
          <w:color w:val="auto"/>
        </w:rPr>
      </w:pPr>
    </w:p>
    <w:p>
      <w:pPr>
        <w:ind w:left="260"/>
        <w:spacing w:after="0"/>
        <w:tabs>
          <w:tab w:leader="none" w:pos="1280" w:val="left"/>
          <w:tab w:leader="none" w:pos="23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15" w:lineRule="exact"/>
        <w:rPr>
          <w:sz w:val="20"/>
          <w:szCs w:val="20"/>
          <w:color w:val="auto"/>
        </w:rPr>
      </w:pPr>
    </w:p>
    <w:p>
      <w:pPr>
        <w:ind w:left="260" w:hanging="253"/>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(50,612)  $  (68,531)  $  (47,371)</w:t>
      </w:r>
    </w:p>
    <w:p>
      <w:pPr>
        <w:spacing w:after="0" w:line="3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12,78151,398</w:t>
      </w:r>
      <w:r>
        <w:rPr>
          <w:rFonts w:ascii="Arial" w:cs="Arial" w:eastAsia="Arial" w:hAnsi="Arial"/>
          <w:sz w:val="16"/>
          <w:szCs w:val="16"/>
          <w:color w:val="auto"/>
        </w:rPr>
        <w:t>(17,072)</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u w:val="single" w:color="auto"/>
          <w:color w:val="auto"/>
        </w:rPr>
        <w:t>28,57015,729</w:t>
      </w:r>
      <w:r>
        <w:rPr>
          <w:rFonts w:ascii="Arial" w:cs="Arial" w:eastAsia="Arial" w:hAnsi="Arial"/>
          <w:sz w:val="16"/>
          <w:szCs w:val="16"/>
          <w:color w:val="auto"/>
        </w:rPr>
        <w:t>75,722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14605</wp:posOffset>
            </wp:positionV>
            <wp:extent cx="531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0" w:lineRule="exact"/>
        <w:rPr>
          <w:sz w:val="20"/>
          <w:szCs w:val="20"/>
          <w:color w:val="auto"/>
        </w:rPr>
      </w:pPr>
    </w:p>
    <w:p>
      <w:pPr>
        <w:spacing w:after="0"/>
        <w:tabs>
          <w:tab w:leader="none" w:pos="340" w:val="left"/>
          <w:tab w:leader="none" w:pos="1020" w:val="left"/>
          <w:tab w:leader="none" w:pos="1380" w:val="left"/>
          <w:tab w:leader="none" w:pos="2060" w:val="left"/>
          <w:tab w:leader="none" w:pos="240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(9,261</w:t>
      </w:r>
      <w:r>
        <w:rPr>
          <w:rFonts w:ascii="Arial" w:cs="Arial" w:eastAsia="Arial" w:hAnsi="Arial"/>
          <w:sz w:val="18"/>
          <w:szCs w:val="18"/>
          <w:color w:val="auto"/>
        </w:rPr>
        <w:t>)</w:t>
      </w:r>
      <w:r>
        <w:rPr>
          <w:sz w:val="20"/>
          <w:szCs w:val="20"/>
          <w:color w:val="auto"/>
        </w:rPr>
        <w:tab/>
      </w:r>
      <w:r>
        <w:rPr>
          <w:rFonts w:ascii="Arial" w:cs="Arial" w:eastAsia="Arial" w:hAnsi="Arial"/>
          <w:sz w:val="18"/>
          <w:szCs w:val="18"/>
          <w:u w:val="single" w:color="auto"/>
          <w:color w:val="auto"/>
        </w:rPr>
        <w:t>$</w:t>
        <w:tab/>
        <w:t>(1,404</w:t>
      </w:r>
      <w:r>
        <w:rPr>
          <w:rFonts w:ascii="Arial" w:cs="Arial" w:eastAsia="Arial" w:hAnsi="Arial"/>
          <w:sz w:val="18"/>
          <w:szCs w:val="18"/>
          <w:color w:val="auto"/>
        </w:rPr>
        <w:t>)</w:t>
      </w:r>
      <w:r>
        <w:rPr>
          <w:rFonts w:ascii="Arial" w:cs="Arial" w:eastAsia="Arial" w:hAnsi="Arial"/>
          <w:sz w:val="18"/>
          <w:szCs w:val="18"/>
          <w:u w:val="single" w:color="auto"/>
          <w:color w:val="auto"/>
        </w:rPr>
        <w:tab/>
        <w:t>$</w:t>
      </w:r>
      <w:r>
        <w:rPr>
          <w:sz w:val="20"/>
          <w:szCs w:val="20"/>
          <w:color w:val="auto"/>
        </w:rPr>
        <w:tab/>
      </w:r>
      <w:r>
        <w:rPr>
          <w:rFonts w:ascii="Arial" w:cs="Arial" w:eastAsia="Arial" w:hAnsi="Arial"/>
          <w:sz w:val="16"/>
          <w:szCs w:val="16"/>
          <w:u w:val="single" w:color="auto"/>
          <w:color w:val="auto"/>
        </w:rPr>
        <w:t>11,279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852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6540" w:space="720"/>
            <w:col w:w="4120"/>
          </w:cols>
          <w:pgMar w:left="240" w:top="449" w:right="279" w:bottom="1440" w:gutter="0" w:footer="0" w:header="0"/>
          <w:type w:val="continuous"/>
        </w:sectPr>
      </w:pPr>
    </w:p>
    <w:p>
      <w:pPr>
        <w:ind w:firstLine="598"/>
        <w:spacing w:after="0" w:line="257" w:lineRule="auto"/>
        <w:rPr>
          <w:sz w:val="20"/>
          <w:szCs w:val="20"/>
          <w:color w:val="auto"/>
        </w:rPr>
      </w:pPr>
      <w:r>
        <w:rPr>
          <w:rFonts w:ascii="Arial" w:cs="Arial" w:eastAsia="Arial" w:hAnsi="Arial"/>
          <w:sz w:val="18"/>
          <w:szCs w:val="18"/>
          <w:color w:val="auto"/>
        </w:rPr>
        <w:t>Net cash used in operating activities for the year ended December 31, 2019 was $50.6 million and primarily consisted of our net loss of $56.0 million adjusted for non-cash items including stock-based compensation of $6.0 million and a net increase in operating assets and liabilities of $0.1 million. The significant items in the increase in operating assets and liabilities include an increase in prepaid expenses and other assets of $0.3 million and a decrease in deferred revenue of $1.5 million partially offset by increases in accounts payable of $4.7 million and decease in accrued expenses and other liabilities of $3.4 million.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75" w:name="page76"/>
    <w:bookmarkEnd w:id="75"/>
    <w:p>
      <w:pPr>
        <w:ind w:right="40" w:firstLine="598"/>
        <w:spacing w:after="0" w:line="257" w:lineRule="auto"/>
        <w:rPr>
          <w:sz w:val="20"/>
          <w:szCs w:val="20"/>
          <w:color w:val="auto"/>
        </w:rPr>
      </w:pPr>
      <w:r>
        <w:rPr>
          <w:rFonts w:ascii="Arial" w:cs="Arial" w:eastAsia="Arial" w:hAnsi="Arial"/>
          <w:sz w:val="18"/>
          <w:szCs w:val="18"/>
          <w:color w:val="auto"/>
        </w:rPr>
        <w:t>Net cash used in operating activities for the year ended December 31, 2018 was $68.5 million and primarily consisted of our net loss of $74.0 million adjusted for non-cash items including stock-based compensation of $6.2 million and a net decrease in operating assets and liabilities of $0.3 million. The significant items in the decrease in operating assets and liabilities include an increase in prepaid expenses and other assets of $1.0 million and a decrease in deferred revenue of $1.5 million partially offset by a decrease in accounts payable of $0.8 million and an increase in accrued expenses and other liabilities of $1.0 million.</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Net cash provided by investing activities for the year ended December 31, 2019 was $12.8 million and was primarily due to the purchase of $104.0 million of available-for-sale marketable securities offset by $116.8 million in proceeds from the maturities of available-for-sale marketable securities.</w:t>
      </w:r>
    </w:p>
    <w:p>
      <w:pPr>
        <w:spacing w:after="0" w:line="16"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Net cash provided by investing activities for the year ended December 31, 2018 was $51.4 million and primarily due to the purchases of available-for-sale marketable securities of $78.8 million and property and equipment of $0.2 million offset by proceeds from the maturities of available-for-sale marketable securities of $130.4 million.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right="380" w:firstLine="598"/>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2019 was $28.6 million and was primarily due to the $27.4 million of proceeds from a direct placement offering, the $0.8 million of proceeds from the 2017 ATM Program, and the $0.4 million of proceeds from stock option exercises and ESPP purchases.</w:t>
      </w:r>
    </w:p>
    <w:p>
      <w:pPr>
        <w:spacing w:after="0" w:line="73"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2018 was $15.7 million and was primarily due to the net proceeds from “at-the-market” offerings of $15.5 million and $0.2 million from stock option exercises and ESPP employee stock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significant contractual obligations as of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to 5</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leases for office space </w:t>
            </w:r>
            <w:r>
              <w:rPr>
                <w:rFonts w:ascii="Arial" w:cs="Arial" w:eastAsia="Arial" w:hAnsi="Arial"/>
                <w:sz w:val="15"/>
                <w:szCs w:val="15"/>
                <w:color w:val="auto"/>
              </w:rPr>
              <w:t>(1)</w:t>
            </w:r>
          </w:p>
        </w:tc>
        <w:tc>
          <w:tcPr>
            <w:tcW w:w="1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 xml:space="preserve">Operating lease for office equipment </w:t>
            </w:r>
            <w:r>
              <w:rPr>
                <w:rFonts w:ascii="Arial" w:cs="Arial" w:eastAsia="Arial" w:hAnsi="Arial"/>
                <w:sz w:val="15"/>
                <w:szCs w:val="15"/>
                <w:color w:val="auto"/>
              </w:rPr>
              <w:t>(2)</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Capital lease for office equipment </w:t>
            </w:r>
            <w:r>
              <w:rPr>
                <w:rFonts w:ascii="Arial" w:cs="Arial" w:eastAsia="Arial" w:hAnsi="Arial"/>
                <w:sz w:val="15"/>
                <w:szCs w:val="15"/>
                <w:color w:val="auto"/>
              </w:rPr>
              <w:t>(3)</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6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line="297" w:lineRule="auto"/>
        <w:tabs>
          <w:tab w:leader="none" w:pos="600" w:val="left"/>
        </w:tabs>
        <w:numPr>
          <w:ilvl w:val="0"/>
          <w:numId w:val="43"/>
        </w:numPr>
        <w:rPr>
          <w:rFonts w:ascii="Arial" w:cs="Arial" w:eastAsia="Arial" w:hAnsi="Arial"/>
          <w:sz w:val="14"/>
          <w:szCs w:val="14"/>
          <w:color w:val="auto"/>
        </w:rPr>
      </w:pPr>
      <w:r>
        <w:rPr>
          <w:rFonts w:ascii="Arial" w:cs="Arial" w:eastAsia="Arial" w:hAnsi="Arial"/>
          <w:sz w:val="16"/>
          <w:szCs w:val="16"/>
          <w:color w:val="auto"/>
        </w:rPr>
        <w:t>In September 2016, we entered into a new five-year operating lease for office space in Waltham, Massachusetts, with a lease commencement date of March 1, 2017. We have the right to terminate the Waltham lease after three years as long as proper notice is given and a termination fee of $55,000 is paid on the lease termination date. The landlord also has the right to terminate the Waltham least after three years as long as proper notice is given. In December 2015, we entered into a 62-month building lease for office space in New York, New York, which commenced on January 1, 2016. The minimum lease payments above do not include any related common area maintenance charges or real estate taxes.</w:t>
      </w:r>
    </w:p>
    <w:p>
      <w:pPr>
        <w:spacing w:after="0" w:line="50" w:lineRule="exact"/>
        <w:rPr>
          <w:rFonts w:ascii="Arial" w:cs="Arial" w:eastAsia="Arial" w:hAnsi="Arial"/>
          <w:sz w:val="14"/>
          <w:szCs w:val="14"/>
          <w:color w:val="auto"/>
        </w:rPr>
      </w:pPr>
    </w:p>
    <w:p>
      <w:pPr>
        <w:ind w:left="600" w:hanging="592"/>
        <w:spacing w:after="0"/>
        <w:tabs>
          <w:tab w:leader="none" w:pos="600" w:val="left"/>
        </w:tabs>
        <w:numPr>
          <w:ilvl w:val="0"/>
          <w:numId w:val="43"/>
        </w:numPr>
        <w:rPr>
          <w:rFonts w:ascii="Arial" w:cs="Arial" w:eastAsia="Arial" w:hAnsi="Arial"/>
          <w:sz w:val="15"/>
          <w:szCs w:val="15"/>
          <w:color w:val="auto"/>
        </w:rPr>
      </w:pPr>
      <w:r>
        <w:rPr>
          <w:rFonts w:ascii="Arial" w:cs="Arial" w:eastAsia="Arial" w:hAnsi="Arial"/>
          <w:sz w:val="18"/>
          <w:szCs w:val="18"/>
          <w:color w:val="auto"/>
        </w:rPr>
        <w:t>In February 2016, we entered into a five-year non-cancelable operating lease for office equipment.</w:t>
      </w:r>
    </w:p>
    <w:p>
      <w:pPr>
        <w:spacing w:after="0" w:line="117" w:lineRule="exact"/>
        <w:rPr>
          <w:rFonts w:ascii="Arial" w:cs="Arial" w:eastAsia="Arial" w:hAnsi="Arial"/>
          <w:sz w:val="15"/>
          <w:szCs w:val="15"/>
          <w:color w:val="auto"/>
        </w:rPr>
      </w:pPr>
    </w:p>
    <w:p>
      <w:pPr>
        <w:ind w:left="600" w:right="340" w:hanging="592"/>
        <w:spacing w:after="0" w:line="277" w:lineRule="auto"/>
        <w:tabs>
          <w:tab w:leader="none" w:pos="600" w:val="left"/>
        </w:tabs>
        <w:numPr>
          <w:ilvl w:val="0"/>
          <w:numId w:val="43"/>
        </w:numPr>
        <w:rPr>
          <w:rFonts w:ascii="Arial" w:cs="Arial" w:eastAsia="Arial" w:hAnsi="Arial"/>
          <w:sz w:val="15"/>
          <w:szCs w:val="15"/>
          <w:color w:val="auto"/>
        </w:rPr>
      </w:pPr>
      <w:r>
        <w:rPr>
          <w:rFonts w:ascii="Arial" w:cs="Arial" w:eastAsia="Arial" w:hAnsi="Arial"/>
          <w:sz w:val="18"/>
          <w:szCs w:val="18"/>
          <w:color w:val="auto"/>
        </w:rPr>
        <w:t>In April 2018, we entered into a four-year non-cancelable lease for office equipment, which is accounted for as a capital lease. The leased asset is included in property, plant and equipment, at cost.</w:t>
      </w:r>
    </w:p>
    <w:p>
      <w:pPr>
        <w:spacing w:after="0" w:line="170"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The contractual obligations table does not include any potential contingent payments upon the achievement by us of clinical, regulatory and commercial events, as applicable, or royalty payments we may be required to make under license or collaboration agreements we have entered into with various entities pursuant to which we have in-licensed certain intellectual property. See “Business—Collaborations,” “Business—License Agreements” and “Business—In-Licensed Intellectual Property” for additional information. The table also excludes potential payments we may be required to make under manufacturing agreements as the timing of when these payments will actually be made is uncertain and the payments are contingent upon the initiation and completion of future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p>
      <w:pPr>
        <w:ind w:right="120" w:firstLine="598"/>
        <w:spacing w:after="0" w:line="279" w:lineRule="auto"/>
        <w:rPr>
          <w:sz w:val="20"/>
          <w:szCs w:val="20"/>
          <w:color w:val="auto"/>
        </w:rPr>
      </w:pPr>
      <w:r>
        <w:rPr>
          <w:rFonts w:ascii="Arial" w:cs="Arial" w:eastAsia="Arial" w:hAnsi="Arial"/>
          <w:sz w:val="17"/>
          <w:szCs w:val="17"/>
          <w:color w:val="auto"/>
        </w:rPr>
        <w:t>We also have employment agreements with executive officers and certain other key employees that would require us to make severance payments to them if we terminate their employment without cause or the they resign for good cause. The payments are contingent upon the occurrence of various future events, and the amounts payable under these provisions depend upon the level of compensation at the time of termination of employment, are therefore not calculable at this time, and, as a result, we have not included any such amounts in the above table.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At December 31, 2019, we had federal and state tax net operating loss carryforwards of approximately $68.0 million and $33.1 million, respectively. The federal and state net operating loss carryforwards begin to expire at various dates starting in 2025. Any federal net operating loss incurred in 2018 and in future years may now be carried forward indefinitely pursuant to the Tax Cuts and Jobs Act of 2017. It is uncertain if and to what extent various states will conform to the newly enacted federal tax law. At December 31, 2019, we had available income tax credits of approximately $4.5 million, with $2.9 million attributable to Federal R&amp;D Credits and $1.6 million attributable to state R&amp;D Credits, which are available to reduce future income taxes, if any. These income tax credits begin to expire in 2021.</w:t>
      </w:r>
    </w:p>
    <w:p>
      <w:pPr>
        <w:spacing w:after="0" w:line="193"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60" w:firstLine="598"/>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39" w:lineRule="exact"/>
        <w:rPr>
          <w:sz w:val="20"/>
          <w:szCs w:val="20"/>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non-binding stockholder advisory votes on executive compensation or golden parachute arrangements;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have taken advantage of reduced reporting burdens in this Annual Report on Form 10-K. In particular, in this Annual Report on Form 10-K, we have not included all of the executive compensation related information that would be required if we were not an emerging growth company. We may take advantage of these exemptions for up to five years or such earlier time that we are no longer an emerging growth company. We would cease to be an emerging growth company if we have more than $1.07 billion in annual revenues as of the end of any fiscal year, if we are deemed to be a large accelerated filer under the rules of the Securities and Exchange Commission, or SEC, or if we issue more than $1.0 billion of non-convertible debt over a three-year period.</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December 31, 2019, we had cash and cash equivalents of $24.6 million, consisting of overnight investments, interest-bearing money market funds and highly rated corporate bonds and short-term investments of $35.2 million, consisting of commercial paper, highly rated corporate bonds and credit card asset backed securities.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in this Annual Report on Form 10-K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as of December 31, 2019, our principal executive officer and principal financial officer concluded that our disclosure controls and procedures as of such date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2019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2019.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79" w:name="page80"/>
    <w:bookmarkEnd w:id="79"/>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“Information About Our Board of Directors,” “Executive Officers” and “The Board of Directors and Its Committees” in our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in our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Related Stockholder Matters” in our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“The Board of Directors and Its Committees – Board Independence” and “Certain Relationships and Related Party Transactions” in our 2020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“Independent Registered Public Accounting Firm Fees” contained in Proposal 2 in our 2020 Proxy Statement.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response to this portion of Item 15 is set forth under Item 8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300" w:type="dxa"/>
            <w:vAlign w:val="bottom"/>
            <w:gridSpan w:val="19"/>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30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70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Amended and Restated Certificate of Incorporation of the Company (incorporated herein by reference to Exhibit 3.1 to the Company’s</w:t>
              </w:r>
            </w:hyperlink>
          </w:p>
        </w:tc>
        <w:tc>
          <w:tcPr>
            <w:tcW w:w="340" w:type="dxa"/>
            <w:vAlign w:val="bottom"/>
            <w:tcBorders>
              <w:top w:val="single" w:sz="8" w:color="auto"/>
            </w:tcBorders>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Current Report on Form 8-K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Amended and Restated Bylaws of the Company (incorporated herein by reference to Exhibit 3.2 to the Company’s Current Report on</w:t>
              </w:r>
            </w:hyperlink>
          </w:p>
        </w:tc>
        <w:tc>
          <w:tcPr>
            <w:tcW w:w="4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Form 8-K (File No. 001-37708), as filed with the SEC on March 8, 2016).</w:t>
              </w:r>
            </w:hyperlink>
          </w:p>
        </w:tc>
        <w:tc>
          <w:tcPr>
            <w:tcW w:w="46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4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Statement on Form S-1/A (File No. 333-208861), as filed with the SEC on February 20,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Form of Pre-Funded Warrant to purchase Common Stock issued pursuant to the Exchange Agreement between the Company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Biotechnology Value Fund, L.P., Biotechnology Value Fund II, L.P. and Biotechnology Value Trading Fund OS, L.P., dated June 18,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Exhibit 4.1 to the Company’s Current Report on Form 8-K (File No. 001-37708), as filed with the SEC on</w:t>
              </w:r>
            </w:hyperlink>
          </w:p>
        </w:tc>
        <w:tc>
          <w:tcPr>
            <w:tcW w:w="12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04">
              <w:r>
                <w:rPr>
                  <w:rFonts w:ascii="Arial" w:cs="Arial" w:eastAsia="Arial" w:hAnsi="Arial"/>
                  <w:sz w:val="18"/>
                  <w:szCs w:val="18"/>
                  <w:color w:val="0000EE"/>
                  <w:w w:val="87"/>
                </w:rPr>
                <w:t>June 20, 2018).</w:t>
              </w:r>
            </w:hyperlink>
          </w:p>
        </w:tc>
        <w:tc>
          <w:tcPr>
            <w:tcW w:w="892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020" w:type="dxa"/>
            <w:vAlign w:val="bottom"/>
            <w:tcBorders>
              <w:bottom w:val="single" w:sz="8" w:color="0000EE"/>
            </w:tcBorders>
            <w:gridSpan w:val="22"/>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Form of Series Warrant to purchase Common Stock (incorporated by reference to Exhibit 4.1 to the Company’s Current Report on Form 8-</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K (File No. 001-37708), as filed with the SEC on March 29, 2019).</w:t>
              </w:r>
            </w:hyperlink>
          </w:p>
        </w:tc>
        <w:tc>
          <w:tcPr>
            <w:tcW w:w="518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Pre-Funded Warrant issued pursuant to the securities purchase agreement between the Company and Certain Purchasers,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March 26, 2019 (incorporated by reference to Exhibit 4.2 to the Company’s Current Report on Form 8-K (File No. 001-37708), as filed</w:t>
              </w:r>
            </w:hyperlink>
          </w:p>
        </w:tc>
        <w:tc>
          <w:tcPr>
            <w:tcW w:w="2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with the SEC on March 29,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480" w:type="dxa"/>
            <w:vAlign w:val="bottom"/>
            <w:tcBorders>
              <w:top w:val="single" w:sz="8" w:color="0000EE"/>
            </w:tcBorders>
            <w:gridSpan w:val="3"/>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Description of Capital Stock</w:t>
              </w:r>
            </w:hyperlink>
          </w:p>
        </w:tc>
        <w:tc>
          <w:tcPr>
            <w:tcW w:w="756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2007 Stock Plan (incorporated herein by reference to Exhibit 10.3 to the Company’s Registration Statement on Form S-1 (File No. 333-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900" w:type="dxa"/>
            <w:vAlign w:val="bottom"/>
            <w:tcBorders>
              <w:bottom w:val="single" w:sz="8" w:color="0000EE"/>
            </w:tcBorders>
            <w:gridSpan w:val="20"/>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2007 Stock Plan Amendment, dated as of March 8, 2013 (incorporated herein by reference to Exhibit 10.4 to the Company’s Registration</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gridSpan w:val="7"/>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820" w:type="dxa"/>
            <w:vAlign w:val="bottom"/>
            <w:tcBorders>
              <w:bottom w:val="single" w:sz="8" w:color="0000EE"/>
            </w:tcBorders>
            <w:gridSpan w:val="19"/>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2007 Stock Plan Amendment, dated as of July 10, 2013 (incorporated herein by reference to Exhibit 10.5 to the Company’s Registration</w:t>
              </w:r>
            </w:hyperlink>
          </w:p>
        </w:tc>
        <w:tc>
          <w:tcPr>
            <w:tcW w:w="2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gridSpan w:val="7"/>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160" w:type="dxa"/>
            <w:vAlign w:val="bottom"/>
            <w:tcBorders>
              <w:bottom w:val="single" w:sz="8" w:color="0000EE"/>
            </w:tcBorders>
            <w:gridSpan w:val="11"/>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2007 Stock Plan Amendment, dated as of January 23, 2014 (incorporated herein by reference to Exhibit 10.6 to the Company’s</w:t>
              </w:r>
            </w:hyperlink>
          </w:p>
        </w:tc>
        <w:tc>
          <w:tcPr>
            <w:tcW w:w="8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Registration 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Borders>
              <w:top w:val="single" w:sz="8" w:color="0000EE"/>
            </w:tcBorders>
            <w:gridSpan w:val="5"/>
          </w:tcPr>
          <w:p>
            <w:pPr>
              <w:ind w:left="4240"/>
              <w:spacing w:after="0"/>
              <w:rPr>
                <w:sz w:val="20"/>
                <w:szCs w:val="20"/>
                <w:color w:val="auto"/>
              </w:rPr>
            </w:pPr>
            <w:r>
              <w:rPr>
                <w:rFonts w:ascii="Arial" w:cs="Arial" w:eastAsia="Arial" w:hAnsi="Arial"/>
                <w:sz w:val="18"/>
                <w:szCs w:val="18"/>
                <w:color w:val="auto"/>
              </w:rPr>
              <w:t>77</w:t>
            </w:r>
          </w:p>
        </w:tc>
        <w:tc>
          <w:tcPr>
            <w:tcW w:w="50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300" w:type="dxa"/>
            <w:vAlign w:val="bottom"/>
            <w:gridSpan w:val="19"/>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30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34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2007 Stock Plan Amendment, dated as of December 17, 2014 (incorporated herein by reference to Exhibit 10.7 to the Company’s</w:t>
              </w:r>
            </w:hyperlink>
          </w:p>
        </w:tc>
        <w:tc>
          <w:tcPr>
            <w:tcW w:w="700" w:type="dxa"/>
            <w:vAlign w:val="bottom"/>
            <w:tcBorders>
              <w:top w:val="single" w:sz="8" w:color="auto"/>
            </w:tcBorders>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Registration Statement on Form S-1 (File No. 333-208861), as filed with the SEC on January 4, 2016).</w:t>
              </w:r>
            </w:hyperlink>
          </w:p>
        </w:tc>
        <w:tc>
          <w:tcPr>
            <w:tcW w:w="2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860" w:type="dxa"/>
            <w:vAlign w:val="bottom"/>
            <w:tcBorders>
              <w:bottom w:val="single" w:sz="8" w:color="0000EE"/>
            </w:tcBorders>
            <w:gridSpan w:val="18"/>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2007 Stock Plan Amendment, dated as of May 28, 2015 (incorporated herein by reference to Exhibit 10.8 to the Company’s Registration</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2007 Stock Plan Amendment, dated as of August 20, 2015 (incorporated herein by reference to Exhibit 10.9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3"/>
              </w:rPr>
            </w:pPr>
            <w:hyperlink r:id="rId116">
              <w:r>
                <w:rPr>
                  <w:rFonts w:ascii="Arial" w:cs="Arial" w:eastAsia="Arial" w:hAnsi="Arial"/>
                  <w:sz w:val="18"/>
                  <w:szCs w:val="18"/>
                  <w:color w:val="0000EE"/>
                  <w:w w:val="93"/>
                </w:rPr>
                <w:t>Form of Incentive Stock Option Agreement under 2007 Stock Plan (incorporated herein by reference to Exhibit 10.10 to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Registration Statement on Form S-1 (File No. 333-208861), as filed with the SEC on January 4, 2016).</w:t>
              </w:r>
            </w:hyperlink>
          </w:p>
        </w:tc>
        <w:tc>
          <w:tcPr>
            <w:tcW w:w="2380" w:type="dxa"/>
            <w:vAlign w:val="bottom"/>
            <w:tcBorders>
              <w:top w:val="single" w:sz="8" w:color="0000EE"/>
            </w:tcBorders>
            <w:gridSpan w:val="7"/>
          </w:tcPr>
          <w:p>
            <w:pPr>
              <w:spacing w:after="0"/>
              <w:rPr>
                <w:sz w:val="17"/>
                <w:szCs w:val="17"/>
                <w:color w:val="auto"/>
              </w:rPr>
            </w:pPr>
          </w:p>
        </w:tc>
        <w:tc>
          <w:tcPr>
            <w:tcW w:w="2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300" w:type="dxa"/>
            <w:vAlign w:val="bottom"/>
            <w:tcBorders>
              <w:bottom w:val="single" w:sz="8" w:color="0000EE"/>
            </w:tcBorders>
            <w:gridSpan w:val="10"/>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Form of Non-Statutory Stock Option Agreement under 2007 Stock Plan (incorporated herein by reference to Exhibit 10.11 to the</w:t>
              </w:r>
            </w:hyperlink>
          </w:p>
        </w:tc>
        <w:tc>
          <w:tcPr>
            <w:tcW w:w="7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2015 Omnibus Incentive Plan (incorporated herein by reference to Exhibit 10.12 to the Company’s Registration Statement on Form S-8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(File No. 333-210412), as filed with the SEC on March 25, 2016).</w:t>
              </w:r>
            </w:hyperlink>
          </w:p>
        </w:tc>
        <w:tc>
          <w:tcPr>
            <w:tcW w:w="4980" w:type="dxa"/>
            <w:vAlign w:val="bottom"/>
            <w:tcBorders>
              <w:top w:val="single" w:sz="8" w:color="0000EE"/>
            </w:tcBorders>
            <w:gridSpan w:val="9"/>
          </w:tcPr>
          <w:p>
            <w:pPr>
              <w:spacing w:after="0"/>
              <w:rPr>
                <w:sz w:val="17"/>
                <w:szCs w:val="17"/>
                <w:color w:val="auto"/>
              </w:rPr>
            </w:pPr>
          </w:p>
        </w:tc>
        <w:tc>
          <w:tcPr>
            <w:tcW w:w="2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920" w:type="dxa"/>
            <w:vAlign w:val="bottom"/>
            <w:tcBorders>
              <w:bottom w:val="single" w:sz="8" w:color="0000EE"/>
            </w:tcBorders>
            <w:gridSpan w:val="21"/>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Incentive Stock Option Agreement under 2015 Omnibus Incentive Plan (incorporated herein by reference to Exhibit 10.13 to the</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3"/>
              </w:rPr>
            </w:pPr>
            <w:hyperlink r:id="rId120">
              <w:r>
                <w:rPr>
                  <w:rFonts w:ascii="Arial" w:cs="Arial" w:eastAsia="Arial" w:hAnsi="Arial"/>
                  <w:sz w:val="18"/>
                  <w:szCs w:val="18"/>
                  <w:color w:val="0000EE"/>
                  <w:w w:val="93"/>
                </w:rPr>
                <w:t>Form of Non-Qualified Option Agreement under 2015 Omnibus Incentive Plan (incorporated herein by reference to Exhibit 10.14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Company’s Registration Statement on Form S-1 (File No. 333-208861), as filed with the SEC on January 4, 2016).</w:t>
              </w:r>
            </w:hyperlink>
          </w:p>
        </w:tc>
        <w:tc>
          <w:tcPr>
            <w:tcW w:w="1540" w:type="dxa"/>
            <w:vAlign w:val="bottom"/>
            <w:tcBorders>
              <w:top w:val="single" w:sz="8" w:color="0000EE"/>
            </w:tcBorders>
            <w:gridSpan w:val="7"/>
          </w:tcPr>
          <w:p>
            <w:pPr>
              <w:spacing w:after="0"/>
              <w:rPr>
                <w:sz w:val="17"/>
                <w:szCs w:val="17"/>
                <w:color w:val="auto"/>
              </w:rPr>
            </w:pPr>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9900" w:type="dxa"/>
            <w:vAlign w:val="bottom"/>
            <w:tcBorders>
              <w:bottom w:val="single" w:sz="8" w:color="0000EE"/>
            </w:tcBorders>
            <w:gridSpan w:val="20"/>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2015 Employee Stock Purchase Plan (incorporated herein by reference to Exhibit 4.16 to the Company’s Registration Statement on Form</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S-8 (File No. 333-210412), as filed with the SEC on March 25,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7"/>
              </w:rPr>
            </w:pPr>
            <w:hyperlink r:id="rId122">
              <w:r>
                <w:rPr>
                  <w:rFonts w:ascii="Arial" w:cs="Arial" w:eastAsia="Arial" w:hAnsi="Arial"/>
                  <w:sz w:val="18"/>
                  <w:szCs w:val="18"/>
                  <w:color w:val="0000EE"/>
                  <w:w w:val="97"/>
                </w:rPr>
                <w:t>Executive Employment Agreement by and between the company and Briggs W. Morrison, M.D., dated as of September 30,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56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(incorporated herein by reference to Exhibit 10.16 to the Company’s Registration Statement on Form S-1 (File No. 333-208861), as filed</w:t>
              </w:r>
            </w:hyperlink>
          </w:p>
        </w:tc>
        <w:tc>
          <w:tcPr>
            <w:tcW w:w="1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9880" w:type="dxa"/>
            <w:vAlign w:val="bottom"/>
            <w:tcBorders>
              <w:bottom w:val="single" w:sz="8" w:color="0000EE"/>
            </w:tcBorders>
            <w:gridSpan w:val="19"/>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Executive Employment Agreement by and between the company and Michael A. Metzger, dated as of September 30, 2015 (incorporated</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herein by reference to Exhibit 10.17 to the Company’s Registration Statement on Form S-1 (File No. 333-208861), as filed with the SEC</w:t>
              </w:r>
            </w:hyperlink>
          </w:p>
        </w:tc>
        <w:tc>
          <w:tcPr>
            <w:tcW w:w="1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6"/>
              </w:rPr>
            </w:pPr>
            <w:hyperlink r:id="rId124">
              <w:r>
                <w:rPr>
                  <w:rFonts w:ascii="Arial" w:cs="Arial" w:eastAsia="Arial" w:hAnsi="Arial"/>
                  <w:sz w:val="18"/>
                  <w:szCs w:val="18"/>
                  <w:color w:val="0000EE"/>
                  <w:w w:val="96"/>
                </w:rPr>
                <w:t>Executive Employment Agreement by and between the Company and Michael L. Meyers, M.D., Ph.D., dated as of October 1,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76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(incorporated herein by reference to Exhibit 10.18 to the Company’s Registration Statement on Form S-1 (File No. 333-208861), as filed</w:t>
              </w:r>
            </w:hyperlink>
          </w:p>
        </w:tc>
        <w:tc>
          <w:tcPr>
            <w:tcW w:w="1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9880" w:type="dxa"/>
            <w:vAlign w:val="bottom"/>
            <w:tcBorders>
              <w:bottom w:val="single" w:sz="8" w:color="0000EE"/>
            </w:tcBorders>
            <w:gridSpan w:val="19"/>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Executive Employment Agreement by and between the Company and Richard P. Shea, dated as of February 9, 2017 (incorporated herein</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by reference to Exhibit 10.1 to the Company’s Quarterly Report on Form 10-Q (File No. 001-37708), as filed with the SEC on August 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2017).</w:t>
              </w:r>
            </w:hyperlink>
          </w:p>
        </w:tc>
        <w:tc>
          <w:tcPr>
            <w:tcW w:w="10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Form of Indemnification Agreement by and between the company and each of its directors and officers (incorporated herein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5840" w:type="dxa"/>
            <w:vAlign w:val="bottom"/>
            <w:gridSpan w:val="9"/>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to Exhibit 10.21 to the Company’s Registration Statement on Form S-1 (File No. 333-208861), as filed with the SEC on January 4, 2016).</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10.19†</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License, Development and Commercialization Agreement by and between the company and Bayer Schering Pharma AG, dated as of</w:t>
              </w:r>
            </w:hyperlink>
          </w:p>
        </w:tc>
        <w:tc>
          <w:tcPr>
            <w:tcW w:w="4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March 26, 2007 (incorporated herein by reference to Exhibit 10.22 to the Company’s Registration Statement on Form S-1 (File No. 333-</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top w:val="single" w:sz="8" w:color="0000EE"/>
            </w:tcBorders>
            <w:gridSpan w:val="4"/>
          </w:tcPr>
          <w:p>
            <w:pPr>
              <w:spacing w:after="0"/>
              <w:rPr>
                <w:sz w:val="24"/>
                <w:szCs w:val="24"/>
                <w:color w:val="auto"/>
              </w:rPr>
            </w:pPr>
          </w:p>
        </w:tc>
        <w:tc>
          <w:tcPr>
            <w:tcW w:w="1040" w:type="dxa"/>
            <w:vAlign w:val="bottom"/>
          </w:tcPr>
          <w:p>
            <w:pPr>
              <w:jc w:val="right"/>
              <w:ind w:right="279"/>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60" w:type="dxa"/>
            <w:vAlign w:val="bottom"/>
            <w:gridSpan w:val="16"/>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1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10040" w:type="dxa"/>
            <w:vAlign w:val="bottom"/>
            <w:gridSpan w:val="22"/>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First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dated as of October 13, 2012 (incorporated herein by reference to Exhibit 10.23 to the Company’s Registration Statement on Form S-1</w:t>
              </w:r>
            </w:hyperlink>
          </w:p>
        </w:tc>
        <w:tc>
          <w:tcPr>
            <w:tcW w:w="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(File No. 333-208861), as filed with the SEC on January 4, 2016).</w:t>
              </w:r>
            </w:hyperlink>
          </w:p>
        </w:tc>
        <w:tc>
          <w:tcPr>
            <w:tcW w:w="4920" w:type="dxa"/>
            <w:vAlign w:val="bottom"/>
            <w:tcBorders>
              <w:top w:val="single" w:sz="8" w:color="0000EE"/>
            </w:tcBorders>
            <w:gridSpan w:val="6"/>
          </w:tcPr>
          <w:p>
            <w:pPr>
              <w:spacing w:after="0"/>
              <w:rPr>
                <w:sz w:val="17"/>
                <w:szCs w:val="17"/>
                <w:color w:val="auto"/>
              </w:rPr>
            </w:pPr>
          </w:p>
        </w:tc>
        <w:tc>
          <w:tcPr>
            <w:tcW w:w="3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Second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dated as of February 1, 2013 (incorporated herein by reference to Exhibit 10.24 to the Company’s Registration Statement on Form S-1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(File No. 333-208861), as filed with the SEC on January 4, 2016).</w:t>
              </w:r>
            </w:hyperlink>
          </w:p>
        </w:tc>
        <w:tc>
          <w:tcPr>
            <w:tcW w:w="4900" w:type="dxa"/>
            <w:vAlign w:val="bottom"/>
            <w:tcBorders>
              <w:top w:val="single" w:sz="8" w:color="0000EE"/>
            </w:tcBorders>
            <w:gridSpan w:val="5"/>
          </w:tcPr>
          <w:p>
            <w:pPr>
              <w:spacing w:after="0"/>
              <w:rPr>
                <w:sz w:val="17"/>
                <w:szCs w:val="17"/>
                <w:color w:val="auto"/>
              </w:rPr>
            </w:pPr>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10.22†</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Third Amendment to the License, Development and Commercialization Agreement by and between the company and Bayer Pharma AG,</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dated as of October 9, 2013 (incorporated herein by reference to Exhibit 10.25 to the Company’s Registration Statement on Form S-1 (File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9920" w:type="dxa"/>
            <w:vAlign w:val="bottom"/>
            <w:tcBorders>
              <w:bottom w:val="single" w:sz="8" w:color="0000EE"/>
            </w:tcBorders>
            <w:gridSpan w:val="17"/>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Letter Agreement by and between the company and Bayer Pharma AG, dated as of September 18, 2014 (incorporated herein by reference</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to Exhibit 10.26 to the Company’s Registration Statement on Form S-1 (File No. 333-208861), as filed with the SEC on January 4, 2016).</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10040" w:type="dxa"/>
            <w:vAlign w:val="bottom"/>
            <w:gridSpan w:val="22"/>
          </w:tcPr>
          <w:p>
            <w:pPr>
              <w:spacing w:after="0"/>
              <w:rPr>
                <w:rFonts w:ascii="Arial" w:cs="Arial" w:eastAsia="Arial" w:hAnsi="Arial"/>
                <w:sz w:val="18"/>
                <w:szCs w:val="18"/>
                <w:color w:val="0000EE"/>
              </w:rPr>
            </w:pPr>
            <w:hyperlink r:id="rId134">
              <w:r>
                <w:rPr>
                  <w:rFonts w:ascii="Arial" w:cs="Arial" w:eastAsia="Arial" w:hAnsi="Arial"/>
                  <w:sz w:val="18"/>
                  <w:szCs w:val="18"/>
                  <w:color w:val="0000EE"/>
                </w:rPr>
                <w:t>Clinical Trial Agreement by and between the company and Eastern Cooperative Oncology Group, dated as of March 14, 2014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(incorporated herein by reference to Exhibit 10.27 to the Company’s Registration Statement on Form S-1 (File No. 333-208861),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with the SEC on January 4, 2016).</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9620" w:type="dxa"/>
            <w:vAlign w:val="bottom"/>
            <w:tcBorders>
              <w:bottom w:val="single" w:sz="8" w:color="0000EE"/>
            </w:tcBorders>
            <w:gridSpan w:val="10"/>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Amendment No. 1 to Clinical Trial Agreement by and between the company and ECOG-ACRIN Cancer Research Group, dated as of</w:t>
              </w:r>
            </w:hyperlink>
          </w:p>
        </w:tc>
        <w:tc>
          <w:tcPr>
            <w:tcW w:w="4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January 30, 2015 (incorporated herein by reference to Exhibit 10.28 to the Company’s Registration Statement on Form S-1 (File No. 333-</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9960" w:type="dxa"/>
            <w:vAlign w:val="bottom"/>
            <w:tcBorders>
              <w:bottom w:val="single" w:sz="8" w:color="0000EE"/>
            </w:tcBorders>
            <w:gridSpan w:val="19"/>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Amendment No. 2 to Clinical Trial Agreement by and between the company and ECOG-ACRIN Cancer Research Group, dated as of July</w:t>
              </w:r>
            </w:hyperlink>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6"/>
              </w:rPr>
            </w:pPr>
            <w:hyperlink r:id="rId136">
              <w:r>
                <w:rPr>
                  <w:rFonts w:ascii="Arial" w:cs="Arial" w:eastAsia="Arial" w:hAnsi="Arial"/>
                  <w:sz w:val="18"/>
                  <w:szCs w:val="18"/>
                  <w:color w:val="0000EE"/>
                  <w:w w:val="96"/>
                </w:rPr>
                <w:t>31, 2015 (incorporated herein by reference to Exhibit 10.37 to the Company’s Registration Statement on Form S-1/A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February 22, 2016).</w:t>
              </w:r>
            </w:hyperlink>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Amendment No. 3 to Clinical Trial Agreement by and between the Company and ECOG-ACRIN Cancer Research Group, dated as of</w:t>
              </w:r>
            </w:hyperlink>
          </w:p>
        </w:tc>
        <w:tc>
          <w:tcPr>
            <w:tcW w:w="3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April 20, 2016 (incorporated herein by reference to Exhibit 10.1 to the Company’s Quarterly Report on Form 10-Q (File No. 001-37708),</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as filed with the SEC on August 15,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Amendment No. 4 to Clinical Trial Agreement by and between the Company and ECOG-ACRIN Cancer Research Group, dated as of</w:t>
              </w:r>
            </w:hyperlink>
          </w:p>
        </w:tc>
        <w:tc>
          <w:tcPr>
            <w:tcW w:w="3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April 20, 2016 (incorporated herein by reference to Exhibit 10.2 to the Company’s Quarterly Report on Form 10-Q (File No. 001-37708),</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as filed with the SEC on August 15,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Amendment No. 5 to Clinical Trial Agreement by and between the Company and ECOG-ACRIN Cancer Research Group, dated as of</w:t>
              </w:r>
            </w:hyperlink>
          </w:p>
        </w:tc>
        <w:tc>
          <w:tcPr>
            <w:tcW w:w="3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April 20, 2016 (incorporated herein by reference to Exhibit 10.3 to the Company’s Quarterly Report on Form 10-Q (File No. 001-37708),</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as filed with the SEC on August 15,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Amendment No. 6 to Clinical Trial Agreement by and between the Company and ECOG-ACRIN Cancer Research Group, dated as of</w:t>
              </w:r>
            </w:hyperlink>
          </w:p>
        </w:tc>
        <w:tc>
          <w:tcPr>
            <w:tcW w:w="3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April 25, 2016 (incorporated herein by reference to Exhibit 10.4 to the Company’s Quarterly Report on Form 10-Q (File No. 001-37708),</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as filed with the SEC on August 15,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10040" w:type="dxa"/>
            <w:vAlign w:val="bottom"/>
            <w:gridSpan w:val="22"/>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Amendment No. 7 to Clinical Trial Agreement by and between the Company and ECOG-ACRIN Cancer Research Group, dated January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00" w:type="dxa"/>
            <w:vAlign w:val="bottom"/>
            <w:gridSpan w:val="1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9, 2017 (incorporated herein by reference to Exhibit 10.1 to the Company’s Quarterly Report on Form 10-Q (File No. 001-37708),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with the SEC on May 9, 2017).</w:t>
              </w:r>
            </w:hyperlink>
          </w:p>
        </w:tc>
        <w:tc>
          <w:tcPr>
            <w:tcW w:w="7700" w:type="dxa"/>
            <w:vAlign w:val="bottom"/>
            <w:tcBorders>
              <w:top w:val="single" w:sz="8" w:color="0000EE"/>
            </w:tcBorders>
            <w:gridSpan w:val="18"/>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7"/>
          </w:tcPr>
          <w:p>
            <w:pPr>
              <w:ind w:left="4240"/>
              <w:spacing w:after="0"/>
              <w:rPr>
                <w:sz w:val="20"/>
                <w:szCs w:val="20"/>
                <w:color w:val="auto"/>
              </w:rPr>
            </w:pPr>
            <w:r>
              <w:rPr>
                <w:rFonts w:ascii="Arial" w:cs="Arial" w:eastAsia="Arial" w:hAnsi="Arial"/>
                <w:sz w:val="18"/>
                <w:szCs w:val="18"/>
                <w:color w:val="auto"/>
              </w:rPr>
              <w:t>79</w:t>
            </w:r>
          </w:p>
        </w:tc>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60" w:type="dxa"/>
            <w:vAlign w:val="bottom"/>
            <w:gridSpan w:val="21"/>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gridSpan w:val="21"/>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9880" w:type="dxa"/>
            <w:vAlign w:val="bottom"/>
            <w:tcBorders>
              <w:bottom w:val="single" w:sz="8" w:color="0000EE"/>
            </w:tcBorders>
            <w:gridSpan w:val="24"/>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Amendment No. 8 to Clinical Trial Agreement by and between the Company and ECOG-ACRIN Cancer Research Group, dated January</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18, 2017 (incorporated herein by reference to Exhibit 10.3 to the Company’s Quarterly Report on Form 10-Q (File No. 001-37708), as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filed with the SEC on May 9, 2017).</w:t>
              </w:r>
            </w:hyperlink>
          </w:p>
        </w:tc>
        <w:tc>
          <w:tcPr>
            <w:tcW w:w="7040" w:type="dxa"/>
            <w:vAlign w:val="bottom"/>
            <w:tcBorders>
              <w:top w:val="single" w:sz="8" w:color="0000EE"/>
            </w:tcBorders>
            <w:gridSpan w:val="13"/>
          </w:tcPr>
          <w:p>
            <w:pPr>
              <w:spacing w:after="0"/>
              <w:rPr>
                <w:sz w:val="17"/>
                <w:szCs w:val="17"/>
                <w:color w:val="auto"/>
              </w:rPr>
            </w:pPr>
          </w:p>
        </w:tc>
        <w:tc>
          <w:tcPr>
            <w:tcW w:w="3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10.33†</w:t>
            </w:r>
          </w:p>
        </w:tc>
        <w:tc>
          <w:tcPr>
            <w:tcW w:w="10040" w:type="dxa"/>
            <w:vAlign w:val="bottom"/>
            <w:gridSpan w:val="29"/>
          </w:tcPr>
          <w:p>
            <w:pPr>
              <w:spacing w:after="0"/>
              <w:rPr>
                <w:rFonts w:ascii="Arial" w:cs="Arial" w:eastAsia="Arial" w:hAnsi="Arial"/>
                <w:sz w:val="18"/>
                <w:szCs w:val="18"/>
                <w:color w:val="0000EE"/>
                <w:w w:val="98"/>
              </w:rPr>
            </w:pPr>
            <w:hyperlink r:id="rId145">
              <w:r>
                <w:rPr>
                  <w:rFonts w:ascii="Arial" w:cs="Arial" w:eastAsia="Arial" w:hAnsi="Arial"/>
                  <w:sz w:val="18"/>
                  <w:szCs w:val="18"/>
                  <w:color w:val="0000EE"/>
                  <w:w w:val="98"/>
                </w:rPr>
                <w:t>Amendment No. 9 to Clinical Trial Agreement by and between the Company and ECOG-ACRIN Cancer Research Group,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November 22, 2017 (incorporated herein by reference to Exhibit 10.34 to the Company’s Annual Report on Form 10-K (File No. 001-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37708)</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March 8, 2018).</w:t>
              </w:r>
            </w:hyperlink>
          </w:p>
        </w:tc>
        <w:tc>
          <w:tcPr>
            <w:tcW w:w="3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9980" w:type="dxa"/>
            <w:vAlign w:val="bottom"/>
            <w:tcBorders>
              <w:bottom w:val="single" w:sz="8" w:color="0000EE"/>
            </w:tcBorders>
            <w:gridSpan w:val="26"/>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Amendment No. 10 to Clinical Trial Agreement by and between the Company and ECOG-ACRIN Cancer Research Group, dated October</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15, 2018 (incorporated herein by reference to Exhibit 10.35 to the Company’s Annual Report on Form 10-K (File No. 001-37708), as filed</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with the SEC on March 7, 2019).</w:t>
              </w:r>
            </w:hyperlink>
          </w:p>
        </w:tc>
        <w:tc>
          <w:tcPr>
            <w:tcW w:w="76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10.35†</w:t>
            </w:r>
          </w:p>
        </w:tc>
        <w:tc>
          <w:tcPr>
            <w:tcW w:w="9880" w:type="dxa"/>
            <w:vAlign w:val="bottom"/>
            <w:tcBorders>
              <w:bottom w:val="single" w:sz="8" w:color="0000EE"/>
            </w:tcBorders>
            <w:gridSpan w:val="24"/>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Amendment No. 11 to Clinical Trial Agreement by and between the Company and ECOG-ACRIN Cancer Research Group, dated July 1,</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2019 (incorporated herein by reference to Exhibit 10.1 to the Company’s Quarterly Report on Form 10-Q (File No. 001-37708),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with the SEC on November 7, 2019).</w:t>
              </w:r>
            </w:hyperlink>
          </w:p>
        </w:tc>
        <w:tc>
          <w:tcPr>
            <w:tcW w:w="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10.36†</w:t>
            </w:r>
          </w:p>
        </w:tc>
        <w:tc>
          <w:tcPr>
            <w:tcW w:w="9760" w:type="dxa"/>
            <w:vAlign w:val="bottom"/>
            <w:tcBorders>
              <w:bottom w:val="single" w:sz="8" w:color="0000EE"/>
            </w:tcBorders>
            <w:gridSpan w:val="19"/>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Clinical Trial Collaboration and Supply Agreement by and between the company and MSD International GmbH, dated as of March 27,</w:t>
              </w:r>
            </w:hyperlink>
          </w:p>
        </w:tc>
        <w:tc>
          <w:tcPr>
            <w:tcW w:w="28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2015 (incorporated herein by reference to Exhibit 10.32 to the Company’s Registration Statement on Form S-1 (File No. 333-208861), as</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10040" w:type="dxa"/>
            <w:vAlign w:val="bottom"/>
            <w:gridSpan w:val="29"/>
          </w:tcPr>
          <w:p>
            <w:pP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First Amendment to Clinical Trial Collaboration and Supply Agreement by and between the company and MSD International GmbH,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dated as of August 13, 2015 (incorporated herein by reference to Exhibit 10.38 to the Company’s Registration Statement on Form S-1/A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(File No. 333-208861), as filed with the SEC on February 22, 2016).</w:t>
              </w:r>
            </w:hyperlink>
          </w:p>
        </w:tc>
        <w:tc>
          <w:tcPr>
            <w:tcW w:w="4860" w:type="dxa"/>
            <w:vAlign w:val="bottom"/>
            <w:tcBorders>
              <w:top w:val="single" w:sz="8" w:color="0000EE"/>
            </w:tcBorders>
            <w:gridSpan w:val="13"/>
          </w:tcPr>
          <w:p>
            <w:pPr>
              <w:spacing w:after="0"/>
              <w:rPr>
                <w:sz w:val="17"/>
                <w:szCs w:val="17"/>
                <w:color w:val="auto"/>
              </w:rPr>
            </w:pPr>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10.38†</w:t>
            </w:r>
          </w:p>
        </w:tc>
        <w:tc>
          <w:tcPr>
            <w:tcW w:w="9720" w:type="dxa"/>
            <w:vAlign w:val="bottom"/>
            <w:tcBorders>
              <w:bottom w:val="single" w:sz="8" w:color="0000EE"/>
            </w:tcBorders>
            <w:gridSpan w:val="17"/>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Amendment #1 to Clinical Trial Collaboration and Supply Agreement by and between the Company, Merck Sharp &amp; Dohme B.V., and</w:t>
              </w:r>
            </w:hyperlink>
          </w:p>
        </w:tc>
        <w:tc>
          <w:tcPr>
            <w:tcW w:w="3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MSD International GmbH, dated as of April 26, 2017 (incorporated herein by reference to Exhibit 10.2 to the Company’s Quarterly Report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on Form 10-Q (File No. 001-37708), as filed with the SEC on August 10,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10.39†</w:t>
            </w:r>
          </w:p>
        </w:tc>
        <w:tc>
          <w:tcPr>
            <w:tcW w:w="10040" w:type="dxa"/>
            <w:vAlign w:val="bottom"/>
            <w:gridSpan w:val="29"/>
          </w:tcPr>
          <w:p>
            <w:pPr>
              <w:spacing w:after="0"/>
              <w:rPr>
                <w:rFonts w:ascii="Arial" w:cs="Arial" w:eastAsia="Arial" w:hAnsi="Arial"/>
                <w:sz w:val="18"/>
                <w:szCs w:val="18"/>
                <w:color w:val="0000EE"/>
                <w:w w:val="98"/>
              </w:rPr>
            </w:pPr>
            <w:hyperlink r:id="rId151">
              <w:r>
                <w:rPr>
                  <w:rFonts w:ascii="Arial" w:cs="Arial" w:eastAsia="Arial" w:hAnsi="Arial"/>
                  <w:sz w:val="18"/>
                  <w:szCs w:val="18"/>
                  <w:color w:val="0000EE"/>
                  <w:w w:val="98"/>
                </w:rPr>
                <w:t>License, Development and Commercialization Agreement by and between the company and Kyowa Hakko Kirin Co., Ltd.,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December 19, 2014 (incorporated herein by reference to Exhibit 10.33 to the Company’s Registration Statement on Form S-1 (File No.</w:t>
              </w:r>
            </w:hyperlink>
          </w:p>
        </w:tc>
        <w:tc>
          <w:tcPr>
            <w:tcW w:w="3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333-208861), as filed with the SEC on January 4, 2016).</w:t>
              </w:r>
            </w:hyperlink>
          </w:p>
        </w:tc>
        <w:tc>
          <w:tcPr>
            <w:tcW w:w="596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10.40†</w:t>
            </w:r>
          </w:p>
        </w:tc>
        <w:tc>
          <w:tcPr>
            <w:tcW w:w="10040" w:type="dxa"/>
            <w:vAlign w:val="bottom"/>
            <w:gridSpan w:val="29"/>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Side Letter by and between the company and Kyowa Hakko Kirin Co., Ltd., dated December 19, 2014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Exhibit 10.34 to the Company’s Registration Statement on Form S-1 (File No. 333-208861), as filed with the SEC on January 4, 2016).</w:t>
              </w:r>
            </w:hyperlink>
          </w:p>
        </w:tc>
        <w:tc>
          <w:tcPr>
            <w:tcW w:w="2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10.41†</w:t>
            </w:r>
          </w:p>
        </w:tc>
        <w:tc>
          <w:tcPr>
            <w:tcW w:w="9860" w:type="dxa"/>
            <w:vAlign w:val="bottom"/>
            <w:tcBorders>
              <w:bottom w:val="single" w:sz="8" w:color="0000EE"/>
            </w:tcBorders>
            <w:gridSpan w:val="23"/>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Amendment #1 to License, Development and Commercialization Agreement by and between the company and Kyowa Hakko Kirin Co.,</w:t>
              </w:r>
            </w:hyperlink>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Ltd., dated September 18, 2015 (incorporated herein by reference to Exhibit 10.39 to the Company’s Registration Statement on Form S-</w:t>
              </w:r>
            </w:hyperlink>
          </w:p>
        </w:tc>
        <w:tc>
          <w:tcPr>
            <w:tcW w:w="2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1/A (File No. 333-208861), as filed with the SEC on February 22,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10.42†</w:t>
            </w:r>
          </w:p>
        </w:tc>
        <w:tc>
          <w:tcPr>
            <w:tcW w:w="9860" w:type="dxa"/>
            <w:vAlign w:val="bottom"/>
            <w:tcBorders>
              <w:bottom w:val="single" w:sz="8" w:color="0000EE"/>
            </w:tcBorders>
            <w:gridSpan w:val="23"/>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Amendment #2 to License, Development and Commercialization Agreement by and between the company and Kyowa Hakko Kirin Co.,</w:t>
              </w:r>
            </w:hyperlink>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Ltd., dated January 16, 2017 (incorporated herein by reference to Exhibit 10.2 to the Company’s Quarterly Report on Form 10-Q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001-37708), as filed with the SEC on May 9, 2017).</w:t>
              </w:r>
            </w:hyperlink>
          </w:p>
        </w:tc>
        <w:tc>
          <w:tcPr>
            <w:tcW w:w="6220" w:type="dxa"/>
            <w:vAlign w:val="bottom"/>
            <w:tcBorders>
              <w:top w:val="single" w:sz="8" w:color="0000EE"/>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10.43†</w:t>
            </w:r>
          </w:p>
        </w:tc>
        <w:tc>
          <w:tcPr>
            <w:tcW w:w="10040" w:type="dxa"/>
            <w:vAlign w:val="bottom"/>
            <w:gridSpan w:val="29"/>
          </w:tcPr>
          <w:p>
            <w:pPr>
              <w:spacing w:after="0"/>
              <w:rPr>
                <w:rFonts w:ascii="Arial" w:cs="Arial" w:eastAsia="Arial" w:hAnsi="Arial"/>
                <w:sz w:val="18"/>
                <w:szCs w:val="18"/>
                <w:color w:val="0000EE"/>
                <w:w w:val="94"/>
              </w:rPr>
            </w:pPr>
            <w:hyperlink r:id="rId155">
              <w:r>
                <w:rPr>
                  <w:rFonts w:ascii="Arial" w:cs="Arial" w:eastAsia="Arial" w:hAnsi="Arial"/>
                  <w:sz w:val="18"/>
                  <w:szCs w:val="18"/>
                  <w:color w:val="0000EE"/>
                  <w:w w:val="94"/>
                </w:rPr>
                <w:t>Combination Study Collaboration Agreement by and between the company and Genentech, Inc. dated August 24, 2015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120" w:type="dxa"/>
            <w:vAlign w:val="bottom"/>
            <w:gridSpan w:val="13"/>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herein by reference to Exhibit 10.35 to the Company’s Registration Statement on Form S-1 (File No. 333-208861), as filed with the SEC</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3480" w:type="dxa"/>
            <w:vAlign w:val="bottom"/>
            <w:gridSpan w:val="8"/>
          </w:tcPr>
          <w:p>
            <w:pPr>
              <w:jc w:val="right"/>
              <w:ind w:right="468"/>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720" w:type="dxa"/>
            <w:vAlign w:val="bottom"/>
            <w:gridSpan w:val="20"/>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720" w:type="dxa"/>
            <w:vAlign w:val="bottom"/>
            <w:tcBorders>
              <w:bottom w:val="single" w:sz="8" w:color="auto"/>
            </w:tcBorders>
            <w:gridSpan w:val="20"/>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10.44†</w:t>
            </w:r>
          </w:p>
        </w:tc>
        <w:tc>
          <w:tcPr>
            <w:tcW w:w="10000" w:type="dxa"/>
            <w:vAlign w:val="bottom"/>
            <w:tcBorders>
              <w:bottom w:val="single" w:sz="8" w:color="0000EE"/>
            </w:tcBorders>
            <w:gridSpan w:val="24"/>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Clinical Trial Collaboration and Supply Agreement by and between the company, Pfizer Inc. and Ares Trading S.A., dated as of December</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w w:val="96"/>
              </w:rPr>
            </w:pPr>
            <w:hyperlink r:id="rId158">
              <w:r>
                <w:rPr>
                  <w:rFonts w:ascii="Arial" w:cs="Arial" w:eastAsia="Arial" w:hAnsi="Arial"/>
                  <w:sz w:val="18"/>
                  <w:szCs w:val="18"/>
                  <w:color w:val="0000EE"/>
                  <w:w w:val="96"/>
                </w:rPr>
                <w:t>31, 2015 (incorporated herein by reference to Exhibit 10.36 to the Company’s Registration Statement on Form S-1/A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11, 2016).</w:t>
              </w:r>
            </w:hyperlink>
          </w:p>
        </w:tc>
        <w:tc>
          <w:tcPr>
            <w:tcW w:w="5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10.45†</w:t>
            </w:r>
          </w:p>
        </w:tc>
        <w:tc>
          <w:tcPr>
            <w:tcW w:w="9940" w:type="dxa"/>
            <w:vAlign w:val="bottom"/>
            <w:tcBorders>
              <w:bottom w:val="single" w:sz="8" w:color="0000EE"/>
            </w:tcBorders>
            <w:gridSpan w:val="23"/>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License Agreement by and between the Company and UCB Biopharma Sprl, dated as of July 1, 2016 (incorporated herein by reference to</w:t>
              </w:r>
            </w:hyperlink>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Exhibit 10.1 to the Company’s Current Report on Form 8-K (File No. 001- 37708), as filed with the SEC on October 7,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10.46†</w:t>
            </w:r>
          </w:p>
        </w:tc>
        <w:tc>
          <w:tcPr>
            <w:tcW w:w="9480" w:type="dxa"/>
            <w:vAlign w:val="bottom"/>
            <w:tcBorders>
              <w:bottom w:val="single" w:sz="8" w:color="0000EE"/>
            </w:tcBorders>
            <w:gridSpan w:val="14"/>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Side Agreement by and between the Company and UCB Biopharma Sprl, dated March 8, 2017 (incorporated herein by reference to</w:t>
              </w:r>
            </w:hyperlink>
          </w:p>
        </w:tc>
        <w:tc>
          <w:tcPr>
            <w:tcW w:w="5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Exhibit 10.4 to the Company’s Quarterly Report on Form 10-Q (File No. 001-37708), as filed with the SEC on May 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10.47†</w:t>
            </w:r>
          </w:p>
        </w:tc>
        <w:tc>
          <w:tcPr>
            <w:tcW w:w="9900" w:type="dxa"/>
            <w:vAlign w:val="bottom"/>
            <w:tcBorders>
              <w:bottom w:val="single" w:sz="8" w:color="0000EE"/>
            </w:tcBorders>
            <w:gridSpan w:val="21"/>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Amendment No. 1 to License Agreement by and between the Company and UCB Biopharma Sprl, dated as of July 9, 2019 (incorporated</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herein by reference to Exhibit 10.2 to the Company’s Quarterly Report on Form 10-Q (File No. 001-37708), as filed with the SEC on</w:t>
              </w:r>
            </w:hyperlink>
          </w:p>
        </w:tc>
        <w:tc>
          <w:tcPr>
            <w:tcW w:w="4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November 7, 2019).</w:t>
              </w:r>
            </w:hyperlink>
          </w:p>
        </w:tc>
        <w:tc>
          <w:tcPr>
            <w:tcW w:w="85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6"/>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Third Amended and Restated Investors’ Rights Agreement by and among the company and the parties thereto, dated as of August 21,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(incorporated herein by reference to Exhibit 10.1 to the Company’s Registration Statement on Form S-1 (File No. 333-208861), as filed</w:t>
              </w:r>
            </w:hyperlink>
          </w:p>
        </w:tc>
        <w:tc>
          <w:tcPr>
            <w:tcW w:w="2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10.49†</w:t>
            </w:r>
          </w:p>
        </w:tc>
        <w:tc>
          <w:tcPr>
            <w:tcW w:w="9820" w:type="dxa"/>
            <w:vAlign w:val="bottom"/>
            <w:tcBorders>
              <w:bottom w:val="single" w:sz="8" w:color="0000EE"/>
            </w:tcBorders>
            <w:gridSpan w:val="19"/>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License Agreement by and between the Company and Vitae Pharmaceuticals, Inc., dated as of October 13, 2017 (incorporated herein by</w:t>
              </w:r>
            </w:hyperlink>
          </w:p>
        </w:tc>
        <w:tc>
          <w:tcPr>
            <w:tcW w:w="2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reference to Exhibit 10.47 to the Company’s Annual Report on Form 10-K (File No. 001-37708), as filed with the SEC on March 8,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10.50†</w:t>
            </w:r>
          </w:p>
        </w:tc>
        <w:tc>
          <w:tcPr>
            <w:tcW w:w="10040" w:type="dxa"/>
            <w:vAlign w:val="bottom"/>
            <w:gridSpan w:val="26"/>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Amendment No. 1 to License Agreement by and between the Company and Vitae Pharmaceuticals, Inc., dated as of January 25, 2019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(incorporated herein by reference to Exhibit 10.1 to the Company’s Quarterly Report on Form 10-Q (File No. 001-37708), as filed with the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SEC on May 8,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4"/>
                <w:szCs w:val="24"/>
                <w:color w:val="auto"/>
              </w:rPr>
            </w:pPr>
          </w:p>
        </w:tc>
        <w:tc>
          <w:tcPr>
            <w:tcW w:w="9260" w:type="dxa"/>
            <w:vAlign w:val="bottom"/>
            <w:tcBorders>
              <w:bottom w:val="single" w:sz="8" w:color="0000EE"/>
            </w:tcBorders>
            <w:gridSpan w:val="1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Exchange Agreement by and between the Company and Biotechnology Value Fund, L.P., Biotechnology Value Fund II, L.P. and</w:t>
              </w:r>
            </w:hyperlink>
          </w:p>
        </w:tc>
        <w:tc>
          <w:tcPr>
            <w:tcW w:w="7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Biotechnology Value Trading Fund OS, L.P., dated June 18, 2018 (incorporated herein by reference to Exhibit 10.1 to the Company’s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Periodic Report on Form 8-K (File No. 001-37708), as filed with the SEC on June 20, 2018).</w:t>
              </w:r>
            </w:hyperlink>
          </w:p>
        </w:tc>
        <w:tc>
          <w:tcPr>
            <w:tcW w:w="4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Subsidiaries of the Registrant (incorporated herein by reference to Exhibit 21.1 to the Company’s Registration Statement on Form S-1</w:t>
              </w:r>
            </w:hyperlink>
          </w:p>
        </w:tc>
        <w:tc>
          <w:tcPr>
            <w:tcW w:w="3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760" w:type="dxa"/>
            <w:vAlign w:val="bottom"/>
            <w:tcBorders>
              <w:top w:val="single" w:sz="8" w:color="0000EE"/>
            </w:tcBorders>
            <w:gridSpan w:val="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Consent of Independent Registered Public Accounting Firm</w:t>
              </w:r>
            </w:hyperlink>
          </w:p>
        </w:tc>
        <w:tc>
          <w:tcPr>
            <w:tcW w:w="528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7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Power of Attorney (included on the signature page to this report).</w:t>
              </w:r>
            </w:hyperlink>
          </w:p>
        </w:tc>
        <w:tc>
          <w:tcPr>
            <w:tcW w:w="532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9"/>
              </w:rPr>
            </w:pPr>
            <w:hyperlink w:anchor="page121">
              <w:r>
                <w:rPr>
                  <w:rFonts w:ascii="Arial" w:cs="Arial" w:eastAsia="Arial" w:hAnsi="Arial"/>
                  <w:sz w:val="18"/>
                  <w:szCs w:val="18"/>
                  <w:color w:val="0000EE"/>
                  <w:w w:val="99"/>
                </w:rPr>
                <w:t>Certification of the Principal Executive Officer pursuant to Rule 13a-14(a) or 15d-14(a) of the Securities Exchange Act of 1934.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Certification of the Principal Financial Officer and Principal Accounting Officer pursuant to Rule 13a-14(a) or 15d-14(a) of the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Exchange Act of 1934.</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Certification of Principal Executive Officer and Principal Financial Officer pursuant to Rule 13a-14(b) or 15d-14(b) of the Exchange Act</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and 18 U.S.C. Section 1350, as adopted pursuant to Section 906 of the Sarbanes-Oxley Act of 2002.</w:t>
              </w:r>
            </w:hyperlink>
          </w:p>
        </w:tc>
        <w:tc>
          <w:tcPr>
            <w:tcW w:w="28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1004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1004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1004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1004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1004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7"/>
          </w:tcPr>
          <w:p>
            <w:pPr>
              <w:ind w:left="424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0" w:hanging="59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547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 w:lineRule="exact"/>
        <w:rPr>
          <w:sz w:val="20"/>
          <w:szCs w:val="20"/>
          <w:color w:val="auto"/>
        </w:rPr>
      </w:pPr>
    </w:p>
    <w:p>
      <w:pPr>
        <w:ind w:left="600" w:right="300" w:hanging="592"/>
        <w:spacing w:after="0" w:line="281"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line="1" w:lineRule="exact"/>
        <w:rPr>
          <w:sz w:val="20"/>
          <w:szCs w:val="20"/>
          <w:color w:val="auto"/>
        </w:rPr>
      </w:pPr>
    </w:p>
    <w:p>
      <w:pPr>
        <w:ind w:left="600" w:hanging="592"/>
        <w:spacing w:after="0"/>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Confidential treatment has been granted for certain portions of this exhibit. These portions have been omitted and filed separately with the SEC.</w:t>
      </w:r>
    </w:p>
    <w:p>
      <w:pPr>
        <w:spacing w:after="0" w:line="326" w:lineRule="exact"/>
        <w:rPr>
          <w:sz w:val="20"/>
          <w:szCs w:val="20"/>
          <w:color w:val="auto"/>
        </w:rPr>
      </w:pPr>
    </w:p>
    <w:p>
      <w:pPr>
        <w:jc w:val="center"/>
        <w:ind w:right="9060"/>
        <w:spacing w:after="0"/>
        <w:rPr>
          <w:sz w:val="20"/>
          <w:szCs w:val="20"/>
          <w:color w:val="auto"/>
        </w:rPr>
      </w:pPr>
      <w:r>
        <w:rPr>
          <w:rFonts w:ascii="Arial" w:cs="Arial" w:eastAsia="Arial" w:hAnsi="Arial"/>
          <w:sz w:val="17"/>
          <w:szCs w:val="17"/>
          <w:b w:val="1"/>
          <w:bCs w:val="1"/>
          <w:color w:val="auto"/>
        </w:rPr>
        <w:t>Item 16. Form 10-K Summary</w:t>
      </w:r>
    </w:p>
    <w:p>
      <w:pPr>
        <w:spacing w:after="0" w:line="133"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SYNDAX PHARMACEUTICALS, INC.</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March 5, 2020</w:t>
            </w:r>
          </w:p>
        </w:tc>
        <w:tc>
          <w:tcPr>
            <w:tcW w:w="7380" w:type="dxa"/>
            <w:vAlign w:val="bottom"/>
            <w:gridSpan w:val="2"/>
          </w:tcPr>
          <w:p>
            <w:pPr>
              <w:ind w:left="2540"/>
              <w:spacing w:after="0"/>
              <w:rPr>
                <w:sz w:val="20"/>
                <w:szCs w:val="20"/>
                <w:color w:val="auto"/>
              </w:rPr>
            </w:pPr>
            <w:r>
              <w:rPr>
                <w:rFonts w:ascii="Arial" w:cs="Arial" w:eastAsia="Arial" w:hAnsi="Arial"/>
                <w:sz w:val="18"/>
                <w:szCs w:val="18"/>
                <w:color w:val="auto"/>
              </w:rPr>
              <w:t>By:/s/  Briggs W. Morrison, M.D.</w:t>
            </w:r>
          </w:p>
        </w:tc>
      </w:tr>
      <w:tr>
        <w:trPr>
          <w:trHeight w:val="195"/>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Briggs W. Morrison, M.D.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p>
      <w:pPr>
        <w:ind w:left="2140"/>
        <w:spacing w:after="0"/>
        <w:tabs>
          <w:tab w:leader="none" w:pos="696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10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Briggs W. Morrison, M.D.</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Richard P. Shea</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Michael A. Metzger</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Dennis G. Podlesak</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Dennis G. Podlesak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Pierre Legault</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Pierre Legault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 Fabrice Egros, PharmD, Ph.D.</w:t>
      </w:r>
    </w:p>
    <w:p>
      <w:pPr>
        <w:spacing w:after="0" w:line="4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Fabrice Egros, PharmD,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0784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4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Keith A. Katkin</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Keith A. Katkin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Jennifer Jarrett</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William Meury</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William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3"/>
              </w:rPr>
              <w:t>Chief Executive Officer and 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230"/>
        </w:trPr>
        <w:tc>
          <w:tcPr>
            <w:tcW w:w="3380" w:type="dxa"/>
            <w:vAlign w:val="bottom"/>
          </w:tcPr>
          <w:p>
            <w:pPr>
              <w:jc w:val="center"/>
              <w:ind w:right="59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20"/>
                <w:szCs w:val="20"/>
                <w:color w:val="auto"/>
              </w:rPr>
            </w:pPr>
          </w:p>
        </w:tc>
      </w:tr>
      <w:tr>
        <w:trPr>
          <w:trHeight w:val="337"/>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2"/>
              </w:rPr>
              <w:t>Chief Financial Officer and Treasurer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216"/>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3"/>
              </w:rPr>
              <w:t>(Principal Financial Officer and</w:t>
            </w:r>
          </w:p>
        </w:tc>
        <w:tc>
          <w:tcPr>
            <w:tcW w:w="1740" w:type="dxa"/>
            <w:vAlign w:val="bottom"/>
          </w:tcPr>
          <w:p>
            <w:pPr>
              <w:spacing w:after="0"/>
              <w:rPr>
                <w:sz w:val="18"/>
                <w:szCs w:val="18"/>
                <w:color w:val="auto"/>
              </w:rPr>
            </w:pPr>
          </w:p>
        </w:tc>
      </w:tr>
      <w:tr>
        <w:trPr>
          <w:trHeight w:val="230"/>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5"/>
              </w:rPr>
              <w:t>Principal Accounting Officer)</w:t>
            </w:r>
          </w:p>
        </w:tc>
        <w:tc>
          <w:tcPr>
            <w:tcW w:w="1740" w:type="dxa"/>
            <w:vAlign w:val="bottom"/>
          </w:tcPr>
          <w:p>
            <w:pPr>
              <w:spacing w:after="0"/>
              <w:rPr>
                <w:sz w:val="20"/>
                <w:szCs w:val="20"/>
                <w:color w:val="auto"/>
              </w:rPr>
            </w:pPr>
          </w:p>
        </w:tc>
      </w:tr>
      <w:tr>
        <w:trPr>
          <w:trHeight w:val="338"/>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3"/>
              </w:rPr>
              <w:t>Chief Operating Officer and 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567"/>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2"/>
              </w:rPr>
              <w:t>Chairman of the Board of Directors</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567"/>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594"/>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594"/>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594"/>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r>
        <w:trPr>
          <w:trHeight w:val="594"/>
        </w:trPr>
        <w:tc>
          <w:tcPr>
            <w:tcW w:w="3380" w:type="dxa"/>
            <w:vAlign w:val="bottom"/>
          </w:tcPr>
          <w:p>
            <w:pPr>
              <w:jc w:val="center"/>
              <w:ind w:right="57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5, 2020</w:t>
            </w:r>
          </w:p>
        </w:tc>
      </w:tr>
    </w:tbl>
    <w:p>
      <w:pPr>
        <w:spacing w:after="0" w:line="406" w:lineRule="exact"/>
        <w:rPr>
          <w:sz w:val="20"/>
          <w:szCs w:val="20"/>
          <w:color w:val="auto"/>
        </w:rPr>
      </w:pPr>
    </w:p>
    <w:p>
      <w:pPr>
        <w:sectPr>
          <w:pgSz w:w="11900" w:h="16838" w:orient="portrait"/>
          <w:cols w:equalWidth="0" w:num="2">
            <w:col w:w="4980" w:space="720"/>
            <w:col w:w="5720"/>
          </w:cols>
          <w:pgMar w:left="240" w:top="56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type w:val="continuous"/>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c>
          <w:tcPr>
            <w:tcW w:w="20" w:type="dxa"/>
            <w:vAlign w:val="bottom"/>
          </w:tcPr>
          <w:p>
            <w:pPr>
              <w:spacing w:after="0"/>
              <w:rPr>
                <w:sz w:val="20"/>
                <w:szCs w:val="20"/>
                <w:color w:val="auto"/>
              </w:rPr>
            </w:pPr>
          </w:p>
        </w:tc>
      </w:tr>
      <w:tr>
        <w:trPr>
          <w:trHeight w:val="183"/>
        </w:trPr>
        <w:tc>
          <w:tcPr>
            <w:tcW w:w="10780" w:type="dxa"/>
            <w:vAlign w:val="bottom"/>
            <w:gridSpan w:val="9"/>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640" w:type="dxa"/>
            <w:vAlign w:val="bottom"/>
          </w:tcPr>
          <w:p>
            <w:pPr>
              <w:ind w:left="38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780" w:type="dxa"/>
            <w:vAlign w:val="bottom"/>
            <w:gridSpan w:val="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Balance Sheets as of December 31, 2019 and 201</w:t>
              </w:r>
            </w:hyperlink>
            <w:r>
              <w:rPr>
                <w:rFonts w:ascii="Arial" w:cs="Arial" w:eastAsia="Arial" w:hAnsi="Arial"/>
                <w:sz w:val="18"/>
                <w:szCs w:val="18"/>
                <w:color w:val="000000"/>
              </w:rPr>
              <w:t>8</w:t>
            </w: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18"/>
                <w:szCs w:val="18"/>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780" w:type="dxa"/>
            <w:vAlign w:val="bottom"/>
            <w:gridSpan w:val="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Operations for the Years Ended December 31, 2019, 2018 and 201</w:t>
              </w:r>
            </w:hyperlink>
            <w:r>
              <w:rPr>
                <w:rFonts w:ascii="Arial" w:cs="Arial" w:eastAsia="Arial" w:hAnsi="Arial"/>
                <w:sz w:val="18"/>
                <w:szCs w:val="18"/>
                <w:color w:val="000000"/>
              </w:rPr>
              <w:t>7</w:t>
            </w: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8"/>
                <w:szCs w:val="18"/>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Consolidated Statements of Comprehensive Loss for the Years Ended December 31, 2019, 2018 and 2017</w:t>
              </w:r>
            </w:hyperlink>
          </w:p>
        </w:tc>
        <w:tc>
          <w:tcPr>
            <w:tcW w:w="3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8"/>
                <w:szCs w:val="18"/>
                <w:color w:val="auto"/>
              </w:rPr>
            </w:pPr>
          </w:p>
        </w:tc>
      </w:tr>
      <w:tr>
        <w:trPr>
          <w:trHeight w:val="210"/>
        </w:trPr>
        <w:tc>
          <w:tcPr>
            <w:tcW w:w="10780" w:type="dxa"/>
            <w:vAlign w:val="bottom"/>
            <w:gridSpan w:val="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Statements of Stockholders’ Equity for the Years Ended December 31, 2019, 2018 and 2017</w:t>
              </w:r>
            </w:hyperlink>
          </w:p>
        </w:tc>
        <w:tc>
          <w:tcPr>
            <w:tcW w:w="640" w:type="dxa"/>
            <w:vAlign w:val="bottom"/>
          </w:tcPr>
          <w:p>
            <w:pPr>
              <w:ind w:left="380"/>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r>
      <w:tr>
        <w:trPr>
          <w:trHeight w:val="210"/>
        </w:trPr>
        <w:tc>
          <w:tcPr>
            <w:tcW w:w="7640" w:type="dxa"/>
            <w:vAlign w:val="bottom"/>
            <w:tcBorders>
              <w:top w:val="single" w:sz="8" w:color="0000EE"/>
            </w:tcBorders>
            <w:gridSpan w:val="8"/>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Consolidated Statements of Cash Flows for the Years Ended December 31, 2019, 2018 and 2017</w:t>
              </w:r>
            </w:hyperlink>
          </w:p>
        </w:tc>
        <w:tc>
          <w:tcPr>
            <w:tcW w:w="3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8"/>
                <w:szCs w:val="18"/>
                <w:color w:val="auto"/>
              </w:rPr>
            </w:pPr>
          </w:p>
        </w:tc>
      </w:tr>
      <w:tr>
        <w:trPr>
          <w:trHeight w:val="210"/>
        </w:trPr>
        <w:tc>
          <w:tcPr>
            <w:tcW w:w="6960" w:type="dxa"/>
            <w:vAlign w:val="bottom"/>
            <w:tcBorders>
              <w:top w:val="single" w:sz="8" w:color="0000EE"/>
            </w:tcBorders>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382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F-8</w:t>
            </w:r>
          </w:p>
        </w:tc>
        <w:tc>
          <w:tcPr>
            <w:tcW w:w="20" w:type="dxa"/>
            <w:vAlign w:val="bottom"/>
          </w:tcPr>
          <w:p>
            <w:pPr>
              <w:spacing w:after="0"/>
              <w:rPr>
                <w:sz w:val="18"/>
                <w:szCs w:val="18"/>
                <w:color w:val="auto"/>
              </w:rPr>
            </w:pPr>
          </w:p>
        </w:tc>
      </w:tr>
      <w:tr>
        <w:trPr>
          <w:trHeight w:val="669"/>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gridSpan w:val="5"/>
          </w:tcPr>
          <w:p>
            <w:pPr>
              <w:ind w:left="92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Syndax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Syndax Pharmaceuticals, Inc. and its subsidiaries (the “Company”) as of December 31, 2019 and 2018, and the related consolidated statements of operations, comprehensive loss,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35,166</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62,331</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63,525</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6,178</w:t>
            </w:r>
          </w:p>
        </w:tc>
        <w:tc>
          <w:tcPr>
            <w:tcW w:w="3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10,195</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18,368</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13,557</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31,925</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Commitments (Note 14)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outstanding at December 31, 2019 and December 31, 2018,</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68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80"/>
              <w:spacing w:after="0"/>
              <w:rPr>
                <w:sz w:val="20"/>
                <w:szCs w:val="20"/>
                <w:color w:val="auto"/>
              </w:rPr>
            </w:pPr>
            <w:r>
              <w:rPr>
                <w:rFonts w:ascii="Arial" w:cs="Arial" w:eastAsia="Arial" w:hAnsi="Arial"/>
                <w:sz w:val="18"/>
                <w:szCs w:val="18"/>
                <w:color w:val="auto"/>
              </w:rPr>
              <w:t>27,140,484 and 24,835,951 shares outstanding at December 31, 2019</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80"/>
              <w:spacing w:after="0"/>
              <w:rPr>
                <w:sz w:val="20"/>
                <w:szCs w:val="20"/>
                <w:color w:val="auto"/>
              </w:rPr>
            </w:pPr>
            <w:r>
              <w:rPr>
                <w:rFonts w:ascii="Arial" w:cs="Arial" w:eastAsia="Arial" w:hAnsi="Arial"/>
                <w:sz w:val="18"/>
                <w:szCs w:val="18"/>
                <w:color w:val="auto"/>
              </w:rPr>
              <w:t>and December 31, 2018, respectively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527,067</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(495,470)</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(439,423)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31,600</w:t>
            </w:r>
          </w:p>
        </w:tc>
        <w:tc>
          <w:tcPr>
            <w:tcW w:w="3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63,525</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(75,876)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Interest income (expense), net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15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5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7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FF0FC"/>
            </w:tcBorders>
            <w:vMerge w:val="continue"/>
          </w:tcPr>
          <w:p>
            <w:pPr>
              <w:spacing w:after="0"/>
              <w:rPr>
                <w:sz w:val="21"/>
                <w:szCs w:val="21"/>
                <w:color w:val="auto"/>
              </w:rPr>
            </w:pPr>
          </w:p>
        </w:tc>
        <w:tc>
          <w:tcPr>
            <w:tcW w:w="15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(73,961)</w:t>
            </w:r>
          </w:p>
        </w:tc>
        <w:tc>
          <w:tcPr>
            <w:tcW w:w="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stockholders—basic</w:t>
            </w:r>
          </w:p>
        </w:tc>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outstanding—basic</w:t>
            </w:r>
          </w:p>
        </w:tc>
        <w:tc>
          <w:tcPr>
            <w:tcW w:w="1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30,490,783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25,371,511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20,997,211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marketable securities, net of tax</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(56,022)</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(73,843)</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6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40" w:type="dxa"/>
            <w:vAlign w:val="bottom"/>
          </w:tcPr>
          <w:p>
            <w:pPr>
              <w:spacing w:after="0"/>
              <w:rPr>
                <w:sz w:val="10"/>
                <w:szCs w:val="10"/>
                <w:color w:val="auto"/>
              </w:rPr>
            </w:pPr>
          </w:p>
        </w:tc>
        <w:tc>
          <w:tcPr>
            <w:tcW w:w="1760" w:type="dxa"/>
            <w:vAlign w:val="bottom"/>
            <w:gridSpan w:val="3"/>
          </w:tcPr>
          <w:p>
            <w:pPr>
              <w:jc w:val="right"/>
              <w:ind w:right="409"/>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r>
      <w:tr>
        <w:trPr>
          <w:trHeight w:val="122"/>
        </w:trPr>
        <w:tc>
          <w:tcPr>
            <w:tcW w:w="4940" w:type="dxa"/>
            <w:vAlign w:val="bottom"/>
          </w:tcPr>
          <w:p>
            <w:pPr>
              <w:spacing w:after="0"/>
              <w:rPr>
                <w:sz w:val="10"/>
                <w:szCs w:val="10"/>
                <w:color w:val="auto"/>
              </w:rPr>
            </w:pPr>
          </w:p>
        </w:tc>
        <w:tc>
          <w:tcPr>
            <w:tcW w:w="1760" w:type="dxa"/>
            <w:vAlign w:val="bottom"/>
            <w:gridSpan w:val="3"/>
          </w:tcPr>
          <w:p>
            <w:pPr>
              <w:jc w:val="right"/>
              <w:ind w:right="589"/>
              <w:spacing w:after="0" w:line="122" w:lineRule="exact"/>
              <w:rPr>
                <w:sz w:val="20"/>
                <w:szCs w:val="20"/>
                <w:color w:val="auto"/>
              </w:rPr>
            </w:pPr>
            <w:r>
              <w:rPr>
                <w:rFonts w:ascii="Arial" w:cs="Arial" w:eastAsia="Arial" w:hAnsi="Arial"/>
                <w:sz w:val="11"/>
                <w:szCs w:val="11"/>
                <w:b w:val="1"/>
                <w:bCs w:val="1"/>
                <w:color w:val="auto"/>
              </w:rPr>
              <w:t>$0.0001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0"/>
                <w:szCs w:val="10"/>
                <w:color w:val="auto"/>
              </w:rPr>
            </w:pPr>
          </w:p>
        </w:tc>
        <w:tc>
          <w:tcPr>
            <w:tcW w:w="10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Stockholders'</w:t>
            </w:r>
          </w:p>
        </w:tc>
      </w:tr>
      <w:tr>
        <w:trPr>
          <w:trHeight w:val="135"/>
        </w:trPr>
        <w:tc>
          <w:tcPr>
            <w:tcW w:w="4940" w:type="dxa"/>
            <w:vAlign w:val="bottom"/>
          </w:tcPr>
          <w:p>
            <w:pPr>
              <w:spacing w:after="0"/>
              <w:rPr>
                <w:sz w:val="11"/>
                <w:szCs w:val="11"/>
                <w:color w:val="auto"/>
              </w:rPr>
            </w:pPr>
          </w:p>
        </w:tc>
        <w:tc>
          <w:tcPr>
            <w:tcW w:w="176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1"/>
                <w:szCs w:val="11"/>
                <w:b w:val="1"/>
                <w:bCs w:val="1"/>
                <w:color w:val="auto"/>
              </w:rPr>
              <w:t>Par Value</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11"/>
                <w:szCs w:val="1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1"/>
                <w:szCs w:val="1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r>
      <w:tr>
        <w:trPr>
          <w:trHeight w:val="129"/>
        </w:trPr>
        <w:tc>
          <w:tcPr>
            <w:tcW w:w="4940" w:type="dxa"/>
            <w:vAlign w:val="bottom"/>
            <w:tcBorders>
              <w:bottom w:val="single" w:sz="8" w:color="CFF0FC"/>
            </w:tcBorders>
          </w:tcPr>
          <w:p>
            <w:pPr>
              <w:spacing w:after="0"/>
              <w:rPr>
                <w:sz w:val="11"/>
                <w:szCs w:val="11"/>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1"/>
                <w:szCs w:val="11"/>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Capital</w:t>
            </w:r>
          </w:p>
        </w:tc>
        <w:tc>
          <w:tcPr>
            <w:tcW w:w="1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8"/>
              </w:rPr>
              <w:t>Income (Loss)</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7"/>
              </w:rPr>
              <w:t>(Deficit)</w:t>
            </w:r>
          </w:p>
        </w:tc>
        <w:tc>
          <w:tcPr>
            <w:tcW w:w="100" w:type="dxa"/>
            <w:vAlign w:val="bottom"/>
            <w:tcBorders>
              <w:bottom w:val="single" w:sz="8" w:color="CFF0FC"/>
            </w:tcBorders>
          </w:tcPr>
          <w:p>
            <w:pPr>
              <w:spacing w:after="0"/>
              <w:rPr>
                <w:sz w:val="11"/>
                <w:szCs w:val="11"/>
                <w:color w:val="auto"/>
              </w:rPr>
            </w:pPr>
          </w:p>
        </w:tc>
      </w:tr>
      <w:tr>
        <w:trPr>
          <w:trHeight w:val="142"/>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BALANCE--January 1, 2017</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18,215,181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389,374</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(305,293)</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84,139</w:t>
            </w:r>
          </w:p>
        </w:tc>
        <w:tc>
          <w:tcPr>
            <w:tcW w:w="100" w:type="dxa"/>
            <w:vAlign w:val="bottom"/>
            <w:shd w:val="clear" w:color="auto" w:fill="CFF0FC"/>
          </w:tcPr>
          <w:p>
            <w:pPr>
              <w:spacing w:after="0"/>
              <w:rPr>
                <w:sz w:val="12"/>
                <w:szCs w:val="12"/>
                <w:color w:val="auto"/>
              </w:rPr>
            </w:pP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Proceeds from follow on offering, net of</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4940" w:type="dxa"/>
            <w:vAlign w:val="bottom"/>
          </w:tcPr>
          <w:p>
            <w:pPr>
              <w:ind w:left="100"/>
              <w:spacing w:after="0"/>
              <w:rPr>
                <w:sz w:val="20"/>
                <w:szCs w:val="20"/>
                <w:color w:val="auto"/>
              </w:rPr>
            </w:pPr>
            <w:r>
              <w:rPr>
                <w:rFonts w:ascii="Arial" w:cs="Arial" w:eastAsia="Arial" w:hAnsi="Arial"/>
                <w:sz w:val="12"/>
                <w:szCs w:val="12"/>
                <w:color w:val="auto"/>
              </w:rPr>
              <w:t>offering cost of $3,665</w:t>
            </w:r>
          </w:p>
        </w:tc>
        <w:tc>
          <w:tcPr>
            <w:tcW w:w="860" w:type="dxa"/>
            <w:vAlign w:val="bottom"/>
          </w:tcPr>
          <w:p>
            <w:pPr>
              <w:jc w:val="right"/>
              <w:spacing w:after="0"/>
              <w:rPr>
                <w:sz w:val="20"/>
                <w:szCs w:val="20"/>
                <w:color w:val="auto"/>
              </w:rPr>
            </w:pPr>
            <w:r>
              <w:rPr>
                <w:rFonts w:ascii="Arial" w:cs="Arial" w:eastAsia="Arial" w:hAnsi="Arial"/>
                <w:sz w:val="12"/>
                <w:szCs w:val="12"/>
                <w:color w:val="auto"/>
              </w:rPr>
              <w:t>3,950,190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48,675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48,675</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46,680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Vesting of restricted stock</w:t>
            </w:r>
          </w:p>
        </w:tc>
        <w:tc>
          <w:tcPr>
            <w:tcW w:w="860" w:type="dxa"/>
            <w:vAlign w:val="bottom"/>
          </w:tcPr>
          <w:p>
            <w:pPr>
              <w:jc w:val="right"/>
              <w:spacing w:after="0"/>
              <w:rPr>
                <w:sz w:val="20"/>
                <w:szCs w:val="20"/>
                <w:color w:val="auto"/>
              </w:rPr>
            </w:pPr>
            <w:r>
              <w:rPr>
                <w:rFonts w:ascii="Arial" w:cs="Arial" w:eastAsia="Arial" w:hAnsi="Arial"/>
                <w:sz w:val="12"/>
                <w:szCs w:val="12"/>
                <w:color w:val="auto"/>
              </w:rPr>
              <w:t>8,543</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5,450</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5,450</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Proceeds from "At-the-market" offering, net</w:t>
            </w:r>
          </w:p>
        </w:tc>
        <w:tc>
          <w:tcPr>
            <w:tcW w:w="860" w:type="dxa"/>
            <w:vAlign w:val="bottom"/>
          </w:tcPr>
          <w:p>
            <w:pPr>
              <w:jc w:val="right"/>
              <w:spacing w:after="0"/>
              <w:rPr>
                <w:sz w:val="20"/>
                <w:szCs w:val="20"/>
                <w:color w:val="auto"/>
              </w:rPr>
            </w:pPr>
            <w:r>
              <w:rPr>
                <w:rFonts w:ascii="Arial" w:cs="Arial" w:eastAsia="Arial" w:hAnsi="Arial"/>
                <w:sz w:val="12"/>
                <w:szCs w:val="12"/>
                <w:color w:val="auto"/>
              </w:rPr>
              <w:t>148,421</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1,705</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Unrealized losses on short-term investments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(199)</w:t>
            </w: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Employee withholdings ESPP</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2"/>
                <w:szCs w:val="12"/>
                <w:color w:val="auto"/>
              </w:rPr>
            </w:pPr>
          </w:p>
        </w:tc>
      </w:tr>
      <w:tr>
        <w:trPr>
          <w:trHeight w:val="142"/>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Cumulative effect adjustment of adoption ASU</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49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2016-09</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Proceeds from direct stock placement, net</w:t>
            </w:r>
          </w:p>
        </w:tc>
        <w:tc>
          <w:tcPr>
            <w:tcW w:w="860" w:type="dxa"/>
            <w:vAlign w:val="bottom"/>
          </w:tcPr>
          <w:p>
            <w:pPr>
              <w:jc w:val="right"/>
              <w:spacing w:after="0"/>
              <w:rPr>
                <w:sz w:val="20"/>
                <w:szCs w:val="20"/>
                <w:color w:val="auto"/>
              </w:rPr>
            </w:pPr>
            <w:r>
              <w:rPr>
                <w:rFonts w:ascii="Arial" w:cs="Arial" w:eastAsia="Arial" w:hAnsi="Arial"/>
                <w:sz w:val="12"/>
                <w:szCs w:val="12"/>
                <w:color w:val="auto"/>
              </w:rPr>
              <w:t>2,021,018</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24,918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24,918</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(60,802)</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(60,802)</w:t>
            </w:r>
          </w:p>
        </w:tc>
      </w:tr>
      <w:tr>
        <w:trPr>
          <w:trHeight w:val="20"/>
        </w:trPr>
        <w:tc>
          <w:tcPr>
            <w:tcW w:w="4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Balance—December 31, 2017</w:t>
            </w:r>
          </w:p>
        </w:tc>
        <w:tc>
          <w:tcPr>
            <w:tcW w:w="860" w:type="dxa"/>
            <w:vAlign w:val="bottom"/>
          </w:tcPr>
          <w:p>
            <w:pPr>
              <w:jc w:val="right"/>
              <w:spacing w:after="0"/>
              <w:rPr>
                <w:sz w:val="20"/>
                <w:szCs w:val="20"/>
                <w:color w:val="auto"/>
              </w:rPr>
            </w:pPr>
            <w:r>
              <w:rPr>
                <w:rFonts w:ascii="Arial" w:cs="Arial" w:eastAsia="Arial" w:hAnsi="Arial"/>
                <w:sz w:val="12"/>
                <w:szCs w:val="12"/>
                <w:color w:val="auto"/>
              </w:rPr>
              <w:t>24,390,033</w:t>
            </w:r>
          </w:p>
        </w:tc>
        <w:tc>
          <w:tcPr>
            <w:tcW w:w="240" w:type="dxa"/>
            <w:vAlign w:val="bottom"/>
          </w:tcPr>
          <w:p>
            <w:pPr>
              <w:spacing w:after="0"/>
              <w:rPr>
                <w:sz w:val="12"/>
                <w:szCs w:val="12"/>
                <w:color w:val="auto"/>
              </w:rPr>
            </w:pPr>
          </w:p>
        </w:tc>
        <w:tc>
          <w:tcPr>
            <w:tcW w:w="660" w:type="dxa"/>
            <w:vAlign w:val="bottom"/>
          </w:tcPr>
          <w:p>
            <w:pPr>
              <w:jc w:val="right"/>
              <w:ind w:right="589"/>
              <w:spacing w:after="0"/>
              <w:rPr>
                <w:sz w:val="20"/>
                <w:szCs w:val="20"/>
                <w:color w:val="auto"/>
              </w:rPr>
            </w:pPr>
            <w:r>
              <w:rPr>
                <w:rFonts w:ascii="Arial" w:cs="Arial" w:eastAsia="Arial" w:hAnsi="Arial"/>
                <w:sz w:val="5"/>
                <w:szCs w:val="5"/>
                <w:color w:val="auto"/>
                <w:w w:val="70"/>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470,571</w:t>
            </w:r>
          </w:p>
        </w:tc>
        <w:tc>
          <w:tcPr>
            <w:tcW w:w="1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(143)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(366,111)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104,319</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"At-the-market" offering, net of offering cost of $67</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2,114,169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15,497</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15,497</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tcPr>
          <w:p>
            <w:pPr>
              <w:jc w:val="right"/>
              <w:spacing w:after="0"/>
              <w:rPr>
                <w:sz w:val="20"/>
                <w:szCs w:val="20"/>
                <w:color w:val="auto"/>
              </w:rPr>
            </w:pPr>
            <w:r>
              <w:rPr>
                <w:rFonts w:ascii="Arial" w:cs="Arial" w:eastAsia="Arial" w:hAnsi="Arial"/>
                <w:sz w:val="12"/>
                <w:szCs w:val="12"/>
                <w:color w:val="auto"/>
              </w:rPr>
              <w:t>7,850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Stock issuance due to warrant exercise, cashless</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299,215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Stock purchase under ESPP</w:t>
            </w:r>
          </w:p>
        </w:tc>
        <w:tc>
          <w:tcPr>
            <w:tcW w:w="860" w:type="dxa"/>
            <w:vAlign w:val="bottom"/>
          </w:tcPr>
          <w:p>
            <w:pPr>
              <w:jc w:val="right"/>
              <w:spacing w:after="0"/>
              <w:rPr>
                <w:sz w:val="20"/>
                <w:szCs w:val="20"/>
                <w:color w:val="auto"/>
              </w:rPr>
            </w:pPr>
            <w:r>
              <w:rPr>
                <w:rFonts w:ascii="Arial" w:cs="Arial" w:eastAsia="Arial" w:hAnsi="Arial"/>
                <w:sz w:val="12"/>
                <w:szCs w:val="12"/>
                <w:color w:val="auto"/>
              </w:rPr>
              <w:t>24,684</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6,201</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6,201</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Unrealized gains on short-term investments</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Employee withholdings ESPP</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w:t>
            </w:r>
          </w:p>
        </w:tc>
        <w:tc>
          <w:tcPr>
            <w:tcW w:w="100" w:type="dxa"/>
            <w:vAlign w:val="bottom"/>
            <w:shd w:val="clear" w:color="auto" w:fill="CFF0FC"/>
          </w:tcPr>
          <w:p>
            <w:pPr>
              <w:spacing w:after="0"/>
              <w:rPr>
                <w:sz w:val="12"/>
                <w:szCs w:val="12"/>
                <w:color w:val="auto"/>
              </w:rPr>
            </w:pP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Cumulative effect adjustment of adoption ASU</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4940" w:type="dxa"/>
            <w:vAlign w:val="bottom"/>
          </w:tcPr>
          <w:p>
            <w:pPr>
              <w:ind w:left="100"/>
              <w:spacing w:after="0"/>
              <w:rPr>
                <w:sz w:val="20"/>
                <w:szCs w:val="20"/>
                <w:color w:val="auto"/>
              </w:rPr>
            </w:pPr>
            <w:r>
              <w:rPr>
                <w:rFonts w:ascii="Arial" w:cs="Arial" w:eastAsia="Arial" w:hAnsi="Arial"/>
                <w:sz w:val="12"/>
                <w:szCs w:val="12"/>
                <w:color w:val="auto"/>
              </w:rPr>
              <w:t>2014-09</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649</w:t>
            </w:r>
          </w:p>
        </w:tc>
        <w:tc>
          <w:tcPr>
            <w:tcW w:w="100" w:type="dxa"/>
            <w:vAlign w:val="bottom"/>
          </w:tcPr>
          <w:p>
            <w:pPr>
              <w:spacing w:after="0"/>
              <w:rPr>
                <w:sz w:val="12"/>
                <w:szCs w:val="12"/>
                <w:color w:val="auto"/>
              </w:rPr>
            </w:pPr>
          </w:p>
        </w:tc>
      </w:tr>
      <w:tr>
        <w:trPr>
          <w:trHeight w:val="142"/>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Retirement of common stock in exchange</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49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for common stock warrant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(2,000,000)</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(16,780)</w:t>
            </w: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(16,780)</w:t>
            </w: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Issuance of common stock warrant in exchange</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4940" w:type="dxa"/>
            <w:vAlign w:val="bottom"/>
          </w:tcPr>
          <w:p>
            <w:pPr>
              <w:ind w:left="60"/>
              <w:spacing w:after="0"/>
              <w:rPr>
                <w:sz w:val="20"/>
                <w:szCs w:val="20"/>
                <w:color w:val="auto"/>
              </w:rPr>
            </w:pPr>
            <w:r>
              <w:rPr>
                <w:rFonts w:ascii="Arial" w:cs="Arial" w:eastAsia="Arial" w:hAnsi="Arial"/>
                <w:sz w:val="12"/>
                <w:szCs w:val="12"/>
                <w:color w:val="auto"/>
              </w:rPr>
              <w:t>for retirement of common stock</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16,780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16,780</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(73,961)</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(73,961)</w:t>
            </w:r>
          </w:p>
        </w:tc>
      </w:tr>
      <w:tr>
        <w:trPr>
          <w:trHeight w:val="20"/>
        </w:trPr>
        <w:tc>
          <w:tcPr>
            <w:tcW w:w="4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Balance—December 31, 2018</w:t>
            </w:r>
          </w:p>
        </w:tc>
        <w:tc>
          <w:tcPr>
            <w:tcW w:w="860" w:type="dxa"/>
            <w:vAlign w:val="bottom"/>
          </w:tcPr>
          <w:p>
            <w:pPr>
              <w:jc w:val="right"/>
              <w:spacing w:after="0"/>
              <w:rPr>
                <w:sz w:val="20"/>
                <w:szCs w:val="20"/>
                <w:color w:val="auto"/>
              </w:rPr>
            </w:pPr>
            <w:r>
              <w:rPr>
                <w:rFonts w:ascii="Arial" w:cs="Arial" w:eastAsia="Arial" w:hAnsi="Arial"/>
                <w:sz w:val="12"/>
                <w:szCs w:val="12"/>
                <w:color w:val="auto"/>
              </w:rPr>
              <w:t>24,835,951</w:t>
            </w:r>
          </w:p>
        </w:tc>
        <w:tc>
          <w:tcPr>
            <w:tcW w:w="240" w:type="dxa"/>
            <w:vAlign w:val="bottom"/>
          </w:tcPr>
          <w:p>
            <w:pPr>
              <w:spacing w:after="0"/>
              <w:rPr>
                <w:sz w:val="12"/>
                <w:szCs w:val="12"/>
                <w:color w:val="auto"/>
              </w:rPr>
            </w:pPr>
          </w:p>
        </w:tc>
        <w:tc>
          <w:tcPr>
            <w:tcW w:w="660" w:type="dxa"/>
            <w:vAlign w:val="bottom"/>
          </w:tcPr>
          <w:p>
            <w:pPr>
              <w:jc w:val="right"/>
              <w:ind w:right="589"/>
              <w:spacing w:after="0"/>
              <w:rPr>
                <w:sz w:val="20"/>
                <w:szCs w:val="20"/>
                <w:color w:val="auto"/>
              </w:rPr>
            </w:pPr>
            <w:r>
              <w:rPr>
                <w:rFonts w:ascii="Arial" w:cs="Arial" w:eastAsia="Arial" w:hAnsi="Arial"/>
                <w:sz w:val="5"/>
                <w:szCs w:val="5"/>
                <w:color w:val="auto"/>
                <w:w w:val="70"/>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492,493</w:t>
            </w:r>
          </w:p>
        </w:tc>
        <w:tc>
          <w:tcPr>
            <w:tcW w:w="1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(439,423)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53,047</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"At-the-market" offering, net of $34 offering 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140,819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w:t>
            </w:r>
          </w:p>
        </w:tc>
        <w:tc>
          <w:tcPr>
            <w:tcW w:w="100" w:type="dxa"/>
            <w:vAlign w:val="bottom"/>
            <w:shd w:val="clear" w:color="auto" w:fill="CFF0FC"/>
          </w:tcPr>
          <w:p>
            <w:pPr>
              <w:spacing w:after="0"/>
              <w:rPr>
                <w:sz w:val="12"/>
                <w:szCs w:val="12"/>
                <w:color w:val="auto"/>
              </w:rPr>
            </w:pP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Proceeds from direct offering, net of $1,571 in common stock warrants,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4940" w:type="dxa"/>
            <w:vAlign w:val="bottom"/>
          </w:tcPr>
          <w:p>
            <w:pPr>
              <w:ind w:left="60"/>
              <w:spacing w:after="0"/>
              <w:rPr>
                <w:sz w:val="20"/>
                <w:szCs w:val="20"/>
                <w:color w:val="auto"/>
              </w:rPr>
            </w:pPr>
            <w:r>
              <w:rPr>
                <w:rFonts w:ascii="Arial" w:cs="Arial" w:eastAsia="Arial" w:hAnsi="Arial"/>
                <w:sz w:val="12"/>
                <w:szCs w:val="12"/>
                <w:color w:val="auto"/>
              </w:rPr>
              <w:t>$98 offering expenses</w:t>
            </w:r>
          </w:p>
        </w:tc>
        <w:tc>
          <w:tcPr>
            <w:tcW w:w="860" w:type="dxa"/>
            <w:vAlign w:val="bottom"/>
          </w:tcPr>
          <w:p>
            <w:pPr>
              <w:jc w:val="right"/>
              <w:spacing w:after="0"/>
              <w:rPr>
                <w:sz w:val="20"/>
                <w:szCs w:val="20"/>
                <w:color w:val="auto"/>
              </w:rPr>
            </w:pPr>
            <w:r>
              <w:rPr>
                <w:rFonts w:ascii="Arial" w:cs="Arial" w:eastAsia="Arial" w:hAnsi="Arial"/>
                <w:sz w:val="12"/>
                <w:szCs w:val="12"/>
                <w:color w:val="auto"/>
              </w:rPr>
              <w:t>2,095,039</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10,901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10,902</w:t>
            </w:r>
          </w:p>
        </w:tc>
        <w:tc>
          <w:tcPr>
            <w:tcW w:w="100" w:type="dxa"/>
            <w:vAlign w:val="bottom"/>
          </w:tcPr>
          <w:p>
            <w:pPr>
              <w:spacing w:after="0"/>
              <w:rPr>
                <w:sz w:val="12"/>
                <w:szCs w:val="12"/>
                <w:color w:val="auto"/>
              </w:rPr>
            </w:pPr>
          </w:p>
        </w:tc>
      </w:tr>
      <w:tr>
        <w:trPr>
          <w:trHeight w:val="142"/>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pre-funded common stock warrant from direct offering,</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4940" w:type="dxa"/>
            <w:vAlign w:val="bottom"/>
            <w:shd w:val="clear" w:color="auto" w:fill="CFF0FC"/>
          </w:tcPr>
          <w:p>
            <w:pPr>
              <w:ind w:left="60"/>
              <w:spacing w:after="0"/>
              <w:rPr>
                <w:sz w:val="20"/>
                <w:szCs w:val="20"/>
                <w:color w:val="auto"/>
              </w:rPr>
            </w:pPr>
            <w:r>
              <w:rPr>
                <w:rFonts w:ascii="Arial" w:cs="Arial" w:eastAsia="Arial" w:hAnsi="Arial"/>
                <w:sz w:val="12"/>
                <w:szCs w:val="12"/>
                <w:color w:val="auto"/>
              </w:rPr>
              <w:t>net of $1,875 in common stock warrants, $93 offering expenses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13,032</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13,032</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Issuance of common stock warrant with direct offering</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3,446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3,446</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Stock purchase under ESPP</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42,818</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6,005</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Unrealized gains on short-term investments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Employee withholdings ESPP</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2"/>
                <w:szCs w:val="12"/>
                <w:color w:val="auto"/>
              </w:rPr>
            </w:pPr>
          </w:p>
        </w:tc>
      </w:tr>
      <w:tr>
        <w:trPr>
          <w:trHeight w:val="149"/>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25,857</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Net loss</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(56,047)</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(56,047)</w:t>
            </w:r>
          </w:p>
        </w:tc>
      </w:tr>
      <w:tr>
        <w:trPr>
          <w:trHeight w:val="20"/>
        </w:trPr>
        <w:tc>
          <w:tcPr>
            <w:tcW w:w="49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Balance—December 31, 2019</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27,140,484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89"/>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527,067</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(495,470)</w:t>
            </w: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31,600</w:t>
            </w:r>
          </w:p>
        </w:tc>
        <w:tc>
          <w:tcPr>
            <w:tcW w:w="100" w:type="dxa"/>
            <w:vAlign w:val="bottom"/>
            <w:shd w:val="clear" w:color="auto" w:fill="CFF0FC"/>
          </w:tcPr>
          <w:p>
            <w:pPr>
              <w:spacing w:after="0"/>
              <w:rPr>
                <w:sz w:val="12"/>
                <w:szCs w:val="12"/>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(56,047)</w:t>
            </w: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(73,961)</w:t>
            </w:r>
          </w:p>
        </w:tc>
        <w:tc>
          <w:tcPr>
            <w:tcW w:w="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(60,802)</w:t>
            </w: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Adjustments to reconcile net loss to net cash used in operating</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activities:</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Depreciation</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78</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and accretion of investments</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(780)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(558)</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Non-cash operating lease expense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6,005</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6,201</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74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1,033</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4,739</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(792)</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76"/>
        </w:trPr>
        <w:tc>
          <w:tcPr>
            <w:tcW w:w="7160" w:type="dxa"/>
            <w:vAlign w:val="bottom"/>
          </w:tcPr>
          <w:p>
            <w:pPr>
              <w:ind w:left="740"/>
              <w:spacing w:after="0"/>
              <w:rPr>
                <w:sz w:val="20"/>
                <w:szCs w:val="20"/>
                <w:color w:val="auto"/>
              </w:rPr>
            </w:pPr>
            <w:r>
              <w:rPr>
                <w:rFonts w:ascii="Arial" w:cs="Arial" w:eastAsia="Arial" w:hAnsi="Arial"/>
                <w:sz w:val="15"/>
                <w:szCs w:val="15"/>
                <w:color w:val="auto"/>
              </w:rPr>
              <w:t>Deferred revenue</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(1,517)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(1,517)</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 and other liabilities</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(3,411)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740"/>
              <w:spacing w:after="0"/>
              <w:rPr>
                <w:sz w:val="20"/>
                <w:szCs w:val="20"/>
                <w:color w:val="auto"/>
              </w:rPr>
            </w:pPr>
            <w:r>
              <w:rPr>
                <w:rFonts w:ascii="Arial" w:cs="Arial" w:eastAsia="Arial" w:hAnsi="Arial"/>
                <w:sz w:val="15"/>
                <w:szCs w:val="15"/>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(50,612)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(68,531)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(47,371)</w:t>
            </w:r>
          </w:p>
        </w:tc>
        <w:tc>
          <w:tcPr>
            <w:tcW w:w="0" w:type="dxa"/>
            <w:vAlign w:val="bottom"/>
          </w:tcPr>
          <w:p>
            <w:pPr>
              <w:spacing w:after="0"/>
              <w:rPr>
                <w:sz w:val="1"/>
                <w:szCs w:val="1"/>
                <w:color w:val="auto"/>
              </w:rPr>
            </w:pPr>
          </w:p>
        </w:tc>
      </w:tr>
      <w:tr>
        <w:trPr>
          <w:trHeight w:val="169"/>
        </w:trPr>
        <w:tc>
          <w:tcPr>
            <w:tcW w:w="71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(187)</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short-term investments</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(104,018)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(78,844)</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(152,263)</w:t>
            </w:r>
          </w:p>
        </w:tc>
        <w:tc>
          <w:tcPr>
            <w:tcW w:w="0" w:type="dxa"/>
            <w:vAlign w:val="bottom"/>
          </w:tcPr>
          <w:p>
            <w:pPr>
              <w:spacing w:after="0"/>
              <w:rPr>
                <w:sz w:val="1"/>
                <w:szCs w:val="1"/>
                <w:color w:val="auto"/>
              </w:rPr>
            </w:pPr>
          </w:p>
        </w:tc>
      </w:tr>
      <w:tr>
        <w:trPr>
          <w:trHeight w:val="176"/>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Proceeds from sales and maturities of short-term investments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116,799</w:t>
            </w:r>
          </w:p>
        </w:tc>
        <w:tc>
          <w:tcPr>
            <w:tcW w:w="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130,429</w:t>
            </w:r>
          </w:p>
        </w:tc>
        <w:tc>
          <w:tcPr>
            <w:tcW w:w="2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135,275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provided by (used in) investing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12,781</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51,398</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(17,072)</w:t>
            </w: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common stock in follow on public offering, net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in at-the-market offering, net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15,497</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common stock in direct placement offering, net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27,380</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Proceeds from Employee Stock Purchase Plan</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198</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28,570</w:t>
            </w:r>
          </w:p>
        </w:tc>
        <w:tc>
          <w:tcPr>
            <w:tcW w:w="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15,729</w:t>
            </w:r>
          </w:p>
        </w:tc>
        <w:tc>
          <w:tcPr>
            <w:tcW w:w="2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75,722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line="156" w:lineRule="exact"/>
              <w:rPr>
                <w:sz w:val="20"/>
                <w:szCs w:val="20"/>
                <w:color w:val="auto"/>
              </w:rPr>
            </w:pPr>
            <w:r>
              <w:rPr>
                <w:rFonts w:ascii="Arial" w:cs="Arial" w:eastAsia="Arial" w:hAnsi="Arial"/>
                <w:sz w:val="15"/>
                <w:szCs w:val="15"/>
                <w:color w:val="auto"/>
              </w:rPr>
              <w:t>NET (DECREASE) INCREASE IN CASH, CASH EQUIVALENTS AND</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160" w:type="dxa"/>
            <w:vAlign w:val="bottom"/>
          </w:tcPr>
          <w:p>
            <w:pPr>
              <w:ind w:left="120"/>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(9,261)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(1,404)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11,279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 RESTRICTED CASH—beginning of year</w:t>
            </w: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33,985</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35,389</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color w:val="auto"/>
              </w:rPr>
              <w:t>CASH, CASH EQUIVALENTS AND RESTRICTED CASH—end of year</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24,724</w:t>
            </w:r>
          </w:p>
        </w:tc>
        <w:tc>
          <w:tcPr>
            <w:tcW w:w="6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33,985</w:t>
            </w:r>
          </w:p>
        </w:tc>
        <w:tc>
          <w:tcPr>
            <w:tcW w:w="260" w:type="dxa"/>
            <w:vAlign w:val="bottom"/>
          </w:tcPr>
          <w:p>
            <w:pPr>
              <w:spacing w:after="0"/>
              <w:rPr>
                <w:sz w:val="14"/>
                <w:szCs w:val="14"/>
                <w:color w:val="auto"/>
              </w:rPr>
            </w:pPr>
          </w:p>
        </w:tc>
        <w:tc>
          <w:tcPr>
            <w:tcW w:w="3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35,389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400"/>
              <w:spacing w:after="0" w:line="155" w:lineRule="exact"/>
              <w:rPr>
                <w:sz w:val="20"/>
                <w:szCs w:val="20"/>
                <w:color w:val="auto"/>
              </w:rPr>
            </w:pPr>
            <w:r>
              <w:rPr>
                <w:rFonts w:ascii="Arial" w:cs="Arial" w:eastAsia="Arial" w:hAnsi="Arial"/>
                <w:sz w:val="14"/>
                <w:szCs w:val="14"/>
                <w:i w:val="1"/>
                <w:iCs w:val="1"/>
                <w:color w:val="auto"/>
                <w:w w:val="93"/>
              </w:rPr>
              <w:t>(In thousands)</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24,609</w:t>
            </w:r>
          </w:p>
        </w:tc>
        <w:tc>
          <w:tcPr>
            <w:tcW w:w="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33,769</w:t>
            </w:r>
          </w:p>
        </w:tc>
        <w:tc>
          <w:tcPr>
            <w:tcW w:w="2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Restricted cash included in current and noncurrent assets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w:t>
            </w:r>
          </w:p>
        </w:tc>
        <w:tc>
          <w:tcPr>
            <w:tcW w:w="2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cash equivalents and restricted cash</w:t>
            </w: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24,724</w:t>
            </w:r>
          </w:p>
        </w:tc>
        <w:tc>
          <w:tcPr>
            <w:tcW w:w="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33,985</w:t>
            </w:r>
          </w:p>
        </w:tc>
        <w:tc>
          <w:tcPr>
            <w:tcW w:w="2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35,389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disclosures of cash flow information (Note 16).</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Syndax Pharmaceuticals, Inc. (“the Company”) is a clinical stage biopharmaceutical company developing an innovative pipeline of cancer therapies. The Company is developing its lead product candidate, entinostat, a once-weekly, oral, small molecule, Class I HDAC inhibitor, in combination with exemestane and several approved PD-1/PD-L1 antagonists. The Company’s pipeline also includes SNDX-6352, a monoclonal antibody that blocks the colony stimulating factor 1 (CSF-1) receptor, as well as SNDX-5613, a selective inhibitor targeting the binding interaction of menin with the mixed lineage leukemia (“MLL”) protein. The Company plans to continue to leverage the technical and business expertise of its management team and scientific collaborators to license, acquire and develop additional cancer therapies to expand its pipeline.</w:t>
      </w:r>
    </w:p>
    <w:p>
      <w:pPr>
        <w:spacing w:after="0" w:line="17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9"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Company’s management believes that the cash, cash equivalents and short-term investments balances as of December 31, 2019, in combination with the net proceeds of its January 2020 equity financing and February 2020 debt financing (see Note 19), should enable the Company to maintain its planned operations for at least twelve months from the date these financial statements were issued.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accounting principles generally accepted in the United States of America (“U.S. GAAP”).</w:t>
      </w:r>
    </w:p>
    <w:p>
      <w:pPr>
        <w:spacing w:after="0" w:line="170"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color w:val="auto"/>
        </w:rPr>
        <w:t>In 2011, the Company established a wholly owned subsidiary in the United Kingdom. There have been no activities for this entity to date. In 2014, the Company established a wholly owned U.S. subsidiary, Syndax Securities Corporation. The consolidated financial statements include the accounts of the Company and its wholly owned subsidiaries. All intercompany balances and transactions have been eliminated in consolidation.</w:t>
      </w:r>
    </w:p>
    <w:p>
      <w:pPr>
        <w:spacing w:after="0" w:line="270" w:lineRule="exact"/>
        <w:rPr>
          <w:sz w:val="20"/>
          <w:szCs w:val="20"/>
          <w:color w:val="auto"/>
        </w:rPr>
      </w:pPr>
    </w:p>
    <w:p>
      <w:pPr>
        <w:ind w:left="600" w:right="7860" w:hanging="592"/>
        <w:spacing w:after="0" w:line="378" w:lineRule="auto"/>
        <w:tabs>
          <w:tab w:leader="none" w:pos="18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260" w:firstLine="598"/>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the disclosure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ind w:right="100"/>
        <w:spacing w:after="0" w:line="259" w:lineRule="auto"/>
        <w:rPr>
          <w:sz w:val="20"/>
          <w:szCs w:val="20"/>
          <w:color w:val="auto"/>
        </w:rPr>
      </w:pPr>
      <w:r>
        <w:rPr>
          <w:rFonts w:ascii="Arial" w:cs="Arial" w:eastAsia="Arial" w:hAnsi="Arial"/>
          <w:sz w:val="18"/>
          <w:szCs w:val="18"/>
          <w:color w:val="auto"/>
        </w:rPr>
        <w:t>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Short-term investments include marketable securities with maturities of less than one year or where management’s intent is to use the investments to fund current operations or to make them available for current operations. Long-term investments include marketable securities with remaining maturities greater than one year or that are due after one year from the balance sheet date. All investments in marketable securities are classified as available-for-sale and are reported at fair value with unrealized gains and losses excluded from earnings and reported net of tax in accumulated other comprehensive income, which is a component of stockholders’ equity (deficit).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Cash and cash equivalents, restricted cash, and short-term and long-term investments are financial instruments that potentially subject the Company to concentrations of credit risk. Substantially all of the Company’s cash, cash equivalents, and short-term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20" w:firstLine="598"/>
        <w:spacing w:after="0" w:line="286" w:lineRule="auto"/>
        <w:rPr>
          <w:sz w:val="20"/>
          <w:szCs w:val="20"/>
          <w:color w:val="auto"/>
        </w:rPr>
      </w:pPr>
      <w:r>
        <w:rPr>
          <w:rFonts w:ascii="Arial" w:cs="Arial" w:eastAsia="Arial" w:hAnsi="Arial"/>
          <w:sz w:val="17"/>
          <w:szCs w:val="17"/>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6" w:name="page97"/>
    <w:bookmarkEnd w:id="96"/>
    <w:p>
      <w:pPr>
        <w:ind w:right="360"/>
        <w:spacing w:after="0" w:line="308" w:lineRule="auto"/>
        <w:rPr>
          <w:sz w:val="20"/>
          <w:szCs w:val="20"/>
          <w:color w:val="auto"/>
        </w:rPr>
      </w:pPr>
      <w:r>
        <w:rPr>
          <w:rFonts w:ascii="Arial" w:cs="Arial" w:eastAsia="Arial" w:hAnsi="Arial"/>
          <w:sz w:val="17"/>
          <w:szCs w:val="17"/>
          <w:color w:val="auto"/>
        </w:rPr>
        <w:t>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Company adopted Accounting Standards Codification (“ASC”) Rule 606 Revenue from Contracts with Customers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As of January 1, 2018, the Company had only one contract within the scope of ASC 606, a license agreement with Kyowa Kirin Co., Ltd. (“KKC”), under which the Company granted KKC an exclusive license to develop and commercialize entinostat in Japan and Korea (the “KKC License Agreement”). The KKC License Agreement is discussed further in Note 4.</w:t>
      </w:r>
    </w:p>
    <w:p>
      <w:pPr>
        <w:spacing w:after="0" w:line="193"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93" w:lineRule="exact"/>
        <w:rPr>
          <w:sz w:val="20"/>
          <w:szCs w:val="20"/>
          <w:color w:val="auto"/>
        </w:rPr>
      </w:pPr>
    </w:p>
    <w:p>
      <w:pPr>
        <w:ind w:right="360" w:firstLine="598"/>
        <w:spacing w:after="0" w:line="285" w:lineRule="auto"/>
        <w:rPr>
          <w:sz w:val="20"/>
          <w:szCs w:val="20"/>
          <w:color w:val="auto"/>
        </w:rPr>
      </w:pPr>
      <w:r>
        <w:rPr>
          <w:rFonts w:ascii="Arial" w:cs="Arial" w:eastAsia="Arial" w:hAnsi="Arial"/>
          <w:sz w:val="16"/>
          <w:szCs w:val="16"/>
          <w:color w:val="auto"/>
        </w:rPr>
        <w:t>Revenue is recognized when, or as, performance obligations are satisfied, which occurs when control of the promised products or services is transferred to customers. Revenue is measured as the amount of consideration the Company expects to receive in exchange for transferring products or services to a customer (“transaction price”). To the extent that the transaction price includes variable consideration, the Company estimates the amount of variable consideration that should be included in the transaction price utilizing the most likely amount method. Variable consideration is included in the transaction price if, in the Company’s judgment, it is probable that a significant future reversal of cumulative revenue under the contract will not</w:t>
      </w:r>
    </w:p>
    <w:p>
      <w:pPr>
        <w:spacing w:after="0" w:line="2"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3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assesses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87"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Licenses of intellectual property: 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the Company’s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ind w:firstLine="598"/>
        <w:spacing w:after="0" w:line="287" w:lineRule="auto"/>
        <w:rPr>
          <w:sz w:val="20"/>
          <w:szCs w:val="20"/>
          <w:color w:val="auto"/>
        </w:rPr>
      </w:pPr>
      <w:r>
        <w:rPr>
          <w:rFonts w:ascii="Arial" w:cs="Arial" w:eastAsia="Arial" w:hAnsi="Arial"/>
          <w:sz w:val="16"/>
          <w:szCs w:val="16"/>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For development milestones related to the KKC Agreement, the Company does not take a substantive role or control the research, development or commercialization of any products generated by KKC. Therefore, the Company is not able to reasonably estimate when, if at all, any development milestone payments may be payable to the Company. As such, the development milestone payments associated with the KKC Agreement involve a substantial degree of uncertainty and risk that they may never be received.</w:t>
      </w:r>
    </w:p>
    <w:p>
      <w:pPr>
        <w:spacing w:after="0" w:line="169"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71"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54"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18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instances where the Company enters into cost-sharing arrangements, all research and development costs reimbursed by the collaborators are accounted for as reductions to research and development expense. During the year ended December 31, 2019, the Company incurred $2.0 million in external costs related to cost-sharing collaborations, of which $1.0 million has been recorded as a reduction to research and development expense. During the year ended December 31, 2018, the Company incurred $4.7 million in external costs related to cost-sharing collaborations, of which $2.4 million has been recorded as a reduction to research and development expense. During the year ended December 31, 2017, the Company incurred $3.0 million in external costs related to cost-sharing collaborations, of which $1.4 million has been recorded as a reduction to research and development expense.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8" w:name="page99"/>
    <w:bookmarkEnd w:id="98"/>
    <w:p>
      <w:pPr>
        <w:ind w:left="600"/>
        <w:spacing w:after="0"/>
        <w:rPr>
          <w:sz w:val="20"/>
          <w:szCs w:val="20"/>
          <w:color w:val="auto"/>
        </w:rPr>
      </w:pPr>
      <w:r>
        <w:rPr>
          <w:rFonts w:ascii="Arial" w:cs="Arial" w:eastAsia="Arial" w:hAnsi="Arial"/>
          <w:sz w:val="18"/>
          <w:szCs w:val="18"/>
          <w:b w:val="1"/>
          <w:bCs w:val="1"/>
          <w:i w:val="1"/>
          <w:iCs w:val="1"/>
          <w:color w:val="auto"/>
        </w:rPr>
        <w:t>Clinical Trial Costs</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activations, or other information provided to us by our vendors.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14) that require it to indemnify the landlord against all costs, expenses, fines, suits, claims, demands, liabilities, and actions directly resulting from any breach, violation, or nonperformance of any covenant or condition of the Company’s lease. Through December 31,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(“ASU 2016-02”). The Company adopted ASU 2016-02 and its related amendments (collectively known as ASC 842) using the prospective method, effective on January 1, 2019. See Note 5 “Leases” to our consolidated financial statements included elsewhere herein for the required disclosures related to the impact of adopting this standard and a discussion of the Company’s updated policies related to leases. The Company adopted ASU 2016-02 on January 1, 2019, and it did not have a material impact on its consolidated balance sheet, consolidated statement of comprehensive loss or consolidated statement of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229"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On December 19, 2014 (the “Effective Date”), the Company entered into the KKC License Agreement, under which the Company granted KKC an exclusive license to develop and commercialize entinostat in Japan and Korea.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spacing w:after="0" w:line="288" w:lineRule="auto"/>
        <w:rPr>
          <w:sz w:val="20"/>
          <w:szCs w:val="20"/>
          <w:color w:val="auto"/>
        </w:rPr>
      </w:pPr>
      <w:r>
        <w:rPr>
          <w:rFonts w:ascii="Arial" w:cs="Arial" w:eastAsia="Arial" w:hAnsi="Arial"/>
          <w:sz w:val="16"/>
          <w:szCs w:val="16"/>
          <w:color w:val="auto"/>
        </w:rPr>
        <w:t>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69"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1"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181" w:lineRule="exact"/>
        <w:rPr>
          <w:sz w:val="20"/>
          <w:szCs w:val="20"/>
          <w:color w:val="auto"/>
        </w:rPr>
      </w:pPr>
    </w:p>
    <w:p>
      <w:pPr>
        <w:ind w:right="40" w:firstLine="598"/>
        <w:spacing w:after="0" w:line="284" w:lineRule="auto"/>
        <w:rPr>
          <w:sz w:val="20"/>
          <w:szCs w:val="20"/>
          <w:color w:val="auto"/>
        </w:rPr>
      </w:pPr>
      <w:r>
        <w:rPr>
          <w:rFonts w:ascii="Arial" w:cs="Arial" w:eastAsia="Arial" w:hAnsi="Arial"/>
          <w:sz w:val="16"/>
          <w:szCs w:val="16"/>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w:t>
      </w:r>
    </w:p>
    <w:p>
      <w:pPr>
        <w:spacing w:after="0" w:line="5" w:lineRule="exact"/>
        <w:rPr>
          <w:sz w:val="20"/>
          <w:szCs w:val="20"/>
          <w:color w:val="auto"/>
        </w:rPr>
      </w:pPr>
    </w:p>
    <w:p>
      <w:pPr>
        <w:ind w:right="140" w:firstLine="8"/>
        <w:spacing w:after="0" w:line="286" w:lineRule="auto"/>
        <w:tabs>
          <w:tab w:leader="none" w:pos="26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67"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Contract liabilities consisted of deferred revenue, as presented on the consolidated balance sheet, as of December 31, 2019. Deferred revenue related to the KKC License Agreement was $14.7 million as of December 31, 2019 and will be recognized over the remainder of the contract term.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5. Leases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842, “Leases”</w:t>
      </w:r>
    </w:p>
    <w:p>
      <w:pPr>
        <w:spacing w:after="0" w:line="211"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The Company adopted ASC 842 on January 1, 2019, using the prospective approach which provides a method for recording existing leases at adoption using the effective date of the standard as its initial application date. ASC 842 generally requires all leases to be recognized on the balance sheet. In addition, the Company elected the relief package of practical expedients permitted under the transition guidance within the new standard, which among other things, allowed the Company not to reassess whether any expired or existing contracts are or contain leases, the lease classification for any expired or existing leases and initial direct costs for any existing leases. The reported results for 2019 reflect the application of ASC 842 guidance while the reported results for 2018 were prepared under the guidance of ASC 840, Leases. The adoption of ASC 842 resulted in the recording of a lease asset and lease liability of approximately $1.3 million as of January 1, 2019. ASC 842 did not materially impact the Company’s consolidated results of operations, equity or cash flows as of the adoption date or for the periods presented.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1"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The Company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167"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In December 2015, the Company entered into a 62-month operating lease for 4,039 square feet of space in New York, New York, which commenced on January 1, 2016. The remaining lease terms as of December 31, 2019 for the facility in Waltham, Massachusetts and New York, New York, were 26 months and 14 months, respectively. As of December 31, 2019, the consolidated balance sheet includes a $0.7 million operating lease ROU asset and a $0.9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year ended December 31, 2019, the Company recorded approximately $447,000 in operating lease expense and made approximately $566,000 in lease payments.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minimum lease payments under the Company’s operating leases as of December 31, 2019 and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ind w:left="580"/>
              <w:spacing w:after="0"/>
              <w:rPr>
                <w:sz w:val="20"/>
                <w:szCs w:val="20"/>
                <w:color w:val="auto"/>
              </w:rPr>
            </w:pPr>
            <w:r>
              <w:rPr>
                <w:rFonts w:ascii="Arial" w:cs="Arial" w:eastAsia="Arial" w:hAnsi="Arial"/>
                <w:sz w:val="18"/>
                <w:szCs w:val="18"/>
                <w:b w:val="1"/>
                <w:bCs w:val="1"/>
                <w:color w:val="auto"/>
              </w:rPr>
              <w:t>Maturity of lease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As of</w:t>
            </w:r>
          </w:p>
        </w:tc>
        <w:tc>
          <w:tcPr>
            <w:tcW w:w="580" w:type="dxa"/>
            <w:vAlign w:val="bottom"/>
          </w:tcPr>
          <w:p>
            <w:pPr>
              <w:spacing w:after="0"/>
              <w:rPr>
                <w:sz w:val="19"/>
                <w:szCs w:val="19"/>
                <w:color w:val="auto"/>
              </w:rPr>
            </w:pPr>
          </w:p>
        </w:tc>
      </w:tr>
      <w:tr>
        <w:trPr>
          <w:trHeight w:val="234"/>
        </w:trPr>
        <w:tc>
          <w:tcPr>
            <w:tcW w:w="488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December 31, 2018</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30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CFF0FC"/>
            </w:tcBorders>
          </w:tcPr>
          <w:p>
            <w:pPr>
              <w:jc w:val="right"/>
              <w:ind w:right="105"/>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3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Total operating lease liability</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2"/>
          </w:tcPr>
          <w:p>
            <w:pPr>
              <w:jc w:val="right"/>
              <w:ind w:right="2080"/>
              <w:spacing w:after="0"/>
              <w:rPr>
                <w:sz w:val="20"/>
                <w:szCs w:val="20"/>
                <w:color w:val="auto"/>
              </w:rPr>
            </w:pPr>
            <w:r>
              <w:rPr>
                <w:rFonts w:ascii="Arial" w:cs="Arial" w:eastAsia="Arial" w:hAnsi="Arial"/>
                <w:sz w:val="18"/>
                <w:szCs w:val="18"/>
                <w:color w:val="auto"/>
              </w:rPr>
              <w:t>F-14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01" w:name="page102"/>
    <w:bookmarkEnd w:id="101"/>
    <w:p>
      <w:pPr>
        <w:ind w:left="600"/>
        <w:spacing w:after="0"/>
        <w:rPr>
          <w:sz w:val="20"/>
          <w:szCs w:val="20"/>
          <w:color w:val="auto"/>
        </w:rPr>
      </w:pPr>
      <w:r>
        <w:rPr>
          <w:rFonts w:ascii="Arial" w:cs="Arial" w:eastAsia="Arial" w:hAnsi="Arial"/>
          <w:sz w:val="16"/>
          <w:szCs w:val="16"/>
          <w:color w:val="auto"/>
        </w:rPr>
        <w:t>Future minimum lease payments under the Company’s capital leases as of December 31, 2019 and 2018, were $9,000 and $14,000,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 Attributable to Common Stockholders</w:t>
      </w:r>
    </w:p>
    <w:p>
      <w:pPr>
        <w:spacing w:after="0" w:line="121"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three years ended December 31, 2019, 2018, and 2017, diluted net loss per common share is the same as basic net loss per common share for those periods. The following table summarizes the computation of basic and diluted net loss per share attributable to common stockholders of the Company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(56,047)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(73,961)</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(60,802)</w:t>
            </w: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7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20"/>
                <w:szCs w:val="20"/>
                <w:color w:val="auto"/>
              </w:rPr>
            </w:pPr>
            <w:r>
              <w:rPr>
                <w:rFonts w:ascii="Arial" w:cs="Arial" w:eastAsia="Arial" w:hAnsi="Arial"/>
                <w:sz w:val="18"/>
                <w:szCs w:val="18"/>
                <w:b w:val="1"/>
                <w:bCs w:val="1"/>
                <w:color w:val="auto"/>
              </w:rPr>
              <w:t>Denominator—basic and diluted:</w:t>
            </w:r>
          </w:p>
        </w:tc>
        <w:tc>
          <w:tcPr>
            <w:tcW w:w="2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Weighted-average common shares used to compute net loss per</w:t>
            </w: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share—basic and diluted</w:t>
            </w:r>
          </w:p>
        </w:tc>
        <w:tc>
          <w:tcPr>
            <w:tcW w:w="2700" w:type="dxa"/>
            <w:vAlign w:val="bottom"/>
          </w:tcPr>
          <w:p>
            <w:pPr>
              <w:jc w:val="right"/>
              <w:ind w:right="170"/>
              <w:spacing w:after="0"/>
              <w:rPr>
                <w:sz w:val="20"/>
                <w:szCs w:val="20"/>
                <w:color w:val="auto"/>
              </w:rPr>
            </w:pPr>
            <w:r>
              <w:rPr>
                <w:rFonts w:ascii="Arial" w:cs="Arial" w:eastAsia="Arial" w:hAnsi="Arial"/>
                <w:sz w:val="18"/>
                <w:szCs w:val="18"/>
                <w:color w:val="auto"/>
              </w:rPr>
              <w:t>30,490,783</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25,371,511</w:t>
            </w:r>
          </w:p>
        </w:tc>
        <w:tc>
          <w:tcPr>
            <w:tcW w:w="1060" w:type="dxa"/>
            <w:vAlign w:val="bottom"/>
          </w:tcPr>
          <w:p>
            <w:pPr>
              <w:jc w:val="right"/>
              <w:spacing w:after="0"/>
              <w:rPr>
                <w:sz w:val="20"/>
                <w:szCs w:val="20"/>
                <w:color w:val="auto"/>
              </w:rPr>
            </w:pPr>
            <w:r>
              <w:rPr>
                <w:rFonts w:ascii="Arial" w:cs="Arial" w:eastAsia="Arial" w:hAnsi="Arial"/>
                <w:sz w:val="18"/>
                <w:szCs w:val="18"/>
                <w:color w:val="auto"/>
              </w:rPr>
              <w:t>20,997,211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0</wp:posOffset>
            </wp:positionV>
            <wp:extent cx="235839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2358390" cy="26035"/>
                    </a:xfrm>
                    <a:prstGeom prst="rect">
                      <a:avLst/>
                    </a:prstGeom>
                    <a:noFill/>
                  </pic:spPr>
                </pic:pic>
              </a:graphicData>
            </a:graphic>
          </wp:anchor>
        </w:drawing>
      </w:r>
    </w:p>
    <w:p>
      <w:pPr>
        <w:spacing w:after="0" w:line="263" w:lineRule="exact"/>
        <w:rPr>
          <w:sz w:val="20"/>
          <w:szCs w:val="20"/>
          <w:color w:val="auto"/>
        </w:rPr>
      </w:pPr>
    </w:p>
    <w:p>
      <w:pPr>
        <w:jc w:val="both"/>
        <w:ind w:right="160" w:firstLine="59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5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6,057,011</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4,252,983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3,391,832</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4,595,039</w:t>
            </w: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357,840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ESPP shares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29,736</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As discussed in Note 12, in June 2018, the Company signed an exchange agreement with an investor under which the investor exchanged 2,000,000 shares of common stock for 2,000,000 pre-funded warrant shares. Further, in March 2019, the Company sold an additional 2,500,000 pre-funded warrant shares. The pre-funded warrants are exercisable into shares of common stock for $0.0001 per share. The shares of common stock into which the pre-funded warrants may be exercised are considered outstanding for the purposes of computing earnings per share.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ind w:right="80"/>
        <w:spacing w:after="0" w:line="293" w:lineRule="auto"/>
        <w:rPr>
          <w:sz w:val="20"/>
          <w:szCs w:val="20"/>
          <w:color w:val="auto"/>
        </w:rPr>
      </w:pPr>
      <w:r>
        <w:rPr>
          <w:rFonts w:ascii="Arial" w:cs="Arial" w:eastAsia="Arial" w:hAnsi="Arial"/>
          <w:sz w:val="16"/>
          <w:szCs w:val="16"/>
          <w:color w:val="auto"/>
        </w:rPr>
        <w:t>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65"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In June 2019, the Company achieved certain development and regulatory milestones. As a result, in June 2019, the Company recorded $4.0 million as research and development expense. The amount payable has been recorded in accounts payable as of December 31, 2019.</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UCB Biopharma Sprl</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Eastern Cooperative Oncology Group</w:t>
      </w:r>
    </w:p>
    <w:p>
      <w:pPr>
        <w:spacing w:after="0" w:line="117" w:lineRule="exact"/>
        <w:rPr>
          <w:sz w:val="20"/>
          <w:szCs w:val="20"/>
          <w:color w:val="auto"/>
        </w:rPr>
      </w:pPr>
    </w:p>
    <w:p>
      <w:pPr>
        <w:ind w:right="280" w:firstLine="598"/>
        <w:spacing w:after="0" w:line="293"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3" w:name="page104"/>
    <w:bookmarkEnd w:id="103"/>
    <w:p>
      <w:pPr>
        <w:spacing w:after="0" w:line="257" w:lineRule="auto"/>
        <w:rPr>
          <w:sz w:val="20"/>
          <w:szCs w:val="20"/>
          <w:color w:val="auto"/>
        </w:rPr>
      </w:pPr>
      <w:r>
        <w:rPr>
          <w:rFonts w:ascii="Arial" w:cs="Arial" w:eastAsia="Arial" w:hAnsi="Arial"/>
          <w:sz w:val="18"/>
          <w:szCs w:val="18"/>
          <w:color w:val="auto"/>
        </w:rPr>
        <w:t>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$5.1 million. The total contractual costs under this agreement are $24.5 million. As of December 31, 2019, the Company’s maximum aggregate remaining payment obligations under the agreement are approximately $6.7 million, which are estimated to be paid over a period of approximately two years.</w:t>
      </w:r>
    </w:p>
    <w:p>
      <w:pPr>
        <w:spacing w:after="0" w:line="188"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Bayer Pharma AG (formerly known as Bayer Schering Pharma AG)</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was exercised or the closing of the IPO. The warrant contained anti-dilution protection to maintain Bayer’s potential ownership at 1.75% of the shares of common stock outstanding on a fully diluted basis, requiring that the actual number of shares of common stock issuable pursuant to the warrant be increased or decreased for any changes in the fully diluted shares of common stock outstanding. The warrant was exercisable at an exercise price of $1.54 per share and would have expired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 On March 1, 2018, Bayer notified the Company of its election to exercise the warrant utilizing the net exercise feature contained therein, resulting in the Company’s issuance to Bayer of 299,215 shares of the Company’s common stock for no net cash proceeds.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3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Office and computer equipment</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Office equipment under capital lease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During the years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2019, 2018 and 2017.</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05" w:name="page106"/>
    <w:bookmarkEnd w:id="105"/>
    <w:p>
      <w:pPr>
        <w:ind w:left="60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1"/>
                <w:szCs w:val="11"/>
                <w:color w:val="auto"/>
              </w:rPr>
            </w:pPr>
          </w:p>
        </w:tc>
        <w:tc>
          <w:tcPr>
            <w:tcW w:w="104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4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December 31, 2019</w:t>
            </w:r>
          </w:p>
        </w:tc>
        <w:tc>
          <w:tcPr>
            <w:tcW w:w="2600" w:type="dxa"/>
            <w:vAlign w:val="bottom"/>
            <w:tcBorders>
              <w:top w:val="single" w:sz="8" w:color="CFF0FC"/>
              <w:bottom w:val="single" w:sz="8" w:color="CFF0FC"/>
            </w:tcBorders>
            <w:shd w:val="clear" w:color="auto" w:fill="CFF0FC"/>
          </w:tcPr>
          <w:p>
            <w:pPr>
              <w:spacing w:after="0"/>
              <w:rPr>
                <w:sz w:val="17"/>
                <w:szCs w:val="17"/>
                <w:color w:val="auto"/>
              </w:rPr>
            </w:pPr>
          </w:p>
        </w:tc>
        <w:tc>
          <w:tcPr>
            <w:tcW w:w="2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auto"/>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Cash equivalents</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2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60" w:type="dxa"/>
            <w:vAlign w:val="bottom"/>
            <w:gridSpan w:val="3"/>
            <w:vMerge w:val="continue"/>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Cash equivalents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4,499</w:t>
            </w:r>
          </w:p>
        </w:tc>
        <w:tc>
          <w:tcPr>
            <w:tcW w:w="22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2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80,911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Cash equivalents of $23.4 million as of December 31, 2019 and $29.3 million as of December 31, 2018 consisted of overnight investments and money market funds and are classified within Level 1 of the fair value hierarchy because they are valued using quoted market prices in active markets. Cash equivalents of $1.2 million as of December 31, 2019 and $4.5 million as of December 31, 2018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Short-term investments of $35.2 million as of December 31, 2019 and $47.1 million as of December 31, 2018,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December 31, 2019, the remaining contractual maturities of the available-for-sale securities were less than 12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2019. As a result, the Company did not reclassify any amounts out of accumulated other comprehensive income for the same periods. The Company has a limited number of available-for-sale securities in insignificant loss positions as of December 31, 2019, which the Company does not intend to sell and has concluded it will not be required to sell before recovery of the amortized cost for the investment at maturity. The following table summarizes the available-for-sale securities (in thousands):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4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December 31, 2019</w:t>
            </w:r>
          </w:p>
        </w:tc>
        <w:tc>
          <w:tcPr>
            <w:tcW w:w="46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15,675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tcPr>
          <w:p>
            <w:pPr>
              <w:ind w:left="240"/>
              <w:spacing w:after="0"/>
              <w:rPr>
                <w:sz w:val="20"/>
                <w:szCs w:val="20"/>
                <w:color w:val="auto"/>
              </w:rPr>
            </w:pPr>
            <w:r>
              <w:rPr>
                <w:rFonts w:ascii="Arial" w:cs="Arial" w:eastAsia="Arial" w:hAnsi="Arial"/>
                <w:sz w:val="18"/>
                <w:szCs w:val="18"/>
                <w:color w:val="auto"/>
              </w:rPr>
              <w:t>Asset back securities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gridSpan w:val="2"/>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10. Prepaid Expenses and Other Current Assets</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w w:val="90"/>
              </w:rPr>
              <w:t>Prepaid expenses and other current assets consisted of the following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Prepaid clinical supplies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Reimbursable costs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11. Accrued Expenses and Other Current Liabilities</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6400" w:type="dxa"/>
            <w:vAlign w:val="bottom"/>
            <w:gridSpan w:val="5"/>
          </w:tcPr>
          <w:p>
            <w:pPr>
              <w:ind w:left="20"/>
              <w:spacing w:after="0"/>
              <w:rPr>
                <w:sz w:val="20"/>
                <w:szCs w:val="20"/>
                <w:color w:val="auto"/>
              </w:rPr>
            </w:pPr>
            <w:r>
              <w:rPr>
                <w:rFonts w:ascii="Arial" w:cs="Arial" w:eastAsia="Arial" w:hAnsi="Arial"/>
                <w:sz w:val="18"/>
                <w:szCs w:val="18"/>
                <w:color w:val="auto"/>
                <w:w w:val="91"/>
              </w:rPr>
              <w:t>Accrued expenses and other current liabilities consisted of the following (in thousands):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Accrued compensation and related costs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2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 connection with the closing of the Company’s IPO, the Company filed an amended and restated certificate of incorporation and adopted amended and restated bylaws; and pursuant to the amended and restated certificate of incorporation, the Company is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63" w:lineRule="exact"/>
        <w:rPr>
          <w:sz w:val="20"/>
          <w:szCs w:val="20"/>
          <w:color w:val="auto"/>
        </w:rPr>
      </w:pPr>
    </w:p>
    <w:p>
      <w:pPr>
        <w:jc w:val="both"/>
        <w:ind w:right="240" w:firstLine="598"/>
        <w:spacing w:after="0" w:line="279" w:lineRule="auto"/>
        <w:rPr>
          <w:sz w:val="20"/>
          <w:szCs w:val="20"/>
          <w:color w:val="auto"/>
        </w:rPr>
      </w:pPr>
      <w:r>
        <w:rPr>
          <w:rFonts w:ascii="Arial" w:cs="Arial" w:eastAsia="Arial" w:hAnsi="Arial"/>
          <w:sz w:val="17"/>
          <w:szCs w:val="17"/>
          <w:color w:val="auto"/>
        </w:rPr>
        <w:t>In April 2017, the Company entered into a sales agreement with Cowen under which the Company may issue and sell shares of our common stock having aggregate sales proceeds of up to $50.0 million from time to time through Cowen, acting as agent, in a series of one or more ATM equity offerings (the “2017 ATM Program”). Since inception of the ATM program in 2017, the Company has sold 2,403,409 shares of common stock pursuant to the ATM program, at an average price of $7.82 per share for gross proceeds of $18.8 million, resulting in net proceeds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of $18.2 million after deducting sales commissions and offering expenses. The 2017 ATM Program was replaced by the 2019 ATM Program.</w:t>
      </w:r>
    </w:p>
    <w:p>
      <w:pPr>
        <w:spacing w:after="0" w:line="117"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In August 2019, the Company entered into a new sales agreement with Cowen and Company, LLC (“Cowen”) under which the Company may issue and sell shares of its common stock having aggregate sales proceeds of up to $50.0 million from time to time through Cowen, acting as agent, in a series of one or more at-the-market (“ATM”) equity offerings (the “2019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 (Registration No. 333-233564), which was declared effective on September 10, 2019. The Company’s common stock will be sold at prevailing market prices at the time of the sale; and as a result, prices may vary. The Company pays Cowen up to 3% of the gross proceeds from any common stock sold through this sales agreement. In 2019, prior to the effectiveness of the 2019 ATM Program, the Company sold 140,819 shares of common stock under the 2017 ATM program for net proceeds of $0.8 million. No shares of common stock have been sold under the 2019 ATM program.</w:t>
      </w:r>
    </w:p>
    <w:p>
      <w:pPr>
        <w:spacing w:after="0" w:line="74"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March 2019, the Company issued 2,095,039 shares of its common stock and pre-funded warrants to purchase 2,500,000 shares of common stock (the “Pre-Funded Warrants”)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70"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(as described below). The Series Warrants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w:t>
      </w:r>
    </w:p>
    <w:p>
      <w:pPr>
        <w:spacing w:after="0" w:line="46"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If, prior to the expiration date of the Series Warrant, the Company sells additional capital stock or derivative securities convertible into or exercisable for capital stock (other than Exempted Securities as defined by the Series Warrant)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74"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January 2020, the Company sold 3,036,719 shares of common stock, par value $0.0001 per share (“Common Stock”) and Pre-Funded Warrants to purchase 1,338,287 shares of Common Stock (the “Pre-Funded Warrants”). The offering price for the securities was $8.00 per share or $7.9999 for each Pre-Funded Warrant. As a result of this offering, the exercise price of Series 1 and Series 2 Warrants outstanding reset from $12.00 per share to $10.00 per share and from $18.00 per share to $13.00, respectively.</w:t>
      </w:r>
    </w:p>
    <w:p>
      <w:pPr>
        <w:spacing w:after="0" w:line="79"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8" w:name="page109"/>
    <w:bookmarkEnd w:id="108"/>
    <w:p>
      <w:pPr>
        <w:ind w:right="20" w:firstLine="598"/>
        <w:spacing w:after="0" w:line="293" w:lineRule="auto"/>
        <w:rPr>
          <w:sz w:val="20"/>
          <w:szCs w:val="20"/>
          <w:color w:val="auto"/>
        </w:rPr>
      </w:pPr>
      <w:r>
        <w:rPr>
          <w:rFonts w:ascii="Arial" w:cs="Arial" w:eastAsia="Arial" w:hAnsi="Arial"/>
          <w:sz w:val="16"/>
          <w:szCs w:val="16"/>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permits the holders to receive a fixed number of common shares upon exercise. In addition, such warrants do not provide any guarantee of value or return. The Company valued the Series Warrants at issuance using the Black Scholes option pricing model and determined the fair value of the 4,595,039 Series Warrants at $3.4 million. The key inputs to the valuation model included the weighted average volatility of 89.1% and the weighted average expected term of 1.4 years.</w:t>
      </w:r>
    </w:p>
    <w:p>
      <w:pPr>
        <w:spacing w:after="0" w:line="165"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On June 18, 2018, the Company signed an exchange agreement with Biotechnology Value Fund and certain affiliated funds (“BVF”) under which BVF exchanged 2,000,000 shares of common stock for 2,000,000 Pre-Funded Warrant shares. The Company recorded the issuance of the Pre-Funded Warrants and the retirement of the common stock at fair value within additional paid-in capital. BVF can exercise the Pre-Funded Warrants at an exercise price per share equal to $0.0001 per share and the Pre-Funded Warrants expire 20 years from issuance. Per the terms of the warrant agreement, the outstanding Pre-Funded Warrants may not be exercised if the holder's ownership of the Company's common stock would exceed 9.99 percent following such exercise.</w:t>
      </w:r>
    </w:p>
    <w:p>
      <w:pPr>
        <w:spacing w:after="0" w:line="193"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ectPr>
          <w:pgSz w:w="11900" w:h="16838" w:orient="portrait"/>
          <w:cols w:equalWidth="0" w:num="1">
            <w:col w:w="11400"/>
          </w:cols>
          <w:pgMar w:left="240" w:top="449"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Common stock issuable under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-124460</wp:posOffset>
            </wp:positionV>
            <wp:extent cx="579755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Series 1 and 2 warrants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2019</w:t>
      </w:r>
    </w:p>
    <w:p>
      <w:pPr>
        <w:spacing w:after="0" w:line="25"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4,500,000</w:t>
      </w:r>
    </w:p>
    <w:p>
      <w:pPr>
        <w:spacing w:after="0" w:line="2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4,595,039</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6,643,565</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856,994</w:t>
      </w:r>
    </w:p>
    <w:p>
      <w:pPr>
        <w:spacing w:after="0" w:line="35"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16,595,598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31750</wp:posOffset>
            </wp:positionV>
            <wp:extent cx="10718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8040" w:space="720"/>
            <w:col w:w="2640"/>
          </w:cols>
          <w:pgMar w:left="240" w:top="449" w:right="259" w:bottom="1440" w:gutter="0" w:footer="0" w:header="0"/>
          <w:type w:val="continuous"/>
        </w:sectPr>
      </w:pPr>
    </w:p>
    <w:p>
      <w:pPr>
        <w:ind w:firstLine="598"/>
        <w:spacing w:after="0" w:line="270" w:lineRule="auto"/>
        <w:rPr>
          <w:sz w:val="20"/>
          <w:szCs w:val="20"/>
          <w:color w:val="auto"/>
        </w:rPr>
      </w:pPr>
      <w:r>
        <w:rPr>
          <w:rFonts w:ascii="Arial" w:cs="Arial" w:eastAsia="Arial" w:hAnsi="Arial"/>
          <w:sz w:val="17"/>
          <w:szCs w:val="17"/>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2019, there were 586,554 shares available for issuance under the 2015 Plan.</w:t>
      </w:r>
    </w:p>
    <w:p>
      <w:pPr>
        <w:spacing w:after="0" w:line="182"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2020, the shares available for issuance under the 2015 Plan were increased to 1,672,173.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09" w:name="page110"/>
    <w:bookmarkEnd w:id="109"/>
    <w:p>
      <w:pPr>
        <w:ind w:right="300" w:firstLine="598"/>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As of December 31, 2019, there was $10.1 million of unrecognized compensation cost related to employee and non-employee unvested stock options granted under the 2007 and 2015 Plans, which is expected to be recognized over a weighted-average remaining service period of 2.3 years. Stock compensation costs have not been capitalized by the Company. As of December 31, 2019, there was $0.7 million of unrecognized compensation cost related to performance-based options, and $9.4 million of unrecognized compensation expense related to service based options.</w:t>
      </w:r>
    </w:p>
    <w:p>
      <w:pPr>
        <w:spacing w:after="0" w:line="17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w:t>
      </w:r>
    </w:p>
    <w:p>
      <w:pPr>
        <w:spacing w:after="0" w:line="188"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In 2017, the Company granted 60,000 options with performance conditions, 13,333 of which have vested in 2019, and 6,667 of which have been cancelled as of December 31, 2019. In the years ended December 31, 2019, 2018 and 2017, the Company recorded approximately $88,000, $142,000 and $29,000, respectively, of stock compensation expense associated with these awards.</w:t>
      </w:r>
    </w:p>
    <w:p>
      <w:pPr>
        <w:spacing w:after="0" w:line="181"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In 2019, the Company granted to certain employees 583,000 stock options that contain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54"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achievement of one of the performance milestones was considered to be probable and the Company recorded approximately $181,000 of stock compensation expense associated with these awards for the year ended December 31, 2019. For the remaining milestones, achievement of the performance conditions was considered not probably, nor met, and therefore no expense has been recognized related to these awards for the year ended December 31, 2019.</w:t>
      </w:r>
    </w:p>
    <w:p>
      <w:pPr>
        <w:spacing w:after="0" w:line="18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a peer group of similar public companies.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0" w:name="page111"/>
    <w:bookmarkEnd w:id="110"/>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3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4"/>
              </w:rPr>
              <w:t>Years Ended December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Volatility rate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76.95%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76.28%</w:t>
            </w: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73.86%</w:t>
            </w: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2.29%</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summary of employee and non-employee option activity under the Company’s equity award plans is presented below (in thousands, except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Outstanding—January 1, 2019</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4,252,983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1,964,025</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(25,857)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Canceled or 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(134,140)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2019</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6,057,011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Exercisable—December 31, 2019</w:t>
            </w: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3,620,626</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7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2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gridSpan w:val="2"/>
            <w:vMerge w:val="continue"/>
          </w:tcPr>
          <w:p>
            <w:pPr>
              <w:spacing w:after="0"/>
              <w:rPr>
                <w:sz w:val="21"/>
                <w:szCs w:val="21"/>
                <w:color w:val="auto"/>
              </w:rPr>
            </w:pPr>
          </w:p>
        </w:tc>
        <w:tc>
          <w:tcPr>
            <w:tcW w:w="7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Options vested, exercisable or expected to</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vest—December 31, 2019</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5,655,008</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5,373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2019, 2018 and 2017, was $4.81, $6.17,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$6.68 per share, respectively. The fair value is being expensed over the vesting period of the options (usually three to four years) on a straight-line basis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are being provided.</w:t>
      </w:r>
    </w:p>
    <w:p>
      <w:pPr>
        <w:spacing w:after="0" w:line="21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There were 25,857 options exercised for the year ended December 31, 2019, resulting in total proceeds of $178,000; 7,850 options exercised for the year ended December 31, 2018, resulting in total proceeds of $26,000; and 46,680 options exercised for the year ended December 31, 2017, resulting in total proceeds of $0.3 million. The intrinsic value of options exercised during the years ended December 31, 2019, 2018 and 2017 was $9,000, $0.1 million, and $0.2 million, respectively. In accordance with the Company’s policy, the shares were issued from a pool of shares reserved for issuance under the 2007 and 2015 Plans.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September 2015, the Company’s Board adopted the Employee Stock Purchase Plan (the “ESPP”), which was subsequently approved by the Company’s stockholders in February 2016 and became effective upon the closing of the IPO on March 8, 2016. The ESPP authorizes the initial issuance of up to a total of 250,000 shares of common stock to the Company’s employees. The Company issued 42,818 shares during 2019. On January 1, 2020, the shares of common stock reserved for issuance under the ESPP was increased to 1,128,398. Under the terms of the ESPP, eligible employees can elect to acquire shares of the Company’s common stock through periodic payroll deductions during a series of six month offering periods. Purchases under the ESPP are effected on the last business day of each offering period at a 15% discount to the lower of closing price on that day or the closing price on the first day of the offering period.</w:t>
      </w:r>
    </w:p>
    <w:p>
      <w:pPr>
        <w:spacing w:after="0" w:line="189"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For the years ended December 31, 2019, 2018 and 2017 the Company recorded stock-based compensation expense related to the ESPP of $113,000, $132,000 and $42,000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43" w:right="259" w:bottom="1440" w:gutter="0" w:footer="0" w:header="0"/>
        </w:sectPr>
      </w:pPr>
    </w:p>
    <w:bookmarkStart w:id="111" w:name="page112"/>
    <w:bookmarkEnd w:id="111"/>
    <w:p>
      <w:pPr>
        <w:ind w:left="60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2019, 2018 and 2017, the Company made $119,000, $126,000 and $106,000 contributions to the plan,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30"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Years Ended</w:t>
      </w:r>
    </w:p>
    <w:p>
      <w:pPr>
        <w:ind w:left="8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7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16,410</w:t>
            </w:r>
          </w:p>
        </w:tc>
        <w:tc>
          <w:tcPr>
            <w:tcW w:w="14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8"/>
                <w:szCs w:val="18"/>
                <w:color w:val="auto"/>
              </w:rPr>
              <w:t>Capitalized start-up and research and development costs, net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8"/>
                <w:szCs w:val="18"/>
                <w:color w:val="auto"/>
              </w:rPr>
              <w:t>Depreciation and amortization of capitalized cost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(11,550)</w:t>
            </w:r>
          </w:p>
        </w:tc>
      </w:tr>
      <w:tr>
        <w:trPr>
          <w:trHeight w:val="230"/>
        </w:trPr>
        <w:tc>
          <w:tcPr>
            <w:tcW w:w="20" w:type="dxa"/>
            <w:vAlign w:val="bottom"/>
          </w:tcPr>
          <w:p>
            <w:pPr>
              <w:spacing w:after="0"/>
              <w:rPr>
                <w:sz w:val="19"/>
                <w:szCs w:val="19"/>
                <w:color w:val="auto"/>
              </w:rPr>
            </w:pPr>
          </w:p>
        </w:tc>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temporary differences</w:t>
            </w: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tax assets before valuation allowance</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Valuation allowances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(71,651)</w:t>
            </w:r>
          </w:p>
        </w:tc>
      </w:tr>
      <w:tr>
        <w:trPr>
          <w:trHeight w:val="223"/>
        </w:trPr>
        <w:tc>
          <w:tcPr>
            <w:tcW w:w="20" w:type="dxa"/>
            <w:vAlign w:val="bottom"/>
          </w:tcPr>
          <w:p>
            <w:pPr>
              <w:spacing w:after="0"/>
              <w:rPr>
                <w:sz w:val="19"/>
                <w:szCs w:val="19"/>
                <w:color w:val="auto"/>
              </w:rPr>
            </w:pPr>
          </w:p>
        </w:tc>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The Company has provided a valuation allowance for the full amount of the net deferred tax assets as the realization of the deferred tax assets is not determined to be more likely than not. The valuation allowance increased by $12.8 million and $17.2 million in 2019 and 2018, respectively, due to the increase in deferred tax assets, primarily due to net operating loss carryforwards and capitalized research and development costs.</w:t>
      </w:r>
    </w:p>
    <w:p>
      <w:pPr>
        <w:spacing w:after="0" w:line="147"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As of December 31, 2019, the Company had approximately $68.0 million and $33.1 million in federal and state Net Operating Losses (“NOLs”), respectively, which begin to expire at various dates starting in 2025. As of December 31, 2019, the Company had federal and state research credits of $2.9 million and $1.6 million, respectively, which begin to expire in 2021.</w:t>
      </w:r>
    </w:p>
    <w:p>
      <w:pPr>
        <w:spacing w:after="0" w:line="18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completed an analysis through March 31, 2019 and determined that on March 30, 2007 and August 21, 2015 ownership changes had occurred. The Company may also experience ownership changes in the future as a result of subsequent shifts in our stock ownership, some of which may be outside of our control. As a result, its ability to use its pre-change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2" w:name="page113"/>
    <w:bookmarkEnd w:id="112"/>
    <w:p>
      <w:pPr>
        <w:ind w:right="120" w:firstLine="598"/>
        <w:spacing w:after="0" w:line="273" w:lineRule="auto"/>
        <w:rPr>
          <w:sz w:val="20"/>
          <w:szCs w:val="20"/>
          <w:color w:val="auto"/>
        </w:rPr>
      </w:pPr>
      <w:r>
        <w:rPr>
          <w:rFonts w:ascii="Arial" w:cs="Arial" w:eastAsia="Arial" w:hAnsi="Arial"/>
          <w:sz w:val="17"/>
          <w:szCs w:val="17"/>
          <w:color w:val="auto"/>
        </w:rPr>
        <w:t>As of December 31, 2019, and 2018, the Company had uncertain tax positions of $0.2 million related to capitalized research and development costs and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2019 and 2018. The Company expects none of the unrecognized tax benefits to decrease within the next 12 months related to expired statutes or settlement with the taxing authorities. Due to the Company’s valuation allowance as of December 31, 2019, none of the Company’s unrecognized tax benefits, if recognized, would affect the effective tax rate.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benefit--beginning of year</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benefit--end of year</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Company files tax returns in the United States, Massachusetts, California, New Jersey, New York, and Pennsylvania.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00" w:firstLine="598"/>
        <w:spacing w:after="0" w:line="287" w:lineRule="auto"/>
        <w:rPr>
          <w:sz w:val="20"/>
          <w:szCs w:val="20"/>
          <w:color w:val="auto"/>
        </w:rPr>
      </w:pPr>
      <w:r>
        <w:rPr>
          <w:rFonts w:ascii="Arial" w:cs="Arial" w:eastAsia="Arial" w:hAnsi="Arial"/>
          <w:sz w:val="16"/>
          <w:szCs w:val="16"/>
          <w:color w:val="auto"/>
        </w:rPr>
        <w:t>NovaMedica—In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7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16. Supplemental Cash Flow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0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223"/>
        </w:trPr>
        <w:tc>
          <w:tcPr>
            <w:tcW w:w="8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Interest paid</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1"/>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Activities:</w:t>
            </w: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adoption of ASC 842, “Leases”, resulted in the recording of a lease asset and a lease liability of approximately $1.3 million as of January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121"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The following table contains quarterly financial information for 2019 and 2018.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774"/>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 fees</w:t>
            </w: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(15,374)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w:t>
            </w:r>
          </w:p>
        </w:tc>
        <w:tc>
          <w:tcPr>
            <w:tcW w:w="340" w:type="dxa"/>
            <w:vAlign w:val="bottom"/>
            <w:tcBorders>
              <w:bottom w:val="single" w:sz="8" w:color="CFF0F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(0.47)</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1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27,023,466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31,605,279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31,630,639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31,640,484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774"/>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 fees</w:t>
            </w: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(18,388</w:t>
            </w:r>
          </w:p>
        </w:tc>
        <w:tc>
          <w:tcPr>
            <w:tcW w:w="340" w:type="dxa"/>
            <w:vAlign w:val="bottom"/>
            <w:tcBorders>
              <w:bottom w:val="single" w:sz="8" w:color="CFF0F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(17,338</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(18,837</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1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24,478,269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24,705,441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25,471,587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26,804,089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On January 30, 2020, the Company entered into a securities purchase agreement (the “Purchase Agreement”) with five life sciences investors, including Biotechnology Value Fund, L.P., Boxer Capital and AI Life Sciences Investments LLC, an affiliate of Access Industries Inc. (the “Initial Purchasers”), relating to the issuance and sale (the “Offering”) of 3,036,719 shares of its Common Stock, par value $0.0001 per share (“Common Stock”) and pre-funded warrants to purchase 1,338,287 shares of Common Stock (the “Pre-Funded Warrants”). The Pre-Funded Warrants enable the holder to make a cash investment in the Company without increasing its beneficial ownership in the Common Stock because the shares of Common Stock underlying the Pre-Funded Warrant are not issued until the warrant is exercised. The Pre-Funded Warrants are exercisable immediately upon issuance at an initial exercise price of $0.0001 per share and expire on the date upon which the Pre-Funded Warrant is fully exercised. The shares of Common Stock and Pre-Funded Warrants will be issued separately.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ind w:right="60" w:firstLine="598"/>
        <w:spacing w:after="0" w:line="342" w:lineRule="auto"/>
        <w:rPr>
          <w:sz w:val="20"/>
          <w:szCs w:val="20"/>
          <w:color w:val="auto"/>
        </w:rPr>
      </w:pPr>
      <w:r>
        <w:rPr>
          <w:rFonts w:ascii="Arial" w:cs="Arial" w:eastAsia="Arial" w:hAnsi="Arial"/>
          <w:sz w:val="16"/>
          <w:szCs w:val="16"/>
          <w:color w:val="auto"/>
        </w:rPr>
        <w:t>The offering price for the securities is $8.00 per share (or $7.9999 for each Pre-Funded Warrant). The aggregate gross proceeds to the Company from this offering are expected to be approximately $35.0 million, excluding any proceeds the Company may receive upon exercise of the Pre-Funded Warrants.</w:t>
      </w:r>
    </w:p>
    <w:p>
      <w:pPr>
        <w:spacing w:after="0" w:line="16"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exercise price and the number of shares of Common Stock purchasable upon the exercise of the Pre-Funded Warrants are subject to adjustment upon the occurrence of specific events, including stock dividends, stock splits, reclassifications and combinations of the Company’s Common Stock. As a result of the offering, the initial exercise price of the Series 1 Warrants was reduced to $10.00 per share and the initial exercise price of the Series 2 Warrants was reduced to $13.00 per share.</w:t>
      </w:r>
    </w:p>
    <w:p>
      <w:pPr>
        <w:spacing w:after="0" w:line="79"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On February 7, 2020, the Company entered into a loan and security agreement (the “Loan Agreement”) with Hercules Capital, Inc.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(the “Tranche 2 Advance”). Borrowings under the Loan Agreement bear interest at an annual rate equal to the greater of (i)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9.85% or (ii) 5.10% plus the Wall Street Journal prime rate.</w:t>
      </w:r>
    </w:p>
    <w:p>
      <w:pPr>
        <w:spacing w:after="0" w:line="211"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Borrowings under the Loan Agreement are repayable in monthly interest-only payments through October 1, 2021, or April 1, 2022 if the Phase 3 clinical trial of entinostat (E2112) in patients with advanced hormone receptor positive, human epidermal growth factor receptor 2 negative, breast cancer has achieved the primary efficacy endpoint sufficient to file an NDA as the next step in clinical development (“Performance Milestone”). After the interest-only payment period, borrowings under the Loan Agreement are repayable in equal monthly payments of principal and accrued interest until the maturity date of the loan, which is either (i) September 1, 2023, or (ii) March 1, 2024 upon achievement of the Performance Milestone (the “Maturity Date”).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and will pay a $50,000 facility charge in connection with the Tranche 2 Advance. The Loan Agreement also provides for a final payment, payable upon maturity or the repayment in full of all obligations under the agreement, of up to 4.99% of the aggregate principal amount of the Term Loan Advances.</w:t>
      </w:r>
    </w:p>
    <w:p>
      <w:pPr>
        <w:spacing w:after="0" w:line="183"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applies commencing on October 1, 2020, subject to reduction upon satisfaction of certain conditions as set forth in the Loan Agreement.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9"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ind w:right="360" w:firstLine="598"/>
        <w:spacing w:after="0" w:line="312" w:lineRule="auto"/>
        <w:rPr>
          <w:sz w:val="20"/>
          <w:szCs w:val="20"/>
          <w:color w:val="auto"/>
        </w:rPr>
      </w:pPr>
      <w:r>
        <w:rPr>
          <w:rFonts w:ascii="Arial" w:cs="Arial" w:eastAsia="Arial" w:hAnsi="Arial"/>
          <w:sz w:val="16"/>
          <w:szCs w:val="16"/>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included as an exhibit to our Annual Report on Form 10-K. All references to the “we,” “our,” or “us” refer to Syndax Pharmaceuticals, Inc.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Under our amended and restated certificate of incorporation we are authorized to issue up to 100,000,000 shares of common stock, par value $0.0001 per share, and 10,000,000 shares of preferred stock, par value $0.001 per share, all of which shares of preferred stock are undesignated. Our board of directors may establish the rights and preferences of the preferred stock from time to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The affirmative vote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Pursuant to our amended and restated certificate of incorporation, 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or other corporate action, or make the removal of management more difficult.</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221496211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62" w:lineRule="exact"/>
        <w:rPr>
          <w:sz w:val="20"/>
          <w:szCs w:val="20"/>
          <w:color w:val="auto"/>
        </w:rPr>
      </w:pPr>
    </w:p>
    <w:p>
      <w:pPr>
        <w:ind w:left="920" w:hanging="439"/>
        <w:spacing w:after="0" w:line="279"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enables our board of directors to make it more difficult or to discourage an attempt to obtain control of us by means of a merger, tender offer, proxy contest or otherwise.</w:t>
      </w:r>
    </w:p>
    <w:p>
      <w:pPr>
        <w:spacing w:after="0" w:line="63" w:lineRule="exact"/>
        <w:rPr>
          <w:rFonts w:ascii="Arial" w:cs="Arial" w:eastAsia="Arial" w:hAnsi="Arial"/>
          <w:sz w:val="17"/>
          <w:szCs w:val="17"/>
          <w:color w:val="auto"/>
        </w:rPr>
      </w:pPr>
    </w:p>
    <w:p>
      <w:pPr>
        <w:ind w:left="920" w:right="100" w:hanging="439"/>
        <w:spacing w:after="0" w:line="25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 of three classes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78" w:lineRule="exact"/>
        <w:rPr>
          <w:rFonts w:ascii="Arial" w:cs="Arial" w:eastAsia="Arial" w:hAnsi="Arial"/>
          <w:sz w:val="18"/>
          <w:szCs w:val="18"/>
          <w:color w:val="auto"/>
        </w:rPr>
      </w:pPr>
    </w:p>
    <w:p>
      <w:pPr>
        <w:ind w:left="920" w:right="80" w:hanging="439"/>
        <w:spacing w:after="0" w:line="279"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w:t>
      </w:r>
    </w:p>
    <w:p>
      <w:pPr>
        <w:spacing w:after="0" w:line="63" w:lineRule="exact"/>
        <w:rPr>
          <w:rFonts w:ascii="Arial" w:cs="Arial" w:eastAsia="Arial" w:hAnsi="Arial"/>
          <w:sz w:val="17"/>
          <w:szCs w:val="17"/>
          <w:color w:val="auto"/>
        </w:rPr>
      </w:pPr>
    </w:p>
    <w:p>
      <w:pPr>
        <w:ind w:left="920" w:right="20" w:hanging="439"/>
        <w:spacing w:after="0" w:line="302"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Stockholder Action; Special Meetings of Stockholders. </w:t>
      </w:r>
      <w:r>
        <w:rPr>
          <w:rFonts w:ascii="Arial" w:cs="Arial" w:eastAsia="Arial" w:hAnsi="Arial"/>
          <w:sz w:val="16"/>
          <w:szCs w:val="16"/>
          <w:color w:val="auto"/>
        </w:rPr>
        <w:t>Our amended and restated certificate of incorporation provides that our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spacing w:after="0" w:line="46" w:lineRule="exact"/>
        <w:rPr>
          <w:rFonts w:ascii="Arial" w:cs="Arial" w:eastAsia="Arial" w:hAnsi="Arial"/>
          <w:sz w:val="16"/>
          <w:szCs w:val="16"/>
          <w:color w:val="auto"/>
        </w:rPr>
      </w:pPr>
    </w:p>
    <w:p>
      <w:pPr>
        <w:ind w:left="920" w:right="40" w:hanging="439"/>
        <w:spacing w:after="0" w:line="276"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 advance notice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73"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38" w:lineRule="exact"/>
        <w:rPr>
          <w:sz w:val="20"/>
          <w:szCs w:val="20"/>
          <w:color w:val="auto"/>
        </w:rPr>
      </w:pPr>
    </w:p>
    <w:p>
      <w:pPr>
        <w:ind w:left="920" w:right="640" w:hanging="439"/>
        <w:spacing w:after="0" w:line="27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221496211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8" w:name="page119"/>
    <w:bookmarkEnd w:id="118"/>
    <w:p>
      <w:pPr>
        <w:ind w:left="920" w:right="100" w:hanging="439"/>
        <w:spacing w:after="0" w:line="257"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Arial" w:cs="Arial" w:eastAsia="Arial" w:hAnsi="Arial"/>
          <w:sz w:val="18"/>
          <w:szCs w:val="18"/>
          <w:color w:val="auto"/>
        </w:rPr>
      </w:pPr>
    </w:p>
    <w:p>
      <w:pPr>
        <w:ind w:left="920" w:right="500" w:hanging="439"/>
        <w:spacing w:after="0" w:line="264"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920" w:hanging="439"/>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920" w:hanging="439"/>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17" w:lineRule="exact"/>
        <w:rPr>
          <w:rFonts w:ascii="Arial" w:cs="Arial" w:eastAsia="Arial" w:hAnsi="Arial"/>
          <w:sz w:val="18"/>
          <w:szCs w:val="18"/>
          <w:color w:val="auto"/>
        </w:rPr>
      </w:pPr>
    </w:p>
    <w:p>
      <w:pPr>
        <w:ind w:left="920" w:right="460" w:hanging="439"/>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ind w:left="920" w:right="620" w:hanging="439"/>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2" w:lineRule="exact"/>
        <w:rPr>
          <w:rFonts w:ascii="Arial" w:cs="Arial" w:eastAsia="Arial" w:hAnsi="Arial"/>
          <w:sz w:val="18"/>
          <w:szCs w:val="18"/>
          <w:color w:val="auto"/>
        </w:rPr>
      </w:pPr>
    </w:p>
    <w:p>
      <w:pPr>
        <w:ind w:left="920" w:right="240" w:hanging="439"/>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76" w:lineRule="exact"/>
        <w:rPr>
          <w:sz w:val="20"/>
          <w:szCs w:val="20"/>
          <w:color w:val="auto"/>
        </w:rPr>
      </w:pPr>
    </w:p>
    <w:p>
      <w:pPr>
        <w:ind w:right="20" w:firstLine="479"/>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entity or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the Court of Chancery of the State of Delaware will be the exclusive forum for (1) any derivative action or proceeding brought on our behalf,</w:t>
      </w:r>
    </w:p>
    <w:p>
      <w:pPr>
        <w:spacing w:after="0" w:line="2" w:lineRule="exact"/>
        <w:rPr>
          <w:sz w:val="20"/>
          <w:szCs w:val="20"/>
          <w:color w:val="auto"/>
        </w:rPr>
      </w:pPr>
    </w:p>
    <w:p>
      <w:pPr>
        <w:ind w:right="100" w:firstLine="8"/>
        <w:spacing w:after="0" w:line="290"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action or proceeding commenced by any of our stockholders (including any class action) asserting a breach of fiduciary duty owed, or other wrongdoing, by any director, officer, employee or agent to us or our stockholders, (3) any action or proceeding commenced by any of our stockholders (including any class action) asserting a claim against us arising pursuant to the DGCL or our amended and restated certificate of incorporation or our amended and restated bylaws, (4) any action or proceeding commenced by any of our stockholders (including any class action) to interpret, apply, enforce or determine the validity of our amended and restated certificate of incorporation or our amended and restated bylaws, or (5) any action or proceeding commenced by any of our stockholders (including any class action) asserting a claim against us that is governed by the internal affairs doctrine.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221496211 v1</w:t>
      </w:r>
    </w:p>
    <w:p>
      <w:pPr>
        <w:sectPr>
          <w:pgSz w:w="11900" w:h="16838" w:orient="portrait"/>
          <w:cols w:equalWidth="0" w:num="1">
            <w:col w:w="11400"/>
          </w:cols>
          <w:pgMar w:left="240" w:top="449" w:right="2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333-210412, 333-220172, 333-226678, and 333-233083 on Form S-8 and Registration Statement No. 333-233564 on Form S-3 of our report dated March 5, 2020, relating to the financial statements of Syndax Pharmaceuticals, Inc. and subsidiaries appearing in this Annual Report on Form 10-K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117" w:lineRule="exact"/>
        <w:rPr>
          <w:sz w:val="20"/>
          <w:szCs w:val="20"/>
          <w:color w:val="auto"/>
        </w:rPr>
      </w:pPr>
    </w:p>
    <w:p>
      <w:pPr>
        <w:ind w:left="780" w:hanging="174"/>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60" w:firstLine="606"/>
        <w:spacing w:after="0" w:line="277" w:lineRule="auto"/>
        <w:tabs>
          <w:tab w:leader="none" w:pos="7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0"/>
        <w:spacing w:after="0" w:line="342" w:lineRule="auto"/>
        <w:tabs>
          <w:tab w:leader="none" w:pos="141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0"/>
        <w:spacing w:after="0" w:line="264" w:lineRule="auto"/>
        <w:tabs>
          <w:tab w:leader="none" w:pos="142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606"/>
        <w:spacing w:after="0" w:line="308" w:lineRule="auto"/>
        <w:tabs>
          <w:tab w:leader="none" w:pos="7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0"/>
        <w:spacing w:after="0" w:line="308" w:lineRule="auto"/>
        <w:tabs>
          <w:tab w:leader="none" w:pos="1411"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117" w:lineRule="exact"/>
        <w:rPr>
          <w:sz w:val="20"/>
          <w:szCs w:val="20"/>
          <w:color w:val="auto"/>
        </w:rPr>
      </w:pPr>
    </w:p>
    <w:p>
      <w:pPr>
        <w:ind w:left="780" w:hanging="174"/>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60" w:firstLine="606"/>
        <w:spacing w:after="0" w:line="277" w:lineRule="auto"/>
        <w:tabs>
          <w:tab w:leader="none" w:pos="7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0"/>
        <w:spacing w:after="0" w:line="342" w:lineRule="auto"/>
        <w:tabs>
          <w:tab w:leader="none" w:pos="1411"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0"/>
        <w:spacing w:after="0" w:line="264" w:lineRule="auto"/>
        <w:tabs>
          <w:tab w:leader="none" w:pos="14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606"/>
        <w:spacing w:after="0" w:line="308" w:lineRule="auto"/>
        <w:tabs>
          <w:tab w:leader="none" w:pos="77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0"/>
        <w:spacing w:after="0" w:line="308" w:lineRule="auto"/>
        <w:tabs>
          <w:tab w:leader="none" w:pos="1411"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(Principal Financial Officer and Principal Accounting</w:t>
      </w:r>
    </w:p>
    <w:p>
      <w:pPr>
        <w:spacing w:after="0" w:line="3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connection with the Annual Report on Form 10-K of Syndax Pharmaceuticals, Inc. (the “Company”) for the year ended December 31, 2019,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860" w:hanging="254"/>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606"/>
        <w:spacing w:after="0" w:line="524" w:lineRule="auto"/>
        <w:tabs>
          <w:tab w:leader="none" w:pos="8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5,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ind w:left="73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Briggs W. Morrison, M.D.</w:t>
            </w:r>
          </w:p>
        </w:tc>
      </w:tr>
      <w:tr>
        <w:trPr>
          <w:trHeight w:val="222"/>
        </w:trPr>
        <w:tc>
          <w:tcPr>
            <w:tcW w:w="77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Briggs W. Morrison, M.D.</w:t>
            </w:r>
          </w:p>
        </w:tc>
      </w:tr>
      <w:tr>
        <w:trPr>
          <w:trHeight w:val="230"/>
        </w:trPr>
        <w:tc>
          <w:tcPr>
            <w:tcW w:w="770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rPr>
              <w:t>Date: March 5, 2020</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59"/>
        </w:trPr>
        <w:tc>
          <w:tcPr>
            <w:tcW w:w="7700" w:type="dxa"/>
            <w:vAlign w:val="bottom"/>
          </w:tcPr>
          <w:p>
            <w:pPr>
              <w:ind w:left="73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22"/>
        </w:trPr>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78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Roman"/>
      <w:start w:val="2"/>
    </w:lvl>
  </w:abstractNum>
  <w:abstractNum w:abstractNumId="38">
    <w:nsid w:val="7644A45C"/>
    <w:multiLevelType w:val="hybridMultilevel"/>
    <w:lvl w:ilvl="0">
      <w:lvlJc w:val="left"/>
      <w:lvlText w:val="(%1)"/>
      <w:numFmt w:val="lowerRoman"/>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3"/>
    </w:lvl>
  </w:abstractNum>
  <w:abstractNum w:abstractNumId="48">
    <w:nsid w:val="70C6A529"/>
    <w:multiLevelType w:val="hybridMultilevel"/>
    <w:lvl w:ilvl="0">
      <w:lvlJc w:val="left"/>
      <w:lvlText w:val="(%1)"/>
      <w:numFmt w:val="lowerRoman"/>
      <w:start w:val="2"/>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2"/>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101" Type="http://schemas.openxmlformats.org/officeDocument/2006/relationships/hyperlink" Target="http://www.sec.gov/Archives/edgar/data/1395937/000119312516496764/d119516dex31.htm" TargetMode="External"/><Relationship Id="rId102" Type="http://schemas.openxmlformats.org/officeDocument/2006/relationships/hyperlink" Target="http://www.sec.gov/Archives/edgar/data/1395937/000119312516496764/d119516dex32.htm" TargetMode="External"/><Relationship Id="rId103" Type="http://schemas.openxmlformats.org/officeDocument/2006/relationships/hyperlink" Target="http://www.sec.gov/Archives/edgar/data/1395937/000119312516457615/d117131dex41.htm" TargetMode="External"/><Relationship Id="rId104" Type="http://schemas.openxmlformats.org/officeDocument/2006/relationships/hyperlink" Target="http://www.sec.gov/Archives/edgar/data/1395937/000119312518197997/d617552dex41.htm" TargetMode="External"/><Relationship Id="rId105" Type="http://schemas.openxmlformats.org/officeDocument/2006/relationships/hyperlink" Target="http://www.sec.gov/Archives/edgar/data/1395937/000119312519092679/d730757dex41.htm" TargetMode="External"/><Relationship Id="rId106" Type="http://schemas.openxmlformats.org/officeDocument/2006/relationships/hyperlink" Target="http://www.sec.gov/Archives/edgar/data/1395937/000119312519092679/d730757dex42.htm" TargetMode="External"/><Relationship Id="rId107" Type="http://schemas.openxmlformats.org/officeDocument/2006/relationships/hyperlink" Target="http://www.sec.gov/Archives/edgar/data/1395937/000119312516420122/d39288dex103.htm" TargetMode="External"/><Relationship Id="rId108" Type="http://schemas.openxmlformats.org/officeDocument/2006/relationships/hyperlink" Target="http://www.sec.gov/Archives/edgar/data/1395937/000119312516420122/d39288dex104.htm" TargetMode="External"/><Relationship Id="rId109" Type="http://schemas.openxmlformats.org/officeDocument/2006/relationships/hyperlink" Target="http://www.sec.gov/Archives/edgar/data/1395937/000119312516420122/d39288dex105.htm" TargetMode="External"/><Relationship Id="rId110" Type="http://schemas.openxmlformats.org/officeDocument/2006/relationships/hyperlink" Target="http://www.sec.gov/Archives/edgar/data/1395937/000119312516420122/d39288dex106.htm" TargetMode="External"/><Relationship Id="rId113" Type="http://schemas.openxmlformats.org/officeDocument/2006/relationships/hyperlink" Target="http://www.sec.gov/Archives/edgar/data/1395937/000119312516420122/d39288dex107.htm" TargetMode="External"/><Relationship Id="rId114" Type="http://schemas.openxmlformats.org/officeDocument/2006/relationships/hyperlink" Target="http://www.sec.gov/Archives/edgar/data/1395937/000119312516420122/d39288dex108.htm" TargetMode="External"/><Relationship Id="rId115" Type="http://schemas.openxmlformats.org/officeDocument/2006/relationships/hyperlink" Target="http://www.sec.gov/Archives/edgar/data/1395937/000119312516420122/d39288dex109.htm" TargetMode="External"/><Relationship Id="rId116" Type="http://schemas.openxmlformats.org/officeDocument/2006/relationships/hyperlink" Target="http://www.sec.gov/Archives/edgar/data/1395937/000119312516420122/d39288dex1010.htm" TargetMode="External"/><Relationship Id="rId117" Type="http://schemas.openxmlformats.org/officeDocument/2006/relationships/hyperlink" Target="http://www.sec.gov/Archives/edgar/data/1395937/000119312516420122/d39288dex1011.htm" TargetMode="External"/><Relationship Id="rId118" Type="http://schemas.openxmlformats.org/officeDocument/2006/relationships/hyperlink" Target="http://www.sec.gov/Archives/edgar/data/1395937/000119312516420122/d39288dex1012.htm" TargetMode="External"/><Relationship Id="rId119" Type="http://schemas.openxmlformats.org/officeDocument/2006/relationships/hyperlink" Target="http://www.sec.gov/Archives/edgar/data/1395937/000119312516420122/d39288dex1013.htm" TargetMode="External"/><Relationship Id="rId120" Type="http://schemas.openxmlformats.org/officeDocument/2006/relationships/hyperlink" Target="http://www.sec.gov/Archives/edgar/data/1395937/000119312516420122/d39288dex1014.htm" TargetMode="External"/><Relationship Id="rId121" Type="http://schemas.openxmlformats.org/officeDocument/2006/relationships/hyperlink" Target="http://www.sec.gov/Archives/edgar/data/1395937/000119312516518181/d166957dex416.htm" TargetMode="External"/><Relationship Id="rId122" Type="http://schemas.openxmlformats.org/officeDocument/2006/relationships/hyperlink" Target="http://www.sec.gov/Archives/edgar/data/1395937/000119312516420122/d39288dex1016.htm" TargetMode="External"/><Relationship Id="rId123" Type="http://schemas.openxmlformats.org/officeDocument/2006/relationships/hyperlink" Target="http://www.sec.gov/Archives/edgar/data/1395937/000119312516420122/d39288dex1017.htm" TargetMode="External"/><Relationship Id="rId124" Type="http://schemas.openxmlformats.org/officeDocument/2006/relationships/hyperlink" Target="http://www.sec.gov/Archives/edgar/data/1395937/000119312516420122/d39288dex1018.htm" TargetMode="External"/><Relationship Id="rId125" Type="http://schemas.openxmlformats.org/officeDocument/2006/relationships/hyperlink" Target="http://www.sec.gov/Archives/edgar/data/0001395937/000119312517254597/d377935dex101.htm" TargetMode="External"/><Relationship Id="rId126" Type="http://schemas.openxmlformats.org/officeDocument/2006/relationships/hyperlink" Target="http://www.sec.gov/Archives/edgar/data/1395937/000119312516420122/d39288dex1021.htm" TargetMode="External"/><Relationship Id="rId127" Type="http://schemas.openxmlformats.org/officeDocument/2006/relationships/hyperlink" Target="http://www.sec.gov/Archives/edgar/data/1395937/000119312516420122/d39288dex1022.htm" TargetMode="External"/><Relationship Id="rId130" Type="http://schemas.openxmlformats.org/officeDocument/2006/relationships/hyperlink" Target="http://www.sec.gov/Archives/edgar/data/1395937/000119312516420122/d39288dex1023.htm" TargetMode="External"/><Relationship Id="rId131" Type="http://schemas.openxmlformats.org/officeDocument/2006/relationships/hyperlink" Target="http://www.sec.gov/Archives/edgar/data/1395937/000119312516420122/d39288dex1024.htm" TargetMode="External"/><Relationship Id="rId132" Type="http://schemas.openxmlformats.org/officeDocument/2006/relationships/hyperlink" Target="http://www.sec.gov/Archives/edgar/data/1395937/000119312516420122/d39288dex1025.htm" TargetMode="External"/><Relationship Id="rId133" Type="http://schemas.openxmlformats.org/officeDocument/2006/relationships/hyperlink" Target="http://www.sec.gov/Archives/edgar/data/1395937/000119312516420122/d39288dex1026.htm" TargetMode="External"/><Relationship Id="rId134" Type="http://schemas.openxmlformats.org/officeDocument/2006/relationships/hyperlink" Target="http://www.sec.gov/Archives/edgar/data/1395937/000119312516420122/d39288dex1027.htm" TargetMode="External"/><Relationship Id="rId135" Type="http://schemas.openxmlformats.org/officeDocument/2006/relationships/hyperlink" Target="http://www.sec.gov/Archives/edgar/data/1395937/000119312516420122/d39288dex1028.htm" TargetMode="External"/><Relationship Id="rId136" Type="http://schemas.openxmlformats.org/officeDocument/2006/relationships/hyperlink" Target="http://www.sec.gov/Archives/edgar/data/1395937/000119312516470686/d117131dex1037.htm" TargetMode="External"/><Relationship Id="rId137" Type="http://schemas.openxmlformats.org/officeDocument/2006/relationships/hyperlink" Target="http://www.sec.gov/Archives/edgar/data/1395937/000119312516681546/d225217dex101.htm" TargetMode="External"/><Relationship Id="rId138" Type="http://schemas.openxmlformats.org/officeDocument/2006/relationships/hyperlink" Target="http://www.sec.gov/Archives/edgar/data/1395937/000119312516681546/d225217dex102.htm" TargetMode="External"/><Relationship Id="rId139" Type="http://schemas.openxmlformats.org/officeDocument/2006/relationships/hyperlink" Target="http://www.sec.gov/Archives/edgar/data/1395937/000119312516681546/d225217dex103.htm" TargetMode="External"/><Relationship Id="rId140" Type="http://schemas.openxmlformats.org/officeDocument/2006/relationships/hyperlink" Target="http://www.sec.gov/Archives/edgar/data/1395937/000119312516681546/d225217dex104.htm" TargetMode="External"/><Relationship Id="rId141" Type="http://schemas.openxmlformats.org/officeDocument/2006/relationships/hyperlink" Target="http://www.sec.gov/Archives/edgar/data/0001395937/000119312517163872/d380147dex101.htm" TargetMode="External"/><Relationship Id="rId144" Type="http://schemas.openxmlformats.org/officeDocument/2006/relationships/hyperlink" Target="http://www.sec.gov/Archives/edgar/data/0001395937/000119312517163872/d380147dex103.htm" TargetMode="External"/><Relationship Id="rId145" Type="http://schemas.openxmlformats.org/officeDocument/2006/relationships/hyperlink" Target="http://www.sec.gov/Archives/edgar/data/1395937/000156459018004911/sndx-ex1034_508.htm" TargetMode="External"/><Relationship Id="rId146" Type="http://schemas.openxmlformats.org/officeDocument/2006/relationships/hyperlink" Target="http://www.sec.gov/Archives/edgar/data/1395937/000156459019006772/sndx-ex1035_353.htm" TargetMode="External"/><Relationship Id="rId147" Type="http://schemas.openxmlformats.org/officeDocument/2006/relationships/hyperlink" Target="http://www.sec.gov/Archives/edgar/data/1395937/000156459019041719/sndx-ex101_184.htm" TargetMode="External"/><Relationship Id="rId148" Type="http://schemas.openxmlformats.org/officeDocument/2006/relationships/hyperlink" Target="http://www.sec.gov/Archives/edgar/data/1395937/000119312516420122/d39288dex1032.htm" TargetMode="External"/><Relationship Id="rId149" Type="http://schemas.openxmlformats.org/officeDocument/2006/relationships/hyperlink" Target="http://www.sec.gov/Archives/edgar/data/1395937/000119312516470686/d117131dex1038.htm" TargetMode="External"/><Relationship Id="rId150" Type="http://schemas.openxmlformats.org/officeDocument/2006/relationships/hyperlink" Target="http://www.sec.gov/Archives/edgar/data/0001395937/000119312517254597/d377935dex102.htm" TargetMode="External"/><Relationship Id="rId151" Type="http://schemas.openxmlformats.org/officeDocument/2006/relationships/hyperlink" Target="http://www.sec.gov/Archives/edgar/data/1395937/000119312516420122/d39288dex1033.htm" TargetMode="External"/><Relationship Id="rId152" Type="http://schemas.openxmlformats.org/officeDocument/2006/relationships/hyperlink" Target="http://www.sec.gov/Archives/edgar/data/1395937/000119312516420122/d39288dex1034.htm" TargetMode="External"/><Relationship Id="rId153" Type="http://schemas.openxmlformats.org/officeDocument/2006/relationships/hyperlink" Target="http://www.sec.gov/Archives/edgar/data/1395937/000119312516470686/d117131dex1039.htm" TargetMode="External"/><Relationship Id="rId154" Type="http://schemas.openxmlformats.org/officeDocument/2006/relationships/hyperlink" Target="http://www.sec.gov/Archives/edgar/data/0001395937/000119312517163872/d380147dex102.htm" TargetMode="External"/><Relationship Id="rId155" Type="http://schemas.openxmlformats.org/officeDocument/2006/relationships/hyperlink" Target="http://www.sec.gov/Archives/edgar/data/1395937/000119312516420122/d39288dex1035.htm" TargetMode="External"/><Relationship Id="rId158" Type="http://schemas.openxmlformats.org/officeDocument/2006/relationships/hyperlink" Target="http://www.sec.gov/Archives/edgar/data/1395937/000119312516426578/d39288dex1036.htm" TargetMode="External"/><Relationship Id="rId159" Type="http://schemas.openxmlformats.org/officeDocument/2006/relationships/hyperlink" Target="http://www.sec.gov/Archives/edgar/data/1395937/000119312516733845/d250701dex101.htm" TargetMode="External"/><Relationship Id="rId160" Type="http://schemas.openxmlformats.org/officeDocument/2006/relationships/hyperlink" Target="http://www.sec.gov/Archives/edgar/data/0001395937/000119312517163872/d380147dex104.htm" TargetMode="External"/><Relationship Id="rId161" Type="http://schemas.openxmlformats.org/officeDocument/2006/relationships/hyperlink" Target="http://www.sec.gov/Archives/edgar/data/1395937/000156459019041719/sndx-ex102_185.htm" TargetMode="External"/><Relationship Id="rId162" Type="http://schemas.openxmlformats.org/officeDocument/2006/relationships/hyperlink" Target="http://www.sec.gov/Archives/edgar/data/1395937/000119312516420122/d39288dex101.htm" TargetMode="External"/><Relationship Id="rId163" Type="http://schemas.openxmlformats.org/officeDocument/2006/relationships/hyperlink" Target="http://www.sec.gov/Archives/edgar/data/1395937/000156459018004911/sndx-ex1047_509.htm" TargetMode="External"/><Relationship Id="rId164" Type="http://schemas.openxmlformats.org/officeDocument/2006/relationships/hyperlink" Target="http://www.sec.gov/Archives/edgar/data/1395937/000156459019017318/sndx-ex101_122.htm" TargetMode="External"/><Relationship Id="rId165" Type="http://schemas.openxmlformats.org/officeDocument/2006/relationships/hyperlink" Target="http://www.sec.gov/Archives/edgar/data/1395937/000119312518197997/d617552dex101.htm" TargetMode="External"/><Relationship Id="rId166" Type="http://schemas.openxmlformats.org/officeDocument/2006/relationships/hyperlink" Target="http://www.sec.gov/Archives/edgar/data/1395937/000119312516420122/d3928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2020-03-05T16:33:14Z</dcterms:created>
  <dcterms:modified xsi:type="dcterms:W3CDTF">2020-03-05T16:33:14Z</dcterms:modified>
</cp:coreProperties>
</file>