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40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2022</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6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-4445</wp:posOffset>
            </wp:positionV>
            <wp:extent cx="53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8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Syndax Pharmaceuticals, Inc.</w:t>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440" w:type="dxa"/>
        <w:tblCellMar>
          <w:top w:w="0" w:type="dxa"/>
          <w:left w:w="0" w:type="dxa"/>
          <w:bottom w:w="0" w:type="dxa"/>
          <w:right w:w="0" w:type="dxa"/>
        </w:tblCellMar>
      </w:tblPr>
      <w:tr>
        <w:trPr>
          <w:trHeight w:val="194"/>
        </w:trPr>
        <w:tc>
          <w:tcPr>
            <w:tcW w:w="6140" w:type="dxa"/>
            <w:vAlign w:val="bottom"/>
          </w:tcPr>
          <w:p>
            <w:pPr>
              <w:jc w:val="center"/>
              <w:ind w:right="3324"/>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48"/>
        </w:trPr>
        <w:tc>
          <w:tcPr>
            <w:tcW w:w="6140" w:type="dxa"/>
            <w:vAlign w:val="bottom"/>
          </w:tcPr>
          <w:p>
            <w:pPr>
              <w:jc w:val="center"/>
              <w:ind w:right="332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5"/>
              </w:rPr>
              <w:t>Incorporation or Organization)</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420" w:type="dxa"/>
            <w:vAlign w:val="bottom"/>
          </w:tcPr>
          <w:p>
            <w:pPr>
              <w:spacing w:after="0"/>
              <w:rPr>
                <w:sz w:val="24"/>
                <w:szCs w:val="24"/>
                <w:color w:val="auto"/>
              </w:rPr>
            </w:pPr>
          </w:p>
        </w:tc>
      </w:tr>
      <w:tr>
        <w:trPr>
          <w:trHeight w:val="207"/>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0"/>
              </w:rPr>
              <w:t>Waltham, Massachusetts</w:t>
            </w:r>
          </w:p>
        </w:tc>
        <w:tc>
          <w:tcPr>
            <w:tcW w:w="14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6140" w:type="dxa"/>
            <w:vAlign w:val="bottom"/>
          </w:tcPr>
          <w:p>
            <w:pPr>
              <w:jc w:val="right"/>
              <w:ind w:right="1404"/>
              <w:spacing w:after="0"/>
              <w:rPr>
                <w:sz w:val="20"/>
                <w:szCs w:val="20"/>
                <w:color w:val="auto"/>
              </w:rPr>
            </w:pPr>
            <w:r>
              <w:rPr>
                <w:rFonts w:ascii="Arial" w:cs="Arial" w:eastAsia="Arial" w:hAnsi="Arial"/>
                <w:sz w:val="16"/>
                <w:szCs w:val="16"/>
                <w:b w:val="1"/>
                <w:bCs w:val="1"/>
                <w:color w:val="auto"/>
              </w:rPr>
              <w:t>(781) 419-1400</w:t>
            </w:r>
          </w:p>
        </w:tc>
        <w:tc>
          <w:tcPr>
            <w:tcW w:w="1420" w:type="dxa"/>
            <w:vAlign w:val="bottom"/>
          </w:tcPr>
          <w:p>
            <w:pPr>
              <w:spacing w:after="0"/>
              <w:rPr>
                <w:sz w:val="22"/>
                <w:szCs w:val="22"/>
                <w:color w:val="auto"/>
              </w:rPr>
            </w:pPr>
          </w:p>
        </w:tc>
      </w:tr>
      <w:tr>
        <w:trPr>
          <w:trHeight w:val="186"/>
        </w:trPr>
        <w:tc>
          <w:tcPr>
            <w:tcW w:w="6140" w:type="dxa"/>
            <w:vAlign w:val="bottom"/>
          </w:tcPr>
          <w:p>
            <w:pPr>
              <w:jc w:val="center"/>
              <w:ind w:left="210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6"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 w:lineRule="exact"/>
        <w:rPr>
          <w:sz w:val="24"/>
          <w:szCs w:val="24"/>
          <w:color w:val="auto"/>
        </w:rPr>
      </w:pPr>
    </w:p>
    <w:tbl>
      <w:tblPr>
        <w:tblLayout w:type="fixed"/>
        <w:tblInd w:w="590" w:type="dxa"/>
        <w:tblCellMar>
          <w:top w:w="0" w:type="dxa"/>
          <w:left w:w="0" w:type="dxa"/>
          <w:bottom w:w="0" w:type="dxa"/>
          <w:right w:w="0" w:type="dxa"/>
        </w:tblCellMar>
      </w:tblPr>
      <w:tr>
        <w:trPr>
          <w:trHeight w:val="189"/>
        </w:trPr>
        <w:tc>
          <w:tcPr>
            <w:tcW w:w="3380" w:type="dxa"/>
            <w:vAlign w:val="bottom"/>
            <w:tcBorders>
              <w:top w:val="single" w:sz="8" w:color="auto"/>
              <w:left w:val="single" w:sz="8" w:color="auto"/>
              <w:bottom w:val="single" w:sz="8" w:color="auto"/>
              <w:right w:val="single" w:sz="8" w:color="auto"/>
            </w:tcBorders>
          </w:tcPr>
          <w:p>
            <w:pPr>
              <w:ind w:left="1080"/>
              <w:spacing w:after="0" w:line="169" w:lineRule="exact"/>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1"/>
              </w:rPr>
              <w:t>Trading Symbol(s)</w:t>
            </w:r>
          </w:p>
        </w:tc>
        <w:tc>
          <w:tcPr>
            <w:tcW w:w="4880" w:type="dxa"/>
            <w:vAlign w:val="bottom"/>
            <w:tcBorders>
              <w:top w:val="single" w:sz="8" w:color="auto"/>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66"/>
        </w:trPr>
        <w:tc>
          <w:tcPr>
            <w:tcW w:w="338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Common Stock</w:t>
            </w:r>
          </w:p>
        </w:tc>
        <w:tc>
          <w:tcPr>
            <w:tcW w:w="18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8"/>
              </w:rPr>
              <w:t>SNDX</w:t>
            </w:r>
          </w:p>
        </w:tc>
        <w:tc>
          <w:tcPr>
            <w:tcW w:w="48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The Nasdaq Stock Market, LLC</w:t>
            </w:r>
          </w:p>
        </w:tc>
      </w:tr>
    </w:tbl>
    <w:p>
      <w:pPr>
        <w:spacing w:after="0" w:line="85" w:lineRule="exact"/>
        <w:rPr>
          <w:sz w:val="24"/>
          <w:szCs w:val="24"/>
          <w:color w:val="auto"/>
        </w:rPr>
      </w:pPr>
    </w:p>
    <w:p>
      <w:pPr>
        <w:ind w:firstLine="382"/>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20" w:firstLine="382"/>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59" w:lineRule="exact"/>
        <w:rPr>
          <w:sz w:val="24"/>
          <w:szCs w:val="24"/>
          <w:color w:val="auto"/>
        </w:rPr>
      </w:pPr>
    </w:p>
    <w:p>
      <w:pPr>
        <w:ind w:right="300" w:firstLine="382"/>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54" w:lineRule="exact"/>
        <w:rPr>
          <w:sz w:val="24"/>
          <w:szCs w:val="24"/>
          <w:color w:val="auto"/>
        </w:rPr>
      </w:pPr>
    </w:p>
    <w:p>
      <w:pPr>
        <w:ind w:right="200" w:firstLine="382"/>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380" w:right="224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5, 2022, there were 56,565,165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04" w:lineRule="exact"/>
        <w:rPr>
          <w:sz w:val="20"/>
          <w:szCs w:val="20"/>
          <w:color w:val="auto"/>
        </w:rPr>
      </w:pPr>
    </w:p>
    <w:p>
      <w:pPr>
        <w:ind w:left="1020" w:right="4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cohorts of the AUGMENT-101 trial of revumenib in patients with relapsed/refractory, or R/R, acute leukemias;</w:t>
      </w:r>
    </w:p>
    <w:p>
      <w:pPr>
        <w:spacing w:after="0" w:line="62"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AUGMENT-102 trial of revumenib in combination with chemotherapy in patients with R/R mutant nucleophosmin, NPM1, or mixed lineage leukemia rearranged, MLLr, acute leukemias, as well as the combination trials as part of the Leukemia &amp; Lymphoma Society’s Beat® AML Master Clinical Trial and as part of the Australian Leukemia and Lymphoma Group (ALLG) INTERCEPT Master Clinical Trial;</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chronic Graft Versus Host Disease, or cGVHD;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including the Russia Ukraine war and terrorism, or natural disasters and public health epidemics.</w:t>
      </w:r>
    </w:p>
    <w:p>
      <w:pPr>
        <w:spacing w:after="0" w:line="17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4"/>
        </w:trPr>
        <w:tc>
          <w:tcPr>
            <w:tcW w:w="10440" w:type="dxa"/>
            <w:vAlign w:val="bottom"/>
            <w:gridSpan w:val="16"/>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Financial Statements:</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June 30, 2022 and December 31, </w:t>
              </w:r>
            </w:hyperlink>
            <w:r>
              <w:rPr>
                <w:rFonts w:ascii="Arial" w:cs="Arial" w:eastAsia="Arial" w:hAnsi="Arial"/>
                <w:sz w:val="18"/>
                <w:szCs w:val="18"/>
                <w:color w:val="0000FF"/>
              </w:rPr>
              <w:t>2021</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0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Loss for the three and six months ended</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6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6940" w:type="dxa"/>
            <w:vAlign w:val="bottom"/>
            <w:gridSpan w:val="14"/>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June 30, 2022 and 2021</w:t>
              </w:r>
            </w:hyperlink>
          </w:p>
        </w:tc>
        <w:tc>
          <w:tcPr>
            <w:tcW w:w="24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0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six months ended June 30, 2022</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80" w:type="dxa"/>
            <w:vAlign w:val="bottom"/>
            <w:gridSpan w:val="2"/>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6620" w:type="dxa"/>
            <w:vAlign w:val="bottom"/>
            <w:gridSpan w:val="13"/>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and 2021</w:t>
              </w:r>
            </w:hyperlink>
          </w:p>
        </w:tc>
        <w:tc>
          <w:tcPr>
            <w:tcW w:w="27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0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40" w:type="dxa"/>
            <w:vAlign w:val="bottom"/>
            <w:gridSpan w:val="16"/>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00" w:type="dxa"/>
            <w:vAlign w:val="bottom"/>
            <w:gridSpan w:val="1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6"/>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gridSpan w:val="15"/>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6"/>
            <w:shd w:val="clear" w:color="auto" w:fill="0000FF"/>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1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6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96"/>
        </w:trPr>
        <w:tc>
          <w:tcPr>
            <w:tcW w:w="7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120,239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221,965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246,552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Short-term deposits</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9,887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Collaboration receivable, net</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13,102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392,287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448,396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12,125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 net</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774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406,437</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449,657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6,438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16,974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term loan</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right-of-use liability</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capital lease</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Derivative liability</w:t>
            </w:r>
          </w:p>
        </w:tc>
        <w:tc>
          <w:tcPr>
            <w:tcW w:w="300" w:type="dxa"/>
            <w:vAlign w:val="bottom"/>
          </w:tcPr>
          <w:p>
            <w:pPr>
              <w:spacing w:after="0"/>
              <w:rPr>
                <w:sz w:val="17"/>
                <w:szCs w:val="17"/>
                <w:color w:val="auto"/>
              </w:rPr>
            </w:pPr>
          </w:p>
        </w:tc>
        <w:tc>
          <w:tcPr>
            <w:tcW w:w="17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30,925</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liability, less current portion</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Capital lease, less current portion</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less current portion</w:t>
            </w:r>
          </w:p>
        </w:tc>
        <w:tc>
          <w:tcPr>
            <w:tcW w:w="3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12,994</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13,572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44,497</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41,289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Commitments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$0.001 par value, 10,000,000 shares authorized; 0 shares</w:t>
            </w:r>
          </w:p>
        </w:tc>
        <w:tc>
          <w:tcPr>
            <w:tcW w:w="300" w:type="dxa"/>
            <w:vAlign w:val="bottom"/>
          </w:tcPr>
          <w:p>
            <w:pPr>
              <w:spacing w:after="0"/>
              <w:rPr>
                <w:sz w:val="14"/>
                <w:szCs w:val="14"/>
                <w:color w:val="auto"/>
              </w:rPr>
            </w:pPr>
          </w:p>
        </w:tc>
        <w:tc>
          <w:tcPr>
            <w:tcW w:w="1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outstanding at June 30, 2022 and December 31, 2021</w:t>
            </w:r>
          </w:p>
        </w:tc>
        <w:tc>
          <w:tcPr>
            <w:tcW w:w="30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100,000,000 shares authorized; 56,399,734</w:t>
            </w:r>
          </w:p>
        </w:tc>
        <w:tc>
          <w:tcPr>
            <w:tcW w:w="3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6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and 54,983,105 shares issued and outstanding at June 30, 2022 and</w:t>
            </w:r>
          </w:p>
        </w:tc>
        <w:tc>
          <w:tcPr>
            <w:tcW w:w="300" w:type="dxa"/>
            <w:vAlign w:val="bottom"/>
            <w:shd w:val="clear" w:color="auto" w:fill="CFF0FC"/>
          </w:tcPr>
          <w:p>
            <w:pPr>
              <w:spacing w:after="0"/>
              <w:rPr>
                <w:sz w:val="15"/>
                <w:szCs w:val="15"/>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respectively</w:t>
            </w:r>
          </w:p>
        </w:tc>
        <w:tc>
          <w:tcPr>
            <w:tcW w:w="300" w:type="dxa"/>
            <w:vAlign w:val="bottom"/>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981,712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952,019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(1,335 )</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7"/>
                <w:szCs w:val="17"/>
                <w:color w:val="auto"/>
              </w:rPr>
            </w:pPr>
          </w:p>
        </w:tc>
        <w:tc>
          <w:tcPr>
            <w:tcW w:w="1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(618,443 )</w:t>
            </w:r>
          </w:p>
        </w:tc>
        <w:tc>
          <w:tcPr>
            <w:tcW w:w="2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(543,702 )</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361,940</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408,368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406,437</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60" w:type="dxa"/>
            <w:vAlign w:val="bottom"/>
            <w:gridSpan w:val="3"/>
          </w:tcPr>
          <w:p>
            <w:pPr>
              <w:ind w:left="2060"/>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260" w:type="dxa"/>
            <w:vAlign w:val="bottom"/>
          </w:tcPr>
          <w:p>
            <w:pPr>
              <w:ind w:left="55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-4145280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-4145280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-2816860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-2816860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-2293620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-2293620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-2019300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-2019300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-639445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54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License fees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4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w:t>
            </w:r>
          </w:p>
        </w:tc>
        <w:tc>
          <w:tcPr>
            <w:tcW w:w="4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29,734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16,871</w:t>
            </w: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59,756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5,842</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14,827</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37,724</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22,713</w:t>
            </w:r>
          </w:p>
        </w:tc>
        <w:tc>
          <w:tcPr>
            <w:tcW w:w="4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74,583</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2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(37,724 )</w:t>
            </w:r>
          </w:p>
        </w:tc>
        <w:tc>
          <w:tcPr>
            <w:tcW w:w="260" w:type="dxa"/>
            <w:vAlign w:val="bottom"/>
          </w:tcPr>
          <w:p>
            <w:pPr>
              <w:spacing w:after="0"/>
              <w:rPr>
                <w:sz w:val="17"/>
                <w:szCs w:val="17"/>
                <w:color w:val="auto"/>
              </w:rPr>
            </w:pPr>
          </w:p>
        </w:tc>
        <w:tc>
          <w:tcPr>
            <w:tcW w:w="1380" w:type="dxa"/>
            <w:vAlign w:val="bottom"/>
            <w:gridSpan w:val="2"/>
          </w:tcPr>
          <w:p>
            <w:pPr>
              <w:jc w:val="right"/>
              <w:ind w:right="261"/>
              <w:spacing w:after="0" w:line="196" w:lineRule="exact"/>
              <w:rPr>
                <w:sz w:val="20"/>
                <w:szCs w:val="20"/>
                <w:color w:val="auto"/>
              </w:rPr>
            </w:pPr>
            <w:r>
              <w:rPr>
                <w:rFonts w:ascii="Arial" w:cs="Arial" w:eastAsia="Arial" w:hAnsi="Arial"/>
                <w:sz w:val="18"/>
                <w:szCs w:val="18"/>
                <w:color w:val="auto"/>
              </w:rPr>
              <w:t>(22,334 )</w:t>
            </w:r>
          </w:p>
        </w:tc>
        <w:tc>
          <w:tcPr>
            <w:tcW w:w="240" w:type="dxa"/>
            <w:vAlign w:val="bottom"/>
          </w:tcPr>
          <w:p>
            <w:pPr>
              <w:spacing w:after="0"/>
              <w:rPr>
                <w:sz w:val="17"/>
                <w:szCs w:val="17"/>
                <w:color w:val="auto"/>
              </w:rPr>
            </w:pPr>
          </w:p>
        </w:tc>
        <w:tc>
          <w:tcPr>
            <w:tcW w:w="118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(74,583 )</w:t>
            </w:r>
          </w:p>
        </w:tc>
        <w:tc>
          <w:tcPr>
            <w:tcW w:w="2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(49,497 )</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1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(695 )</w:t>
            </w:r>
          </w:p>
        </w:tc>
        <w:tc>
          <w:tcPr>
            <w:tcW w:w="260" w:type="dxa"/>
            <w:vAlign w:val="bottom"/>
          </w:tcPr>
          <w:p>
            <w:pPr>
              <w:spacing w:after="0"/>
              <w:rPr>
                <w:sz w:val="17"/>
                <w:szCs w:val="17"/>
                <w:color w:val="auto"/>
              </w:rPr>
            </w:pPr>
          </w:p>
        </w:tc>
        <w:tc>
          <w:tcPr>
            <w:tcW w:w="138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(634 )</w:t>
            </w:r>
          </w:p>
        </w:tc>
        <w:tc>
          <w:tcPr>
            <w:tcW w:w="240" w:type="dxa"/>
            <w:vAlign w:val="bottom"/>
          </w:tcPr>
          <w:p>
            <w:pPr>
              <w:spacing w:after="0"/>
              <w:rPr>
                <w:sz w:val="17"/>
                <w:szCs w:val="17"/>
                <w:color w:val="auto"/>
              </w:rPr>
            </w:pPr>
          </w:p>
        </w:tc>
        <w:tc>
          <w:tcPr>
            <w:tcW w:w="11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(1,346 )</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(1,258 )</w:t>
            </w:r>
          </w:p>
        </w:tc>
        <w:tc>
          <w:tcPr>
            <w:tcW w:w="0" w:type="dxa"/>
            <w:vAlign w:val="bottom"/>
          </w:tcPr>
          <w:p>
            <w:pPr>
              <w:spacing w:after="0"/>
              <w:rPr>
                <w:sz w:val="1"/>
                <w:szCs w:val="1"/>
                <w:color w:val="auto"/>
              </w:rPr>
            </w:pPr>
          </w:p>
        </w:tc>
      </w:tr>
      <w:tr>
        <w:trPr>
          <w:trHeight w:val="202"/>
        </w:trPr>
        <w:tc>
          <w:tcPr>
            <w:tcW w:w="53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7"/>
                <w:szCs w:val="17"/>
                <w:color w:val="auto"/>
              </w:rPr>
            </w:pPr>
          </w:p>
        </w:tc>
        <w:tc>
          <w:tcPr>
            <w:tcW w:w="1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(31 )</w:t>
            </w:r>
          </w:p>
        </w:tc>
        <w:tc>
          <w:tcPr>
            <w:tcW w:w="260" w:type="dxa"/>
            <w:vAlign w:val="bottom"/>
          </w:tcPr>
          <w:p>
            <w:pPr>
              <w:spacing w:after="0"/>
              <w:rPr>
                <w:sz w:val="17"/>
                <w:szCs w:val="17"/>
                <w:color w:val="auto"/>
              </w:rPr>
            </w:pPr>
          </w:p>
        </w:tc>
        <w:tc>
          <w:tcPr>
            <w:tcW w:w="138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(50 )</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(576</w:t>
            </w:r>
          </w:p>
        </w:tc>
        <w:tc>
          <w:tcPr>
            <w:tcW w:w="40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(37,572 )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1"/>
              <w:spacing w:after="0" w:line="196" w:lineRule="exact"/>
              <w:rPr>
                <w:sz w:val="20"/>
                <w:szCs w:val="20"/>
                <w:color w:val="auto"/>
              </w:rPr>
            </w:pPr>
            <w:r>
              <w:rPr>
                <w:rFonts w:ascii="Arial" w:cs="Arial" w:eastAsia="Arial" w:hAnsi="Arial"/>
                <w:sz w:val="18"/>
                <w:szCs w:val="18"/>
                <w:color w:val="auto"/>
              </w:rPr>
              <w:t>(22,910 )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(74,741 )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(50,633 )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gain on marketable securities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(695 )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4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(1,380 )</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(38,267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(22,902</w:t>
            </w:r>
          </w:p>
        </w:tc>
        <w:tc>
          <w:tcPr>
            <w:tcW w:w="40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(76,121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line="183" w:lineRule="exact"/>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(37,572 )</w:t>
            </w:r>
          </w:p>
        </w:tc>
        <w:tc>
          <w:tcPr>
            <w:tcW w:w="260" w:type="dxa"/>
            <w:vAlign w:val="bottom"/>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1"/>
              <w:spacing w:after="0" w:line="183" w:lineRule="exact"/>
              <w:rPr>
                <w:sz w:val="20"/>
                <w:szCs w:val="20"/>
                <w:color w:val="auto"/>
              </w:rPr>
            </w:pPr>
            <w:r>
              <w:rPr>
                <w:rFonts w:ascii="Arial" w:cs="Arial" w:eastAsia="Arial" w:hAnsi="Arial"/>
                <w:sz w:val="18"/>
                <w:szCs w:val="18"/>
                <w:color w:val="auto"/>
              </w:rPr>
              <w:t>(22,910 )</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line="183" w:lineRule="exact"/>
              <w:rPr>
                <w:sz w:val="20"/>
                <w:szCs w:val="20"/>
                <w:color w:val="auto"/>
              </w:rPr>
            </w:pPr>
            <w:r>
              <w:rPr>
                <w:rFonts w:ascii="Arial" w:cs="Arial" w:eastAsia="Arial" w:hAnsi="Arial"/>
                <w:sz w:val="18"/>
                <w:szCs w:val="18"/>
                <w:color w:val="auto"/>
              </w:rPr>
              <w:t>(74,741 )</w:t>
            </w:r>
          </w:p>
        </w:tc>
        <w:tc>
          <w:tcPr>
            <w:tcW w:w="280" w:type="dxa"/>
            <w:vAlign w:val="bottom"/>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(50,633 )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stockholders—basic</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(0.62 )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FF0FC"/>
          </w:tcPr>
          <w:p>
            <w:pPr>
              <w:jc w:val="right"/>
              <w:ind w:right="261"/>
              <w:spacing w:after="0"/>
              <w:rPr>
                <w:sz w:val="20"/>
                <w:szCs w:val="20"/>
                <w:color w:val="auto"/>
              </w:rPr>
            </w:pPr>
            <w:r>
              <w:rPr>
                <w:rFonts w:ascii="Arial" w:cs="Arial" w:eastAsia="Arial" w:hAnsi="Arial"/>
                <w:sz w:val="18"/>
                <w:szCs w:val="18"/>
                <w:color w:val="auto"/>
              </w:rPr>
              <w:t>(0.44 )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(1.25 )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and diluted</w:t>
            </w:r>
          </w:p>
        </w:tc>
        <w:tc>
          <w:tcPr>
            <w:tcW w:w="260" w:type="dxa"/>
            <w:vAlign w:val="bottom"/>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320" w:type="dxa"/>
            <w:vAlign w:val="bottom"/>
            <w:tcBorders>
              <w:top w:val="single" w:sz="8" w:color="CFF0FC"/>
            </w:tcBorders>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to compute</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20" w:type="dxa"/>
            <w:vAlign w:val="bottom"/>
          </w:tcPr>
          <w:p>
            <w:pPr>
              <w:ind w:left="160"/>
              <w:spacing w:after="0" w:line="176" w:lineRule="exact"/>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60,156,653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51,603,286</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59,570,888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51,551,844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Pr>
          <w:p>
            <w:pPr>
              <w:ind w:left="160"/>
              <w:spacing w:after="0" w:line="156"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-2645410</wp:posOffset>
            </wp:positionV>
            <wp:extent cx="774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-2645410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-2645410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-2113915</wp:posOffset>
            </wp:positionV>
            <wp:extent cx="7747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-2113915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-2113915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-2113915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-1325245</wp:posOffset>
            </wp:positionV>
            <wp:extent cx="774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-1325245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-1325245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-770890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-753745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-770890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-753745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-770890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-753745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-376555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-359410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-376555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-359410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-376555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-359410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9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(74,741 )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(50,633 )</w:t>
            </w:r>
          </w:p>
        </w:tc>
      </w:tr>
      <w:tr>
        <w:trPr>
          <w:trHeight w:val="202"/>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from operating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and accretion of investments</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(320 )</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Non-cash operating lease expense</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Non-cash interest expense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Changes in fair value of derivative liability</w:t>
            </w:r>
          </w:p>
        </w:tc>
        <w:tc>
          <w:tcPr>
            <w:tcW w:w="34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(187 )</w:t>
            </w:r>
          </w:p>
        </w:tc>
        <w:tc>
          <w:tcPr>
            <w:tcW w:w="34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7,416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6,007</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(4,930 )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(2,357 )</w:t>
            </w:r>
          </w:p>
        </w:tc>
      </w:tr>
      <w:tr>
        <w:trPr>
          <w:trHeight w:val="203"/>
        </w:trPr>
        <w:tc>
          <w:tcPr>
            <w:tcW w:w="7940" w:type="dxa"/>
            <w:vAlign w:val="bottom"/>
          </w:tcPr>
          <w:p>
            <w:pPr>
              <w:ind w:left="560"/>
              <w:spacing w:after="0" w:line="202" w:lineRule="exact"/>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(13,102 )</w:t>
            </w:r>
          </w:p>
        </w:tc>
        <w:tc>
          <w:tcPr>
            <w:tcW w:w="34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(758 )</w:t>
            </w:r>
          </w:p>
        </w:tc>
      </w:tr>
      <w:tr>
        <w:trPr>
          <w:trHeight w:val="203"/>
        </w:trPr>
        <w:tc>
          <w:tcPr>
            <w:tcW w:w="7940" w:type="dxa"/>
            <w:vAlign w:val="bottom"/>
            <w:tcBorders>
              <w:bottom w:val="single" w:sz="8" w:color="CFF0FC"/>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2,316</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740"/>
              <w:spacing w:after="0" w:line="196"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7"/>
                <w:szCs w:val="17"/>
                <w:color w:val="auto"/>
              </w:rPr>
            </w:pPr>
          </w:p>
        </w:tc>
        <w:tc>
          <w:tcPr>
            <w:tcW w:w="1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(82,237 )</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(46,634 )</w:t>
            </w: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(164,632 )</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(126,548 )</w:t>
            </w:r>
          </w:p>
        </w:tc>
      </w:tr>
      <w:tr>
        <w:trPr>
          <w:trHeight w:val="203"/>
        </w:trPr>
        <w:tc>
          <w:tcPr>
            <w:tcW w:w="7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sales and maturities of short-term investments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122,866</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380"/>
              <w:spacing w:after="0" w:line="196"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7"/>
                <w:szCs w:val="17"/>
                <w:color w:val="auto"/>
              </w:rPr>
            </w:pPr>
          </w:p>
        </w:tc>
        <w:tc>
          <w:tcPr>
            <w:tcW w:w="1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(41,766 )</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(7,548 )</w:t>
            </w: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 in at-the-market stock offering, net</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19,427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5,131</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1,706</w:t>
            </w:r>
          </w:p>
        </w:tc>
        <w:tc>
          <w:tcPr>
            <w:tcW w:w="100" w:type="dxa"/>
            <w:vAlign w:val="bottom"/>
          </w:tcPr>
          <w:p>
            <w:pPr>
              <w:spacing w:after="0"/>
              <w:rPr>
                <w:sz w:val="17"/>
                <w:szCs w:val="17"/>
                <w:color w:val="auto"/>
              </w:rPr>
            </w:pPr>
          </w:p>
        </w:tc>
      </w:tr>
      <w:tr>
        <w:trPr>
          <w:trHeight w:val="196"/>
        </w:trPr>
        <w:tc>
          <w:tcPr>
            <w:tcW w:w="79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22,277</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7"/>
                <w:szCs w:val="17"/>
                <w:color w:val="auto"/>
              </w:rPr>
            </w:pPr>
          </w:p>
        </w:tc>
        <w:tc>
          <w:tcPr>
            <w:tcW w:w="1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(101,726 )</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(47,202 )</w:t>
            </w:r>
          </w:p>
        </w:tc>
      </w:tr>
      <w:tr>
        <w:trPr>
          <w:trHeight w:val="203"/>
        </w:trPr>
        <w:tc>
          <w:tcPr>
            <w:tcW w:w="7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CASH—beginning of period</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222,080</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115,358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120,354</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68,156</w:t>
            </w:r>
          </w:p>
        </w:tc>
        <w:tc>
          <w:tcPr>
            <w:tcW w:w="10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960</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-2028825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-1497330</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-1497330</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-699770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-699770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-434340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-434340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SYNDAX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08" w:lineRule="exact"/>
        <w:rPr>
          <w:sz w:val="20"/>
          <w:szCs w:val="20"/>
          <w:color w:val="auto"/>
        </w:rPr>
      </w:pPr>
    </w:p>
    <w:p>
      <w:pPr>
        <w:ind w:right="540" w:firstLine="509"/>
        <w:spacing w:after="0" w:line="248"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2022, and the results of operations and comprehensive loss for the three and six months ended June 30, 2022 and 2021, and cash flows for the six months ended June 30, 2022 and 2021. The results for the three and six months ended June 30, 2022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2021, and the notes thereto, which are included in the Company’s Annual Report on Form 10-K as filed with the Securities and Exchange Commission (“SEC”) on March 1, 2022.</w:t>
      </w:r>
    </w:p>
    <w:p>
      <w:pPr>
        <w:spacing w:after="0" w:line="18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2011, the Company established a wholly owned subsidiary in the United Kingdom, in 2014 the Company established a wholly owned U.S. subsidiary, and in 2021, the Company established a wholly owned subsidiary in the Netherlands. There have been no material activities for these entities to date. All intercompany balances and transactions have been eliminated in consolidation.</w:t>
      </w:r>
    </w:p>
    <w:p>
      <w:pPr>
        <w:spacing w:after="0" w:line="286" w:lineRule="exact"/>
        <w:rPr>
          <w:sz w:val="20"/>
          <w:szCs w:val="20"/>
          <w:color w:val="auto"/>
        </w:rPr>
      </w:pPr>
    </w:p>
    <w:p>
      <w:pPr>
        <w:ind w:left="520" w:right="7640" w:hanging="512"/>
        <w:spacing w:after="0" w:line="383"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2021, and the notes thereto are included in the Company’s Annual Report on Form 10-K that was filed with the SEC on March 1, 2022. Since the date of filing, there have been no material changes to the Company’s significant accounting policies except as noted below.</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ind w:right="420" w:firstLine="509"/>
        <w:spacing w:after="0" w:line="241"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8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have implemented business continuity plans designed to address and mitigate the impact of the ongoing COVID-19 pandemic on our business. We anticipate that the COVID-19 pandemic could have an impact on the clinical development timelines for one or more of our clinical programs. The extent to which the COVID-19 pandemic impacts our business, our clinical 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The global economic slowdown, the overall disruption of global healthcare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 w:name="page9"/>
    <w:bookmarkEnd w:id="8"/>
    <w:p>
      <w:pPr>
        <w:ind w:right="40"/>
        <w:spacing w:after="0" w:line="261" w:lineRule="auto"/>
        <w:rPr>
          <w:sz w:val="20"/>
          <w:szCs w:val="20"/>
          <w:color w:val="auto"/>
        </w:rPr>
      </w:pPr>
      <w:r>
        <w:rPr>
          <w:rFonts w:ascii="Arial" w:cs="Arial" w:eastAsia="Arial" w:hAnsi="Arial"/>
          <w:sz w:val="18"/>
          <w:szCs w:val="18"/>
          <w:color w:val="auto"/>
        </w:rPr>
        <w:t>systems and the other risks and uncertainties associated with the pandemic could have a material adverse effect on our business, financial condition, results of operations and growth prospects.</w:t>
      </w:r>
    </w:p>
    <w:p>
      <w:pPr>
        <w:spacing w:after="0" w:line="63"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Accounting Pronouncements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200" w:lineRule="exact"/>
        <w:rPr>
          <w:sz w:val="20"/>
          <w:szCs w:val="20"/>
          <w:color w:val="auto"/>
        </w:rPr>
      </w:pPr>
    </w:p>
    <w:p>
      <w:pPr>
        <w:spacing w:after="0" w:line="396" w:lineRule="exact"/>
        <w:rPr>
          <w:sz w:val="20"/>
          <w:szCs w:val="20"/>
          <w:color w:val="auto"/>
        </w:rPr>
      </w:pPr>
    </w:p>
    <w:p>
      <w:pPr>
        <w:ind w:left="520" w:right="7320" w:hanging="512"/>
        <w:spacing w:after="0" w:line="362" w:lineRule="auto"/>
        <w:tabs>
          <w:tab w:leader="none" w:pos="19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License Agreements Incyte Collaboration</w:t>
      </w:r>
    </w:p>
    <w:p>
      <w:pPr>
        <w:spacing w:after="0" w:line="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September 2021, the Company entered into the Incyte License and Collaboration Agreement with Incyte covering the worldwide development and commercialization of SNDX-6352 (axatilimab) (the “Incyte License”) and the Company entered into a share purchase agreement with Incyte (the “Incyte Share Purchase Agreement”) and collective with the Incyte License, the “Incyte Agreements”). These agreements are collectively referred to as the Incyte Agreements. Under the terms of the Incyte Agreements, Incyte will receive exclusive commercialization rights outside of the United States, subject to tiered royalty payment obligations. In the United States, Incyte and the Company will co-commercialize axatilimab, with the Company having the right to co-promote axatilimab, subject to the Company’s exercise of its co-promotion option. Incyte will be responsible for leading all aspects of commercialization of axatilimab in the United States. The Company and Incyte have agreed to co-develop axatilimab and to share development costs associated with the global and U.S. – specific clinical trials, with Incyte responsible for 55% of such costs and the Company responsible for 45% of such costs. Incyte is responsible for 100% of future development costs for trials that are specific to ex-U.S. countries. Each company will be responsible for funding any of its own independent development of activities. All development costs related to the collaboration will be subject to a joint development plan.</w:t>
      </w:r>
    </w:p>
    <w:p>
      <w:pPr>
        <w:spacing w:after="0" w:line="87"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The Company is eligible to receive up to $220 million in future contingent development and regulatory milestones and up to $230 million in commercialization milestones. In addition, the Company is eligible to receive tiered royalties on potential net sales of the licensed product comprising axatilimab ranging from the low to mid double-digit percentages.</w:t>
      </w:r>
    </w:p>
    <w:p>
      <w:pPr>
        <w:spacing w:after="0" w:line="7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December 2021, the Company received the upfront cash payment of $117 million and the Company issued 1,421,523 shares of common stock for an aggregate purchase price of $35 million, or $24.62 per share. Additionally, Incyte and the Company entered into a letter agreement which permitted Incyte to terminate the Incyte Agreement under circumstances under which the upfront payment of $117 million would be returned to Incyte and a cash settlement on the sale of the Company's common stock would be made to make the parties whole (the "Letter Agreement"). In connection with the closing of this transaction in December 2021, the Company determined that the cash settlement feature of the Letter Agreement represented an embedded derivative requiring bifurcation and separate accounting recognition at fair value. Accordingly, the Company recorded the common stock issued to Incyte at fair value of $24.8 million, $0.6 million as a derivative liability and $126.6 million as license revenue as of December 31, 2021. The Letter Agreement terminated in March 2022.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 w:name="page10"/>
    <w:bookmarkEnd w:id="9"/>
    <w:p>
      <w:pPr>
        <w:jc w:val="both"/>
        <w:ind w:right="160" w:firstLine="449"/>
        <w:spacing w:after="0" w:line="248" w:lineRule="auto"/>
        <w:rPr>
          <w:sz w:val="20"/>
          <w:szCs w:val="20"/>
          <w:color w:val="auto"/>
        </w:rPr>
      </w:pPr>
      <w:r>
        <w:rPr>
          <w:rFonts w:ascii="Arial" w:cs="Arial" w:eastAsia="Arial" w:hAnsi="Arial"/>
          <w:sz w:val="18"/>
          <w:szCs w:val="18"/>
          <w:color w:val="auto"/>
        </w:rPr>
        <w:t>As of June 30, 2022, the Company has recorded $13.5 million as a collaboration receivable due from Incyte related to development costs under the Agreement. Additionally, the Company has recorded approximately $0.4 million as a collaboration payable, due to Incyte for development costs incurred by Incyte. Both expense and cost offset are recorded as part of research and development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0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9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1760" w:type="dxa"/>
            <w:vAlign w:val="bottom"/>
            <w:gridSpan w:val="3"/>
          </w:tcPr>
          <w:p>
            <w:pPr>
              <w:jc w:val="right"/>
              <w:ind w:right="374"/>
              <w:spacing w:after="0" w:line="133" w:lineRule="exact"/>
              <w:rPr>
                <w:sz w:val="20"/>
                <w:szCs w:val="20"/>
                <w:color w:val="auto"/>
              </w:rPr>
            </w:pPr>
            <w:r>
              <w:rPr>
                <w:rFonts w:ascii="Arial" w:cs="Arial" w:eastAsia="Arial" w:hAnsi="Arial"/>
                <w:sz w:val="14"/>
                <w:szCs w:val="14"/>
                <w:b w:val="1"/>
                <w:bCs w:val="1"/>
                <w:color w:val="auto"/>
                <w:w w:val="91"/>
              </w:rPr>
              <w:t>except share and per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1740" w:type="dxa"/>
            <w:vAlign w:val="bottom"/>
            <w:gridSpan w:val="3"/>
          </w:tcPr>
          <w:p>
            <w:pPr>
              <w:jc w:val="right"/>
              <w:ind w:right="354"/>
              <w:spacing w:after="0" w:line="133" w:lineRule="exact"/>
              <w:rPr>
                <w:sz w:val="20"/>
                <w:szCs w:val="20"/>
                <w:color w:val="auto"/>
              </w:rPr>
            </w:pPr>
            <w:r>
              <w:rPr>
                <w:rFonts w:ascii="Arial" w:cs="Arial" w:eastAsia="Arial" w:hAnsi="Arial"/>
                <w:sz w:val="14"/>
                <w:szCs w:val="14"/>
                <w:b w:val="1"/>
                <w:bCs w:val="1"/>
                <w:color w:val="auto"/>
                <w:w w:val="91"/>
              </w:rPr>
              <w:t>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share data)</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share data)</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Numerator—basic and diluted:</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(37,572 )</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(22,910 )</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(74,741 )</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(50,633 )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Net loss attributable to common</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color w:val="auto"/>
              </w:rPr>
              <w:t>(37,572 )</w:t>
            </w: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(22,910 )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(74,741 )</w:t>
            </w:r>
          </w:p>
        </w:tc>
        <w:tc>
          <w:tcPr>
            <w:tcW w:w="46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(50,633 )</w:t>
            </w:r>
          </w:p>
        </w:tc>
        <w:tc>
          <w:tcPr>
            <w:tcW w:w="0" w:type="dxa"/>
            <w:vAlign w:val="bottom"/>
          </w:tcPr>
          <w:p>
            <w:pPr>
              <w:spacing w:after="0"/>
              <w:rPr>
                <w:sz w:val="1"/>
                <w:szCs w:val="1"/>
                <w:color w:val="auto"/>
              </w:rPr>
            </w:pPr>
          </w:p>
        </w:tc>
      </w:tr>
      <w:tr>
        <w:trPr>
          <w:trHeight w:val="195"/>
        </w:trPr>
        <w:tc>
          <w:tcPr>
            <w:tcW w:w="470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stockholders—basic and diluted</w:t>
            </w:r>
          </w:p>
        </w:tc>
        <w:tc>
          <w:tcPr>
            <w:tcW w:w="300" w:type="dxa"/>
            <w:vAlign w:val="bottom"/>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460" w:type="dxa"/>
            <w:vAlign w:val="bottom"/>
            <w:vMerge w:val="continue"/>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tcPr>
          <w:p>
            <w:pPr>
              <w:ind w:left="20"/>
              <w:spacing w:after="0" w:line="142" w:lineRule="exact"/>
              <w:rPr>
                <w:sz w:val="20"/>
                <w:szCs w:val="20"/>
                <w:color w:val="auto"/>
              </w:rPr>
            </w:pPr>
            <w:r>
              <w:rPr>
                <w:rFonts w:ascii="Arial" w:cs="Arial" w:eastAsia="Arial" w:hAnsi="Arial"/>
                <w:sz w:val="16"/>
                <w:szCs w:val="16"/>
                <w:color w:val="auto"/>
              </w:rPr>
              <w:t>Net loss per share attributable to common</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(0.62 )</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(0.44 )</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88"/>
              <w:spacing w:after="0"/>
              <w:rPr>
                <w:sz w:val="20"/>
                <w:szCs w:val="20"/>
                <w:color w:val="auto"/>
              </w:rPr>
            </w:pPr>
            <w:r>
              <w:rPr>
                <w:rFonts w:ascii="Arial" w:cs="Arial" w:eastAsia="Arial" w:hAnsi="Arial"/>
                <w:sz w:val="18"/>
                <w:szCs w:val="18"/>
                <w:color w:val="auto"/>
              </w:rPr>
              <w:t>(1.25 )</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176"/>
        </w:trPr>
        <w:tc>
          <w:tcPr>
            <w:tcW w:w="4700" w:type="dxa"/>
            <w:vAlign w:val="bottom"/>
          </w:tcPr>
          <w:p>
            <w:pPr>
              <w:ind w:left="160"/>
              <w:spacing w:after="0" w:line="156" w:lineRule="exact"/>
              <w:rPr>
                <w:sz w:val="20"/>
                <w:szCs w:val="20"/>
                <w:color w:val="auto"/>
              </w:rPr>
            </w:pPr>
            <w:r>
              <w:rPr>
                <w:rFonts w:ascii="Arial" w:cs="Arial" w:eastAsia="Arial" w:hAnsi="Arial"/>
                <w:sz w:val="18"/>
                <w:szCs w:val="18"/>
                <w:color w:val="auto"/>
              </w:rPr>
              <w:t>stockholders—basic and diluted</w:t>
            </w:r>
          </w:p>
        </w:tc>
        <w:tc>
          <w:tcPr>
            <w:tcW w:w="30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Denominator—basic and diluted:</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line="162" w:lineRule="exact"/>
              <w:rPr>
                <w:sz w:val="20"/>
                <w:szCs w:val="20"/>
                <w:color w:val="auto"/>
              </w:rPr>
            </w:pPr>
            <w:r>
              <w:rPr>
                <w:rFonts w:ascii="Arial" w:cs="Arial" w:eastAsia="Arial" w:hAnsi="Arial"/>
                <w:sz w:val="18"/>
                <w:szCs w:val="18"/>
                <w:color w:val="auto"/>
              </w:rPr>
              <w:t>Weighted-average number of common shares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60"/>
              <w:spacing w:after="0" w:line="176" w:lineRule="exact"/>
              <w:rPr>
                <w:sz w:val="20"/>
                <w:szCs w:val="20"/>
                <w:color w:val="auto"/>
              </w:rPr>
            </w:pPr>
            <w:r>
              <w:rPr>
                <w:rFonts w:ascii="Arial" w:cs="Arial" w:eastAsia="Arial" w:hAnsi="Arial"/>
                <w:sz w:val="18"/>
                <w:szCs w:val="18"/>
                <w:color w:val="auto"/>
              </w:rPr>
              <w:t>used to compute net loss per share attributable</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60,156,653</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51,603,286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59,570,888</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51,551,844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60"/>
              <w:spacing w:after="0" w:line="156" w:lineRule="exact"/>
              <w:rPr>
                <w:sz w:val="20"/>
                <w:szCs w:val="20"/>
                <w:color w:val="auto"/>
              </w:rPr>
            </w:pPr>
            <w:r>
              <w:rPr>
                <w:rFonts w:ascii="Arial" w:cs="Arial" w:eastAsia="Arial" w:hAnsi="Arial"/>
                <w:sz w:val="18"/>
                <w:szCs w:val="18"/>
                <w:color w:val="auto"/>
              </w:rPr>
              <w:t>to common stockholders—basic and diluted</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-745490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-728345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-745490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-728345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-745490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62"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to purchase common stock</w:t>
            </w:r>
          </w:p>
        </w:tc>
        <w:tc>
          <w:tcPr>
            <w:tcW w:w="1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8,046,741</w:t>
            </w:r>
          </w:p>
        </w:tc>
        <w:tc>
          <w:tcPr>
            <w:tcW w:w="280" w:type="dxa"/>
            <w:vAlign w:val="bottom"/>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7,406,760</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10,805</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8,214</w:t>
            </w:r>
          </w:p>
        </w:tc>
        <w:tc>
          <w:tcPr>
            <w:tcW w:w="100" w:type="dxa"/>
            <w:vAlign w:val="bottom"/>
          </w:tcPr>
          <w:p>
            <w:pPr>
              <w:spacing w:after="0"/>
              <w:rPr>
                <w:sz w:val="17"/>
                <w:szCs w:val="17"/>
                <w:color w:val="auto"/>
              </w:rPr>
            </w:pPr>
          </w:p>
        </w:tc>
      </w:tr>
      <w:tr>
        <w:trPr>
          <w:trHeight w:val="203"/>
        </w:trPr>
        <w:tc>
          <w:tcPr>
            <w:tcW w:w="8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Non-vested restricted stock units (RSUs)</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259,788</w:t>
            </w:r>
          </w:p>
        </w:tc>
        <w:tc>
          <w:tcPr>
            <w:tcW w:w="2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124,083</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In January 2020, the Company sold 3,036,719 shares of common stock at $8.00 per share and pre-funded warrants to purchase 1,338,287 shares of common stock. In February 2021, 250,000 pre-funded warrants were exchanged for shares of common stock in a cash exercise and in November 2021, 475,784 pre-funded warrants were exchanged for shares of common stock in a cashless exercise. As of June 30, 2022, 3,975,024 pre-funded warrants were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considered issued and outstanding</w:t>
      </w:r>
      <w:r>
        <w:rPr>
          <w:rFonts w:ascii="Arial" w:cs="Arial" w:eastAsia="Arial" w:hAnsi="Arial"/>
          <w:sz w:val="21"/>
          <w:szCs w:val="2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08"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ind w:right="140"/>
        <w:spacing w:after="0" w:line="261" w:lineRule="auto"/>
        <w:rPr>
          <w:sz w:val="20"/>
          <w:szCs w:val="20"/>
          <w:color w:val="auto"/>
        </w:rPr>
      </w:pPr>
      <w:r>
        <w:rPr>
          <w:rFonts w:ascii="Arial" w:cs="Arial" w:eastAsia="Arial" w:hAnsi="Arial"/>
          <w:sz w:val="18"/>
          <w:szCs w:val="18"/>
          <w:color w:val="auto"/>
        </w:rPr>
        <w:t>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and recorded $4.0 million as research and development expense. In February 2022, the Company achieved certain development and regulatory milestones and recorded $2.0 million as research and development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08"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2016, the Company entered into a license agreement (the “UCB License Agreement”), as amended from time to time, with UCB Biopharma Sprl (“UCB”), under which UCB granted to the Company a worldwide, sublicenseable, exclusive license to UCB6352, which the Company refers to as axatilimab, an investigational new drug (“IND”) ready anti-CSF-1R monoclonal antibody.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6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the Company paid UCB $5.8 million, which it recognized as a milestone expense in the six months ended June 30, 2022.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March 2007, the Company entered into a license agreement (the “Bayer Agreement”) with Bayer Schering Pharma AG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7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15" w:lineRule="exact"/>
        <w:rPr>
          <w:sz w:val="20"/>
          <w:szCs w:val="20"/>
          <w:color w:val="auto"/>
        </w:rPr>
      </w:pPr>
    </w:p>
    <w:p>
      <w:pPr>
        <w:jc w:val="both"/>
        <w:ind w:left="1020" w:right="360" w:hanging="484"/>
        <w:spacing w:after="0" w:line="24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ind w:left="54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35"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Fair Value Measurements Using</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Prices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(unadjusted)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4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shd w:val="clear" w:color="auto" w:fill="CFF0FC"/>
          </w:tcPr>
          <w:p>
            <w:pPr>
              <w:spacing w:after="0"/>
              <w:rPr>
                <w:sz w:val="15"/>
                <w:szCs w:val="15"/>
                <w:color w:val="auto"/>
              </w:rPr>
            </w:pPr>
          </w:p>
        </w:tc>
        <w:tc>
          <w:tcPr>
            <w:tcW w:w="5560" w:type="dxa"/>
            <w:vAlign w:val="bottom"/>
            <w:gridSpan w:val="3"/>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June 30, 2022</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Assets:</w:t>
            </w:r>
          </w:p>
        </w:tc>
        <w:tc>
          <w:tcPr>
            <w:tcW w:w="4520" w:type="dxa"/>
            <w:vAlign w:val="bottom"/>
            <w:tcBorders>
              <w:top w:val="single" w:sz="8" w:color="CFF0FC"/>
            </w:tcBorders>
            <w:gridSpan w:val="2"/>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556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120,240</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68,248</w:t>
            </w:r>
          </w:p>
        </w:tc>
        <w:tc>
          <w:tcPr>
            <w:tcW w:w="4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51,992</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246,552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246,552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560" w:type="dxa"/>
            <w:vAlign w:val="bottom"/>
            <w:tcBorders>
              <w:bottom w:val="single" w:sz="8" w:color="CFF0FC"/>
            </w:tcBorders>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12,125</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12,125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5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378,917</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68,248</w:t>
            </w:r>
          </w:p>
        </w:tc>
        <w:tc>
          <w:tcPr>
            <w:tcW w:w="42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310,669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auto"/>
            </w:tcBorders>
            <w:gridSpan w:val="2"/>
            <w:shd w:val="clear" w:color="auto" w:fill="CFF0FC"/>
          </w:tcPr>
          <w:p>
            <w:pPr>
              <w:spacing w:after="0" w:line="156" w:lineRule="exact"/>
              <w:rPr>
                <w:sz w:val="20"/>
                <w:szCs w:val="20"/>
                <w:color w:val="auto"/>
              </w:rPr>
            </w:pPr>
            <w:r>
              <w:rPr>
                <w:rFonts w:ascii="Arial" w:cs="Arial" w:eastAsia="Arial" w:hAnsi="Arial"/>
                <w:sz w:val="18"/>
                <w:szCs w:val="18"/>
                <w:b w:val="1"/>
                <w:bCs w:val="1"/>
                <w:color w:val="auto"/>
                <w:w w:val="88"/>
              </w:rPr>
              <w:t>December 31, 2021</w:t>
            </w:r>
          </w:p>
        </w:tc>
        <w:tc>
          <w:tcPr>
            <w:tcW w:w="4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203"/>
        </w:trPr>
        <w:tc>
          <w:tcPr>
            <w:tcW w:w="558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556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221,965</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96,816</w:t>
            </w:r>
          </w:p>
        </w:tc>
        <w:tc>
          <w:tcPr>
            <w:tcW w:w="4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125,149</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217,971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217,971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5560" w:type="dxa"/>
            <w:vAlign w:val="bottom"/>
            <w:tcBorders>
              <w:bottom w:val="single" w:sz="8" w:color="CFF0FC"/>
            </w:tcBorders>
            <w:gridSpan w:val="3"/>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439,936</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96,816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343,120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580" w:type="dxa"/>
            <w:vAlign w:val="bottom"/>
            <w:gridSpan w:val="4"/>
          </w:tcPr>
          <w:p>
            <w:pPr>
              <w:ind w:left="20"/>
              <w:spacing w:after="0" w:line="183" w:lineRule="exact"/>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shd w:val="clear" w:color="auto" w:fill="CFF0FC"/>
          </w:tcPr>
          <w:p>
            <w:pPr>
              <w:spacing w:after="0"/>
              <w:rPr>
                <w:sz w:val="17"/>
                <w:szCs w:val="17"/>
                <w:color w:val="auto"/>
              </w:rPr>
            </w:pPr>
          </w:p>
        </w:tc>
        <w:tc>
          <w:tcPr>
            <w:tcW w:w="556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-1247775</wp:posOffset>
            </wp:positionV>
            <wp:extent cx="7747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-1247775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-1247775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-1247775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-436245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-419735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-436245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-419735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-436245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-419735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There have been no material impairments of our assets measured and carried at fair value during the period ended June 30, 2022 and 2021. In addition, there have been no changes in valuation techniques during the period ended June 30, 2022 and 2021. The fair value of Level 1 instruments classified as cash equivalents are valued using quoted market prices in active markets. The fair value of Level 2 instruments classified as cash equivalents and short – term investments was determined other than quoted prices in active markets, which are either directly or indirectly observable as of the reporting date and fair value is determined using models or other valuation methodologies. The fair value of the Level 3 instrument is determined using unobservable inputs and the Company utilized a Black Scholes valuation model as of December 9, 2021 (initial recognition) and December 31, 2021, respectively.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rollforward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8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 Liability:</w:t>
            </w:r>
          </w:p>
        </w:tc>
        <w:tc>
          <w:tcPr>
            <w:tcW w:w="480" w:type="dxa"/>
            <w:vAlign w:val="bottom"/>
            <w:tcBorders>
              <w:top w:val="single" w:sz="8" w:color="auto"/>
            </w:tcBorders>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780" w:type="dxa"/>
            <w:vAlign w:val="bottom"/>
          </w:tcPr>
          <w:p>
            <w:pPr>
              <w:ind w:left="200"/>
              <w:spacing w:after="0" w:line="202" w:lineRule="exact"/>
              <w:rPr>
                <w:sz w:val="20"/>
                <w:szCs w:val="20"/>
                <w:color w:val="auto"/>
              </w:rPr>
            </w:pPr>
            <w:r>
              <w:rPr>
                <w:rFonts w:ascii="Arial" w:cs="Arial" w:eastAsia="Arial" w:hAnsi="Arial"/>
                <w:sz w:val="18"/>
                <w:szCs w:val="18"/>
                <w:color w:val="auto"/>
              </w:rPr>
              <w:t>Beginning Balance 12/31/21</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100" w:type="dxa"/>
            <w:vAlign w:val="bottom"/>
          </w:tcPr>
          <w:p>
            <w:pPr>
              <w:spacing w:after="0"/>
              <w:rPr>
                <w:sz w:val="17"/>
                <w:szCs w:val="17"/>
                <w:color w:val="auto"/>
              </w:rPr>
            </w:pPr>
          </w:p>
        </w:tc>
      </w:tr>
      <w:tr>
        <w:trPr>
          <w:trHeight w:val="203"/>
        </w:trPr>
        <w:tc>
          <w:tcPr>
            <w:tcW w:w="8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w:t>
            </w:r>
          </w:p>
        </w:tc>
        <w:tc>
          <w:tcPr>
            <w:tcW w:w="48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(187 )</w:t>
            </w:r>
          </w:p>
        </w:tc>
      </w:tr>
      <w:tr>
        <w:trPr>
          <w:trHeight w:val="196"/>
        </w:trPr>
        <w:tc>
          <w:tcPr>
            <w:tcW w:w="87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Ending Balance 6/30/22</w:t>
            </w: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r>
      <w:tr>
        <w:trPr>
          <w:trHeight w:val="20"/>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The change in fair value of the Level 3 instrument was directly related to the expiration of the Letter Agreement in March 2022. At the time of the expiration of the Letter Agreement, Incyte no longer had the ability to terminate the contract, as such the probability of payment to Incyte was assessed to be zero. Accordingly, the Company released the remaining $187,000 liability related to the Letter Agreement as of March 31, 2022.</w:t>
      </w:r>
    </w:p>
    <w:p>
      <w:pPr>
        <w:spacing w:after="0" w:line="1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short-term and long-term investments are classified as available-for-sale securities. As of June 30, 2022, the remaining contractual maturities of the available-for-sale securities were 1 to 13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six months ended June 30, 2022 and 2021. As a result, the Company did not reclassify any amounts out of accumulated other comprehensive income for the same periods. The Company has a limited number of available-for-sale securities in insignificant loss positions as of June 30, 2022, which the Company does not intend to sell and has concluded it will not be required to sell before recovery of the amortized cost for the investment at maturity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ind w:left="56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660" w:type="dxa"/>
            <w:vAlign w:val="bottom"/>
            <w:tcBorders>
              <w:left w:val="single" w:sz="8" w:color="CFF0FC"/>
            </w:tcBorders>
            <w:gridSpan w:val="3"/>
            <w:shd w:val="clear" w:color="auto" w:fill="CFF0FC"/>
          </w:tcPr>
          <w:p>
            <w:pPr>
              <w:ind w:left="20"/>
              <w:spacing w:after="0" w:line="176" w:lineRule="exact"/>
              <w:rPr>
                <w:sz w:val="20"/>
                <w:szCs w:val="20"/>
                <w:color w:val="auto"/>
              </w:rPr>
            </w:pPr>
            <w:r>
              <w:rPr>
                <w:rFonts w:ascii="Arial" w:cs="Arial" w:eastAsia="Arial" w:hAnsi="Arial"/>
                <w:sz w:val="18"/>
                <w:szCs w:val="18"/>
                <w:b w:val="1"/>
                <w:bCs w:val="1"/>
                <w:color w:val="auto"/>
              </w:rPr>
              <w:t>June 30, 2022</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
        </w:trPr>
        <w:tc>
          <w:tcPr>
            <w:tcW w:w="1060" w:type="dxa"/>
            <w:vAlign w:val="bottom"/>
            <w:tcBorders>
              <w:left w:val="single" w:sz="8" w:color="CFF0FC"/>
            </w:tcBorders>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4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56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201,084</w:t>
            </w:r>
          </w:p>
        </w:tc>
        <w:tc>
          <w:tcPr>
            <w:tcW w:w="4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(697 )</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200,387</w:t>
            </w:r>
          </w:p>
        </w:tc>
        <w:tc>
          <w:tcPr>
            <w:tcW w:w="100" w:type="dxa"/>
            <w:vAlign w:val="bottom"/>
          </w:tcPr>
          <w:p>
            <w:pPr>
              <w:spacing w:after="0"/>
              <w:rPr>
                <w:sz w:val="17"/>
                <w:szCs w:val="17"/>
                <w:color w:val="auto"/>
              </w:rPr>
            </w:pPr>
          </w:p>
        </w:tc>
      </w:tr>
      <w:tr>
        <w:trPr>
          <w:trHeight w:val="203"/>
        </w:trPr>
        <w:tc>
          <w:tcPr>
            <w:tcW w:w="5660" w:type="dxa"/>
            <w:vAlign w:val="bottom"/>
            <w:tcBorders>
              <w:lef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4,068</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US Treasury and federal bonds</w:t>
            </w: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106,852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(638 )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106,214</w:t>
            </w:r>
          </w:p>
        </w:tc>
        <w:tc>
          <w:tcPr>
            <w:tcW w:w="100" w:type="dxa"/>
            <w:vAlign w:val="bottom"/>
          </w:tcPr>
          <w:p>
            <w:pPr>
              <w:spacing w:after="0"/>
              <w:rPr>
                <w:sz w:val="17"/>
                <w:szCs w:val="17"/>
                <w:color w:val="auto"/>
              </w:rPr>
            </w:pPr>
          </w:p>
        </w:tc>
      </w:tr>
      <w:tr>
        <w:trPr>
          <w:trHeight w:val="236"/>
        </w:trPr>
        <w:tc>
          <w:tcPr>
            <w:tcW w:w="1060" w:type="dxa"/>
            <w:vAlign w:val="bottom"/>
            <w:tcBorders>
              <w:left w:val="single" w:sz="8" w:color="CFF0FC"/>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4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312,003</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(1,335</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310,669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63"/>
        </w:trPr>
        <w:tc>
          <w:tcPr>
            <w:tcW w:w="1480" w:type="dxa"/>
            <w:vAlign w:val="bottom"/>
            <w:tcBorders>
              <w:bottom w:val="single" w:sz="8" w:color="auto"/>
            </w:tcBorders>
            <w:gridSpan w:val="2"/>
          </w:tcPr>
          <w:p>
            <w:pPr>
              <w:ind w:left="20"/>
              <w:spacing w:after="0" w:line="156" w:lineRule="exact"/>
              <w:rPr>
                <w:sz w:val="20"/>
                <w:szCs w:val="20"/>
                <w:color w:val="auto"/>
              </w:rPr>
            </w:pPr>
            <w:r>
              <w:rPr>
                <w:rFonts w:ascii="Arial" w:cs="Arial" w:eastAsia="Arial" w:hAnsi="Arial"/>
                <w:sz w:val="18"/>
                <w:szCs w:val="18"/>
                <w:b w:val="1"/>
                <w:bCs w:val="1"/>
                <w:color w:val="auto"/>
                <w:w w:val="88"/>
              </w:rPr>
              <w:t>December 31, 2021</w:t>
            </w: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660" w:type="dxa"/>
            <w:vAlign w:val="bottom"/>
            <w:tcBorders>
              <w:lef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306,715</w:t>
            </w:r>
          </w:p>
        </w:tc>
        <w:tc>
          <w:tcPr>
            <w:tcW w:w="48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48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306,768</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22,147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22,141</w:t>
            </w:r>
          </w:p>
        </w:tc>
        <w:tc>
          <w:tcPr>
            <w:tcW w:w="100" w:type="dxa"/>
            <w:vAlign w:val="bottom"/>
          </w:tcPr>
          <w:p>
            <w:pPr>
              <w:spacing w:after="0"/>
              <w:rPr>
                <w:sz w:val="17"/>
                <w:szCs w:val="17"/>
                <w:color w:val="auto"/>
              </w:rPr>
            </w:pPr>
          </w:p>
        </w:tc>
      </w:tr>
      <w:tr>
        <w:trPr>
          <w:trHeight w:val="203"/>
        </w:trPr>
        <w:tc>
          <w:tcPr>
            <w:tcW w:w="5660" w:type="dxa"/>
            <w:vAlign w:val="bottom"/>
            <w:tcBorders>
              <w:lef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and federal bonds</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14,212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14,210</w:t>
            </w:r>
          </w:p>
        </w:tc>
        <w:tc>
          <w:tcPr>
            <w:tcW w:w="100" w:type="dxa"/>
            <w:vAlign w:val="bottom"/>
            <w:shd w:val="clear" w:color="auto" w:fill="CFF0FC"/>
          </w:tcPr>
          <w:p>
            <w:pPr>
              <w:spacing w:after="0"/>
              <w:rPr>
                <w:sz w:val="17"/>
                <w:szCs w:val="17"/>
                <w:color w:val="auto"/>
              </w:rPr>
            </w:pPr>
          </w:p>
        </w:tc>
      </w:tr>
      <w:tr>
        <w:trPr>
          <w:trHeight w:val="20"/>
        </w:trPr>
        <w:tc>
          <w:tcPr>
            <w:tcW w:w="106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343,074</w:t>
            </w:r>
          </w:p>
        </w:tc>
        <w:tc>
          <w:tcPr>
            <w:tcW w:w="280" w:type="dxa"/>
            <w:vAlign w:val="bottom"/>
            <w:gridSpan w:val="2"/>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40" w:type="dxa"/>
            <w:vAlign w:val="bottom"/>
            <w:gridSpan w:val="2"/>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(25 )</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343,119</w:t>
            </w: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-702310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-685165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-702310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-685165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-702310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-685165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-159385</wp:posOffset>
            </wp:positionV>
            <wp:extent cx="768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vMerge w:val="restart"/>
          </w:tcPr>
          <w:p>
            <w:pPr>
              <w:ind w:left="20"/>
              <w:spacing w:after="0"/>
              <w:rPr>
                <w:sz w:val="20"/>
                <w:szCs w:val="20"/>
                <w:color w:val="auto"/>
              </w:rPr>
            </w:pPr>
            <w:r>
              <w:rPr>
                <w:rFonts w:ascii="Arial" w:cs="Arial" w:eastAsia="Arial" w:hAnsi="Arial"/>
                <w:sz w:val="18"/>
                <w:szCs w:val="18"/>
                <w:color w:val="auto"/>
              </w:rPr>
              <w:t>Prepaid insurance</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June 30, 2022</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600" w:type="dxa"/>
            <w:vAlign w:val="bottom"/>
          </w:tcPr>
          <w:p>
            <w:pPr>
              <w:jc w:val="right"/>
              <w:ind w:right="139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receivable on investments</w:t>
            </w:r>
          </w:p>
        </w:tc>
        <w:tc>
          <w:tcPr>
            <w:tcW w:w="16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Prepaid subscription</w:t>
            </w:r>
          </w:p>
        </w:tc>
        <w:tc>
          <w:tcPr>
            <w:tcW w:w="16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160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-159385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vMerge w:val="restart"/>
          </w:tcPr>
          <w:p>
            <w:pPr>
              <w:ind w:left="20"/>
              <w:spacing w:after="0"/>
              <w:rPr>
                <w:sz w:val="20"/>
                <w:szCs w:val="20"/>
                <w:color w:val="auto"/>
              </w:rPr>
            </w:pPr>
            <w:r>
              <w:rPr>
                <w:rFonts w:ascii="Arial" w:cs="Arial" w:eastAsia="Arial" w:hAnsi="Arial"/>
                <w:sz w:val="18"/>
                <w:szCs w:val="18"/>
                <w:color w:val="auto"/>
              </w:rPr>
              <w:t>Accrued clinical costs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540" w:type="dxa"/>
            <w:vAlign w:val="bottom"/>
          </w:tcPr>
          <w:p>
            <w:pPr>
              <w:jc w:val="right"/>
              <w:ind w:right="135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10,519</w:t>
            </w:r>
          </w:p>
        </w:tc>
        <w:tc>
          <w:tcPr>
            <w:tcW w:w="3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7,760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compensation and related costs</w:t>
            </w:r>
          </w:p>
        </w:tc>
        <w:tc>
          <w:tcPr>
            <w:tcW w:w="15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2,736</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5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3,166</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540" w:type="dxa"/>
            <w:vAlign w:val="bottom"/>
          </w:tcPr>
          <w:p>
            <w:pPr>
              <w:jc w:val="right"/>
              <w:ind w:right="135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16,974</w:t>
            </w:r>
          </w:p>
        </w:tc>
        <w:tc>
          <w:tcPr>
            <w:tcW w:w="6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14,465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-159385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0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January 2022, the number of shares of common stock available for issuance under the 2015 Omnibus Incentive Plan (“2015 Plan”) was increased by 2,198,134 shares due to the automatic annual provision to increase shares available under the 2015 Plan. As of June 30, 2022, the total number of shares of common stock available for issuance under the 2015 Plan was 1,647,345.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1,358</w:t>
            </w:r>
          </w:p>
        </w:tc>
        <w:tc>
          <w:tcPr>
            <w:tcW w:w="1260" w:type="dxa"/>
            <w:vAlign w:val="bottom"/>
            <w:gridSpan w:val="2"/>
            <w:shd w:val="clear" w:color="auto" w:fill="CFF0FC"/>
          </w:tcPr>
          <w:p>
            <w:pPr>
              <w:jc w:val="right"/>
              <w:ind w:right="77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1,093</w:t>
            </w:r>
          </w:p>
        </w:tc>
        <w:tc>
          <w:tcPr>
            <w:tcW w:w="6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2,710</w:t>
            </w:r>
          </w:p>
        </w:tc>
        <w:tc>
          <w:tcPr>
            <w:tcW w:w="780" w:type="dxa"/>
            <w:vAlign w:val="bottom"/>
            <w:gridSpan w:val="2"/>
            <w:shd w:val="clear" w:color="auto" w:fill="CFF0FC"/>
          </w:tcPr>
          <w:p>
            <w:pPr>
              <w:jc w:val="center"/>
              <w:ind w:right="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1,996</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2,580</w:t>
            </w:r>
          </w:p>
        </w:tc>
        <w:tc>
          <w:tcPr>
            <w:tcW w:w="3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2,147</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4,706</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4,011</w:t>
            </w:r>
          </w:p>
        </w:tc>
        <w:tc>
          <w:tcPr>
            <w:tcW w:w="100" w:type="dxa"/>
            <w:vAlign w:val="bottom"/>
          </w:tcPr>
          <w:p>
            <w:pPr>
              <w:spacing w:after="0"/>
              <w:rPr>
                <w:sz w:val="17"/>
                <w:szCs w:val="17"/>
                <w:color w:val="auto"/>
              </w:rPr>
            </w:pPr>
          </w:p>
        </w:tc>
      </w:tr>
      <w:tr>
        <w:trPr>
          <w:trHeight w:val="236"/>
        </w:trPr>
        <w:tc>
          <w:tcPr>
            <w:tcW w:w="4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3,938</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3,240</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7,416</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center"/>
              <w:ind w:right="3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4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-505460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-488315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-505460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-488315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-505460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-488315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Compensation expense by type of award in the three and six months ended June 30, 2022 and 2021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6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56"/>
        </w:trPr>
        <w:tc>
          <w:tcPr>
            <w:tcW w:w="45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69"/>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w:t>
            </w:r>
          </w:p>
        </w:tc>
        <w:tc>
          <w:tcPr>
            <w:tcW w:w="920" w:type="dxa"/>
            <w:vAlign w:val="bottom"/>
            <w:shd w:val="clear" w:color="auto" w:fill="CFF0FC"/>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3,188</w:t>
            </w:r>
          </w:p>
        </w:tc>
        <w:tc>
          <w:tcPr>
            <w:tcW w:w="1260" w:type="dxa"/>
            <w:vAlign w:val="bottom"/>
            <w:gridSpan w:val="2"/>
            <w:shd w:val="clear" w:color="auto" w:fill="CFF0FC"/>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2,615</w:t>
            </w:r>
          </w:p>
        </w:tc>
        <w:tc>
          <w:tcPr>
            <w:tcW w:w="6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6,113</w:t>
            </w:r>
          </w:p>
        </w:tc>
        <w:tc>
          <w:tcPr>
            <w:tcW w:w="780" w:type="dxa"/>
            <w:vAlign w:val="bottom"/>
            <w:gridSpan w:val="2"/>
            <w:shd w:val="clear" w:color="auto" w:fill="CFF0FC"/>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4,961</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7"/>
                <w:szCs w:val="17"/>
                <w:color w:val="auto"/>
              </w:rPr>
            </w:pPr>
          </w:p>
        </w:tc>
      </w:tr>
      <w:tr>
        <w:trPr>
          <w:trHeight w:val="203"/>
        </w:trPr>
        <w:tc>
          <w:tcPr>
            <w:tcW w:w="4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3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3,938</w:t>
            </w:r>
          </w:p>
        </w:tc>
        <w:tc>
          <w:tcPr>
            <w:tcW w:w="1260" w:type="dxa"/>
            <w:vAlign w:val="bottom"/>
            <w:gridSpan w:val="2"/>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3,240</w:t>
            </w:r>
          </w:p>
        </w:tc>
        <w:tc>
          <w:tcPr>
            <w:tcW w:w="6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7,416</w:t>
            </w:r>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6,007</w:t>
            </w:r>
          </w:p>
        </w:tc>
        <w:tc>
          <w:tcPr>
            <w:tcW w:w="10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-791845</wp:posOffset>
            </wp:positionV>
            <wp:extent cx="10223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235" cy="14541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-791845</wp:posOffset>
            </wp:positionV>
            <wp:extent cx="9398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-791845</wp:posOffset>
            </wp:positionV>
            <wp:extent cx="9398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-791845</wp:posOffset>
            </wp:positionV>
            <wp:extent cx="939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-159385</wp:posOffset>
            </wp:positionV>
            <wp:extent cx="768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During the six months ended June 30, 2022, the Company granted 1,993,450 stock options to certain executives, consultants and employees having service-based vesting conditions. The grant date fair value of the options granted in the six months ended June 30, 2022, was $21.8 million, or $10.93 per share on a weighted-average basis and will be recognized as compensation expense over the requisite service period of two to four years.</w:t>
      </w:r>
    </w:p>
    <w:p>
      <w:pPr>
        <w:spacing w:after="0" w:line="3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In 2019, the Company granted to certain employees 583,000 performance-based stock options (“2019 Performance Awards”), primarily related to the achievement of certain clinical and regulatory development milestones related to product candidates. Additionally, in 2022, the Company granted to certain employees 140,000 performance-based stock options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probable of achievement, using management’s best estimates, which consider the inherent risk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uncertainty regarding the future outcomes of the milestones.</w:t>
      </w:r>
    </w:p>
    <w:p>
      <w:pPr>
        <w:spacing w:after="0" w:line="116"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the fourth quarter of 2020 one of the performance milestones of the 2019 Performance Awards was achieved and of the associated 194,331 stock options, 64,777 stock options vested, and 388,669 options were cancelled. In 2021, 64,780 stock options vested. As of June 30, 2022, 56,999 options (net of cancellations) remain to vest. For the remaining milestones, the performance conditions were not met as of June 30, 2022. Therefore, no expense has been recognized related to these awards for the six months ended June 30, 2022, and 7,778 options were canceled in 2022.</w:t>
      </w:r>
    </w:p>
    <w:p>
      <w:pPr>
        <w:spacing w:after="0" w:line="4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the first quarter of 2022, management estimated one of the milestones, for the 2022 Performance Awards, was probable of achievement and, as such, the Company recorded approximately $214,000 of stock compensation expense for these awards for the six months ended June 30, 2022. As of June 30, 2022, 140,000 stock options outstanding were unvested, and no options had been cancelled.</w:t>
      </w:r>
    </w:p>
    <w:p>
      <w:pPr>
        <w:spacing w:after="0" w:line="7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During the six months ended June 30, 2022, 286,572 options were exercised for cash proceeds of $2.7 million. During the six months ended June 30, 2021, 191,394 options were exercised for cash proceeds of $1.7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right="600" w:firstLine="509"/>
        <w:spacing w:after="0" w:line="247" w:lineRule="auto"/>
        <w:rPr>
          <w:sz w:val="20"/>
          <w:szCs w:val="20"/>
          <w:color w:val="auto"/>
        </w:rPr>
      </w:pPr>
      <w:r>
        <w:rPr>
          <w:rFonts w:ascii="Arial" w:cs="Arial" w:eastAsia="Arial" w:hAnsi="Arial"/>
          <w:sz w:val="18"/>
          <w:szCs w:val="18"/>
          <w:color w:val="auto"/>
        </w:rPr>
        <w:t>RSUs awarded to Board of Directors or employees vest on either i) on the one – year anniversary date of the related grant or ii) 25% on each anniversary for 4 years. The following table summarizes our RSU activity:</w:t>
      </w:r>
    </w:p>
    <w:tbl>
      <w:tblPr>
        <w:tblLayout w:type="fixed"/>
        <w:tblInd w:w="0" w:type="dxa"/>
        <w:tblCellMar>
          <w:top w:w="0" w:type="dxa"/>
          <w:left w:w="0" w:type="dxa"/>
          <w:bottom w:w="0" w:type="dxa"/>
          <w:right w:w="0" w:type="dxa"/>
        </w:tblCellMar>
      </w:tblPr>
      <w:tr>
        <w:trPr>
          <w:trHeight w:val="133"/>
        </w:trPr>
        <w:tc>
          <w:tcPr>
            <w:tcW w:w="6820" w:type="dxa"/>
            <w:vAlign w:val="bottom"/>
          </w:tcPr>
          <w:p>
            <w:pPr>
              <w:spacing w:after="0"/>
              <w:rPr>
                <w:sz w:val="11"/>
                <w:szCs w:val="11"/>
                <w:color w:val="auto"/>
              </w:rPr>
            </w:pPr>
          </w:p>
        </w:tc>
        <w:tc>
          <w:tcPr>
            <w:tcW w:w="1600" w:type="dxa"/>
            <w:vAlign w:val="bottom"/>
            <w:vMerge w:val="restart"/>
          </w:tcPr>
          <w:p>
            <w:pPr>
              <w:jc w:val="center"/>
              <w:ind w:left="648"/>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rPr>
                <w:sz w:val="16"/>
                <w:szCs w:val="16"/>
                <w:color w:val="auto"/>
              </w:rPr>
            </w:pPr>
          </w:p>
        </w:tc>
        <w:tc>
          <w:tcPr>
            <w:tcW w:w="160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Unvested—December 31, 2021</w:t>
            </w:r>
          </w:p>
        </w:tc>
        <w:tc>
          <w:tcPr>
            <w:tcW w:w="16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132,333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12"/>
                <w:szCs w:val="12"/>
                <w:color w:val="auto"/>
              </w:rPr>
              <w:t>(1)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131,205</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(3,750 )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Unvested—June 30, 2022</w:t>
            </w:r>
          </w:p>
        </w:tc>
        <w:tc>
          <w:tcPr>
            <w:tcW w:w="16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259,788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18.08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firstLine="517"/>
        <w:spacing w:after="0" w:line="261" w:lineRule="auto"/>
        <w:tabs>
          <w:tab w:leader="none" w:pos="732" w:val="left"/>
        </w:tabs>
        <w:numPr>
          <w:ilvl w:val="0"/>
          <w:numId w:val="6"/>
        </w:numPr>
        <w:rPr>
          <w:rFonts w:ascii="Arial" w:cs="Arial" w:eastAsia="Arial" w:hAnsi="Arial"/>
          <w:sz w:val="15"/>
          <w:szCs w:val="15"/>
          <w:color w:val="auto"/>
        </w:rPr>
      </w:pPr>
      <w:r>
        <w:rPr>
          <w:rFonts w:ascii="Arial" w:cs="Arial" w:eastAsia="Arial" w:hAnsi="Arial"/>
          <w:sz w:val="18"/>
          <w:szCs w:val="18"/>
          <w:color w:val="auto"/>
        </w:rPr>
        <w:t>RSU’s granted in 2022 and 2021 had a weighted average grant date fair value of $15.79 and $21.19, respectively. The fair values of RSU’s vested in 2022 and 2021 totaled $36,000 and $60,000, respectively.</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June 30, 2022, there was $35.9 million of unrecognized compensation costs related to employee and non-employee unvested stock options and RSUs granted under the 2015 and 2007 Plans, which is expected to be recognized over a weighted-average remaining service period of 2.9 years. Stock compensation costs have not been capitalized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 Payable</w:t>
      </w:r>
    </w:p>
    <w:p>
      <w:pPr>
        <w:spacing w:after="0" w:line="10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In February 2020, the Company entered into a loan and security agreement (the “Loan Agreement”) with Hercules Capital, Inc. (“Hercules”). In December 2021, the Company entered into Amendment No. 1 to the Company’s Loan Agreement (the “First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ind w:right="180"/>
        <w:spacing w:after="0" w:line="248" w:lineRule="auto"/>
        <w:rPr>
          <w:sz w:val="20"/>
          <w:szCs w:val="20"/>
          <w:color w:val="auto"/>
        </w:rPr>
      </w:pPr>
      <w:r>
        <w:rPr>
          <w:rFonts w:ascii="Arial" w:cs="Arial" w:eastAsia="Arial" w:hAnsi="Arial"/>
          <w:sz w:val="18"/>
          <w:szCs w:val="18"/>
          <w:color w:val="auto"/>
        </w:rPr>
        <w:t>Amendment” and the Loan Agreement, as amended, the “Amended Loan Agreement”) with several banks and financial institutions or entities from time-to-time party thereto (collectively, the “Lender”) and Hercules, in its capacity as administrative agent for itself and the Lender (in such capacity, the “Agent”).</w:t>
      </w:r>
    </w:p>
    <w:p>
      <w:pPr>
        <w:spacing w:after="0" w:line="7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First Amendment provides for an aggregate maximum borrowing of up to $80.0 million, consisting of (i) a term loan of up to $20 million ( the “Initial Advance”), (ii) second tranche (“Tranche 2”) of up to $30.0 million with $15.0 million being available at the Company’s option through April 30, 2022 and the remaining $15.0 million being available at the Company’s option through November 30, 2022, which availability period will be extended to April 30, 2023 if the first $15.0 million is drawn prior to April 30, 2022, and (iii) third tranche (‘Tranche 3”) of up to $30.0 million which is available, subject to the Agent’s investment committee approval, through the Interest-Only Period. The Company did not draw the first $15.0 million from Tranche 2.</w:t>
      </w:r>
    </w:p>
    <w:p>
      <w:pPr>
        <w:spacing w:after="0" w:line="51"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 xml:space="preserve">The Company is obligated to make monthly interest-only payments through January 1, 2023. Borrowings under the Amended Loan Agreement bear interest at an annual interest rate from the greater of (y) 9.25% or (z) 6.00% plus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prime rate. After the interest – only payment period, borrowings under the Amended Loan Agreement are repayable in equal monthly payments of principal and accrued interest until the maturity date of the loan, which is April 1, 2024. At the Company’s option, the Company may prepay all, but not less than all, of the outstanding borrowings, subject to a prepayment premium equal to (i) 2.0% of the principal amount outstanding if the prepayment occurs during the first year following the First Amendment,</w:t>
      </w:r>
    </w:p>
    <w:p>
      <w:pPr>
        <w:spacing w:after="0" w:line="1" w:lineRule="exact"/>
        <w:rPr>
          <w:sz w:val="20"/>
          <w:szCs w:val="20"/>
          <w:color w:val="auto"/>
        </w:rPr>
      </w:pPr>
    </w:p>
    <w:p>
      <w:pPr>
        <w:ind w:right="20" w:firstLine="8"/>
        <w:spacing w:after="0" w:line="239"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of the principal amount outstanding if the prepayment occurs during the second year following the First Amendment, and (iii) 1.0% of the principal amount outstanding at any time thereafter but prior to the Maturity Date. The Amended Loan Agreement also applies a 4.99% end of term charge to any future draws payable on the maturity date. The final payment will be accrued over the term of the debt.</w:t>
      </w:r>
    </w:p>
    <w:p>
      <w:pPr>
        <w:spacing w:after="0" w:line="8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Borrowings under the Amended Loan Agreement are collateralized by substantially all of the Company’s and its subsidiaries personal property and other assets, other than its intellectual property. The Amended Loan Agreement includes a minimum cash covenant of $12.5 million, subject to reduction upon satisfaction of certain conditions as set forth in the Amended Loan Agreement. As of December 31, 2020, the conditions set forth in the Amended Loan Agreement were met. The cash covenant of $12.5 million was waived. In addition, the Amended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Amended Loan Agreement also includes customary events of default, including payment defaults, breaches of covenants following any applicable cure period, the occurrence of certain events that could reasonably be expected to have a “material adverse effect” as set forth in the Amended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Amended Loan Agreement.</w:t>
      </w:r>
    </w:p>
    <w:p>
      <w:pPr>
        <w:spacing w:after="0" w:line="17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connection with the Amended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During the six months ended June 30, 2022 and 2021, the Company recognized $1.3 million and $1.2 million, respectively, of interest expense related to the Initial Advance pursuant to the Amended Loan Agreement.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 Company’s maturities of principal obligations under its long-term debt are as follows (in thousands):</w:t>
      </w:r>
    </w:p>
    <w:p>
      <w:pPr>
        <w:spacing w:after="0" w:line="5"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Amount</w:t>
      </w:r>
    </w:p>
    <w:tbl>
      <w:tblPr>
        <w:tblLayout w:type="fixed"/>
        <w:tblInd w:w="0" w:type="dxa"/>
        <w:tblCellMar>
          <w:top w:w="0" w:type="dxa"/>
          <w:left w:w="0" w:type="dxa"/>
          <w:bottom w:w="0" w:type="dxa"/>
          <w:right w:w="0" w:type="dxa"/>
        </w:tblCellMar>
      </w:tblP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Remainder of 2022</w:t>
            </w:r>
          </w:p>
        </w:tc>
        <w:tc>
          <w:tcPr>
            <w:tcW w:w="5480" w:type="dxa"/>
            <w:vAlign w:val="bottom"/>
            <w:gridSpan w:val="2"/>
            <w:shd w:val="clear" w:color="auto" w:fill="CFF0FC"/>
          </w:tcPr>
          <w:p>
            <w:pPr>
              <w:jc w:val="right"/>
              <w:ind w:right="109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14,765</w:t>
            </w:r>
          </w:p>
        </w:tc>
        <w:tc>
          <w:tcPr>
            <w:tcW w:w="100" w:type="dxa"/>
            <w:vAlign w:val="bottom"/>
          </w:tcPr>
          <w:p>
            <w:pPr>
              <w:spacing w:after="0"/>
              <w:rPr>
                <w:sz w:val="17"/>
                <w:szCs w:val="17"/>
                <w:color w:val="auto"/>
              </w:rPr>
            </w:pPr>
          </w:p>
        </w:tc>
      </w:tr>
      <w:tr>
        <w:trPr>
          <w:trHeight w:val="203"/>
        </w:trPr>
        <w:tc>
          <w:tcPr>
            <w:tcW w:w="39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1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60" w:type="dxa"/>
            <w:vAlign w:val="bottom"/>
          </w:tcPr>
          <w:p>
            <w:pPr>
              <w:ind w:left="20"/>
              <w:spacing w:after="0" w:line="196" w:lineRule="exact"/>
              <w:rPr>
                <w:sz w:val="20"/>
                <w:szCs w:val="20"/>
                <w:color w:val="auto"/>
              </w:rPr>
            </w:pPr>
            <w:r>
              <w:rPr>
                <w:rFonts w:ascii="Arial" w:cs="Arial" w:eastAsia="Arial" w:hAnsi="Arial"/>
                <w:sz w:val="18"/>
                <w:szCs w:val="18"/>
                <w:color w:val="auto"/>
              </w:rPr>
              <w:t>Total principal outstanding</w:t>
            </w:r>
          </w:p>
        </w:tc>
        <w:tc>
          <w:tcPr>
            <w:tcW w:w="4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20,000</w:t>
            </w:r>
          </w:p>
        </w:tc>
        <w:tc>
          <w:tcPr>
            <w:tcW w:w="100" w:type="dxa"/>
            <w:vAlign w:val="bottom"/>
          </w:tcPr>
          <w:p>
            <w:pPr>
              <w:spacing w:after="0"/>
              <w:rPr>
                <w:sz w:val="17"/>
                <w:szCs w:val="17"/>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Amortized final fee</w:t>
            </w:r>
          </w:p>
        </w:tc>
        <w:tc>
          <w:tcPr>
            <w:tcW w:w="4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7"/>
                <w:szCs w:val="17"/>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Unamortized debt issuance costs</w:t>
            </w:r>
          </w:p>
        </w:tc>
        <w:tc>
          <w:tcPr>
            <w:tcW w:w="4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(87 )</w:t>
            </w: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41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20,206</w:t>
            </w:r>
          </w:p>
        </w:tc>
        <w:tc>
          <w:tcPr>
            <w:tcW w:w="100" w:type="dxa"/>
            <w:vAlign w:val="bottom"/>
            <w:shd w:val="clear" w:color="auto" w:fill="CFF0FC"/>
          </w:tcPr>
          <w:p>
            <w:pPr>
              <w:spacing w:after="0"/>
              <w:rPr>
                <w:sz w:val="17"/>
                <w:szCs w:val="17"/>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Term loan, current portion</w:t>
            </w:r>
          </w:p>
        </w:tc>
        <w:tc>
          <w:tcPr>
            <w:tcW w:w="41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7,212</w:t>
            </w:r>
          </w:p>
        </w:tc>
        <w:tc>
          <w:tcPr>
            <w:tcW w:w="100" w:type="dxa"/>
            <w:vAlign w:val="bottom"/>
          </w:tcPr>
          <w:p>
            <w:pPr>
              <w:spacing w:after="0"/>
              <w:rPr>
                <w:sz w:val="17"/>
                <w:szCs w:val="17"/>
                <w:color w:val="auto"/>
              </w:rPr>
            </w:pPr>
          </w:p>
        </w:tc>
      </w:tr>
      <w:tr>
        <w:trPr>
          <w:trHeight w:val="236"/>
        </w:trPr>
        <w:tc>
          <w:tcPr>
            <w:tcW w:w="39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Term loan, less current portion</w:t>
            </w:r>
          </w:p>
        </w:tc>
        <w:tc>
          <w:tcPr>
            <w:tcW w:w="4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090"/>
              <w:spacing w:after="0" w:line="182"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31"/>
        </w:trPr>
        <w:tc>
          <w:tcPr>
            <w:tcW w:w="3960" w:type="dxa"/>
            <w:vAlign w:val="bottom"/>
          </w:tcPr>
          <w:p>
            <w:pPr>
              <w:spacing w:after="0"/>
              <w:rPr>
                <w:sz w:val="24"/>
                <w:szCs w:val="24"/>
                <w:color w:val="auto"/>
              </w:rPr>
            </w:pPr>
          </w:p>
        </w:tc>
        <w:tc>
          <w:tcPr>
            <w:tcW w:w="4180" w:type="dxa"/>
            <w:vAlign w:val="bottom"/>
          </w:tcPr>
          <w:p>
            <w:pPr>
              <w:jc w:val="right"/>
              <w:ind w:right="233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12. Stockholders’ Equity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six months ended June 30,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vMerge w:val="restart"/>
          </w:tcPr>
          <w:p>
            <w:pPr>
              <w:jc w:val="center"/>
              <w:ind w:left="274"/>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21"/>
              <w:spacing w:after="0" w:line="149"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jc w:val="center"/>
              <w:ind w:left="274"/>
              <w:spacing w:after="0" w:line="149" w:lineRule="exact"/>
              <w:rPr>
                <w:sz w:val="20"/>
                <w:szCs w:val="20"/>
                <w:color w:val="auto"/>
              </w:rPr>
            </w:pPr>
            <w:r>
              <w:rPr>
                <w:rFonts w:ascii="Arial" w:cs="Arial" w:eastAsia="Arial" w:hAnsi="Arial"/>
                <w:sz w:val="14"/>
                <w:szCs w:val="14"/>
                <w:b w:val="1"/>
                <w:bCs w:val="1"/>
                <w:color w:val="auto"/>
                <w:w w:val="90"/>
              </w:rPr>
              <w:t>$0.0001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820" w:type="dxa"/>
            <w:vAlign w:val="bottom"/>
            <w:gridSpan w:val="5"/>
          </w:tcPr>
          <w:p>
            <w:pPr>
              <w:jc w:val="center"/>
              <w:ind w:left="274"/>
              <w:spacing w:after="0"/>
              <w:rPr>
                <w:sz w:val="20"/>
                <w:szCs w:val="20"/>
                <w:color w:val="auto"/>
              </w:rPr>
            </w:pPr>
            <w:r>
              <w:rPr>
                <w:rFonts w:ascii="Arial" w:cs="Arial" w:eastAsia="Arial" w:hAnsi="Arial"/>
                <w:sz w:val="14"/>
                <w:szCs w:val="14"/>
                <w:b w:val="1"/>
                <w:bCs w:val="1"/>
                <w:color w:val="auto"/>
                <w:w w:val="97"/>
              </w:rPr>
              <w:t>Par Value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1"/>
              </w:rPr>
              <w:t>Income / (Loss)</w:t>
            </w:r>
          </w:p>
        </w:tc>
        <w:tc>
          <w:tcPr>
            <w:tcW w:w="100" w:type="dxa"/>
            <w:vAlign w:val="bottom"/>
          </w:tcPr>
          <w:p>
            <w:pPr>
              <w:spacing w:after="0"/>
              <w:rPr>
                <w:sz w:val="16"/>
                <w:szCs w:val="16"/>
                <w:color w:val="auto"/>
              </w:rPr>
            </w:pPr>
          </w:p>
        </w:tc>
        <w:tc>
          <w:tcPr>
            <w:tcW w:w="114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2021</w:t>
            </w:r>
          </w:p>
        </w:tc>
        <w:tc>
          <w:tcPr>
            <w:tcW w:w="10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54,983,105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6</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952,019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FF0FC"/>
            </w:tcBorders>
            <w:gridSpan w:val="2"/>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rPr>
              <w:t>(543,702 )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408,368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purchase under ESPP</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18,946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3,478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Unrealized gains on short-term investments</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(685 )</w:t>
            </w:r>
          </w:p>
        </w:tc>
        <w:tc>
          <w:tcPr>
            <w:tcW w:w="100" w:type="dxa"/>
            <w:vAlign w:val="bottom"/>
          </w:tcPr>
          <w:p>
            <w:pPr>
              <w:spacing w:after="0"/>
              <w:rPr>
                <w:sz w:val="17"/>
                <w:szCs w:val="17"/>
                <w:color w:val="auto"/>
              </w:rPr>
            </w:pPr>
          </w:p>
        </w:tc>
        <w:tc>
          <w:tcPr>
            <w:tcW w:w="11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withholdings ESPP</w:t>
            </w: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28,839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(37,169 )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(37,169 )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as of March 31, 2022</w:t>
            </w: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55,030,890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35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956,054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(640 )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6"/>
              <w:spacing w:after="0" w:line="196" w:lineRule="exact"/>
              <w:rPr>
                <w:sz w:val="20"/>
                <w:szCs w:val="20"/>
                <w:color w:val="auto"/>
              </w:rPr>
            </w:pPr>
            <w:r>
              <w:rPr>
                <w:rFonts w:ascii="Arial" w:cs="Arial" w:eastAsia="Arial" w:hAnsi="Arial"/>
                <w:sz w:val="18"/>
                <w:szCs w:val="18"/>
                <w:color w:val="auto"/>
              </w:rPr>
              <w:t>(580,871 )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374,549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Proceeds from ATM sales</w:t>
            </w:r>
          </w:p>
        </w:tc>
        <w:tc>
          <w:tcPr>
            <w:tcW w:w="10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1,111,111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20" w:type="dxa"/>
            <w:vAlign w:val="bottom"/>
            <w:tcBorders>
              <w:right w:val="single" w:sz="8" w:color="CFF0FC"/>
            </w:tcBorders>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19,427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19,427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Unrealized gains on short-term investments</w:t>
            </w: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(695 )</w:t>
            </w: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(695 )</w:t>
            </w: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Employee withholdings ESPP</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257,733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2,235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(37,572 )</w:t>
            </w: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(37,572 )</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June 30, 2022</w:t>
            </w:r>
          </w:p>
        </w:tc>
        <w:tc>
          <w:tcPr>
            <w:tcW w:w="10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56,399,734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5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981,712</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(1,335</w:t>
            </w:r>
          </w:p>
        </w:tc>
        <w:tc>
          <w:tcPr>
            <w:tcW w:w="200" w:type="dxa"/>
            <w:vAlign w:val="bottom"/>
            <w:tcBorders>
              <w:bottom w:val="single" w:sz="8" w:color="CFF0FC"/>
              <w:right w:val="single" w:sz="8" w:color="CFF0FC"/>
            </w:tcBorders>
            <w:shd w:val="clear" w:color="auto" w:fill="CFF0FC"/>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(618,443</w:t>
            </w:r>
          </w:p>
        </w:tc>
        <w:tc>
          <w:tcPr>
            <w:tcW w:w="220" w:type="dxa"/>
            <w:vAlign w:val="bottom"/>
            <w:tcBorders>
              <w:bottom w:val="single" w:sz="8" w:color="CFF0FC"/>
              <w:right w:val="single" w:sz="8" w:color="CFF0FC"/>
            </w:tcBorders>
            <w:shd w:val="clear" w:color="auto" w:fill="CFF0FC"/>
          </w:tcPr>
          <w:p>
            <w:pPr>
              <w:jc w:val="right"/>
              <w:ind w:right="76"/>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361,940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8840" w:type="dxa"/>
            <w:vAlign w:val="bottom"/>
            <w:gridSpan w:val="19"/>
          </w:tcPr>
          <w:p>
            <w:pPr>
              <w:ind w:left="520"/>
              <w:spacing w:after="0"/>
              <w:rPr>
                <w:sz w:val="20"/>
                <w:szCs w:val="20"/>
                <w:color w:val="auto"/>
              </w:rPr>
            </w:pPr>
            <w:r>
              <w:rPr>
                <w:rFonts w:ascii="Arial" w:cs="Arial" w:eastAsia="Arial" w:hAnsi="Arial"/>
                <w:sz w:val="18"/>
                <w:szCs w:val="18"/>
                <w:color w:val="auto"/>
                <w:w w:val="90"/>
              </w:rPr>
              <w:t>The following table presents the changes in stockholders’ equity for the three and six months ended June 30, 2021:</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21"/>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236"/>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left="534"/>
              <w:spacing w:after="0" w:line="149" w:lineRule="exact"/>
              <w:rPr>
                <w:sz w:val="20"/>
                <w:szCs w:val="20"/>
                <w:color w:val="auto"/>
              </w:rPr>
            </w:pPr>
            <w:r>
              <w:rPr>
                <w:rFonts w:ascii="Arial" w:cs="Arial" w:eastAsia="Arial" w:hAnsi="Arial"/>
                <w:sz w:val="14"/>
                <w:szCs w:val="14"/>
                <w:b w:val="1"/>
                <w:bCs w:val="1"/>
                <w:color w:val="auto"/>
                <w:w w:val="90"/>
              </w:rPr>
              <w:t>$0.0001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301"/>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28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w w:val="93"/>
              </w:rPr>
              <w:t>Par Value</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91"/>
              </w:rPr>
              <w:t>Income / (Loss)</w:t>
            </w:r>
          </w:p>
        </w:tc>
        <w:tc>
          <w:tcPr>
            <w:tcW w:w="100" w:type="dxa"/>
            <w:vAlign w:val="bottom"/>
          </w:tcPr>
          <w:p>
            <w:pPr>
              <w:spacing w:after="0"/>
              <w:rPr>
                <w:sz w:val="16"/>
                <w:szCs w:val="16"/>
                <w:color w:val="auto"/>
              </w:rPr>
            </w:pPr>
          </w:p>
        </w:tc>
        <w:tc>
          <w:tcPr>
            <w:tcW w:w="1140" w:type="dxa"/>
            <w:vAlign w:val="bottom"/>
            <w:gridSpan w:val="2"/>
          </w:tcPr>
          <w:p>
            <w:pPr>
              <w:jc w:val="right"/>
              <w:ind w:right="436"/>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47,881,223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820,815</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81"/>
              <w:spacing w:after="0" w:line="196" w:lineRule="exact"/>
              <w:rPr>
                <w:sz w:val="20"/>
                <w:szCs w:val="20"/>
                <w:color w:val="auto"/>
              </w:rPr>
            </w:pPr>
            <w:r>
              <w:rPr>
                <w:rFonts w:ascii="Arial" w:cs="Arial" w:eastAsia="Arial" w:hAnsi="Arial"/>
                <w:sz w:val="18"/>
                <w:szCs w:val="18"/>
                <w:color w:val="auto"/>
              </w:rPr>
              <w:t>(4 )</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FF0FC"/>
            </w:tcBorders>
            <w:gridSpan w:val="2"/>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rPr>
              <w:t>(568,628 )</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252,188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purchase under ESPP</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16,382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Unrealized gains on short-term investments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Prefunded warrant exchange</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250,000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Employee withholdings ESPP</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100,954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(27,723 )</w:t>
            </w: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(27,723 )</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March 31, 2021</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48,248,559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824,542</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(596,351</w:t>
            </w:r>
          </w:p>
        </w:tc>
        <w:tc>
          <w:tcPr>
            <w:tcW w:w="220" w:type="dxa"/>
            <w:vAlign w:val="bottom"/>
            <w:tcBorders>
              <w:bottom w:val="single" w:sz="8" w:color="CFF0FC"/>
              <w:right w:val="single" w:sz="8" w:color="CFF0FC"/>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228,205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gridSpan w:val="2"/>
          </w:tcPr>
          <w:p>
            <w:pPr>
              <w:jc w:val="right"/>
              <w:ind w:right="240"/>
              <w:spacing w:after="0" w:line="183"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3,240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81"/>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36"/>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3,240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Unrealized gains on short-term investments</w:t>
            </w:r>
          </w:p>
        </w:tc>
        <w:tc>
          <w:tcPr>
            <w:tcW w:w="10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tcBorders>
              <w:right w:val="single" w:sz="8" w:color="CFF0FC"/>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Employee withholdings ESPP</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w w:val="99"/>
              </w:rPr>
              <w:t>Proceeds from ATM Offering, net $200 offering</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277,629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2"/>
            <w:vMerge w:val="restart"/>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vMerge w:val="restart"/>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expense</w:t>
            </w:r>
          </w:p>
        </w:tc>
        <w:tc>
          <w:tcPr>
            <w:tcW w:w="9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90,440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(22,910 )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(22,910 )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Balance as of June 30, 2021</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5"/>
              </w:rPr>
              <w:t>48,616,628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833,802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6"/>
              <w:spacing w:after="0" w:line="196" w:lineRule="exact"/>
              <w:rPr>
                <w:sz w:val="20"/>
                <w:szCs w:val="20"/>
                <w:color w:val="auto"/>
              </w:rPr>
            </w:pPr>
            <w:r>
              <w:rPr>
                <w:rFonts w:ascii="Arial" w:cs="Arial" w:eastAsia="Arial" w:hAnsi="Arial"/>
                <w:sz w:val="18"/>
                <w:szCs w:val="18"/>
                <w:color w:val="auto"/>
              </w:rPr>
              <w:t>(619,261 )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214,563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-4188460</wp:posOffset>
            </wp:positionV>
            <wp:extent cx="768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-4188460</wp:posOffset>
            </wp:positionV>
            <wp:extent cx="774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-4188460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-4188460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-4188460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-4188460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-3119755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-3102610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-3119755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-3102610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-3119755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-3102610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-3119755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-3102610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-3119755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-3102610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-1071245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-1053465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-1071245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-1053465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-1071245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-1053465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-1071245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-1071245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-1053465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-159385</wp:posOffset>
            </wp:positionV>
            <wp:extent cx="768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-159385</wp:posOffset>
            </wp:positionV>
            <wp:extent cx="768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wp:posOffset>
            </wp:positionV>
            <wp:extent cx="768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-159385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For the period ended June 30, 2022, the Company sold 1,111,111 additional shares of common stock under the 2021 ATM Program, with net proceeds of approximately $19.4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 w:name="page17"/>
    <w:bookmarkEnd w:id="16"/>
    <w:p>
      <w:pPr>
        <w:ind w:right="140" w:firstLine="509"/>
        <w:spacing w:after="0" w:line="248" w:lineRule="auto"/>
        <w:rPr>
          <w:sz w:val="20"/>
          <w:szCs w:val="20"/>
          <w:color w:val="auto"/>
        </w:rPr>
      </w:pPr>
      <w:r>
        <w:rPr>
          <w:rFonts w:ascii="Arial" w:cs="Arial" w:eastAsia="Arial" w:hAnsi="Arial"/>
          <w:sz w:val="18"/>
          <w:szCs w:val="18"/>
          <w:color w:val="auto"/>
        </w:rPr>
        <w:t>In December 2021, in connection with the Incyte License and Collaboration Agreement and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82"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0" w:type="dxa"/>
            <w:vAlign w:val="bottom"/>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19"/>
                <w:szCs w:val="19"/>
                <w:color w:val="auto"/>
              </w:rPr>
            </w:pPr>
          </w:p>
        </w:tc>
      </w:tr>
      <w:tr>
        <w:trPr>
          <w:trHeight w:val="196"/>
        </w:trPr>
        <w:tc>
          <w:tcPr>
            <w:tcW w:w="8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stock issuable under pre-funded warrants</w:t>
            </w:r>
          </w:p>
        </w:tc>
        <w:tc>
          <w:tcPr>
            <w:tcW w:w="2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3,975,024</w:t>
            </w:r>
          </w:p>
        </w:tc>
        <w:tc>
          <w:tcPr>
            <w:tcW w:w="100" w:type="dxa"/>
            <w:vAlign w:val="bottom"/>
            <w:shd w:val="clear" w:color="auto" w:fill="CFF0FC"/>
          </w:tcPr>
          <w:p>
            <w:pPr>
              <w:spacing w:after="0"/>
              <w:rPr>
                <w:sz w:val="17"/>
                <w:szCs w:val="17"/>
                <w:color w:val="auto"/>
              </w:rPr>
            </w:pPr>
          </w:p>
        </w:tc>
      </w:tr>
      <w:tr>
        <w:trPr>
          <w:trHeight w:val="203"/>
        </w:trPr>
        <w:tc>
          <w:tcPr>
            <w:tcW w:w="8600" w:type="dxa"/>
            <w:vAlign w:val="bottom"/>
          </w:tcPr>
          <w:p>
            <w:pPr>
              <w:ind w:left="20"/>
              <w:spacing w:after="0" w:line="202" w:lineRule="exact"/>
              <w:rPr>
                <w:sz w:val="20"/>
                <w:szCs w:val="20"/>
                <w:color w:val="auto"/>
              </w:rPr>
            </w:pPr>
            <w:r>
              <w:rPr>
                <w:rFonts w:ascii="Arial" w:cs="Arial" w:eastAsia="Arial" w:hAnsi="Arial"/>
                <w:sz w:val="18"/>
                <w:szCs w:val="18"/>
                <w:color w:val="auto"/>
              </w:rPr>
              <w:t>Options to purchase common stock</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9,953,874</w:t>
            </w:r>
          </w:p>
        </w:tc>
        <w:tc>
          <w:tcPr>
            <w:tcW w:w="100" w:type="dxa"/>
            <w:vAlign w:val="bottom"/>
          </w:tcPr>
          <w:p>
            <w:pPr>
              <w:spacing w:after="0"/>
              <w:rPr>
                <w:sz w:val="17"/>
                <w:szCs w:val="17"/>
                <w:color w:val="auto"/>
              </w:rPr>
            </w:pPr>
          </w:p>
        </w:tc>
      </w:tr>
      <w:tr>
        <w:trPr>
          <w:trHeight w:val="203"/>
        </w:trPr>
        <w:tc>
          <w:tcPr>
            <w:tcW w:w="8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1,527,464</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08"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June 30, 2022, or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are a clinical-stage biopharmaceutical company developing an innovative pipeline of cancer therapies. Our two lead product candidates are, SNDX-5613, or revumenib, and SNDX-6352, or axatilimab. We are developing revumenib,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72"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We continue to incur significant research and development and other expenses related to our ongoing operations. We have generated minimal license revenue, except for in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2021. Other than in 2021, we are not and have never been profitable and have incurred losses in each period since our inception in 2005. For the six months ended June 30, 2022 and 2021, we reported a net loss of $74.7 million and $50.6 million, respectively. We reported a net loss attributable to stockholders of $74.7 million and $50.6 million for the six months ended June 30, 2022 and 2021, respectively. As of June 30, 2022, we had an accumulated deficit of $618.4 million, which included non-cash charges for stock-based compensation, preferred stock accretion and extinguishment charges. As of June 30, 2022, we had cash, cash equivalents and short-term and long-term investments of $378.9 million.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08" w:lineRule="exact"/>
        <w:rPr>
          <w:sz w:val="20"/>
          <w:szCs w:val="20"/>
          <w:color w:val="auto"/>
        </w:rPr>
      </w:pPr>
    </w:p>
    <w:p>
      <w:pPr>
        <w:ind w:right="220" w:firstLine="509"/>
        <w:spacing w:after="0" w:line="257" w:lineRule="auto"/>
        <w:rPr>
          <w:sz w:val="20"/>
          <w:szCs w:val="20"/>
          <w:color w:val="auto"/>
        </w:rPr>
      </w:pPr>
      <w:r>
        <w:rPr>
          <w:rFonts w:ascii="Arial" w:cs="Arial" w:eastAsia="Arial" w:hAnsi="Arial"/>
          <w:sz w:val="17"/>
          <w:szCs w:val="17"/>
          <w:color w:val="auto"/>
        </w:rPr>
        <w:t>We continue to address and mitigate the impact of the ongoing COVID-19 pandemic on our employees and our business. While we are not experiencing financial impacts at this time, given the changes in global macroeconomic conditions, the overall disruption of global healthcare systems, potential limitations to the efficacy of vaccines for COVID-19, the evolution of multiple variants of the virus and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We have reopened our offices to allow employees to return to the office, while also supporting distributed working options.</w:t>
      </w:r>
    </w:p>
    <w:p>
      <w:pPr>
        <w:spacing w:after="0" w:line="6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We are working closely with our third-party manufacturers, distributors and other partners to manage our supply chain activities and mitigate potential disruptions to our product supplies as a result of the ongoing COVID-19 pandemic. We currently expect to have adequate supplies of revumenib and axatilimab. If the COVID-19 pandemic continues to persist and if it impacts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8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With respect to clinical development, we continue to take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though minimal, impact on our ability to maintain patient enrollment in our clinical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we could experience significant disruptions to our clinical development timelines, which would adversely affect our business, financial condition, results of operations and growth prospects.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Revumenib</w:t>
      </w:r>
    </w:p>
    <w:p>
      <w:pPr>
        <w:spacing w:after="0" w:line="104" w:lineRule="exact"/>
        <w:rPr>
          <w:sz w:val="20"/>
          <w:szCs w:val="20"/>
          <w:color w:val="auto"/>
        </w:rPr>
      </w:pPr>
    </w:p>
    <w:p>
      <w:pPr>
        <w:ind w:left="760" w:right="52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pivotal Phase 2 portion of AUGMENT-101 is ongoing and we continue to expect completion of enrollment in one of the three pivotal cohorts by year-end. The trials are enrolling a total of 64 adult and up to 10 pediatric patients across each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8" w:name="page19"/>
    <w:bookmarkEnd w:id="18"/>
    <w:p>
      <w:pPr>
        <w:ind w:left="760"/>
        <w:spacing w:after="0" w:line="241" w:lineRule="auto"/>
        <w:rPr>
          <w:sz w:val="20"/>
          <w:szCs w:val="20"/>
          <w:color w:val="auto"/>
        </w:rPr>
      </w:pPr>
      <w:r>
        <w:rPr>
          <w:rFonts w:ascii="Arial" w:cs="Arial" w:eastAsia="Arial" w:hAnsi="Arial"/>
          <w:sz w:val="18"/>
          <w:szCs w:val="18"/>
          <w:color w:val="auto"/>
        </w:rPr>
        <w:t>three distinct trial populations: patients with NPM1 mutant acute myeloid leukemia (AML), patients with MLLr AML, and patients with MLLr acute lymphocytic leukemia (ALL). Based on discussions with the U.S. Food and Drug Administration, AUGMENT-101 may serve as the basis for regulatory filings in each of the three distinct populations. We expect to report topline data from the trials starting in the first half of 2023, with the potential for the first New Drug Application filing later in 2023. We also anticipate announcing updated data from the Phase 1 portion of the AUGMENT-101 trial in the fourth quarter of 2022.</w:t>
      </w:r>
    </w:p>
    <w:p>
      <w:pPr>
        <w:spacing w:after="0" w:line="81" w:lineRule="exact"/>
        <w:rPr>
          <w:sz w:val="20"/>
          <w:szCs w:val="20"/>
          <w:color w:val="auto"/>
        </w:rPr>
      </w:pPr>
    </w:p>
    <w:p>
      <w:pPr>
        <w:ind w:left="760" w:right="120" w:hanging="378"/>
        <w:spacing w:after="0" w:line="24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trials, BEAT-AML and AUGMENT-102, are ongoing and will assess the safety, tolerability, and preliminary anti-leukemic efficacy of revumenib and establish an appropriate Phase 2 dose when used in combination with other approved agents. BEAT-AML is a front-line combination trial of revumenib with venetoclax and azacitidine being conducted as part of the Leukemia &amp; Lymphoma Society’s Beat AML® Master Clinical Trial. AUGMENT-102 is a trial assessing revumenib in combination with chemotherapy in patients with R/R mNPM1 or MLLr acute leukemias.</w:t>
      </w:r>
    </w:p>
    <w:p>
      <w:pPr>
        <w:spacing w:after="0" w:line="81" w:lineRule="exact"/>
        <w:rPr>
          <w:rFonts w:ascii="Arial" w:cs="Arial" w:eastAsia="Arial" w:hAnsi="Arial"/>
          <w:sz w:val="18"/>
          <w:szCs w:val="18"/>
          <w:color w:val="auto"/>
        </w:rPr>
      </w:pPr>
    </w:p>
    <w:p>
      <w:pPr>
        <w:ind w:left="760" w:right="20" w:hanging="378"/>
        <w:spacing w:after="0" w:line="284"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expect the Australasian Leukaemia and Lymphoma Group (ALLG) to initiate the INTERCEPT trial of revumenib as monotherapy in patients with AML who are minimal residual disease-positive (MRD+) following initial treatment, in the fourth quarter of 2022. The trial is a part of the INTERCEPT AML Master Clinical Trial, a collaborative clinical trial investigating novel therapies to target early relapse and clonal evolution as pre-emptive therapy in AML. Revumenib is the first menin inhibitor to be included in the INTERCEPT AML Master Clinical Trial.</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760" w:right="620"/>
        <w:spacing w:after="0" w:line="243" w:lineRule="auto"/>
        <w:rPr>
          <w:sz w:val="20"/>
          <w:szCs w:val="20"/>
          <w:color w:val="auto"/>
        </w:rPr>
      </w:pPr>
      <w:r>
        <w:rPr>
          <w:rFonts w:ascii="Arial" w:cs="Arial" w:eastAsia="Arial" w:hAnsi="Arial"/>
          <w:sz w:val="18"/>
          <w:szCs w:val="18"/>
          <w:color w:val="auto"/>
        </w:rPr>
        <w:t>We previously announced that we intend to initiate a proof-of-concept clinical trial of revumenib in patients with unresectable metastatic microsatellite stable CRC in the fourth quarter of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04" w:lineRule="exact"/>
        <w:rPr>
          <w:sz w:val="20"/>
          <w:szCs w:val="20"/>
          <w:color w:val="auto"/>
        </w:rPr>
      </w:pPr>
    </w:p>
    <w:p>
      <w:pPr>
        <w:ind w:left="760" w:right="100" w:hanging="378"/>
        <w:spacing w:after="0" w:line="284"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Enrollment is ongoing in our global pivotal Phase 2 AGAVE-201 trial of axatilimab in patients with cGVHD. The trial is evaluating the safety and efficacy of three dosing regimens of axatilimab. The primary endpoint will assess objective response rate based on the 2014 NIH consensus criteria for cGVHD, with key secondary endpoints including duration of response and improvement in modified Lee Symptom Scale score. We remain on track to report topline data in the first half of 2023, with the potential for a Biologics License Application filing later in 2023.</w:t>
      </w:r>
    </w:p>
    <w:p>
      <w:pPr>
        <w:spacing w:after="0" w:line="47" w:lineRule="exact"/>
        <w:rPr>
          <w:rFonts w:ascii="Arial" w:cs="Arial" w:eastAsia="Arial" w:hAnsi="Arial"/>
          <w:sz w:val="16"/>
          <w:szCs w:val="16"/>
          <w:color w:val="auto"/>
        </w:rPr>
      </w:pPr>
    </w:p>
    <w:p>
      <w:pPr>
        <w:ind w:left="760" w:right="20" w:hanging="378"/>
        <w:spacing w:after="0" w:line="270"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plan to initiate a Phase 2b trial to assess the efficacy, safety and tolerability of axatilimab in patients with IPF in the fourth quarter of 2022. This 52-week, randomized, double-blind and placebo-controlled trial is expected to enroll approximately 170 patients. The primary endpoint will assess the change from baseline in forced vital capacity, which is the current registrational endpoint in IPF.</w:t>
      </w:r>
    </w:p>
    <w:p>
      <w:pPr>
        <w:spacing w:after="0" w:line="55" w:lineRule="exact"/>
        <w:rPr>
          <w:rFonts w:ascii="Arial" w:cs="Arial" w:eastAsia="Arial" w:hAnsi="Arial"/>
          <w:sz w:val="17"/>
          <w:szCs w:val="17"/>
          <w:color w:val="auto"/>
        </w:rPr>
      </w:pPr>
    </w:p>
    <w:p>
      <w:pPr>
        <w:ind w:left="760" w:hanging="378"/>
        <w:spacing w:after="0" w:line="291"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working with our partner, Incyte Corporation, to plan additional trials of axatilimab in earlier lines of cGVHD, and expect that Incyte will initiate a Phase 1 trial of axatilimab in combination with Jakafi® in patients with steroid-refractory cGVHD in the fourth quarter of 2022.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Updates</w:t>
      </w:r>
    </w:p>
    <w:p>
      <w:pPr>
        <w:spacing w:after="0" w:line="104" w:lineRule="exact"/>
        <w:rPr>
          <w:sz w:val="20"/>
          <w:szCs w:val="20"/>
          <w:color w:val="auto"/>
        </w:rPr>
      </w:pPr>
    </w:p>
    <w:p>
      <w:pPr>
        <w:ind w:left="760" w:right="120" w:hanging="378"/>
        <w:spacing w:after="0" w:line="29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June 2022, we announced the appointment of Keith A. Goldan as Chief Financial Officer. Mr. Goldan brings to Syndax nearly thirty years of leadership and operational experience at several pharmaceutical, biotechnology, and medical technology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To date, we have not generated any product revenues. Our ability to generate revenue and become profitable depends upon our ability to obtain marketing approval of and successfully commercialize our product candidates. Our revenue for the three and six months ended June 30, 2021, had been solely derived from our license, development and commercialization agreement with Kyowa Kirin Co., Ltd., or KKC. In September 2021, KKC informed us that they discontinued the entinostat program and cancelled the license to develop and commercialize entinostat.</w:t>
      </w:r>
    </w:p>
    <w:p>
      <w:pPr>
        <w:spacing w:after="0" w:line="6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September 2021, the Company entered into the Incyte License and Collaboration Agreement with Incyte covering the worldwide development and commercialization of SNDX-6352 (axatilimab). We granted Incyte an exclusive license to develop and commercialize axatilimab in the United States and the rest of the world. In 2021, we received $152.0 million in total consideration, of which $126.6 million was allocated to the license and recognized as license revenue as of December 31, 2021. As of June 30, 2022, no additional revenue has been recognized under the Incyte License and Collaboration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3" w:lineRule="exact"/>
        <w:rPr>
          <w:sz w:val="20"/>
          <w:szCs w:val="20"/>
          <w:color w:val="auto"/>
        </w:rPr>
      </w:pPr>
    </w:p>
    <w:p>
      <w:pPr>
        <w:ind w:left="1020" w:right="10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1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80"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 w:name="page21"/>
    <w:bookmarkEnd w:id="20"/>
    <w:p>
      <w:pPr>
        <w:ind w:right="160"/>
        <w:spacing w:after="0" w:line="262" w:lineRule="auto"/>
        <w:rPr>
          <w:sz w:val="20"/>
          <w:szCs w:val="20"/>
          <w:color w:val="auto"/>
        </w:rPr>
      </w:pPr>
      <w:r>
        <w:rPr>
          <w:rFonts w:ascii="Arial" w:cs="Arial" w:eastAsia="Arial" w:hAnsi="Arial"/>
          <w:sz w:val="17"/>
          <w:szCs w:val="17"/>
          <w:color w:val="auto"/>
        </w:rPr>
        <w:t>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Other income (expense) includes income recorded for the change in fair value of derivative liability established based on the terms of the Incyte License and Collaboration Agreement and Share Repurchase Agreement, or the Incyte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04"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3 Summary of Significant Accounting Policies</w:t>
      </w:r>
      <w:r>
        <w:rPr>
          <w:rFonts w:ascii="Arial" w:cs="Arial" w:eastAsia="Arial" w:hAnsi="Arial"/>
          <w:sz w:val="18"/>
          <w:szCs w:val="18"/>
          <w:color w:val="auto"/>
        </w:rPr>
        <w:t>, to our condensed consolidated financial statements included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0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7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estimates described in the “Management’s Discussion and Analysis of Financial Condition and Results of Operations” contained in our Annual Report on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Increase (Decrease)</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tcPr>
          <w:p>
            <w:pPr>
              <w:ind w:left="380"/>
              <w:spacing w:after="0" w:line="202" w:lineRule="exact"/>
              <w:rPr>
                <w:sz w:val="20"/>
                <w:szCs w:val="20"/>
                <w:color w:val="auto"/>
              </w:rPr>
            </w:pPr>
            <w:r>
              <w:rPr>
                <w:rFonts w:ascii="Arial" w:cs="Arial" w:eastAsia="Arial" w:hAnsi="Arial"/>
                <w:sz w:val="18"/>
                <w:szCs w:val="18"/>
                <w:color w:val="auto"/>
              </w:rPr>
              <w:t>License fees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24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(379 )</w:t>
            </w:r>
          </w:p>
        </w:tc>
        <w:tc>
          <w:tcPr>
            <w:tcW w:w="6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w:t>
            </w:r>
          </w:p>
        </w:tc>
        <w:tc>
          <w:tcPr>
            <w:tcW w:w="2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29,734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16,871</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12,863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76 %</w:t>
            </w:r>
          </w:p>
        </w:tc>
      </w:tr>
      <w:tr>
        <w:trPr>
          <w:trHeight w:val="203"/>
        </w:trPr>
        <w:tc>
          <w:tcPr>
            <w:tcW w:w="500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7,990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5,842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2,148</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37 %</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37,724</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22,713</w:t>
            </w:r>
          </w:p>
        </w:tc>
        <w:tc>
          <w:tcPr>
            <w:tcW w:w="2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15,011</w:t>
            </w:r>
          </w:p>
        </w:tc>
        <w:tc>
          <w:tcPr>
            <w:tcW w:w="220" w:type="dxa"/>
            <w:vAlign w:val="bottom"/>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(37,724 )</w:t>
            </w:r>
          </w:p>
        </w:tc>
        <w:tc>
          <w:tcPr>
            <w:tcW w:w="320" w:type="dxa"/>
            <w:vAlign w:val="bottom"/>
          </w:tcPr>
          <w:p>
            <w:pPr>
              <w:spacing w:after="0"/>
              <w:rPr>
                <w:sz w:val="17"/>
                <w:szCs w:val="17"/>
                <w:color w:val="auto"/>
              </w:rPr>
            </w:pPr>
          </w:p>
        </w:tc>
        <w:tc>
          <w:tcPr>
            <w:tcW w:w="124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(22,334 )</w:t>
            </w:r>
          </w:p>
        </w:tc>
        <w:tc>
          <w:tcPr>
            <w:tcW w:w="5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15,390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69 %</w:t>
            </w: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tcPr>
          <w:p>
            <w:pPr>
              <w:ind w:left="38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(695 )</w:t>
            </w:r>
          </w:p>
        </w:tc>
        <w:tc>
          <w:tcPr>
            <w:tcW w:w="320" w:type="dxa"/>
            <w:vAlign w:val="bottom"/>
          </w:tcPr>
          <w:p>
            <w:pPr>
              <w:spacing w:after="0"/>
              <w:rPr>
                <w:sz w:val="17"/>
                <w:szCs w:val="17"/>
                <w:color w:val="auto"/>
              </w:rPr>
            </w:pPr>
          </w:p>
        </w:tc>
        <w:tc>
          <w:tcPr>
            <w:tcW w:w="124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(634 )</w:t>
            </w:r>
          </w:p>
        </w:tc>
        <w:tc>
          <w:tcPr>
            <w:tcW w:w="500" w:type="dxa"/>
            <w:vAlign w:val="bottom"/>
          </w:tcPr>
          <w:p>
            <w:pPr>
              <w:spacing w:after="0"/>
              <w:rPr>
                <w:sz w:val="17"/>
                <w:szCs w:val="17"/>
                <w:color w:val="auto"/>
              </w:rPr>
            </w:pPr>
          </w:p>
        </w:tc>
        <w:tc>
          <w:tcPr>
            <w:tcW w:w="10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(61 )</w:t>
            </w:r>
          </w:p>
        </w:tc>
        <w:tc>
          <w:tcPr>
            <w:tcW w:w="6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10 %</w:t>
            </w:r>
          </w:p>
        </w:tc>
      </w:tr>
      <w:tr>
        <w:trPr>
          <w:trHeight w:val="203"/>
        </w:trPr>
        <w:tc>
          <w:tcPr>
            <w:tcW w:w="500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713 %</w:t>
            </w:r>
          </w:p>
        </w:tc>
      </w:tr>
      <w:tr>
        <w:trPr>
          <w:trHeight w:val="203"/>
        </w:trPr>
        <w:tc>
          <w:tcPr>
            <w:tcW w:w="5000" w:type="dxa"/>
            <w:vAlign w:val="bottom"/>
          </w:tcPr>
          <w:p>
            <w:pPr>
              <w:ind w:left="380"/>
              <w:spacing w:after="0" w:line="202" w:lineRule="exact"/>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(31 )</w:t>
            </w:r>
          </w:p>
        </w:tc>
        <w:tc>
          <w:tcPr>
            <w:tcW w:w="320" w:type="dxa"/>
            <w:vAlign w:val="bottom"/>
          </w:tcPr>
          <w:p>
            <w:pPr>
              <w:spacing w:after="0"/>
              <w:rPr>
                <w:sz w:val="17"/>
                <w:szCs w:val="17"/>
                <w:color w:val="auto"/>
              </w:rPr>
            </w:pPr>
          </w:p>
        </w:tc>
        <w:tc>
          <w:tcPr>
            <w:tcW w:w="124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(50 )</w:t>
            </w: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-38 %</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w:t>
            </w:r>
          </w:p>
        </w:tc>
        <w:tc>
          <w:tcPr>
            <w:tcW w:w="240" w:type="dxa"/>
            <w:vAlign w:val="bottom"/>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w:t>
            </w:r>
          </w:p>
        </w:tc>
        <w:tc>
          <w:tcPr>
            <w:tcW w:w="220" w:type="dxa"/>
            <w:vAlign w:val="bottom"/>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(37,572 )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(22,910 )</w:t>
            </w: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14,662</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64 %</w:t>
            </w:r>
          </w:p>
        </w:tc>
      </w:tr>
      <w:tr>
        <w:trPr>
          <w:trHeight w:val="20"/>
        </w:trPr>
        <w:tc>
          <w:tcPr>
            <w:tcW w:w="5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73"/>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04"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For the three months ended June 30, 2022, we recognized no revenue under our current agreements, which are not revenue generating. For the three months ended June 30, 2021, we recognized $0.4 million, derived from the KKC license agreement which was terminated in Q3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color w:val="auto"/>
        </w:rPr>
        <w:t>For the three months ended June 30, 2022, our total research and development expenses increased approximately $12.9 million, or 76%, to $29.7 million from $16.9 million for the comparable quarter in the prior year. The increase in research and development expenses was primarily due to increases in clinical and manufacturing activities of $10.9 million, increases in employee related expenses of $1.4 million and increased professional fees of $0.6 million</w:t>
      </w:r>
      <w:r>
        <w:rPr>
          <w:rFonts w:ascii="Arial" w:cs="Arial" w:eastAsia="Arial" w:hAnsi="Arial"/>
          <w:sz w:val="17"/>
          <w:szCs w:val="17"/>
          <w:color w:val="FF0000"/>
        </w:rPr>
        <w:t>.</w:t>
      </w:r>
      <w:r>
        <w:rPr>
          <w:rFonts w:ascii="Arial" w:cs="Arial" w:eastAsia="Arial" w:hAnsi="Arial"/>
          <w:sz w:val="17"/>
          <w:szCs w:val="17"/>
          <w:color w:val="auto"/>
        </w:rPr>
        <w:t xml:space="preserve"> Increased clinical and manufacturing expenses are primarily due to increased manufacturing activities related to axatilimab of $5.6 million and menin of $0.5 million. Clinical activities for menin increased by $5.1 million, for axatilimab by $5.1 million, for third party studies by $1.9 million, offset by collaboration cost reimbursement of $7.3 million</w:t>
      </w:r>
      <w:r>
        <w:rPr>
          <w:rFonts w:ascii="Arial" w:cs="Arial" w:eastAsia="Arial" w:hAnsi="Arial"/>
          <w:sz w:val="17"/>
          <w:szCs w:val="17"/>
          <w:color w:val="FF0000"/>
        </w:rPr>
        <w:t>.</w:t>
      </w:r>
      <w:r>
        <w:rPr>
          <w:rFonts w:ascii="Arial" w:cs="Arial" w:eastAsia="Arial" w:hAnsi="Arial"/>
          <w:sz w:val="17"/>
          <w:szCs w:val="17"/>
          <w:color w:val="auto"/>
        </w:rPr>
        <w:t xml:space="preserve"> Employee related activities increased due to increased headcount expenses of $1.2 million and increased stock compensation of $0.2 million. We expect research and development expenses to fluctuate from quarter to quarter depending on the timing of clinical trial activities, clinical manufacturing and other development activities.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3"/>
              </w:rPr>
              <w:t>Increase (Decrease)</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0"/>
              </w:rPr>
              <w:t>thousands)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23,688</w:t>
            </w:r>
          </w:p>
        </w:tc>
        <w:tc>
          <w:tcPr>
            <w:tcW w:w="5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12,063</w:t>
            </w:r>
          </w:p>
        </w:tc>
        <w:tc>
          <w:tcPr>
            <w:tcW w:w="1000" w:type="dxa"/>
            <w:vAlign w:val="bottom"/>
            <w:gridSpan w:val="2"/>
          </w:tcPr>
          <w:p>
            <w:pPr>
              <w:jc w:val="right"/>
              <w:ind w:right="57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11,625</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6,046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4,808</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29,734</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16,871</w:t>
            </w: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579"/>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12,863</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For the three months ended June 30, 2022, our total general and administrative expenses increased $2.1 million, or 37%, to $8.0 million from $5.8 million for the comparable period in the prior year. The increase in general and administrative expenses was primarily due to increased employee related expenses of $1.6 million and increased professional fees of $0.5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For the three months ended June 30, 2022, interest income increased from the comparable period in the prior year primarily due to increased interest rates partially offset by an increased average balance on cash equivalents and short-term and long-term investments.</w:t>
      </w:r>
    </w:p>
    <w:p>
      <w:pPr>
        <w:spacing w:after="0" w:line="63"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For the three months ended June 30, 2022, interest expense increased from the comparable period in the prior year primarily due to the interest expense on the Amended Loan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jc w:val="right"/>
              <w:ind w:right="859"/>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780" w:type="dxa"/>
            <w:vAlign w:val="bottom"/>
            <w:gridSpan w:val="3"/>
          </w:tcPr>
          <w:p>
            <w:pPr>
              <w:ind w:left="500"/>
              <w:spacing w:after="0"/>
              <w:rPr>
                <w:sz w:val="20"/>
                <w:szCs w:val="20"/>
                <w:color w:val="auto"/>
              </w:rPr>
            </w:pPr>
            <w:r>
              <w:rPr>
                <w:rFonts w:ascii="Arial" w:cs="Arial" w:eastAsia="Arial" w:hAnsi="Arial"/>
                <w:sz w:val="14"/>
                <w:szCs w:val="14"/>
                <w:b w:val="1"/>
                <w:bCs w:val="1"/>
                <w:color w:val="auto"/>
                <w:w w:val="95"/>
              </w:rPr>
              <w:t>Increase (Decrease)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40" w:type="dxa"/>
            <w:vAlign w:val="bottom"/>
          </w:tcPr>
          <w:p>
            <w:pPr>
              <w:ind w:left="380"/>
              <w:spacing w:after="0" w:line="202" w:lineRule="exact"/>
              <w:rPr>
                <w:sz w:val="20"/>
                <w:szCs w:val="20"/>
                <w:color w:val="auto"/>
              </w:rPr>
            </w:pPr>
            <w:r>
              <w:rPr>
                <w:rFonts w:ascii="Arial" w:cs="Arial" w:eastAsia="Arial" w:hAnsi="Arial"/>
                <w:sz w:val="18"/>
                <w:szCs w:val="18"/>
                <w:color w:val="auto"/>
              </w:rPr>
              <w:t>License fees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758</w:t>
            </w:r>
          </w:p>
        </w:tc>
        <w:tc>
          <w:tcPr>
            <w:tcW w:w="240" w:type="dxa"/>
            <w:vAlign w:val="bottom"/>
          </w:tcPr>
          <w:p>
            <w:pPr>
              <w:spacing w:after="0"/>
              <w:rPr>
                <w:sz w:val="17"/>
                <w:szCs w:val="17"/>
                <w:color w:val="auto"/>
              </w:rPr>
            </w:pP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(758 )</w:t>
            </w:r>
          </w:p>
        </w:tc>
        <w:tc>
          <w:tcPr>
            <w:tcW w:w="6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758</w:t>
            </w: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(758</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40" w:type="dxa"/>
            <w:vAlign w:val="bottom"/>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59,756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38,742</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21,014</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54 %</w:t>
            </w:r>
          </w:p>
        </w:tc>
      </w:tr>
      <w:tr>
        <w:trPr>
          <w:trHeight w:val="203"/>
        </w:trPr>
        <w:tc>
          <w:tcPr>
            <w:tcW w:w="454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14,827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11,513</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3,314</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74,583</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50,255</w:t>
            </w: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24,328</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7"/>
                <w:szCs w:val="17"/>
                <w:color w:val="auto"/>
              </w:rPr>
            </w:pPr>
          </w:p>
        </w:tc>
        <w:tc>
          <w:tcPr>
            <w:tcW w:w="132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(74,583 )</w:t>
            </w:r>
          </w:p>
        </w:tc>
        <w:tc>
          <w:tcPr>
            <w:tcW w:w="340" w:type="dxa"/>
            <w:vAlign w:val="bottom"/>
          </w:tcPr>
          <w:p>
            <w:pPr>
              <w:spacing w:after="0"/>
              <w:rPr>
                <w:sz w:val="17"/>
                <w:szCs w:val="17"/>
                <w:color w:val="auto"/>
              </w:rPr>
            </w:pPr>
          </w:p>
        </w:tc>
        <w:tc>
          <w:tcPr>
            <w:tcW w:w="132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(49,497 )</w:t>
            </w:r>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25,086</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51 %</w:t>
            </w: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40" w:type="dxa"/>
            <w:vAlign w:val="bottom"/>
          </w:tcPr>
          <w:p>
            <w:pPr>
              <w:ind w:left="38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32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(1,346 )</w:t>
            </w:r>
          </w:p>
        </w:tc>
        <w:tc>
          <w:tcPr>
            <w:tcW w:w="340" w:type="dxa"/>
            <w:vAlign w:val="bottom"/>
          </w:tcPr>
          <w:p>
            <w:pPr>
              <w:spacing w:after="0"/>
              <w:rPr>
                <w:sz w:val="17"/>
                <w:szCs w:val="17"/>
                <w:color w:val="auto"/>
              </w:rPr>
            </w:pPr>
          </w:p>
        </w:tc>
        <w:tc>
          <w:tcPr>
            <w:tcW w:w="132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(1,258 )</w:t>
            </w:r>
          </w:p>
        </w:tc>
        <w:tc>
          <w:tcPr>
            <w:tcW w:w="540" w:type="dxa"/>
            <w:vAlign w:val="bottom"/>
          </w:tcPr>
          <w:p>
            <w:pPr>
              <w:spacing w:after="0"/>
              <w:rPr>
                <w:sz w:val="17"/>
                <w:szCs w:val="17"/>
                <w:color w:val="auto"/>
              </w:rPr>
            </w:pPr>
          </w:p>
        </w:tc>
        <w:tc>
          <w:tcPr>
            <w:tcW w:w="11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(88 )</w:t>
            </w:r>
          </w:p>
        </w:tc>
        <w:tc>
          <w:tcPr>
            <w:tcW w:w="6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03"/>
        </w:trPr>
        <w:tc>
          <w:tcPr>
            <w:tcW w:w="454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1,103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874</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382 %</w:t>
            </w:r>
          </w:p>
        </w:tc>
      </w:tr>
      <w:tr>
        <w:trPr>
          <w:trHeight w:val="203"/>
        </w:trPr>
        <w:tc>
          <w:tcPr>
            <w:tcW w:w="4540" w:type="dxa"/>
            <w:vAlign w:val="bottom"/>
          </w:tcPr>
          <w:p>
            <w:pPr>
              <w:ind w:left="380"/>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(107 )</w:t>
            </w: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-179 %</w:t>
            </w: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(1,136</w:t>
            </w:r>
          </w:p>
        </w:tc>
        <w:tc>
          <w:tcPr>
            <w:tcW w:w="240" w:type="dxa"/>
            <w:vAlign w:val="bottom"/>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w:t>
            </w:r>
          </w:p>
        </w:tc>
        <w:tc>
          <w:tcPr>
            <w:tcW w:w="26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(74,741 )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(50,633 )</w:t>
            </w: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24,108</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48 %</w:t>
            </w:r>
          </w:p>
        </w:tc>
      </w:tr>
      <w:tr>
        <w:trPr>
          <w:trHeight w:val="20"/>
        </w:trPr>
        <w:tc>
          <w:tcPr>
            <w:tcW w:w="4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5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04" w:lineRule="exact"/>
        <w:rPr>
          <w:sz w:val="20"/>
          <w:szCs w:val="20"/>
          <w:color w:val="auto"/>
        </w:rPr>
      </w:pPr>
    </w:p>
    <w:p>
      <w:pPr>
        <w:ind w:right="440" w:firstLine="509"/>
        <w:spacing w:after="0" w:line="324" w:lineRule="auto"/>
        <w:rPr>
          <w:sz w:val="20"/>
          <w:szCs w:val="20"/>
          <w:color w:val="auto"/>
        </w:rPr>
      </w:pPr>
      <w:r>
        <w:rPr>
          <w:rFonts w:ascii="Arial" w:cs="Arial" w:eastAsia="Arial" w:hAnsi="Arial"/>
          <w:sz w:val="16"/>
          <w:szCs w:val="16"/>
          <w:color w:val="auto"/>
        </w:rPr>
        <w:t>For the six months ended June 30, 2022, we recognized no revenue under our current agreements, which are not revenue generating. For the six months ended June 30, 2021, we recognized $0.8 million respectively, derived from the KKC license agreement which was terminated in Q3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For the six months ended June 30, 2022, our total research and development expenses increased $21.0 million, or 54%, to $59.8 million from $38.7 million for the comparable period in the prior year. The increase in research and development expenses was primarily due to increased clinical and manufacturing activities of $16.5 million, increased employee related expenses of $3.5 million, and increased professional fees of $1.0 million. Increased clinical and manufacturing activities are primarily due to increased clinical activities for menin of $6.0 million, for axatilimab of $14.4 million, for third party studies of $3.3 million, offset by collaboration cost reimbursement of $13.1 million. Additionally, we recognized a $5.8 million milestone expense in connection with the axatilimab program. Employee related expenses primarily increased due to increased headcount and stock compensation. We expect research and development expenses to fluctuate from period to period depending on the timing of clinical trial activities, clinical manufacturing, and other development activities.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3"/>
              </w:rPr>
              <w:t>Increase (Decrease)</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0"/>
              </w:rPr>
              <w:t>thousands)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47,445</w:t>
            </w:r>
          </w:p>
        </w:tc>
        <w:tc>
          <w:tcPr>
            <w:tcW w:w="5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29,669</w:t>
            </w:r>
          </w:p>
        </w:tc>
        <w:tc>
          <w:tcPr>
            <w:tcW w:w="1000" w:type="dxa"/>
            <w:vAlign w:val="bottom"/>
            <w:gridSpan w:val="2"/>
          </w:tcPr>
          <w:p>
            <w:pPr>
              <w:jc w:val="right"/>
              <w:ind w:right="57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17,776</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60 %</w:t>
            </w:r>
          </w:p>
        </w:tc>
      </w:tr>
      <w:tr>
        <w:trPr>
          <w:trHeight w:val="202"/>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12,311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9,073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3,238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36 %</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59,756</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38,742</w:t>
            </w: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579"/>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21,014</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jc w:val="both"/>
        <w:ind w:right="300" w:firstLine="509"/>
        <w:spacing w:after="0" w:line="270" w:lineRule="auto"/>
        <w:rPr>
          <w:sz w:val="20"/>
          <w:szCs w:val="20"/>
          <w:color w:val="auto"/>
        </w:rPr>
      </w:pPr>
      <w:r>
        <w:rPr>
          <w:rFonts w:ascii="Arial" w:cs="Arial" w:eastAsia="Arial" w:hAnsi="Arial"/>
          <w:sz w:val="17"/>
          <w:szCs w:val="17"/>
          <w:color w:val="auto"/>
        </w:rPr>
        <w:t>For the six months ended June 30, 2022, our total general and administrative expenses increased $3.3 million, 29%, to $14.8 million from $11.5 million for the comparable period in the prior year. The increase in general and administrative expenses was primarily due to increased employee related expenses of $2.5 million, increased professional fees of $0.6 million and increased insurance related expense of $0.2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For the six months ended June 30, 2022, interest income increased from the comparable period in the prior year primarily due to interest rates partially offset by an increased average balance on cash equivalents and short-term and long-term investments.</w:t>
      </w:r>
    </w:p>
    <w:p>
      <w:pPr>
        <w:spacing w:after="0" w:line="63"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For the six months ended June 30, 2022, interest expense increased from the comparable period in the prior year primarily due to the interest expense on the Amended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of June 30, 2022, we had cash, cash equivalents and short-term and long-term investments totaling $378.9 million. Our operations have been primarily financed by net proceeds from public stock offerings, and revenue from our license agreements. We believe that our present cash, cash equivalents and short-term investments as of June 30, 2022,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0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In December 2021, the Company entered into Amendment No. 1 to the Company’s loan and security agreement (the “First Amendment” and the Loan Agreement, as amended, the “Amended Loan Agreement”) with several banks and financial institutions or</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46" w:right="279" w:bottom="1440" w:gutter="0" w:footer="0" w:header="0"/>
        </w:sectPr>
      </w:pPr>
    </w:p>
    <w:bookmarkStart w:id="23" w:name="page24"/>
    <w:bookmarkEnd w:id="23"/>
    <w:p>
      <w:pPr>
        <w:ind w:right="160"/>
        <w:spacing w:after="0" w:line="261" w:lineRule="auto"/>
        <w:rPr>
          <w:sz w:val="20"/>
          <w:szCs w:val="20"/>
          <w:color w:val="auto"/>
        </w:rPr>
      </w:pPr>
      <w:r>
        <w:rPr>
          <w:rFonts w:ascii="Arial" w:cs="Arial" w:eastAsia="Arial" w:hAnsi="Arial"/>
          <w:sz w:val="18"/>
          <w:szCs w:val="18"/>
          <w:color w:val="auto"/>
        </w:rPr>
        <w:t>entities from time-to-time party thereto (collectively, the “Lender”) and Hercules, in its capacity as administrative agent for itself and the Lender (in such capacity, the “Agent”).</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The Amended Loan Agreement provides for an aggregate maximum borrowing of up to $80.0 million, consisting of (i) a term loan of up to $20 million (the “Initial Advance”), (ii) second tranche (“Tranche 2”) of up to $30.0 million with $15.0 million being available at the Company’s option through April 30, 2022 and the remaining $15.0 million being available at the Company’s option through November 30, 2022, which availability period will be extended to April 30, 2023 if the first $15.0 million is drawn prior to April 30, 2022, and (iii) third tranche (“Tranche 3”) of up to $30.0 million which is available, subject to the Agent’s investment committee approval, through the Interest-Only Period. The Company did not draw the first $15.0 million from Tranche 2. For additional information, see </w:t>
      </w:r>
      <w:r>
        <w:rPr>
          <w:rFonts w:ascii="Arial" w:cs="Arial" w:eastAsia="Arial" w:hAnsi="Arial"/>
          <w:sz w:val="16"/>
          <w:szCs w:val="16"/>
          <w:i w:val="1"/>
          <w:iCs w:val="1"/>
          <w:color w:val="auto"/>
        </w:rPr>
        <w:t>Note 11 Loan Payable</w:t>
      </w:r>
      <w:r>
        <w:rPr>
          <w:rFonts w:ascii="Arial" w:cs="Arial" w:eastAsia="Arial" w:hAnsi="Arial"/>
          <w:sz w:val="16"/>
          <w:szCs w:val="16"/>
          <w:color w:val="auto"/>
        </w:rPr>
        <w:t xml:space="preserve"> to our condensed consolidated financial statements elsewhere in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March 2021, we entered into a new sales agreement with Cowen, under which we may issue and sell shares of our common stock having aggregate sales proceeds of up to $75.0 million from time to time through Cowen, acting as agent, in a series of one or more ATM equity offerings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 As of June 30, 2022, we had sold 1,111,111 shares of common stock under the 2021 ATM Program. As of August 5, 2022, the Company had $49.7 million available under the ATM.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believe that our available cash, cash equivalents and short-term investments and continued access to our term loan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4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20" w:right="22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15" w:lineRule="exact"/>
        <w:rPr>
          <w:rFonts w:ascii="Arial" w:cs="Arial" w:eastAsia="Arial" w:hAnsi="Arial"/>
          <w:sz w:val="17"/>
          <w:szCs w:val="17"/>
          <w:color w:val="auto"/>
        </w:rPr>
      </w:pPr>
    </w:p>
    <w:p>
      <w:pPr>
        <w:ind w:left="1020" w:right="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1020" w:right="160" w:hanging="503"/>
        <w:spacing w:after="0" w:line="29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8" w:lineRule="exact"/>
        <w:rPr>
          <w:rFonts w:ascii="Arial" w:cs="Arial" w:eastAsia="Arial" w:hAnsi="Arial"/>
          <w:sz w:val="17"/>
          <w:szCs w:val="17"/>
          <w:color w:val="auto"/>
        </w:rPr>
      </w:pPr>
    </w:p>
    <w:p>
      <w:pPr>
        <w:ind w:left="1020" w:right="56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4" w:name="page25"/>
    <w:bookmarkEnd w:id="24"/>
    <w:p>
      <w:pPr>
        <w:ind w:left="1020" w:right="4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1"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Our material contractual obligations and commitments as June 30, 2022, primarily relate to our maturities of principal obligations under our long-term debt, operating leases for office space and equipment and capital leases for office equipment. As of June 30, 2022, we have $7.6 million payable within 12 months.</w:t>
      </w:r>
    </w:p>
    <w:p>
      <w:pPr>
        <w:spacing w:after="0" w:line="189"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year ended 2021. As of June 30, 2022, we had an accumulated deficit of $618.4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3"/>
              </w:rPr>
              <w:t>Six Months Ended 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400" w:type="dxa"/>
            <w:vAlign w:val="bottom"/>
            <w:gridSpan w:val="2"/>
          </w:tcPr>
          <w:p>
            <w:pPr>
              <w:jc w:val="right"/>
              <w:ind w:right="656"/>
              <w:spacing w:after="0"/>
              <w:rPr>
                <w:sz w:val="20"/>
                <w:szCs w:val="20"/>
                <w:color w:val="auto"/>
              </w:rPr>
            </w:pPr>
            <w:r>
              <w:rPr>
                <w:rFonts w:ascii="Arial" w:cs="Arial" w:eastAsia="Arial" w:hAnsi="Arial"/>
                <w:sz w:val="14"/>
                <w:szCs w:val="14"/>
                <w:b w:val="1"/>
                <w:bCs w:val="1"/>
                <w:color w:val="auto"/>
                <w:w w:val="84"/>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6"/>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w w:val="99"/>
              </w:rPr>
              <w:t>(82,237 )</w:t>
            </w:r>
          </w:p>
        </w:tc>
        <w:tc>
          <w:tcPr>
            <w:tcW w:w="1100" w:type="dxa"/>
            <w:vAlign w:val="bottom"/>
            <w:shd w:val="clear" w:color="auto" w:fill="CFF0FC"/>
          </w:tcPr>
          <w:p>
            <w:pPr>
              <w:jc w:val="right"/>
              <w:ind w:right="91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7"/>
              </w:rPr>
              <w:t>(46,634 )</w:t>
            </w: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w w:val="99"/>
              </w:rPr>
              <w:t>(41,766 )</w:t>
            </w:r>
          </w:p>
        </w:tc>
        <w:tc>
          <w:tcPr>
            <w:tcW w:w="11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(7,548 )</w:t>
            </w:r>
          </w:p>
        </w:tc>
      </w:tr>
      <w:tr>
        <w:trPr>
          <w:trHeight w:val="203"/>
        </w:trPr>
        <w:tc>
          <w:tcPr>
            <w:tcW w:w="7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22,277</w:t>
            </w:r>
          </w:p>
        </w:tc>
        <w:tc>
          <w:tcPr>
            <w:tcW w:w="3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w w:val="87"/>
              </w:rPr>
              <w:t>(101,726 )</w:t>
            </w:r>
          </w:p>
        </w:tc>
        <w:tc>
          <w:tcPr>
            <w:tcW w:w="1100" w:type="dxa"/>
            <w:vAlign w:val="bottom"/>
          </w:tcPr>
          <w:p>
            <w:pPr>
              <w:jc w:val="right"/>
              <w:ind w:right="9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7"/>
              </w:rPr>
              <w:t>(47,202 )</w:t>
            </w:r>
          </w:p>
        </w:tc>
      </w:tr>
      <w:tr>
        <w:trPr>
          <w:trHeight w:val="20"/>
        </w:trPr>
        <w:tc>
          <w:tcPr>
            <w:tcW w:w="7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-159385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04"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Net cash used in operating activities for six months ended June 30, 2022 was $82.2 million and primarily consisted of our net loss of $74.7 million adjusted for non-cash items, including stock-based compensation of $7.4 million, a net decrease in operating assets and liabilities of $14.9 million, an investment accretion of $0.3 million</w:t>
      </w:r>
      <w:r>
        <w:rPr>
          <w:rFonts w:ascii="Arial" w:cs="Arial" w:eastAsia="Arial" w:hAnsi="Arial"/>
          <w:sz w:val="17"/>
          <w:szCs w:val="17"/>
          <w:color w:val="FF0000"/>
        </w:rPr>
        <w:t>,</w:t>
      </w:r>
      <w:r>
        <w:rPr>
          <w:rFonts w:ascii="Arial" w:cs="Arial" w:eastAsia="Arial" w:hAnsi="Arial"/>
          <w:sz w:val="17"/>
          <w:szCs w:val="17"/>
          <w:color w:val="auto"/>
        </w:rPr>
        <w:t xml:space="preserve"> a non-cash operating lease expense of $0.2 million and non-cash interest expense associated with the term loan of $0.3 million. The increase in net loss was primarily due to increased clinical trial activities and CMC expenses. The net decrease in operating assets and liabilities primarily consisted of increased accounts payable of $0.8 million, increased prepayments and deposits of $4.9 million, increased other receivables or $13.1 million, increased accrued expenses and other liabilities of $2.3 million</w:t>
      </w:r>
      <w:r>
        <w:rPr>
          <w:rFonts w:ascii="Arial" w:cs="Arial" w:eastAsia="Arial" w:hAnsi="Arial"/>
          <w:sz w:val="17"/>
          <w:szCs w:val="17"/>
          <w:color w:val="FF0000"/>
        </w:rPr>
        <w:t>.</w:t>
      </w:r>
    </w:p>
    <w:p>
      <w:pPr>
        <w:spacing w:after="0" w:line="67"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Net cash used in operating activities for the six months ended June 30, 2021, was $46.6 million and primarily consisted of our net loss of $50.6 million adjusted for non-cash items, including stock-based compensation of $6.0 million, a net decrease in operating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80"/>
        <w:spacing w:after="0" w:line="241" w:lineRule="auto"/>
        <w:rPr>
          <w:sz w:val="20"/>
          <w:szCs w:val="20"/>
          <w:color w:val="auto"/>
        </w:rPr>
      </w:pPr>
      <w:r>
        <w:rPr>
          <w:rFonts w:ascii="Arial" w:cs="Arial" w:eastAsia="Arial" w:hAnsi="Arial"/>
          <w:sz w:val="18"/>
          <w:szCs w:val="18"/>
          <w:color w:val="auto"/>
        </w:rPr>
        <w:t>assets and liabilities of $2.8 million, an investment accretion of $0.3 million, non-cash operating lease expense of $0.2 million and non-cash interest expense associated with the term loan of $0.2 million. The increased net loss is primarily due to increased pre-clinical trial activities and CMC expenses partially offset by decreased pre-commercialization activities. The net decrease in operating assets and liabilities primarily consisted of increased accounts payable of $0.1 million, increased prepayments and deposits of $2.4 million, increased accrued expenses and other liabilities of $0.2 million and decreased deferred revenue of $0.8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4" w:lineRule="exact"/>
        <w:rPr>
          <w:sz w:val="20"/>
          <w:szCs w:val="20"/>
          <w:color w:val="auto"/>
        </w:rPr>
      </w:pPr>
    </w:p>
    <w:p>
      <w:pPr>
        <w:jc w:val="both"/>
        <w:ind w:right="360" w:firstLine="509"/>
        <w:spacing w:after="0" w:line="324" w:lineRule="auto"/>
        <w:rPr>
          <w:sz w:val="20"/>
          <w:szCs w:val="20"/>
          <w:color w:val="auto"/>
        </w:rPr>
      </w:pPr>
      <w:r>
        <w:rPr>
          <w:rFonts w:ascii="Arial" w:cs="Arial" w:eastAsia="Arial" w:hAnsi="Arial"/>
          <w:sz w:val="16"/>
          <w:szCs w:val="16"/>
          <w:color w:val="auto"/>
        </w:rPr>
        <w:t>Net cash used in investing activities for the six months ended June 30, 2022, was $41.8 million and was primarily due to the purchase of $164.6 million of available-for-sale marketable securities partially offset by the $122.8 million of proceeds from the maturities of available-for-sale securities.</w:t>
      </w:r>
    </w:p>
    <w:p>
      <w:pPr>
        <w:spacing w:after="0" w:line="16" w:lineRule="exact"/>
        <w:rPr>
          <w:sz w:val="20"/>
          <w:szCs w:val="20"/>
          <w:color w:val="auto"/>
        </w:rPr>
      </w:pPr>
    </w:p>
    <w:p>
      <w:pPr>
        <w:jc w:val="both"/>
        <w:ind w:right="400" w:firstLine="509"/>
        <w:spacing w:after="0" w:line="324" w:lineRule="auto"/>
        <w:rPr>
          <w:sz w:val="20"/>
          <w:szCs w:val="20"/>
          <w:color w:val="auto"/>
        </w:rPr>
      </w:pPr>
      <w:r>
        <w:rPr>
          <w:rFonts w:ascii="Arial" w:cs="Arial" w:eastAsia="Arial" w:hAnsi="Arial"/>
          <w:sz w:val="16"/>
          <w:szCs w:val="16"/>
          <w:color w:val="auto"/>
        </w:rPr>
        <w:t>Net cash used in investing activities for the six months ended June 30, 2021, was $7.5 million and was primarily due to the purchase of $126.5 million of available-for-sale marketable securities partially offset by the $119.0 million of proceeds from the maturities of available-for-sale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Net cash provided by financing activities for the six months ended June 30, 2022, of $22.3 million was primarily due to proceeds from sales under the 2021 ATM Program, net of discounts and commissions of $19.4 million, proceeds from the exercise of stock options of $2.7 million and employee participation in our Employee Stock Purchase Plan of $0.2 million.</w:t>
      </w:r>
    </w:p>
    <w:p>
      <w:pPr>
        <w:spacing w:after="0" w:line="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Net cash provided by financing activities for the six months ended June 30, 2021, of $7.0 million was primarily due to proceeds from sales under the 2021 ATM Program, net of discounts and commissions of $5.1 million, proceeds from the exercise of stock options of $1.7 million and employee participation in our Employee Stock Purchase Plan of $0.1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2022 we had cash and cash equivalents of $120.2 million, consisting of overnight investments, interest-bearing money market funds, commercial papers and short-term corporate bonds, and short-term investments of $246.6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also have exposure to market risk on our Loan Agreement with Hercules. Our Loan Agreement accrues interest from its date of issue at a variable interest rate equal to greater of (y) 9.25% and (z) 6.00% plus the Wall Street Journal prime rate. As of June 30, 2022, $20.0 million was outstanding under the Loan Agreement. The effect of a 100 basis points adverse change in market interest rates on our 2021 Loan Agreement, in excess of applicable minimum floors, on our interest expense would be approximately $0.4 million.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 and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15d-15(e) under the Securities Exchange Act of 1934, as amended), as of June 30, 2022. Based upon that evaluation, our principal executive officer and principal financial officer concluded that, as of the end of the period covered by this report, our disclosure controls and procedures are effective in ensuring that:</w:t>
      </w:r>
    </w:p>
    <w:p>
      <w:pPr>
        <w:spacing w:after="0" w:line="81" w:lineRule="exact"/>
        <w:rPr>
          <w:sz w:val="20"/>
          <w:szCs w:val="20"/>
          <w:color w:val="auto"/>
        </w:rPr>
      </w:pPr>
    </w:p>
    <w:p>
      <w:pPr>
        <w:ind w:left="900" w:right="560" w:hanging="383"/>
        <w:spacing w:after="0" w:line="32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required to be disclosed by us in the reports we file or submit under the Securities Exchange Act is recorded, processed, summarized and reported within the time periods specified in the U.S. Securities and Exchange Commission’s rules and forms;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ind w:left="900" w:hanging="383"/>
        <w:spacing w:after="0" w:line="26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63"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judgement in evaluating the cost- benefit relationship of possible controls and procedures.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2022, that have materially affected, or are reasonably likely to materially affect, our internal control over financial reporting.</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2022, we were not party to any material legal or arbitration proceedings. No governmental proceedings are pending or, to our knowledge, contemplated against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is subject to numerous risks and uncertainties, of which you should be aware before making a decision to invest in our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include, among others, the following:</w:t>
      </w:r>
    </w:p>
    <w:p>
      <w:pPr>
        <w:spacing w:after="0" w:line="88"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health threats could have an adverse effect on our clinical trials, operations and financial results.</w:t>
      </w:r>
    </w:p>
    <w:p>
      <w:pPr>
        <w:spacing w:after="0" w:line="103" w:lineRule="exact"/>
        <w:rPr>
          <w:rFonts w:ascii="Arial" w:cs="Arial" w:eastAsia="Arial" w:hAnsi="Arial"/>
          <w:sz w:val="18"/>
          <w:szCs w:val="18"/>
          <w:color w:val="auto"/>
        </w:rPr>
      </w:pPr>
    </w:p>
    <w:p>
      <w:pPr>
        <w:ind w:left="1020" w:right="12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Revumenib, formerly SNDX-5613, has undergone limited clinical testing and we may fail to show that the drug candidate is well tolerated and provides sufficient clinical benefit for patients.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this drug candidate is well tolerated and provides a sufficient clinical benefit for patients.</w:t>
      </w:r>
    </w:p>
    <w:p>
      <w:pPr>
        <w:spacing w:after="0" w:line="62" w:lineRule="exact"/>
        <w:rPr>
          <w:rFonts w:ascii="Arial" w:cs="Arial" w:eastAsia="Arial" w:hAnsi="Arial"/>
          <w:sz w:val="18"/>
          <w:szCs w:val="18"/>
          <w:color w:val="auto"/>
        </w:rPr>
      </w:pPr>
    </w:p>
    <w:p>
      <w:pPr>
        <w:ind w:left="1020" w:right="80" w:hanging="503"/>
        <w:spacing w:after="0" w:line="291"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20" w:right="5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Incyte may fail to perform its obligations as expected under the collaboration or may deprioritize its investment to further develop and commercialize axatilimab.</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to be commercially successful.</w:t>
      </w:r>
    </w:p>
    <w:p>
      <w:pPr>
        <w:spacing w:after="0" w:line="62"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8" w:name="page29"/>
    <w:bookmarkEnd w:id="28"/>
    <w:p>
      <w:pPr>
        <w:ind w:left="1020" w:hanging="503"/>
        <w:spacing w:after="0" w:line="324"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rFonts w:ascii="Arial" w:cs="Arial" w:eastAsia="Arial" w:hAnsi="Arial"/>
          <w:sz w:val="16"/>
          <w:szCs w:val="16"/>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net losses since our inception, except 2021, and anticipate that we will continue to incur net losses for the foreseeable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0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stockholders could lose all or part of their investment.</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threats could have an adverse effect on our clinical trials, operations and financial results.</w:t>
      </w:r>
    </w:p>
    <w:p>
      <w:pPr>
        <w:spacing w:after="0" w:line="1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7"/>
          <w:szCs w:val="17"/>
          <w:color w:val="auto"/>
        </w:rPr>
        <w:t>We face various risks related to epidemics, pandemics, and other outbreaks, including the ongoing COVID-19 pandemic, including newly discovered strains of the virus, which could adversely affect our ongoing or planned business operations. In particular, the ongoing COVID-19 pandemic has resulted in quarantines, restrictions on travel and other business and economic disruptions. We cannot presently predict the scope and severity of any future business shutdowns or disruptions, but if we or any of the third parties with whom we engage, including the partners and other third parties with whom we conduct business, were to experience shutdowns or other business disruptions, our ability to conduct our business in the manner and on the timelines presently planned could be materially and adversely impacted.</w:t>
      </w:r>
    </w:p>
    <w:p>
      <w:pPr>
        <w:spacing w:after="0" w:line="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The ongoing COVID-19 pandemic could continue to disrupt supply chain and operations, including associated delays in the manufacturing and supply of our products, which may affect our operations, including the conduct of clinical studies, or the ability of regulatory bodies to grant approvals or supervise our candidates and products, may further divert the attention and efforts of the medical community to coping with the COVID-19 and disrupt the marketplace in which we operate and may have a material adverse effects on our operations. COVID-19 may also affect our employees and employees and operations at suppliers that may result in delays or disruptions in supply. Even after the COVID-19 pandemic has subsided, we may continue to experience an adverse impact to our business as a result of COVID-19’s global economic impact, including any recession that has occurred or may occur in the future and the uncertainty of the timing of the broader economic recovery to pre-pandemic levels.</w:t>
      </w:r>
    </w:p>
    <w:p>
      <w:pPr>
        <w:spacing w:after="0" w:line="1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3" w:lineRule="exact"/>
        <w:rPr>
          <w:sz w:val="20"/>
          <w:szCs w:val="20"/>
          <w:color w:val="auto"/>
        </w:rPr>
      </w:pPr>
    </w:p>
    <w:p>
      <w:pPr>
        <w:ind w:right="560" w:firstLine="578"/>
        <w:spacing w:after="0" w:line="294"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39" w:lineRule="exact"/>
        <w:rPr>
          <w:sz w:val="20"/>
          <w:szCs w:val="20"/>
          <w:color w:val="auto"/>
        </w:rPr>
      </w:pPr>
    </w:p>
    <w:p>
      <w:pPr>
        <w:ind w:left="1020" w:right="1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62" w:lineRule="exact"/>
        <w:rPr>
          <w:rFonts w:ascii="Arial" w:cs="Arial" w:eastAsia="Arial" w:hAnsi="Arial"/>
          <w:sz w:val="18"/>
          <w:szCs w:val="18"/>
          <w:color w:val="auto"/>
        </w:rPr>
      </w:pPr>
    </w:p>
    <w:p>
      <w:pPr>
        <w:jc w:val="both"/>
        <w:ind w:left="1020" w:right="20" w:hanging="503"/>
        <w:spacing w:after="0" w:line="32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6" w:lineRule="exact"/>
        <w:rPr>
          <w:rFonts w:ascii="Arial" w:cs="Arial" w:eastAsia="Arial" w:hAnsi="Arial"/>
          <w:sz w:val="16"/>
          <w:szCs w:val="16"/>
          <w:color w:val="auto"/>
        </w:rPr>
      </w:pPr>
    </w:p>
    <w:p>
      <w:pPr>
        <w:ind w:left="1020" w:right="14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completion of one or more of the pivotal Phase 2 cohorts of the AUGMENT-101 trial of revumenib in patients with relapsed/refractory acute leukemias;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AUGMENT-102 trial of revumenib in combination with chemotherapy in patients with R/R mutant nucleophosmin, NPM1, or mixed lineage leukemia rearranged, MLLr, acute leukemias;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left="1020" w:hanging="503"/>
        <w:spacing w:after="0" w:line="23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combination trial of revumenib as part of the Leukemia &amp; Lymphoma Society’s Beat® AML Master Trial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as a monotherapy as part of the Australian Leukemia and Lymphoma Group (ALLG) INTERCEPT Master Clinical Trial, each of which is not a Company sponsored trial;</w:t>
      </w:r>
    </w:p>
    <w:p>
      <w:pPr>
        <w:spacing w:after="0" w:line="81"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timely completion of the pivotal Phase 2 trial, AGAVE-201, of axatilimab in patients with chronic Graft Versus Host Disease, or cGVHD;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2 trial of axatilimab in idiopathic pulmonary fibrosis;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trial of revumenib in patients with unresectable metastatic microsatellite stable colorectal cancer;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revumenib and axatilimab;</w:t>
      </w:r>
    </w:p>
    <w:p>
      <w:pPr>
        <w:spacing w:after="0" w:line="10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 or geopolitical tensions, such as the Russia Ukraine war;</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cancers and fibrotic diseases;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with respect to our product candidates.</w:t>
      </w:r>
    </w:p>
    <w:p>
      <w:pPr>
        <w:spacing w:after="0" w:line="104"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Revumenib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63" w:lineRule="exact"/>
        <w:rPr>
          <w:sz w:val="20"/>
          <w:szCs w:val="20"/>
          <w:color w:val="auto"/>
        </w:rPr>
      </w:pPr>
    </w:p>
    <w:p>
      <w:pPr>
        <w:ind w:right="20" w:firstLine="584"/>
        <w:spacing w:after="0" w:line="269" w:lineRule="auto"/>
        <w:rPr>
          <w:sz w:val="20"/>
          <w:szCs w:val="20"/>
          <w:color w:val="auto"/>
        </w:rPr>
      </w:pPr>
      <w:r>
        <w:rPr>
          <w:rFonts w:ascii="Arial" w:cs="Arial" w:eastAsia="Arial" w:hAnsi="Arial"/>
          <w:sz w:val="16"/>
          <w:szCs w:val="16"/>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revumenib, which bind to, and block the interaction of menin with either MLLr or MLL1, have demonstrated deep and durable single agent treatment effects in multiple leukemic xenograft models harboring MLL fusions or NPM1 mutations. Our strategy for developing revumenib is to conduct a Phase 1/2 clinical trial in relapsed/refractory, or r/r, patients with MLLr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patients with r/r MLLr acute lymphoblastic leukemia,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right="320"/>
        <w:spacing w:after="0" w:line="291" w:lineRule="auto"/>
        <w:rPr>
          <w:sz w:val="20"/>
          <w:szCs w:val="20"/>
          <w:color w:val="auto"/>
        </w:rPr>
      </w:pPr>
      <w:r>
        <w:rPr>
          <w:rFonts w:ascii="Arial" w:cs="Arial" w:eastAsia="Arial" w:hAnsi="Arial"/>
          <w:sz w:val="17"/>
          <w:szCs w:val="17"/>
          <w:color w:val="auto"/>
        </w:rPr>
        <w:t>ALL, r/r MLLr acute myeloid leukemia, or AML, and r/r NPM1 mutant AML. While we believe that we have established sufficient efficacy to warrant continued development in these indications, we have not yet sufficiently demonstrated a favorable risk-benefit of revumenib in patients.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this drug is well tolerated and provides a clinical benefit for patients.</w:t>
      </w:r>
    </w:p>
    <w:p>
      <w:pPr>
        <w:spacing w:after="0" w:line="127" w:lineRule="exact"/>
        <w:rPr>
          <w:sz w:val="20"/>
          <w:szCs w:val="20"/>
          <w:color w:val="auto"/>
        </w:rPr>
      </w:pPr>
    </w:p>
    <w:p>
      <w:pPr>
        <w:ind w:right="40" w:firstLine="584"/>
        <w:spacing w:after="0" w:line="253"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clinical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18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20" w:firstLine="578"/>
        <w:spacing w:after="0" w:line="253"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and December 2021, we announced interim data from our Phase 1/2 clinical trial of revumenib.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3" w:lineRule="exact"/>
        <w:rPr>
          <w:sz w:val="20"/>
          <w:szCs w:val="20"/>
          <w:color w:val="auto"/>
        </w:rPr>
      </w:pPr>
    </w:p>
    <w:p>
      <w:pPr>
        <w:ind w:firstLine="578"/>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8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are subject to numerous risks related to the Incyte Agreement to collaborate on the development and commercialization of axatilimab.</w:t>
      </w:r>
    </w:p>
    <w:p>
      <w:pPr>
        <w:spacing w:after="0" w:line="115" w:lineRule="exact"/>
        <w:rPr>
          <w:sz w:val="20"/>
          <w:szCs w:val="20"/>
          <w:color w:val="auto"/>
        </w:rPr>
      </w:pPr>
    </w:p>
    <w:p>
      <w:pPr>
        <w:ind w:right="320" w:firstLine="578"/>
        <w:spacing w:after="0" w:line="279"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left="1040" w:right="1020" w:hanging="377"/>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62" w:lineRule="exact"/>
        <w:rPr>
          <w:rFonts w:ascii="Arial" w:cs="Arial" w:eastAsia="Arial" w:hAnsi="Arial"/>
          <w:sz w:val="18"/>
          <w:szCs w:val="18"/>
          <w:color w:val="auto"/>
        </w:rPr>
      </w:pPr>
    </w:p>
    <w:p>
      <w:pPr>
        <w:ind w:left="1040" w:right="280" w:hanging="377"/>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62" w:lineRule="exact"/>
        <w:rPr>
          <w:rFonts w:ascii="Arial" w:cs="Arial" w:eastAsia="Arial" w:hAnsi="Arial"/>
          <w:sz w:val="18"/>
          <w:szCs w:val="18"/>
          <w:color w:val="auto"/>
        </w:rPr>
      </w:pPr>
    </w:p>
    <w:p>
      <w:pPr>
        <w:ind w:left="1040" w:right="20" w:hanging="377"/>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2" w:lineRule="exact"/>
        <w:rPr>
          <w:rFonts w:ascii="Arial" w:cs="Arial" w:eastAsia="Arial" w:hAnsi="Arial"/>
          <w:sz w:val="18"/>
          <w:szCs w:val="18"/>
          <w:color w:val="auto"/>
        </w:rPr>
      </w:pPr>
    </w:p>
    <w:p>
      <w:pPr>
        <w:ind w:left="1040" w:right="360" w:hanging="377"/>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6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cannot ensure that the potential strategic benefits and opportunities expected from this collaboration with be realized on our anticipated timeline or at all.</w:t>
      </w:r>
    </w:p>
    <w:p>
      <w:pPr>
        <w:spacing w:after="0" w:line="171" w:lineRule="exact"/>
        <w:rPr>
          <w:sz w:val="20"/>
          <w:szCs w:val="20"/>
          <w:color w:val="auto"/>
        </w:rPr>
      </w:pPr>
    </w:p>
    <w:p>
      <w:pPr>
        <w:jc w:val="center"/>
        <w:ind w:right="840"/>
        <w:spacing w:after="0" w:line="405" w:lineRule="auto"/>
        <w:rPr>
          <w:sz w:val="20"/>
          <w:szCs w:val="20"/>
          <w:color w:val="auto"/>
        </w:rPr>
      </w:pPr>
      <w:r>
        <w:rPr>
          <w:rFonts w:ascii="Arial" w:cs="Arial" w:eastAsia="Arial" w:hAnsi="Arial"/>
          <w:sz w:val="16"/>
          <w:szCs w:val="16"/>
          <w:b w:val="1"/>
          <w:bCs w:val="1"/>
          <w:i w:val="1"/>
          <w:iCs w:val="1"/>
          <w:color w:val="auto"/>
        </w:rPr>
        <w:t xml:space="preserve">If we or our collaborators are unable to enroll patients in clinical trials, these clinical trials may not be completed on a timely basis or at all. </w:t>
      </w:r>
      <w:r>
        <w:rPr>
          <w:rFonts w:ascii="Arial" w:cs="Arial" w:eastAsia="Arial" w:hAnsi="Arial"/>
          <w:sz w:val="16"/>
          <w:szCs w:val="16"/>
          <w:color w:val="auto"/>
        </w:rPr>
        <w:t>The timely completion of clinical trials largely depends on patient enrollment. Many factors affect patient enrollment, including:</w:t>
      </w: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public health epidemics, such as the COVID-19 pandemic, or geopolitical tensions, such as the Russia Ukraine war;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any orphan indications, we are pursuing;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2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0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03" w:lineRule="exact"/>
        <w:rPr>
          <w:rFonts w:ascii="Arial" w:cs="Arial" w:eastAsia="Arial" w:hAnsi="Arial"/>
          <w:sz w:val="18"/>
          <w:szCs w:val="18"/>
          <w:color w:val="auto"/>
        </w:rPr>
      </w:pPr>
    </w:p>
    <w:p>
      <w:pPr>
        <w:ind w:left="1020" w:right="10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sales and distribution of our product candidates, limiting our potential revenues from these products;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left="1020" w:right="2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20" w:right="104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04" w:lineRule="exact"/>
        <w:rPr>
          <w:sz w:val="20"/>
          <w:szCs w:val="20"/>
          <w:color w:val="auto"/>
        </w:rPr>
      </w:pPr>
    </w:p>
    <w:p>
      <w:pPr>
        <w:ind w:right="20" w:firstLine="578"/>
        <w:spacing w:after="0"/>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3" w:lineRule="exact"/>
        <w:rPr>
          <w:sz w:val="20"/>
          <w:szCs w:val="20"/>
          <w:color w:val="auto"/>
        </w:rPr>
      </w:pPr>
    </w:p>
    <w:p>
      <w:pPr>
        <w:ind w:firstLine="578"/>
        <w:spacing w:after="0" w:line="270" w:lineRule="auto"/>
        <w:rPr>
          <w:sz w:val="20"/>
          <w:szCs w:val="20"/>
          <w:color w:val="auto"/>
        </w:rPr>
      </w:pPr>
      <w:r>
        <w:rPr>
          <w:rFonts w:ascii="Arial" w:cs="Arial" w:eastAsia="Arial" w:hAnsi="Arial"/>
          <w:sz w:val="16"/>
          <w:szCs w:val="16"/>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GMP, current Good Laboratory Practices, or GLP, and current Good Clinical Practices, or 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9" w:lineRule="exact"/>
        <w:rPr>
          <w:sz w:val="20"/>
          <w:szCs w:val="20"/>
          <w:color w:val="auto"/>
        </w:rPr>
      </w:pPr>
    </w:p>
    <w:p>
      <w:pPr>
        <w:ind w:right="60" w:firstLine="578"/>
        <w:spacing w:after="0" w:line="279"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51"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demonstrate that our product candidates are effective for their proposed indication and have an acceptable safety profile;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disagreement with the design, size, conduct or implementation of our or our collaborators’ trials;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BLA or other submission or to obtain regulatory approval;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left="1020" w:right="3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04" w:lineRule="exact"/>
        <w:rPr>
          <w:sz w:val="20"/>
          <w:szCs w:val="20"/>
          <w:color w:val="auto"/>
        </w:rPr>
      </w:pPr>
    </w:p>
    <w:p>
      <w:pPr>
        <w:ind w:firstLine="578"/>
        <w:spacing w:after="0" w:line="254"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81"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3" w:lineRule="exact"/>
        <w:rPr>
          <w:sz w:val="20"/>
          <w:szCs w:val="20"/>
          <w:color w:val="auto"/>
        </w:rPr>
      </w:pPr>
    </w:p>
    <w:p>
      <w:pPr>
        <w:ind w:right="120" w:firstLine="578"/>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7"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willingness or ability to pay adequate rebates to payors or pharmacy benefit managers;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04" w:lineRule="exact"/>
        <w:rPr>
          <w:sz w:val="20"/>
          <w:szCs w:val="20"/>
          <w:color w:val="auto"/>
        </w:rPr>
      </w:pPr>
    </w:p>
    <w:p>
      <w:pPr>
        <w:jc w:val="both"/>
        <w:ind w:right="120" w:firstLine="578"/>
        <w:spacing w:after="0" w:line="261"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1"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4" w:lineRule="exact"/>
        <w:rPr>
          <w:sz w:val="20"/>
          <w:szCs w:val="20"/>
          <w:color w:val="auto"/>
        </w:rPr>
      </w:pPr>
    </w:p>
    <w:p>
      <w:pPr>
        <w:ind w:right="60" w:firstLine="578"/>
        <w:spacing w:after="0" w:line="259" w:lineRule="auto"/>
        <w:rPr>
          <w:sz w:val="20"/>
          <w:szCs w:val="20"/>
          <w:color w:val="auto"/>
        </w:rPr>
      </w:pPr>
      <w:r>
        <w:rPr>
          <w:rFonts w:ascii="Arial" w:cs="Arial" w:eastAsia="Arial" w:hAnsi="Arial"/>
          <w:sz w:val="17"/>
          <w:szCs w:val="17"/>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COVID-19 pandemic, may impact the ability of our existing or future manufacturers to perform their obligations to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firstLine="578"/>
        <w:spacing w:after="0" w:line="252"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04" w:lineRule="exact"/>
        <w:rPr>
          <w:sz w:val="20"/>
          <w:szCs w:val="20"/>
          <w:color w:val="auto"/>
        </w:rPr>
      </w:pPr>
    </w:p>
    <w:p>
      <w:pPr>
        <w:ind w:right="40" w:firstLine="578"/>
        <w:spacing w:after="0" w:line="239"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3" w:lineRule="exact"/>
        <w:rPr>
          <w:sz w:val="20"/>
          <w:szCs w:val="20"/>
          <w:color w:val="auto"/>
        </w:rPr>
      </w:pPr>
    </w:p>
    <w:p>
      <w:pPr>
        <w:ind w:firstLine="578"/>
        <w:spacing w:after="0"/>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1"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04" w:lineRule="exact"/>
        <w:rPr>
          <w:sz w:val="20"/>
          <w:szCs w:val="20"/>
          <w:color w:val="auto"/>
        </w:rPr>
      </w:pPr>
    </w:p>
    <w:p>
      <w:pPr>
        <w:ind w:right="40" w:firstLine="578"/>
        <w:spacing w:after="0" w:line="261"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3" w:lineRule="exact"/>
        <w:rPr>
          <w:sz w:val="20"/>
          <w:szCs w:val="20"/>
          <w:color w:val="auto"/>
        </w:rPr>
      </w:pPr>
    </w:p>
    <w:p>
      <w:pPr>
        <w:ind w:right="40" w:firstLine="578"/>
        <w:spacing w:after="0" w:line="253"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is heavily scrutinized by the FDA's Office of Prescription Drug Promotion ,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60" w:firstLine="578"/>
        <w:spacing w:after="0" w:line="269"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68"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1" w:lineRule="exact"/>
        <w:rPr>
          <w:sz w:val="20"/>
          <w:szCs w:val="20"/>
          <w:color w:val="auto"/>
        </w:rPr>
      </w:pPr>
    </w:p>
    <w:p>
      <w:pPr>
        <w:ind w:right="100" w:firstLine="578"/>
        <w:spacing w:after="0" w:line="261"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3"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20" w:right="6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120" w:firstLine="578"/>
        <w:spacing w:after="0" w:line="291"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3" w:lineRule="exact"/>
        <w:rPr>
          <w:sz w:val="20"/>
          <w:szCs w:val="20"/>
          <w:color w:val="auto"/>
        </w:rPr>
      </w:pPr>
    </w:p>
    <w:p>
      <w:pPr>
        <w:ind w:right="20" w:firstLine="578"/>
        <w:spacing w:after="0" w:line="276"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80"/>
        <w:spacing w:after="0" w:line="238" w:lineRule="auto"/>
        <w:rPr>
          <w:sz w:val="20"/>
          <w:szCs w:val="20"/>
          <w:color w:val="auto"/>
        </w:rPr>
      </w:pPr>
      <w:r>
        <w:rPr>
          <w:rFonts w:ascii="Arial" w:cs="Arial" w:eastAsia="Arial" w:hAnsi="Arial"/>
          <w:sz w:val="18"/>
          <w:szCs w:val="18"/>
          <w:color w:val="auto"/>
        </w:rPr>
        <w:t>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3" w:lineRule="exact"/>
        <w:rPr>
          <w:sz w:val="20"/>
          <w:szCs w:val="20"/>
          <w:color w:val="auto"/>
        </w:rPr>
      </w:pPr>
    </w:p>
    <w:p>
      <w:pPr>
        <w:ind w:right="120" w:firstLine="578"/>
        <w:spacing w:after="0" w:line="265"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five years, the FDA has approved three drugs, ibrutinib (</w:t>
      </w:r>
      <w:r>
        <w:rPr>
          <w:rFonts w:ascii="Arial" w:cs="Arial" w:eastAsia="Arial" w:hAnsi="Arial"/>
          <w:sz w:val="16"/>
          <w:szCs w:val="16"/>
          <w:i w:val="1"/>
          <w:iCs w:val="1"/>
          <w:color w:val="auto"/>
        </w:rPr>
        <w:t>Imbruvica</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21"/>
          <w:szCs w:val="21"/>
          <w:color w:val="auto"/>
          <w:vertAlign w:val="superscript"/>
        </w:rPr>
        <w:t>®</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21"/>
          <w:szCs w:val="21"/>
          <w:color w:val="auto"/>
          <w:vertAlign w:val="superscript"/>
        </w:rPr>
        <w:t>®</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55" w:lineRule="exact"/>
        <w:rPr>
          <w:sz w:val="20"/>
          <w:szCs w:val="20"/>
          <w:color w:val="auto"/>
        </w:rPr>
      </w:pPr>
    </w:p>
    <w:p>
      <w:pPr>
        <w:ind w:firstLine="578"/>
        <w:spacing w:after="0" w:line="243" w:lineRule="auto"/>
        <w:rPr>
          <w:sz w:val="20"/>
          <w:szCs w:val="20"/>
          <w:color w:val="auto"/>
        </w:rPr>
      </w:pPr>
      <w:r>
        <w:rPr>
          <w:rFonts w:ascii="Arial" w:cs="Arial" w:eastAsia="Arial" w:hAnsi="Arial"/>
          <w:sz w:val="18"/>
          <w:szCs w:val="18"/>
          <w:color w:val="auto"/>
        </w:rPr>
        <w:t>Revumenib is being developed for the treatment of relapsed/refractory adult and pediatric patients with MLLr ALL, MLLr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MLLr ALL, MLLr AML and/or NPM1 mutant AML.</w:t>
      </w:r>
    </w:p>
    <w:p>
      <w:pPr>
        <w:spacing w:after="0" w:line="80" w:lineRule="exact"/>
        <w:rPr>
          <w:sz w:val="20"/>
          <w:szCs w:val="20"/>
          <w:color w:val="auto"/>
        </w:rPr>
      </w:pPr>
    </w:p>
    <w:p>
      <w:pPr>
        <w:ind w:right="220" w:firstLine="578"/>
        <w:spacing w:after="0" w:line="274"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04" w:lineRule="exact"/>
        <w:rPr>
          <w:sz w:val="20"/>
          <w:szCs w:val="20"/>
          <w:color w:val="auto"/>
        </w:rPr>
      </w:pPr>
    </w:p>
    <w:p>
      <w:pPr>
        <w:ind w:left="1020" w:right="5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 relative to marketed products and product candidates in development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negotiate preferential formulary status for our product candidates.</w:t>
      </w:r>
    </w:p>
    <w:p>
      <w:pPr>
        <w:spacing w:after="0" w:line="104" w:lineRule="exact"/>
        <w:rPr>
          <w:sz w:val="20"/>
          <w:szCs w:val="20"/>
          <w:color w:val="auto"/>
        </w:rPr>
      </w:pPr>
    </w:p>
    <w:p>
      <w:pPr>
        <w:jc w:val="both"/>
        <w:ind w:right="220" w:firstLine="578"/>
        <w:spacing w:after="0" w:line="243" w:lineRule="auto"/>
        <w:rPr>
          <w:sz w:val="20"/>
          <w:szCs w:val="20"/>
          <w:color w:val="auto"/>
        </w:rPr>
      </w:pPr>
      <w:r>
        <w:rPr>
          <w:rFonts w:ascii="Arial" w:cs="Arial" w:eastAsia="Arial" w:hAnsi="Arial"/>
          <w:sz w:val="18"/>
          <w:szCs w:val="18"/>
          <w:color w:val="auto"/>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8"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i w:val="1"/>
          <w:iCs w:val="1"/>
          <w:color w:val="auto"/>
        </w:rPr>
        <w:t>The actions of Eddingpharm Investment Company Limited, or Eddingpharm, and any other current or future sublicensees could adversely affect our business.</w:t>
      </w:r>
    </w:p>
    <w:p>
      <w:pPr>
        <w:spacing w:after="0" w:line="63"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We currently exclusively sublicense entinostat to Eddingpharm for development and commercialization in China and select Asian countries. In December 2021, Eddingpharm announced that the results of its multi-center, randomized, double-blinded, placebo-controlled Phase III registration trial showed that entinostat plus exemestane improved progression free survival, overall response rate and disease control rate, compared with placebo plus exemestane in patients with advanced HR positive, HER2 negative breast cancer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40"/>
        <w:spacing w:after="0" w:line="248" w:lineRule="auto"/>
        <w:rPr>
          <w:sz w:val="20"/>
          <w:szCs w:val="20"/>
          <w:color w:val="auto"/>
        </w:rPr>
      </w:pPr>
      <w:r>
        <w:rPr>
          <w:rFonts w:ascii="Arial" w:cs="Arial" w:eastAsia="Arial" w:hAnsi="Arial"/>
          <w:sz w:val="18"/>
          <w:szCs w:val="18"/>
          <w:color w:val="auto"/>
        </w:rPr>
        <w:t>who had progressed after previous endocrine therapy. Nonetheless, it is possible that any future clinical trials conducted by Eddingpharm, including the forthcoming overall survival data in its ongoing Phase III registration trial, and trials by other current or future sublicensees in their respective jurisdictions could have negative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04" w:lineRule="exact"/>
        <w:rPr>
          <w:sz w:val="20"/>
          <w:szCs w:val="20"/>
          <w:color w:val="auto"/>
        </w:rPr>
      </w:pPr>
    </w:p>
    <w:p>
      <w:pPr>
        <w:ind w:firstLine="578"/>
        <w:spacing w:after="0" w:line="276" w:lineRule="auto"/>
        <w:rPr>
          <w:sz w:val="20"/>
          <w:szCs w:val="20"/>
          <w:color w:val="auto"/>
        </w:rPr>
      </w:pPr>
      <w:r>
        <w:rPr>
          <w:rFonts w:ascii="Arial" w:cs="Arial" w:eastAsia="Arial" w:hAnsi="Arial"/>
          <w:sz w:val="16"/>
          <w:szCs w:val="16"/>
          <w:color w:val="auto"/>
        </w:rPr>
        <w:t>Our commercial success also depends upon our ability to develop, manufacture, market and sell axatilimab. We have a worldwide, sublicenseable, exclusive license to axatilimab, an IND-ready anti-CSF-1R monoclonal antibody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3" w:lineRule="exact"/>
        <w:rPr>
          <w:sz w:val="20"/>
          <w:szCs w:val="20"/>
          <w:color w:val="auto"/>
        </w:rPr>
      </w:pPr>
    </w:p>
    <w:p>
      <w:pPr>
        <w:ind w:firstLine="578"/>
        <w:spacing w:after="0" w:line="267"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04" w:lineRule="exact"/>
        <w:rPr>
          <w:sz w:val="20"/>
          <w:szCs w:val="20"/>
          <w:color w:val="auto"/>
        </w:rPr>
      </w:pPr>
    </w:p>
    <w:p>
      <w:pPr>
        <w:ind w:firstLine="578"/>
        <w:spacing w:after="0" w:line="257" w:lineRule="auto"/>
        <w:rPr>
          <w:sz w:val="20"/>
          <w:szCs w:val="20"/>
          <w:color w:val="auto"/>
        </w:rPr>
      </w:pPr>
      <w:r>
        <w:rPr>
          <w:rFonts w:ascii="Arial" w:cs="Arial" w:eastAsia="Arial" w:hAnsi="Arial"/>
          <w:sz w:val="17"/>
          <w:szCs w:val="17"/>
          <w:color w:val="auto"/>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67" w:lineRule="exact"/>
        <w:rPr>
          <w:sz w:val="20"/>
          <w:szCs w:val="20"/>
          <w:color w:val="auto"/>
        </w:rPr>
      </w:pPr>
    </w:p>
    <w:p>
      <w:pPr>
        <w:ind w:right="60" w:firstLine="578"/>
        <w:spacing w:after="0" w:line="284"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3" w:lineRule="exact"/>
        <w:rPr>
          <w:sz w:val="20"/>
          <w:szCs w:val="20"/>
          <w:color w:val="auto"/>
        </w:rPr>
      </w:pPr>
    </w:p>
    <w:p>
      <w:pPr>
        <w:ind w:right="100" w:firstLine="578"/>
        <w:spacing w:after="0" w:line="243"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jc w:val="both"/>
        <w:ind w:right="80"/>
        <w:spacing w:after="0" w:line="248" w:lineRule="auto"/>
        <w:rPr>
          <w:sz w:val="20"/>
          <w:szCs w:val="20"/>
          <w:color w:val="auto"/>
        </w:rPr>
      </w:pPr>
      <w:r>
        <w:rPr>
          <w:rFonts w:ascii="Arial" w:cs="Arial" w:eastAsia="Arial" w:hAnsi="Arial"/>
          <w:sz w:val="18"/>
          <w:szCs w:val="18"/>
          <w:color w:val="auto"/>
        </w:rPr>
        <w:t>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74" w:lineRule="exact"/>
        <w:rPr>
          <w:sz w:val="20"/>
          <w:szCs w:val="20"/>
          <w:color w:val="auto"/>
        </w:rPr>
      </w:pPr>
    </w:p>
    <w:p>
      <w:pPr>
        <w:ind w:right="280" w:firstLine="578"/>
        <w:spacing w:after="0" w:line="248"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4" w:lineRule="exact"/>
        <w:rPr>
          <w:sz w:val="20"/>
          <w:szCs w:val="20"/>
          <w:color w:val="auto"/>
        </w:rPr>
      </w:pPr>
    </w:p>
    <w:p>
      <w:pPr>
        <w:ind w:right="60" w:firstLine="578"/>
        <w:spacing w:after="0" w:line="254" w:lineRule="auto"/>
        <w:rPr>
          <w:sz w:val="20"/>
          <w:szCs w:val="20"/>
          <w:color w:val="auto"/>
        </w:rPr>
      </w:pPr>
      <w:r>
        <w:rPr>
          <w:rFonts w:ascii="Arial" w:cs="Arial" w:eastAsia="Arial" w:hAnsi="Arial"/>
          <w:sz w:val="17"/>
          <w:szCs w:val="17"/>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3" w:lineRule="exact"/>
        <w:rPr>
          <w:sz w:val="20"/>
          <w:szCs w:val="20"/>
          <w:color w:val="auto"/>
        </w:rPr>
      </w:pPr>
    </w:p>
    <w:p>
      <w:pPr>
        <w:ind w:right="40" w:firstLine="578"/>
        <w:spacing w:after="0" w:line="255" w:lineRule="auto"/>
        <w:rPr>
          <w:sz w:val="20"/>
          <w:szCs w:val="20"/>
          <w:color w:val="auto"/>
        </w:rPr>
      </w:pPr>
      <w:r>
        <w:rPr>
          <w:rFonts w:ascii="Arial" w:cs="Arial" w:eastAsia="Arial" w:hAnsi="Arial"/>
          <w:sz w:val="17"/>
          <w:szCs w:val="17"/>
          <w:color w:val="auto"/>
        </w:rPr>
        <w:t>Private payors often follow decisions by the Centers for Medicare &amp; Medicaid Services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72" w:lineRule="exact"/>
        <w:rPr>
          <w:sz w:val="20"/>
          <w:szCs w:val="20"/>
          <w:color w:val="auto"/>
        </w:rPr>
      </w:pPr>
    </w:p>
    <w:p>
      <w:pPr>
        <w:ind w:right="20" w:firstLine="578"/>
        <w:spacing w:after="0" w:line="254"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3" w:lineRule="exact"/>
        <w:rPr>
          <w:sz w:val="20"/>
          <w:szCs w:val="20"/>
          <w:color w:val="auto"/>
        </w:rPr>
      </w:pPr>
    </w:p>
    <w:p>
      <w:pPr>
        <w:ind w:right="200" w:firstLine="578"/>
        <w:spacing w:after="0" w:line="243"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38" w:lineRule="exact"/>
        <w:rPr>
          <w:sz w:val="20"/>
          <w:szCs w:val="20"/>
          <w:color w:val="auto"/>
        </w:rPr>
      </w:pPr>
    </w:p>
    <w:p>
      <w:pPr>
        <w:ind w:firstLine="578"/>
        <w:spacing w:after="0" w:line="268"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U.S. Supreme Court ruling, January 28, 2021,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ind w:right="160"/>
        <w:spacing w:after="0" w:line="270" w:lineRule="auto"/>
        <w:rPr>
          <w:sz w:val="20"/>
          <w:szCs w:val="20"/>
          <w:color w:val="auto"/>
        </w:rPr>
      </w:pPr>
      <w:r>
        <w:rPr>
          <w:rFonts w:ascii="Arial" w:cs="Arial" w:eastAsia="Arial" w:hAnsi="Arial"/>
          <w:sz w:val="17"/>
          <w:szCs w:val="17"/>
          <w:color w:val="auto"/>
        </w:rPr>
        <w:t>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56" w:lineRule="exact"/>
        <w:rPr>
          <w:sz w:val="20"/>
          <w:szCs w:val="20"/>
          <w:color w:val="auto"/>
        </w:rPr>
      </w:pPr>
    </w:p>
    <w:p>
      <w:pPr>
        <w:ind w:firstLine="578"/>
        <w:spacing w:after="0" w:line="253"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has extended the 2% reduction to 2031 with the exception of a temporary suspension from May 1, 2020 through March 31, 2022 due to the COVID-19 pandemic, unless additional congressional action is taken.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76" w:lineRule="exact"/>
        <w:rPr>
          <w:sz w:val="20"/>
          <w:szCs w:val="20"/>
          <w:color w:val="auto"/>
        </w:rPr>
      </w:pPr>
    </w:p>
    <w:p>
      <w:pPr>
        <w:ind w:firstLine="578"/>
        <w:spacing w:after="0" w:line="266"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and guidance in September 2020, providing pathways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CMS issued an interim final rule implementing the Trump administration’s Most Favored Nation, or MFN, executive order, which would tie Medicare Part B payments for certain physician-administered drugs to the lowest price paid in other economically advanced countries. On December 27, 2021, CMS issued a final rule that rescinded the interim final rule implementing the Trump administration’s Most Favored Nation executive order.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Congress is also considering additional health reform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4" w:lineRule="exact"/>
        <w:rPr>
          <w:sz w:val="20"/>
          <w:szCs w:val="20"/>
          <w:color w:val="auto"/>
        </w:rPr>
      </w:pPr>
    </w:p>
    <w:p>
      <w:pPr>
        <w:ind w:right="60" w:firstLine="578"/>
        <w:spacing w:after="0" w:line="257" w:lineRule="auto"/>
        <w:rPr>
          <w:sz w:val="20"/>
          <w:szCs w:val="20"/>
          <w:color w:val="auto"/>
        </w:rPr>
      </w:pPr>
      <w:r>
        <w:rPr>
          <w:rFonts w:ascii="Arial" w:cs="Arial" w:eastAsia="Arial" w:hAnsi="Arial"/>
          <w:sz w:val="17"/>
          <w:szCs w:val="17"/>
          <w:color w:val="auto"/>
        </w:rPr>
        <w:t>It is also possible that additional governmental action is taken in response to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04" w:lineRule="exact"/>
        <w:rPr>
          <w:sz w:val="20"/>
          <w:szCs w:val="20"/>
          <w:color w:val="auto"/>
        </w:rPr>
      </w:pPr>
    </w:p>
    <w:p>
      <w:pPr>
        <w:ind w:right="280" w:firstLine="578"/>
        <w:spacing w:after="0" w:line="284" w:lineRule="auto"/>
        <w:rPr>
          <w:sz w:val="20"/>
          <w:szCs w:val="20"/>
          <w:color w:val="auto"/>
        </w:rPr>
      </w:pPr>
      <w:r>
        <w:rPr>
          <w:rFonts w:ascii="Arial" w:cs="Arial" w:eastAsia="Arial" w:hAnsi="Arial"/>
          <w:sz w:val="16"/>
          <w:szCs w:val="16"/>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organization;</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03"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4" w:lineRule="exact"/>
        <w:rPr>
          <w:sz w:val="20"/>
          <w:szCs w:val="20"/>
          <w:color w:val="auto"/>
        </w:rPr>
      </w:pPr>
    </w:p>
    <w:p>
      <w:pPr>
        <w:ind w:right="160" w:firstLine="578"/>
        <w:spacing w:after="0" w:line="243"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27" w:lineRule="exact"/>
        <w:rPr>
          <w:sz w:val="20"/>
          <w:szCs w:val="20"/>
          <w:color w:val="auto"/>
        </w:rPr>
      </w:pPr>
    </w:p>
    <w:p>
      <w:pPr>
        <w:ind w:right="140" w:firstLine="578"/>
        <w:spacing w:after="0" w:line="24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04" w:lineRule="exact"/>
        <w:rPr>
          <w:sz w:val="20"/>
          <w:szCs w:val="20"/>
          <w:color w:val="auto"/>
        </w:rPr>
      </w:pPr>
    </w:p>
    <w:p>
      <w:pPr>
        <w:ind w:firstLine="578"/>
        <w:spacing w:after="0"/>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9"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7" w:lineRule="exact"/>
        <w:rPr>
          <w:sz w:val="20"/>
          <w:szCs w:val="20"/>
          <w:color w:val="auto"/>
        </w:rPr>
      </w:pPr>
    </w:p>
    <w:p>
      <w:pPr>
        <w:ind w:right="20" w:firstLine="578"/>
        <w:spacing w:after="0" w:line="259"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6" w:lineRule="exact"/>
        <w:rPr>
          <w:sz w:val="20"/>
          <w:szCs w:val="20"/>
          <w:color w:val="auto"/>
        </w:rPr>
      </w:pPr>
    </w:p>
    <w:p>
      <w:pPr>
        <w:ind w:left="1020" w:right="320" w:hanging="503"/>
        <w:spacing w:after="0" w:line="24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1" w:name="page42"/>
    <w:bookmarkEnd w:id="41"/>
    <w:p>
      <w:pPr>
        <w:ind w:left="1020" w:right="180"/>
        <w:spacing w:after="0" w:line="261" w:lineRule="auto"/>
        <w:rPr>
          <w:sz w:val="20"/>
          <w:szCs w:val="20"/>
          <w:color w:val="auto"/>
        </w:rPr>
      </w:pPr>
      <w:r>
        <w:rPr>
          <w:rFonts w:ascii="Arial" w:cs="Arial" w:eastAsia="Arial" w:hAnsi="Arial"/>
          <w:sz w:val="18"/>
          <w:szCs w:val="18"/>
          <w:color w:val="auto"/>
        </w:rPr>
        <w:t>arranging for or recommending purchase, lease or order, or any good or service for which payment may be made under a federal healthcare program such as Medicare and Medicaid;</w:t>
      </w:r>
    </w:p>
    <w:p>
      <w:pPr>
        <w:spacing w:after="0" w:line="63" w:lineRule="exact"/>
        <w:rPr>
          <w:sz w:val="20"/>
          <w:szCs w:val="20"/>
          <w:color w:val="auto"/>
        </w:rPr>
      </w:pPr>
    </w:p>
    <w:p>
      <w:pPr>
        <w:ind w:left="1020" w:right="60" w:hanging="503"/>
        <w:spacing w:after="0" w:line="24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9" w:lineRule="exact"/>
        <w:rPr>
          <w:rFonts w:ascii="Arial" w:cs="Arial" w:eastAsia="Arial" w:hAnsi="Arial"/>
          <w:sz w:val="18"/>
          <w:szCs w:val="18"/>
          <w:color w:val="auto"/>
        </w:rPr>
      </w:pPr>
    </w:p>
    <w:p>
      <w:pPr>
        <w:ind w:left="1020" w:right="80" w:hanging="503"/>
        <w:spacing w:after="0" w:line="23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2" w:lineRule="exact"/>
        <w:rPr>
          <w:rFonts w:ascii="Arial" w:cs="Arial" w:eastAsia="Arial" w:hAnsi="Arial"/>
          <w:sz w:val="18"/>
          <w:szCs w:val="18"/>
          <w:color w:val="auto"/>
        </w:rPr>
      </w:pPr>
    </w:p>
    <w:p>
      <w:pPr>
        <w:ind w:left="1020" w:right="60" w:hanging="503"/>
        <w:spacing w:after="0" w:line="24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81" w:lineRule="exact"/>
        <w:rPr>
          <w:rFonts w:ascii="Arial" w:cs="Arial" w:eastAsia="Arial" w:hAnsi="Arial"/>
          <w:sz w:val="18"/>
          <w:szCs w:val="18"/>
          <w:color w:val="auto"/>
        </w:rPr>
      </w:pPr>
    </w:p>
    <w:p>
      <w:pPr>
        <w:ind w:left="1020" w:right="60" w:hanging="503"/>
        <w:spacing w:after="0" w:line="257"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7" w:lineRule="exact"/>
        <w:rPr>
          <w:rFonts w:ascii="Arial" w:cs="Arial" w:eastAsia="Arial" w:hAnsi="Arial"/>
          <w:sz w:val="17"/>
          <w:szCs w:val="17"/>
          <w:color w:val="auto"/>
        </w:rPr>
      </w:pPr>
    </w:p>
    <w:p>
      <w:pPr>
        <w:ind w:left="1020" w:hanging="503"/>
        <w:spacing w:after="0" w:line="252"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5" w:lineRule="exact"/>
        <w:rPr>
          <w:sz w:val="20"/>
          <w:szCs w:val="20"/>
          <w:color w:val="auto"/>
        </w:rPr>
      </w:pPr>
    </w:p>
    <w:p>
      <w:pPr>
        <w:ind w:right="60" w:firstLine="578"/>
        <w:spacing w:after="0" w:line="270"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40"/>
        <w:spacing w:after="0" w:line="261"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3" w:lineRule="exact"/>
        <w:rPr>
          <w:sz w:val="20"/>
          <w:szCs w:val="20"/>
          <w:color w:val="auto"/>
        </w:rPr>
      </w:pPr>
    </w:p>
    <w:p>
      <w:pPr>
        <w:ind w:firstLine="578"/>
        <w:spacing w:after="0" w:line="251"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75" w:lineRule="exact"/>
        <w:rPr>
          <w:sz w:val="20"/>
          <w:szCs w:val="20"/>
          <w:color w:val="auto"/>
        </w:rPr>
      </w:pPr>
    </w:p>
    <w:p>
      <w:pPr>
        <w:ind w:right="180" w:firstLine="578"/>
        <w:spacing w:after="0" w:line="239"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3"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27" w:lineRule="exact"/>
        <w:rPr>
          <w:sz w:val="20"/>
          <w:szCs w:val="20"/>
          <w:color w:val="auto"/>
        </w:rPr>
      </w:pPr>
    </w:p>
    <w:p>
      <w:pPr>
        <w:ind w:right="740" w:firstLine="578"/>
        <w:spacing w:after="0" w:line="291"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spacing w:after="0" w:line="262" w:lineRule="auto"/>
        <w:rPr>
          <w:sz w:val="20"/>
          <w:szCs w:val="20"/>
          <w:color w:val="auto"/>
        </w:rPr>
      </w:pPr>
      <w:r>
        <w:rPr>
          <w:rFonts w:ascii="Arial" w:cs="Arial" w:eastAsia="Arial" w:hAnsi="Arial"/>
          <w:sz w:val="17"/>
          <w:szCs w:val="17"/>
          <w:color w:val="auto"/>
        </w:rPr>
        <w:t>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6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For the quarter ended June 30, 2022, we reported a net loss attributable to stockholders of $37.6 million. As of June 30, 2022, we had an accumulated deficit of $618.4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04" w:lineRule="exact"/>
        <w:rPr>
          <w:sz w:val="20"/>
          <w:szCs w:val="20"/>
          <w:color w:val="auto"/>
        </w:rPr>
      </w:pPr>
    </w:p>
    <w:p>
      <w:pPr>
        <w:jc w:val="both"/>
        <w:ind w:right="120" w:firstLine="578"/>
        <w:spacing w:after="0" w:line="248"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04" w:lineRule="exact"/>
        <w:rPr>
          <w:sz w:val="20"/>
          <w:szCs w:val="20"/>
          <w:color w:val="auto"/>
        </w:rPr>
      </w:pPr>
    </w:p>
    <w:p>
      <w:pPr>
        <w:ind w:right="180" w:firstLine="578"/>
        <w:spacing w:after="0" w:line="259"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6" w:lineRule="exact"/>
        <w:rPr>
          <w:sz w:val="20"/>
          <w:szCs w:val="20"/>
          <w:color w:val="auto"/>
        </w:rPr>
      </w:pPr>
    </w:p>
    <w:p>
      <w:pPr>
        <w:ind w:right="120" w:firstLine="584"/>
        <w:spacing w:after="0" w:line="243"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4" w:lineRule="exact"/>
        <w:rPr>
          <w:sz w:val="20"/>
          <w:szCs w:val="20"/>
          <w:color w:val="auto"/>
        </w:rPr>
      </w:pPr>
    </w:p>
    <w:p>
      <w:pPr>
        <w:ind w:right="100" w:firstLine="578"/>
        <w:spacing w:after="0" w:line="276"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COVID-19's global economic impact, including any recessions that has occurred or may occur in the future. In addition, we may discover that we need to conduct additional activities that exceed our current budget to achieve appropriate rates of patient enrollment, which would increase our development costs.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firstLine="578"/>
        <w:spacing w:after="0"/>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8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3" w:lineRule="exact"/>
        <w:rPr>
          <w:sz w:val="20"/>
          <w:szCs w:val="20"/>
          <w:color w:val="auto"/>
        </w:rPr>
      </w:pPr>
    </w:p>
    <w:p>
      <w:pPr>
        <w:ind w:right="40" w:firstLine="578"/>
        <w:spacing w:after="0" w:line="291"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20" w:right="20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need to acquire and implement additional internal systems and infrastructure, including compliance and financial and reporting systems, as we grow our company; and</w:t>
      </w:r>
    </w:p>
    <w:p>
      <w:pPr>
        <w:spacing w:after="0" w:line="62"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39"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3" w:lineRule="exact"/>
        <w:rPr>
          <w:sz w:val="20"/>
          <w:szCs w:val="20"/>
          <w:color w:val="auto"/>
        </w:rPr>
      </w:pPr>
    </w:p>
    <w:p>
      <w:pPr>
        <w:ind w:right="220" w:firstLine="578"/>
        <w:spacing w:after="0" w:line="284" w:lineRule="auto"/>
        <w:rPr>
          <w:sz w:val="20"/>
          <w:szCs w:val="20"/>
          <w:color w:val="auto"/>
        </w:rPr>
      </w:pPr>
      <w:r>
        <w:rPr>
          <w:rFonts w:ascii="Arial" w:cs="Arial" w:eastAsia="Arial" w:hAnsi="Arial"/>
          <w:sz w:val="16"/>
          <w:szCs w:val="16"/>
          <w:color w:val="auto"/>
        </w:rPr>
        <w:t>Our loan and security agreement, or the Loan Agreement, with Hercules Capital, Inc., or Hercules, for aggregate maximum borrowings of up to $80.0 million, or the Credit Facility, is collateralized by substantially all of our and our subsidiaries personal property and other assets, other than our intellectual property. As of June 30, 2022, the outstanding principal balance under the Credit Facility was $20.0 million. The Credit Facility contains customary representations, warranties, affirmative and negative covenants and events of default applicable to us and our subsidiaries.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45" w:name="page46"/>
    <w:bookmarkEnd w:id="45"/>
    <w:p>
      <w:pPr>
        <w:ind w:right="40" w:firstLine="578"/>
        <w:spacing w:after="0" w:line="238"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04" w:lineRule="exact"/>
        <w:rPr>
          <w:sz w:val="20"/>
          <w:szCs w:val="20"/>
          <w:color w:val="auto"/>
        </w:rPr>
      </w:pPr>
    </w:p>
    <w:p>
      <w:pPr>
        <w:ind w:firstLine="578"/>
        <w:spacing w:after="0" w:line="253"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04" w:lineRule="exact"/>
        <w:rPr>
          <w:sz w:val="20"/>
          <w:szCs w:val="20"/>
          <w:color w:val="auto"/>
        </w:rPr>
      </w:pPr>
    </w:p>
    <w:p>
      <w:pPr>
        <w:ind w:right="20" w:firstLine="578"/>
        <w:spacing w:after="0" w:line="241"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1" w:lineRule="exact"/>
        <w:rPr>
          <w:sz w:val="20"/>
          <w:szCs w:val="20"/>
          <w:color w:val="auto"/>
        </w:rPr>
      </w:pPr>
    </w:p>
    <w:p>
      <w:pPr>
        <w:ind w:firstLine="578"/>
        <w:spacing w:after="0" w:line="253"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6" w:lineRule="exact"/>
        <w:rPr>
          <w:sz w:val="20"/>
          <w:szCs w:val="20"/>
          <w:color w:val="auto"/>
        </w:rPr>
      </w:pPr>
    </w:p>
    <w:p>
      <w:pPr>
        <w:jc w:val="both"/>
        <w:ind w:firstLine="578"/>
        <w:spacing w:after="0" w:line="24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40"/>
        <w:spacing w:after="0" w:line="267" w:lineRule="auto"/>
        <w:rPr>
          <w:sz w:val="20"/>
          <w:szCs w:val="20"/>
          <w:color w:val="auto"/>
        </w:rPr>
      </w:pPr>
      <w:r>
        <w:rPr>
          <w:rFonts w:ascii="Arial" w:cs="Arial" w:eastAsia="Arial" w:hAnsi="Arial"/>
          <w:sz w:val="16"/>
          <w:szCs w:val="16"/>
          <w:color w:val="auto"/>
        </w:rPr>
        <w:t>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1" w:lineRule="exact"/>
        <w:rPr>
          <w:sz w:val="20"/>
          <w:szCs w:val="20"/>
          <w:color w:val="auto"/>
        </w:rPr>
      </w:pPr>
    </w:p>
    <w:p>
      <w:pPr>
        <w:ind w:right="100" w:firstLine="578"/>
        <w:spacing w:after="0" w:line="241"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1" w:lineRule="exact"/>
        <w:rPr>
          <w:sz w:val="20"/>
          <w:szCs w:val="20"/>
          <w:color w:val="auto"/>
        </w:rPr>
      </w:pPr>
    </w:p>
    <w:p>
      <w:pPr>
        <w:ind w:right="40" w:firstLine="578"/>
        <w:spacing w:after="0" w:line="252"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United States Patent and Trademark Office, or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5" w:lineRule="exact"/>
        <w:rPr>
          <w:sz w:val="20"/>
          <w:szCs w:val="20"/>
          <w:color w:val="auto"/>
        </w:rPr>
      </w:pPr>
    </w:p>
    <w:p>
      <w:pPr>
        <w:ind w:firstLine="578"/>
        <w:spacing w:after="0" w:line="257"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67" w:lineRule="exact"/>
        <w:rPr>
          <w:sz w:val="20"/>
          <w:szCs w:val="20"/>
          <w:color w:val="auto"/>
        </w:rPr>
      </w:pPr>
    </w:p>
    <w:p>
      <w:pPr>
        <w:ind w:right="60" w:firstLine="578"/>
        <w:spacing w:after="0" w:line="239"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83" w:lineRule="exact"/>
        <w:rPr>
          <w:sz w:val="20"/>
          <w:szCs w:val="20"/>
          <w:color w:val="auto"/>
        </w:rPr>
      </w:pPr>
    </w:p>
    <w:p>
      <w:pPr>
        <w:ind w:right="400" w:firstLine="578"/>
        <w:spacing w:after="0" w:line="248" w:lineRule="auto"/>
        <w:rPr>
          <w:sz w:val="20"/>
          <w:szCs w:val="20"/>
          <w:color w:val="auto"/>
        </w:rPr>
      </w:pPr>
      <w:r>
        <w:rPr>
          <w:rFonts w:ascii="Arial" w:cs="Arial" w:eastAsia="Arial" w:hAnsi="Arial"/>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7"/>
          <w:szCs w:val="17"/>
          <w:color w:val="auto"/>
        </w:rPr>
        <w:t>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20" w:firstLine="578"/>
        <w:spacing w:after="0" w:line="253"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6" w:lineRule="exact"/>
        <w:rPr>
          <w:sz w:val="20"/>
          <w:szCs w:val="20"/>
          <w:color w:val="auto"/>
        </w:rPr>
      </w:pPr>
    </w:p>
    <w:p>
      <w:pPr>
        <w:ind w:right="20" w:firstLine="578"/>
        <w:spacing w:after="0" w:line="25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3" w:lineRule="exact"/>
        <w:rPr>
          <w:sz w:val="20"/>
          <w:szCs w:val="20"/>
          <w:color w:val="auto"/>
        </w:rPr>
      </w:pPr>
    </w:p>
    <w:p>
      <w:pPr>
        <w:ind w:right="20" w:firstLine="578"/>
        <w:spacing w:after="0" w:line="253"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3" w:lineRule="exact"/>
        <w:rPr>
          <w:sz w:val="20"/>
          <w:szCs w:val="20"/>
          <w:color w:val="auto"/>
        </w:rPr>
      </w:pPr>
    </w:p>
    <w:p>
      <w:pPr>
        <w:ind w:right="160" w:firstLine="578"/>
        <w:spacing w:after="0" w:line="257"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67" w:lineRule="exact"/>
        <w:rPr>
          <w:sz w:val="20"/>
          <w:szCs w:val="20"/>
          <w:color w:val="auto"/>
        </w:rPr>
      </w:pPr>
    </w:p>
    <w:p>
      <w:pPr>
        <w:ind w:right="80" w:firstLine="578"/>
        <w:spacing w:after="0" w:line="259"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right="40" w:firstLine="578"/>
        <w:spacing w:after="0" w:line="241"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1"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63" w:lineRule="exact"/>
        <w:rPr>
          <w:sz w:val="20"/>
          <w:szCs w:val="20"/>
          <w:color w:val="auto"/>
        </w:rPr>
      </w:pPr>
    </w:p>
    <w:p>
      <w:pPr>
        <w:ind w:right="40" w:firstLine="578"/>
        <w:spacing w:after="0" w:line="276" w:lineRule="auto"/>
        <w:rPr>
          <w:sz w:val="20"/>
          <w:szCs w:val="20"/>
          <w:color w:val="auto"/>
        </w:rPr>
      </w:pPr>
      <w:r>
        <w:rPr>
          <w:rFonts w:ascii="Arial" w:cs="Arial" w:eastAsia="Arial" w:hAnsi="Arial"/>
          <w:sz w:val="16"/>
          <w:szCs w:val="16"/>
          <w:color w:val="auto"/>
        </w:rPr>
        <w:t>Our commercial success depends upon our ability to develop, manufacture, market and sell revumenib.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54" w:lineRule="exact"/>
        <w:rPr>
          <w:sz w:val="20"/>
          <w:szCs w:val="20"/>
          <w:color w:val="auto"/>
        </w:rPr>
      </w:pPr>
    </w:p>
    <w:p>
      <w:pPr>
        <w:ind w:firstLine="578"/>
        <w:spacing w:after="0" w:line="241"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1" w:lineRule="exact"/>
        <w:rPr>
          <w:sz w:val="20"/>
          <w:szCs w:val="20"/>
          <w:color w:val="auto"/>
        </w:rPr>
      </w:pPr>
    </w:p>
    <w:p>
      <w:pPr>
        <w:ind w:right="40" w:firstLine="578"/>
        <w:spacing w:after="0" w:line="241"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81" w:lineRule="exact"/>
        <w:rPr>
          <w:sz w:val="20"/>
          <w:szCs w:val="20"/>
          <w:color w:val="auto"/>
        </w:rPr>
      </w:pPr>
    </w:p>
    <w:p>
      <w:pPr>
        <w:ind w:right="80" w:firstLine="578"/>
        <w:spacing w:after="0" w:line="261" w:lineRule="auto"/>
        <w:rPr>
          <w:sz w:val="20"/>
          <w:szCs w:val="20"/>
          <w:color w:val="auto"/>
        </w:rPr>
      </w:pPr>
      <w:r>
        <w:rPr>
          <w:rFonts w:ascii="Arial" w:cs="Arial" w:eastAsia="Arial" w:hAnsi="Arial"/>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7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3" w:lineRule="exact"/>
        <w:rPr>
          <w:sz w:val="20"/>
          <w:szCs w:val="20"/>
          <w:color w:val="auto"/>
        </w:rPr>
      </w:pPr>
    </w:p>
    <w:p>
      <w:pPr>
        <w:ind w:right="60" w:firstLine="578"/>
        <w:spacing w:after="0" w:line="241"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1" w:lineRule="exact"/>
        <w:rPr>
          <w:sz w:val="20"/>
          <w:szCs w:val="20"/>
          <w:color w:val="auto"/>
        </w:rPr>
      </w:pPr>
    </w:p>
    <w:p>
      <w:pPr>
        <w:ind w:right="40" w:firstLine="578"/>
        <w:spacing w:after="0" w:line="274"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5" w:lineRule="exact"/>
        <w:rPr>
          <w:sz w:val="20"/>
          <w:szCs w:val="20"/>
          <w:color w:val="auto"/>
        </w:rPr>
      </w:pPr>
    </w:p>
    <w:p>
      <w:pPr>
        <w:ind w:right="100" w:firstLine="578"/>
        <w:spacing w:after="0" w:line="241"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spacing w:after="0" w:line="261" w:lineRule="auto"/>
        <w:rPr>
          <w:sz w:val="20"/>
          <w:szCs w:val="20"/>
          <w:color w:val="auto"/>
        </w:rPr>
      </w:pPr>
      <w:r>
        <w:rPr>
          <w:rFonts w:ascii="Arial" w:cs="Arial" w:eastAsia="Arial" w:hAnsi="Arial"/>
          <w:sz w:val="18"/>
          <w:szCs w:val="18"/>
          <w:color w:val="auto"/>
        </w:rPr>
        <w:t>license agreement if we seek to revoke or challenge the validity of any patent licensed to us by Bayer under the Bayer license agreement or if we procure or assist a third party to take any such action.</w:t>
      </w:r>
    </w:p>
    <w:p>
      <w:pPr>
        <w:spacing w:after="0" w:line="63"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15" w:lineRule="exact"/>
        <w:rPr>
          <w:sz w:val="20"/>
          <w:szCs w:val="20"/>
          <w:color w:val="auto"/>
        </w:rPr>
      </w:pPr>
    </w:p>
    <w:p>
      <w:pPr>
        <w:ind w:right="40" w:firstLine="578"/>
        <w:spacing w:after="0" w:line="252"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8" w:lineRule="exact"/>
        <w:rPr>
          <w:sz w:val="20"/>
          <w:szCs w:val="20"/>
          <w:color w:val="auto"/>
        </w:rPr>
      </w:pPr>
    </w:p>
    <w:p>
      <w:pPr>
        <w:ind w:firstLine="578"/>
        <w:spacing w:after="0" w:line="253"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4"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right="20" w:firstLine="578"/>
        <w:spacing w:after="0" w:line="254"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3" w:lineRule="exact"/>
        <w:rPr>
          <w:sz w:val="20"/>
          <w:szCs w:val="20"/>
          <w:color w:val="auto"/>
        </w:rPr>
      </w:pPr>
    </w:p>
    <w:p>
      <w:pPr>
        <w:ind w:right="120" w:firstLine="578"/>
        <w:spacing w:after="0" w:line="253"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ind w:right="280"/>
        <w:spacing w:after="0" w:line="261" w:lineRule="auto"/>
        <w:rPr>
          <w:sz w:val="20"/>
          <w:szCs w:val="20"/>
          <w:color w:val="auto"/>
        </w:rPr>
      </w:pPr>
      <w:r>
        <w:rPr>
          <w:rFonts w:ascii="Arial" w:cs="Arial" w:eastAsia="Arial" w:hAnsi="Arial"/>
          <w:sz w:val="18"/>
          <w:szCs w:val="18"/>
          <w:color w:val="auto"/>
        </w:rPr>
        <w:t>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63" w:lineRule="exact"/>
        <w:rPr>
          <w:sz w:val="20"/>
          <w:szCs w:val="20"/>
          <w:color w:val="auto"/>
        </w:rPr>
      </w:pPr>
    </w:p>
    <w:p>
      <w:pPr>
        <w:ind w:right="80" w:firstLine="578"/>
        <w:spacing w:after="0" w:line="252"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8" w:lineRule="exact"/>
        <w:rPr>
          <w:sz w:val="20"/>
          <w:szCs w:val="20"/>
          <w:color w:val="auto"/>
        </w:rPr>
      </w:pPr>
    </w:p>
    <w:p>
      <w:pPr>
        <w:ind w:right="60" w:firstLine="578"/>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4" w:lineRule="exact"/>
        <w:rPr>
          <w:sz w:val="20"/>
          <w:szCs w:val="20"/>
          <w:color w:val="auto"/>
        </w:rPr>
      </w:pPr>
    </w:p>
    <w:p>
      <w:pPr>
        <w:ind w:right="40" w:firstLine="578"/>
        <w:spacing w:after="0"/>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1" w:lineRule="exact"/>
        <w:rPr>
          <w:sz w:val="20"/>
          <w:szCs w:val="20"/>
          <w:color w:val="auto"/>
        </w:rPr>
      </w:pPr>
    </w:p>
    <w:p>
      <w:pPr>
        <w:ind w:firstLine="578"/>
        <w:spacing w:after="0" w:line="239"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3" w:lineRule="exact"/>
        <w:rPr>
          <w:sz w:val="20"/>
          <w:szCs w:val="20"/>
          <w:color w:val="auto"/>
        </w:rPr>
      </w:pPr>
    </w:p>
    <w:p>
      <w:pPr>
        <w:jc w:val="both"/>
        <w:ind w:right="140" w:firstLine="578"/>
        <w:spacing w:after="0"/>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1" w:lineRule="exact"/>
        <w:rPr>
          <w:sz w:val="20"/>
          <w:szCs w:val="20"/>
          <w:color w:val="auto"/>
        </w:rPr>
      </w:pPr>
    </w:p>
    <w:p>
      <w:pPr>
        <w:ind w:right="20" w:firstLine="578"/>
        <w:spacing w:after="0" w:line="248"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4" w:lineRule="exact"/>
        <w:rPr>
          <w:sz w:val="20"/>
          <w:szCs w:val="20"/>
          <w:color w:val="auto"/>
        </w:rPr>
      </w:pPr>
    </w:p>
    <w:p>
      <w:pPr>
        <w:ind w:right="60" w:firstLine="578"/>
        <w:spacing w:after="0" w:line="262"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04" w:lineRule="exact"/>
        <w:rPr>
          <w:sz w:val="20"/>
          <w:szCs w:val="20"/>
          <w:color w:val="auto"/>
        </w:rPr>
      </w:pPr>
    </w:p>
    <w:p>
      <w:pPr>
        <w:ind w:right="160" w:firstLine="578"/>
        <w:spacing w:after="0" w:line="291"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9"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but not limited to the ongoing impact of the COVID-19 pandemic and the Russia Ukraine war.</w:t>
      </w:r>
    </w:p>
    <w:p>
      <w:pPr>
        <w:spacing w:after="0" w:line="63" w:lineRule="exact"/>
        <w:rPr>
          <w:sz w:val="20"/>
          <w:szCs w:val="20"/>
          <w:color w:val="auto"/>
        </w:rPr>
      </w:pPr>
    </w:p>
    <w:p>
      <w:pPr>
        <w:ind w:right="460" w:firstLine="578"/>
        <w:spacing w:after="0" w:line="282" w:lineRule="auto"/>
        <w:rPr>
          <w:sz w:val="20"/>
          <w:szCs w:val="20"/>
          <w:color w:val="auto"/>
        </w:rPr>
      </w:pPr>
      <w:r>
        <w:rPr>
          <w:rFonts w:ascii="Arial" w:cs="Arial" w:eastAsia="Arial" w:hAnsi="Arial"/>
          <w:sz w:val="16"/>
          <w:szCs w:val="16"/>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w:t>
      </w:r>
    </w:p>
    <w:p>
      <w:pPr>
        <w:ind w:right="500"/>
        <w:spacing w:after="0" w:line="248" w:lineRule="auto"/>
        <w:rPr>
          <w:sz w:val="20"/>
          <w:szCs w:val="20"/>
          <w:color w:val="auto"/>
        </w:rPr>
      </w:pPr>
      <w:r>
        <w:rPr>
          <w:rFonts w:ascii="Arial" w:cs="Arial" w:eastAsia="Arial" w:hAnsi="Arial"/>
          <w:sz w:val="18"/>
          <w:szCs w:val="18"/>
          <w:color w:val="auto"/>
        </w:rPr>
        <w:t>companies, including recently in connection with the ongoing COVID-19 pandemic, which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540"/>
        <w:spacing w:after="0" w:line="261" w:lineRule="auto"/>
        <w:rPr>
          <w:sz w:val="20"/>
          <w:szCs w:val="20"/>
          <w:color w:val="auto"/>
        </w:rPr>
      </w:pPr>
      <w:r>
        <w:rPr>
          <w:rFonts w:ascii="Arial" w:cs="Arial" w:eastAsia="Arial" w:hAnsi="Arial"/>
          <w:sz w:val="18"/>
          <w:szCs w:val="18"/>
          <w:color w:val="auto"/>
        </w:rPr>
        <w:t>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115" w:lineRule="exact"/>
        <w:rPr>
          <w:sz w:val="20"/>
          <w:szCs w:val="20"/>
          <w:color w:val="auto"/>
        </w:rPr>
      </w:pPr>
    </w:p>
    <w:p>
      <w:pPr>
        <w:ind w:right="20" w:firstLine="562"/>
        <w:spacing w:after="0" w:line="253"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Russia 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spacing w:after="0" w:line="18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3" w:lineRule="exact"/>
        <w:rPr>
          <w:sz w:val="20"/>
          <w:szCs w:val="20"/>
          <w:color w:val="auto"/>
        </w:rPr>
      </w:pPr>
    </w:p>
    <w:p>
      <w:pPr>
        <w:ind w:right="80" w:firstLine="578"/>
        <w:spacing w:after="0" w:line="272" w:lineRule="auto"/>
        <w:rPr>
          <w:sz w:val="20"/>
          <w:szCs w:val="20"/>
          <w:color w:val="auto"/>
        </w:rPr>
      </w:pPr>
      <w:r>
        <w:rPr>
          <w:rFonts w:ascii="Arial" w:cs="Arial" w:eastAsia="Arial" w:hAnsi="Arial"/>
          <w:sz w:val="16"/>
          <w:szCs w:val="16"/>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during 2021, we sold a total of 3,802,144 shares of our common stock and pre-funded warrants to purchase 1,142,856 shares of our common stock. The pre-funded warrants are exercisable into shares of common stock for $0.0001 per share. The shares of common stock into which the warrants may be exercised are considered outstanding for the purposes of computing earnings per share. As of June 30, 2022, we had 3,975,024 pre-funded warrants outstanding. Additionally, in April 2022, the Company sold 1,111,111 common shares under the 2021 ATM Program, with net proceeds of approximately $19.4 million. The issuance of these shares of our common stock resulted, and any future issuance pursuant to the exercise of the outstanding pre-funded warrants will result, in dilution to our stockholders.</w:t>
      </w:r>
    </w:p>
    <w:p>
      <w:pPr>
        <w:spacing w:after="0" w:line="60" w:lineRule="exact"/>
        <w:rPr>
          <w:sz w:val="20"/>
          <w:szCs w:val="20"/>
          <w:color w:val="auto"/>
        </w:rPr>
      </w:pPr>
    </w:p>
    <w:p>
      <w:pPr>
        <w:ind w:firstLine="578"/>
        <w:spacing w:after="0" w:line="269" w:lineRule="auto"/>
        <w:rPr>
          <w:sz w:val="20"/>
          <w:szCs w:val="20"/>
          <w:color w:val="auto"/>
        </w:rPr>
      </w:pPr>
      <w:r>
        <w:rPr>
          <w:rFonts w:ascii="Arial" w:cs="Arial" w:eastAsia="Arial" w:hAnsi="Arial"/>
          <w:sz w:val="16"/>
          <w:szCs w:val="16"/>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December 22, 2021, we entered into Amendment No. 1 to our Loan Agreement with Hercules, which provided for increased aggregate maximum borrowings of up to $80.0 million in multiple tranches. Our only borrowings to date under the Loan Agreement are the first tranche of $20.0 million, which we drew upon on February 7,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3" w:lineRule="exact"/>
        <w:rPr>
          <w:sz w:val="20"/>
          <w:szCs w:val="20"/>
          <w:color w:val="auto"/>
        </w:rPr>
      </w:pPr>
    </w:p>
    <w:p>
      <w:pPr>
        <w:jc w:val="both"/>
        <w:ind w:right="100" w:firstLine="578"/>
        <w:spacing w:after="0" w:line="248"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right="48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As of June 30, 2022, our executive officers, directors, holders of 5% or more of our capital stock and their respective affiliates beneficially owned approximately 33.8%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jc w:val="both"/>
        <w:ind w:right="40" w:firstLine="509"/>
        <w:spacing w:after="0" w:line="270"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4"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5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Beginning with our annual report on Form 10-K for the year ending December 31, 2021, we were required to include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7"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spacing w:after="0" w:line="269" w:lineRule="auto"/>
        <w:rPr>
          <w:sz w:val="20"/>
          <w:szCs w:val="20"/>
          <w:color w:val="auto"/>
        </w:rPr>
      </w:pPr>
      <w:r>
        <w:rPr>
          <w:rFonts w:ascii="Arial" w:cs="Arial" w:eastAsia="Arial" w:hAnsi="Arial"/>
          <w:sz w:val="16"/>
          <w:szCs w:val="16"/>
          <w:color w:val="auto"/>
        </w:rPr>
        <w:t>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investors are willing to pay for our common stock.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0" w:type="dxa"/>
            <w:vAlign w:val="bottom"/>
            <w:gridSpan w:val="10"/>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FF"/>
                <w:w w:val="94"/>
              </w:rPr>
            </w:pPr>
            <w:hyperlink r:id="rId232">
              <w:r>
                <w:rPr>
                  <w:rFonts w:ascii="Arial" w:cs="Arial" w:eastAsia="Arial" w:hAnsi="Arial"/>
                  <w:sz w:val="18"/>
                  <w:szCs w:val="18"/>
                  <w:color w:val="0000FF"/>
                  <w:w w:val="94"/>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32">
              <w:r>
                <w:rPr>
                  <w:rFonts w:ascii="Arial" w:cs="Arial" w:eastAsia="Arial" w:hAnsi="Arial"/>
                  <w:sz w:val="18"/>
                  <w:szCs w:val="18"/>
                  <w:color w:val="0000FF"/>
                  <w:w w:val="91"/>
                </w:rPr>
                <w:t>Current Report on Form 8-K (File No. 001-37708), as filed with the SEC on March 8, 2016).</w:t>
              </w:r>
            </w:hyperlink>
          </w:p>
        </w:tc>
        <w:tc>
          <w:tcPr>
            <w:tcW w:w="302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FF"/>
                <w:w w:val="91"/>
              </w:rPr>
            </w:pPr>
            <w:hyperlink r:id="rId233">
              <w:r>
                <w:rPr>
                  <w:rFonts w:ascii="Arial" w:cs="Arial" w:eastAsia="Arial" w:hAnsi="Arial"/>
                  <w:sz w:val="18"/>
                  <w:szCs w:val="18"/>
                  <w:color w:val="0000FF"/>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8-K (File No. 001-37708), as filed with the SEC on March 8, 2016).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080" w:type="dxa"/>
            <w:vAlign w:val="bottom"/>
            <w:tcBorders>
              <w:bottom w:val="single" w:sz="8" w:color="0000FF"/>
            </w:tcBorders>
            <w:gridSpan w:val="6"/>
          </w:tcPr>
          <w:p>
            <w:pPr>
              <w:spacing w:after="0"/>
              <w:rPr>
                <w:rFonts w:ascii="Arial" w:cs="Arial" w:eastAsia="Arial" w:hAnsi="Arial"/>
                <w:sz w:val="18"/>
                <w:szCs w:val="18"/>
                <w:color w:val="0000FF"/>
                <w:w w:val="89"/>
              </w:rPr>
            </w:pPr>
            <w:hyperlink r:id="rId234">
              <w:r>
                <w:rPr>
                  <w:rFonts w:ascii="Arial" w:cs="Arial" w:eastAsia="Arial" w:hAnsi="Arial"/>
                  <w:sz w:val="18"/>
                  <w:szCs w:val="18"/>
                  <w:color w:val="0000FF"/>
                  <w:w w:val="89"/>
                </w:rPr>
                <w:t>Mutual Release and Settlement Agreement by and between the Company and UCB Biopharma SRL, dated as of June 6, 2022.</w:t>
              </w:r>
            </w:hyperlink>
          </w:p>
        </w:tc>
        <w:tc>
          <w:tcPr>
            <w:tcW w:w="20" w:type="dxa"/>
            <w:vAlign w:val="bottom"/>
            <w:tcBorders>
              <w:bottom w:val="single" w:sz="8" w:color="0000EE"/>
            </w:tcBorders>
          </w:tcPr>
          <w:p>
            <w:pPr>
              <w:spacing w:after="0"/>
              <w:rPr>
                <w:sz w:val="24"/>
                <w:szCs w:val="24"/>
                <w:color w:val="auto"/>
              </w:rPr>
            </w:pPr>
          </w:p>
        </w:tc>
        <w:tc>
          <w:tcPr>
            <w:tcW w:w="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w:anchor="page65">
              <w:r>
                <w:rPr>
                  <w:rFonts w:ascii="Arial" w:cs="Arial" w:eastAsia="Arial" w:hAnsi="Arial"/>
                  <w:sz w:val="18"/>
                  <w:szCs w:val="18"/>
                  <w:color w:val="0000FF"/>
                  <w:w w:val="85"/>
                </w:rPr>
                <w:t>1934, as 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860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FF"/>
                <w:w w:val="93"/>
              </w:rPr>
            </w:pPr>
            <w:hyperlink w:anchor="page66">
              <w:r>
                <w:rPr>
                  <w:rFonts w:ascii="Arial" w:cs="Arial" w:eastAsia="Arial" w:hAnsi="Arial"/>
                  <w:sz w:val="18"/>
                  <w:szCs w:val="18"/>
                  <w:color w:val="0000FF"/>
                  <w:w w:val="93"/>
                </w:rPr>
                <w:t>Certification of Principal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w:anchor="page66">
              <w:r>
                <w:rPr>
                  <w:rFonts w:ascii="Arial" w:cs="Arial" w:eastAsia="Arial" w:hAnsi="Arial"/>
                  <w:sz w:val="18"/>
                  <w:szCs w:val="18"/>
                  <w:color w:val="0000FF"/>
                  <w:w w:val="85"/>
                </w:rPr>
                <w:t>1934, as 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8560" w:type="dxa"/>
            <w:vAlign w:val="bottom"/>
            <w:tcBorders>
              <w:top w:val="single" w:sz="8" w:color="0000FF"/>
            </w:tcBorders>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FF"/>
                <w:w w:val="93"/>
              </w:rPr>
            </w:pPr>
            <w:hyperlink w:anchor="page67">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906 of the Sarbanes-Oxley Act of 2002.</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60" w:right="100" w:hanging="1139"/>
        <w:spacing w:after="0" w:line="219"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June 30, 2022,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109" w:lineRule="exact"/>
        <w:rPr>
          <w:sz w:val="20"/>
          <w:szCs w:val="20"/>
          <w:color w:val="auto"/>
        </w:rPr>
      </w:pPr>
    </w:p>
    <w:p>
      <w:pPr>
        <w:ind w:left="1160" w:hanging="1139"/>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1" w:lineRule="exact"/>
        <w:rPr>
          <w:rFonts w:ascii="Arial" w:cs="Arial" w:eastAsia="Arial" w:hAnsi="Arial"/>
          <w:sz w:val="18"/>
          <w:szCs w:val="18"/>
          <w:color w:val="auto"/>
        </w:rPr>
      </w:pPr>
    </w:p>
    <w:p>
      <w:pPr>
        <w:ind w:right="140" w:firstLine="8"/>
        <w:spacing w:after="0" w:line="244" w:lineRule="auto"/>
        <w:tabs>
          <w:tab w:leader="none" w:pos="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601(b)(10)(iv). The Registrant agrees to furnish a copy of all omitted exhibits and schedules to the SEC upon its request.</w:t>
      </w:r>
    </w:p>
    <w:p>
      <w:pPr>
        <w:jc w:val="both"/>
        <w:ind w:right="140"/>
        <w:spacing w:after="0" w:line="260" w:lineRule="auto"/>
        <w:rPr>
          <w:rFonts w:ascii="Arial" w:cs="Arial" w:eastAsia="Arial" w:hAnsi="Arial"/>
          <w:sz w:val="18"/>
          <w:szCs w:val="18"/>
          <w:color w:val="auto"/>
        </w:rPr>
      </w:pPr>
      <w:r>
        <w:rPr>
          <w:rFonts w:ascii="Arial" w:cs="Arial" w:eastAsia="Arial" w:hAnsi="Arial"/>
          <w:sz w:val="17"/>
          <w:szCs w:val="17"/>
          <w:color w:val="auto"/>
        </w:rPr>
        <w:t>* 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9512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198"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Metzger</w:t>
      </w:r>
    </w:p>
    <w:p>
      <w:pPr>
        <w:ind w:left="72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A. Goldan</w:t>
      </w:r>
    </w:p>
    <w:p>
      <w:pPr>
        <w:ind w:left="724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7" w:name="page58"/>
    <w:bookmarkEnd w:id="57"/>
    <w:p>
      <w:pPr>
        <w:ind w:left="1012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Certain identified information marked with [***] has been excluded from the exhibit because it is both not material and is the type that the registrant treats as private or confidential.</w:t>
      </w:r>
    </w:p>
    <w:p>
      <w:pPr>
        <w:spacing w:after="0" w:line="168" w:lineRule="exact"/>
        <w:rPr>
          <w:sz w:val="20"/>
          <w:szCs w:val="20"/>
          <w:color w:val="auto"/>
        </w:rPr>
      </w:pPr>
    </w:p>
    <w:p>
      <w:pPr>
        <w:ind w:left="9380"/>
        <w:spacing w:after="0"/>
        <w:rPr>
          <w:sz w:val="20"/>
          <w:szCs w:val="20"/>
          <w:color w:val="auto"/>
        </w:rPr>
      </w:pPr>
      <w:r>
        <w:rPr>
          <w:rFonts w:ascii="Arial" w:cs="Arial" w:eastAsia="Arial" w:hAnsi="Arial"/>
          <w:sz w:val="19"/>
          <w:szCs w:val="19"/>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MUTUAL RELEASE AND SETTLEMENT AGREEMENT</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This Mutual Release and Settlement Agreement (the “</w:t>
      </w:r>
      <w:r>
        <w:rPr>
          <w:rFonts w:ascii="Arial" w:cs="Arial" w:eastAsia="Arial" w:hAnsi="Arial"/>
          <w:sz w:val="22"/>
          <w:szCs w:val="22"/>
          <w:b w:val="1"/>
          <w:bCs w:val="1"/>
          <w:color w:val="auto"/>
        </w:rPr>
        <w:t>Settlement Agreement</w:t>
      </w:r>
      <w:r>
        <w:rPr>
          <w:rFonts w:ascii="Arial" w:cs="Arial" w:eastAsia="Arial" w:hAnsi="Arial"/>
          <w:sz w:val="22"/>
          <w:szCs w:val="22"/>
          <w:color w:val="auto"/>
        </w:rPr>
        <w:t>”), effective as of the last date signed below (the “</w:t>
      </w:r>
      <w:r>
        <w:rPr>
          <w:rFonts w:ascii="Arial" w:cs="Arial" w:eastAsia="Arial" w:hAnsi="Arial"/>
          <w:sz w:val="22"/>
          <w:szCs w:val="22"/>
          <w:b w:val="1"/>
          <w:bCs w:val="1"/>
          <w:color w:val="auto"/>
        </w:rPr>
        <w:t>Settlement Date</w:t>
      </w:r>
      <w:r>
        <w:rPr>
          <w:rFonts w:ascii="Arial" w:cs="Arial" w:eastAsia="Arial" w:hAnsi="Arial"/>
          <w:sz w:val="22"/>
          <w:szCs w:val="22"/>
          <w:color w:val="auto"/>
        </w:rPr>
        <w:t>”), is made and entered into by and between:</w:t>
      </w:r>
    </w:p>
    <w:p>
      <w:pPr>
        <w:spacing w:after="0" w:line="155" w:lineRule="exact"/>
        <w:rPr>
          <w:sz w:val="20"/>
          <w:szCs w:val="20"/>
          <w:color w:val="auto"/>
        </w:rPr>
      </w:pPr>
    </w:p>
    <w:p>
      <w:pPr>
        <w:ind w:left="1500" w:right="20" w:hanging="690"/>
        <w:spacing w:after="0" w:line="259" w:lineRule="exact"/>
        <w:tabs>
          <w:tab w:leader="none" w:pos="1237" w:val="left"/>
        </w:tabs>
        <w:numPr>
          <w:ilvl w:val="0"/>
          <w:numId w:val="42"/>
        </w:numPr>
        <w:rPr>
          <w:rFonts w:ascii="Arial" w:cs="Arial" w:eastAsia="Arial" w:hAnsi="Arial"/>
          <w:sz w:val="22"/>
          <w:szCs w:val="22"/>
          <w:color w:val="auto"/>
        </w:rPr>
      </w:pPr>
      <w:r>
        <w:rPr>
          <w:rFonts w:ascii="Arial" w:cs="Arial" w:eastAsia="Arial" w:hAnsi="Arial"/>
          <w:sz w:val="22"/>
          <w:szCs w:val="22"/>
          <w:color w:val="auto"/>
        </w:rPr>
        <w:t>UCB Biopharma SRL, a Belgian corporation with offices located at Allée de la Recherche 60, B</w:t>
      </w:r>
      <w:r>
        <w:rPr>
          <w:rFonts w:ascii="MS PGothic" w:cs="MS PGothic" w:eastAsia="MS PGothic" w:hAnsi="MS PGothic"/>
          <w:sz w:val="22"/>
          <w:szCs w:val="22"/>
          <w:color w:val="auto"/>
        </w:rPr>
        <w:t>‑</w:t>
      </w:r>
      <w:r>
        <w:rPr>
          <w:rFonts w:ascii="Arial" w:cs="Arial" w:eastAsia="Arial" w:hAnsi="Arial"/>
          <w:sz w:val="22"/>
          <w:szCs w:val="22"/>
          <w:color w:val="auto"/>
        </w:rPr>
        <w:t>1070 Brussels, Belgium (“</w:t>
      </w:r>
      <w:r>
        <w:rPr>
          <w:rFonts w:ascii="Arial" w:cs="Arial" w:eastAsia="Arial" w:hAnsi="Arial"/>
          <w:sz w:val="22"/>
          <w:szCs w:val="22"/>
          <w:b w:val="1"/>
          <w:bCs w:val="1"/>
          <w:color w:val="auto"/>
        </w:rPr>
        <w:t>UCB</w:t>
      </w:r>
      <w:r>
        <w:rPr>
          <w:rFonts w:ascii="Arial" w:cs="Arial" w:eastAsia="Arial" w:hAnsi="Arial"/>
          <w:sz w:val="22"/>
          <w:szCs w:val="22"/>
          <w:color w:val="auto"/>
        </w:rPr>
        <w:t>”); and</w:t>
      </w:r>
    </w:p>
    <w:p>
      <w:pPr>
        <w:spacing w:after="0" w:line="172" w:lineRule="exact"/>
        <w:rPr>
          <w:rFonts w:ascii="Arial" w:cs="Arial" w:eastAsia="Arial" w:hAnsi="Arial"/>
          <w:sz w:val="22"/>
          <w:szCs w:val="22"/>
          <w:color w:val="auto"/>
        </w:rPr>
      </w:pPr>
    </w:p>
    <w:p>
      <w:pPr>
        <w:ind w:left="1500" w:right="40" w:hanging="690"/>
        <w:spacing w:after="0" w:line="250" w:lineRule="auto"/>
        <w:tabs>
          <w:tab w:leader="none" w:pos="1237" w:val="left"/>
        </w:tabs>
        <w:numPr>
          <w:ilvl w:val="0"/>
          <w:numId w:val="42"/>
        </w:numPr>
        <w:rPr>
          <w:rFonts w:ascii="Arial" w:cs="Arial" w:eastAsia="Arial" w:hAnsi="Arial"/>
          <w:sz w:val="22"/>
          <w:szCs w:val="22"/>
          <w:color w:val="auto"/>
        </w:rPr>
      </w:pPr>
      <w:r>
        <w:rPr>
          <w:rFonts w:ascii="Arial" w:cs="Arial" w:eastAsia="Arial" w:hAnsi="Arial"/>
          <w:sz w:val="22"/>
          <w:szCs w:val="22"/>
          <w:color w:val="auto"/>
        </w:rPr>
        <w:t>Syndax Pharmaceuticals, Inc., a Delaware corporation with offices located at 35 Gatehouse Drive, Building D, Floor 3, Waltham, Massachusetts 02451, USA (“</w:t>
      </w:r>
      <w:r>
        <w:rPr>
          <w:rFonts w:ascii="Arial" w:cs="Arial" w:eastAsia="Arial" w:hAnsi="Arial"/>
          <w:sz w:val="22"/>
          <w:szCs w:val="22"/>
          <w:b w:val="1"/>
          <w:bCs w:val="1"/>
          <w:color w:val="auto"/>
        </w:rPr>
        <w:t>Syndax</w:t>
      </w:r>
      <w:r>
        <w:rPr>
          <w:rFonts w:ascii="Arial" w:cs="Arial" w:eastAsia="Arial" w:hAnsi="Arial"/>
          <w:sz w:val="22"/>
          <w:szCs w:val="22"/>
          <w:color w:val="auto"/>
        </w:rPr>
        <w:t>”).</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Each of UCB and Syndax are sometimes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and any capitalized terms which are used but not expressly defined in this Settlement Agreement shall have their respective meanings as set forth in the License Agreement dated July 01, 2016, between UCB and Syndax, as amended (the “</w:t>
      </w:r>
      <w:r>
        <w:rPr>
          <w:rFonts w:ascii="Arial" w:cs="Arial" w:eastAsia="Arial" w:hAnsi="Arial"/>
          <w:sz w:val="19"/>
          <w:szCs w:val="19"/>
          <w:b w:val="1"/>
          <w:bCs w:val="1"/>
          <w:color w:val="auto"/>
        </w:rPr>
        <w:t>License Agreement</w:t>
      </w:r>
      <w:r>
        <w:rPr>
          <w:rFonts w:ascii="Arial" w:cs="Arial" w:eastAsia="Arial" w:hAnsi="Arial"/>
          <w:sz w:val="19"/>
          <w:szCs w:val="19"/>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757"/>
        <w:spacing w:after="0"/>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Under the terms of the License Agreement, Syndax is developing the Compound (which is a CSF1R specific antibody discovered and initially developed by UCB, and is referred to variously as UCB6352, SNDX-6352 and by the INN name axatilimab);</w:t>
      </w:r>
    </w:p>
    <w:p>
      <w:pPr>
        <w:spacing w:after="0" w:line="186" w:lineRule="exact"/>
        <w:rPr>
          <w:rFonts w:ascii="Arial" w:cs="Arial" w:eastAsia="Arial" w:hAnsi="Arial"/>
          <w:sz w:val="22"/>
          <w:szCs w:val="22"/>
          <w:color w:val="auto"/>
        </w:rPr>
      </w:pPr>
    </w:p>
    <w:p>
      <w:pPr>
        <w:jc w:val="both"/>
        <w:ind w:firstLine="757"/>
        <w:spacing w:after="0"/>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On [***], Syndax informed UCB that [***], and that Syndax believed [***] constituted achievement of Milestone Event #[***] under Section 4.2 of the License Agreement, identified as “[***]”, and requested that UCB send an invoice to Syndax for the milestone payment triggered by achievement of Milestone Event #[***];</w:t>
      </w:r>
    </w:p>
    <w:p>
      <w:pPr>
        <w:spacing w:after="0" w:line="186" w:lineRule="exact"/>
        <w:rPr>
          <w:rFonts w:ascii="Arial" w:cs="Arial" w:eastAsia="Arial" w:hAnsi="Arial"/>
          <w:sz w:val="22"/>
          <w:szCs w:val="22"/>
          <w:color w:val="auto"/>
        </w:rPr>
      </w:pPr>
    </w:p>
    <w:p>
      <w:pPr>
        <w:jc w:val="both"/>
        <w:ind w:right="20" w:firstLine="757"/>
        <w:spacing w:after="0"/>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On [***], UCB sent to Syndax an invoice (identified as invoice no. [***]) in the amount of the milestone payment triggered by achievement of Milestone Event #[***], which amount was subsequently paid by Syndax to UCB (the “</w:t>
      </w:r>
      <w:r>
        <w:rPr>
          <w:rFonts w:ascii="Arial" w:cs="Arial" w:eastAsia="Arial" w:hAnsi="Arial"/>
          <w:sz w:val="22"/>
          <w:szCs w:val="22"/>
          <w:b w:val="1"/>
          <w:bCs w:val="1"/>
          <w:color w:val="auto"/>
        </w:rPr>
        <w:t>March 2021</w:t>
      </w:r>
      <w:r>
        <w:rPr>
          <w:rFonts w:ascii="Arial" w:cs="Arial" w:eastAsia="Arial" w:hAnsi="Arial"/>
          <w:sz w:val="22"/>
          <w:szCs w:val="22"/>
          <w:color w:val="auto"/>
        </w:rPr>
        <w:t xml:space="preserve"> </w:t>
      </w:r>
      <w:r>
        <w:rPr>
          <w:rFonts w:ascii="Arial" w:cs="Arial" w:eastAsia="Arial" w:hAnsi="Arial"/>
          <w:sz w:val="22"/>
          <w:szCs w:val="22"/>
          <w:b w:val="1"/>
          <w:bCs w:val="1"/>
          <w:color w:val="auto"/>
        </w:rPr>
        <w:t>Payment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757"/>
        <w:spacing w:after="0" w:line="249" w:lineRule="auto"/>
        <w:tabs>
          <w:tab w:leader="none" w:pos="1181" w:val="left"/>
        </w:tabs>
        <w:numPr>
          <w:ilvl w:val="0"/>
          <w:numId w:val="43"/>
        </w:numPr>
        <w:rPr>
          <w:rFonts w:ascii="Arial" w:cs="Arial" w:eastAsia="Arial" w:hAnsi="Arial"/>
          <w:sz w:val="21"/>
          <w:szCs w:val="21"/>
          <w:color w:val="auto"/>
        </w:rPr>
      </w:pPr>
      <w:r>
        <w:rPr>
          <w:rFonts w:ascii="Arial" w:cs="Arial" w:eastAsia="Arial" w:hAnsi="Arial"/>
          <w:sz w:val="21"/>
          <w:szCs w:val="21"/>
          <w:color w:val="auto"/>
        </w:rPr>
        <w:t>Syndax and Incyte Corporation, a Delaware corporation with offices at 1801 Augustine Cut-Off, Wilmington, Delaware 19803, USA (“</w:t>
      </w:r>
      <w:r>
        <w:rPr>
          <w:rFonts w:ascii="Arial" w:cs="Arial" w:eastAsia="Arial" w:hAnsi="Arial"/>
          <w:sz w:val="21"/>
          <w:szCs w:val="21"/>
          <w:b w:val="1"/>
          <w:bCs w:val="1"/>
          <w:color w:val="auto"/>
        </w:rPr>
        <w:t>Incyte</w:t>
      </w:r>
      <w:r>
        <w:rPr>
          <w:rFonts w:ascii="Arial" w:cs="Arial" w:eastAsia="Arial" w:hAnsi="Arial"/>
          <w:sz w:val="21"/>
          <w:szCs w:val="21"/>
          <w:color w:val="auto"/>
        </w:rPr>
        <w:t>”), signed a Collaboration and License Agreement, dated September 24, 2021 (the “</w:t>
      </w:r>
      <w:r>
        <w:rPr>
          <w:rFonts w:ascii="Arial" w:cs="Arial" w:eastAsia="Arial" w:hAnsi="Arial"/>
          <w:sz w:val="21"/>
          <w:szCs w:val="21"/>
          <w:b w:val="1"/>
          <w:bCs w:val="1"/>
          <w:color w:val="auto"/>
        </w:rPr>
        <w:t>Syndax-Incyte Agreement</w:t>
      </w:r>
      <w:r>
        <w:rPr>
          <w:rFonts w:ascii="Arial" w:cs="Arial" w:eastAsia="Arial" w:hAnsi="Arial"/>
          <w:sz w:val="21"/>
          <w:szCs w:val="21"/>
          <w:color w:val="auto"/>
        </w:rPr>
        <w:t>”), to establish a global collaboration for the further worldwide development and commercialization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axatilimab, and which granted Incyte the exclusive commercialization rights for products containing axatilimab, but subject to certain co-commercialization rights which were retained by Syndax in the U.S.;</w:t>
      </w:r>
    </w:p>
    <w:p>
      <w:pPr>
        <w:spacing w:after="0" w:line="178" w:lineRule="exact"/>
        <w:rPr>
          <w:rFonts w:ascii="Arial" w:cs="Arial" w:eastAsia="Arial" w:hAnsi="Arial"/>
          <w:sz w:val="21"/>
          <w:szCs w:val="21"/>
          <w:color w:val="auto"/>
        </w:rPr>
      </w:pPr>
    </w:p>
    <w:p>
      <w:pPr>
        <w:ind w:right="20" w:firstLine="757"/>
        <w:spacing w:after="0" w:line="259" w:lineRule="exact"/>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Upon the closing of the Syndax-Incyte Agreement, announced on December 09, 2021, Syndax received a one</w:t>
      </w:r>
      <w:r>
        <w:rPr>
          <w:rFonts w:ascii="MS PGothic" w:cs="MS PGothic" w:eastAsia="MS PGothic" w:hAnsi="MS PGothic"/>
          <w:sz w:val="22"/>
          <w:szCs w:val="22"/>
          <w:color w:val="auto"/>
        </w:rPr>
        <w:t>‑</w:t>
      </w:r>
      <w:r>
        <w:rPr>
          <w:rFonts w:ascii="Arial" w:cs="Arial" w:eastAsia="Arial" w:hAnsi="Arial"/>
          <w:sz w:val="22"/>
          <w:szCs w:val="22"/>
          <w:color w:val="auto"/>
        </w:rPr>
        <w:t>time, non</w:t>
      </w:r>
      <w:r>
        <w:rPr>
          <w:rFonts w:ascii="MS PGothic" w:cs="MS PGothic" w:eastAsia="MS PGothic" w:hAnsi="MS PGothic"/>
          <w:sz w:val="22"/>
          <w:szCs w:val="22"/>
          <w:color w:val="auto"/>
        </w:rPr>
        <w:t>‑</w:t>
      </w:r>
      <w:r>
        <w:rPr>
          <w:rFonts w:ascii="Arial" w:cs="Arial" w:eastAsia="Arial" w:hAnsi="Arial"/>
          <w:sz w:val="22"/>
          <w:szCs w:val="22"/>
          <w:color w:val="auto"/>
        </w:rPr>
        <w:t>creditable, non</w:t>
      </w:r>
      <w:r>
        <w:rPr>
          <w:rFonts w:ascii="MS PGothic" w:cs="MS PGothic" w:eastAsia="MS PGothic" w:hAnsi="MS PGothic"/>
          <w:sz w:val="22"/>
          <w:szCs w:val="22"/>
          <w:color w:val="auto"/>
        </w:rPr>
        <w:t>‑</w:t>
      </w:r>
      <w:r>
        <w:rPr>
          <w:rFonts w:ascii="Arial" w:cs="Arial" w:eastAsia="Arial" w:hAnsi="Arial"/>
          <w:sz w:val="22"/>
          <w:szCs w:val="22"/>
          <w:color w:val="auto"/>
        </w:rPr>
        <w:t>refundable upfront license fee from Incyte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both"/>
        <w:spacing w:after="0" w:line="239" w:lineRule="auto"/>
        <w:rPr>
          <w:sz w:val="20"/>
          <w:szCs w:val="20"/>
          <w:color w:val="auto"/>
        </w:rPr>
      </w:pPr>
      <w:r>
        <w:rPr>
          <w:rFonts w:ascii="Arial" w:cs="Arial" w:eastAsia="Arial" w:hAnsi="Arial"/>
          <w:sz w:val="22"/>
          <w:szCs w:val="22"/>
          <w:color w:val="auto"/>
        </w:rPr>
        <w:t>amount of $117,000,000 (the “</w:t>
      </w:r>
      <w:r>
        <w:rPr>
          <w:rFonts w:ascii="Arial" w:cs="Arial" w:eastAsia="Arial" w:hAnsi="Arial"/>
          <w:sz w:val="22"/>
          <w:szCs w:val="22"/>
          <w:b w:val="1"/>
          <w:bCs w:val="1"/>
          <w:color w:val="auto"/>
        </w:rPr>
        <w:t>Upfront Payment</w:t>
      </w:r>
      <w:r>
        <w:rPr>
          <w:rFonts w:ascii="Arial" w:cs="Arial" w:eastAsia="Arial" w:hAnsi="Arial"/>
          <w:sz w:val="22"/>
          <w:szCs w:val="22"/>
          <w:color w:val="auto"/>
        </w:rPr>
        <w:t>”) and consummated the transactions contemplated by the Securities Purchase Agreement by and between Incyte and Syndax dated September 24, 2021 (the “</w:t>
      </w:r>
      <w:r>
        <w:rPr>
          <w:rFonts w:ascii="Arial" w:cs="Arial" w:eastAsia="Arial" w:hAnsi="Arial"/>
          <w:sz w:val="22"/>
          <w:szCs w:val="22"/>
          <w:b w:val="1"/>
          <w:bCs w:val="1"/>
          <w:color w:val="auto"/>
        </w:rPr>
        <w:t>Equity Investment</w:t>
      </w:r>
      <w:r>
        <w:rPr>
          <w:rFonts w:ascii="Arial" w:cs="Arial" w:eastAsia="Arial" w:hAnsi="Arial"/>
          <w:sz w:val="22"/>
          <w:szCs w:val="22"/>
          <w:color w:val="auto"/>
        </w:rPr>
        <w:t>”), pursuant to Sections 8.1(a) and 8.1(b), respectively, of the Syndax-Incyte Agreement (the Upfront Payment and Equity Investment being collectively referred to as, the “</w:t>
      </w:r>
      <w:r>
        <w:rPr>
          <w:rFonts w:ascii="Arial" w:cs="Arial" w:eastAsia="Arial" w:hAnsi="Arial"/>
          <w:sz w:val="22"/>
          <w:szCs w:val="22"/>
          <w:b w:val="1"/>
          <w:bCs w:val="1"/>
          <w:color w:val="auto"/>
        </w:rPr>
        <w:t>Upfront Consideration”</w:t>
      </w:r>
      <w:r>
        <w:rPr>
          <w:rFonts w:ascii="Arial" w:cs="Arial" w:eastAsia="Arial" w:hAnsi="Arial"/>
          <w:sz w:val="22"/>
          <w:szCs w:val="22"/>
          <w:color w:val="auto"/>
        </w:rPr>
        <w:t>);</w:t>
      </w:r>
    </w:p>
    <w:p>
      <w:pPr>
        <w:spacing w:after="0" w:line="186" w:lineRule="exact"/>
        <w:rPr>
          <w:sz w:val="20"/>
          <w:szCs w:val="20"/>
          <w:color w:val="auto"/>
        </w:rPr>
      </w:pPr>
    </w:p>
    <w:p>
      <w:pPr>
        <w:ind w:right="20" w:firstLine="757"/>
        <w:spacing w:after="0" w:line="250" w:lineRule="auto"/>
        <w:tabs>
          <w:tab w:leader="none" w:pos="1181" w:val="left"/>
        </w:tabs>
        <w:numPr>
          <w:ilvl w:val="0"/>
          <w:numId w:val="44"/>
        </w:numPr>
        <w:rPr>
          <w:rFonts w:ascii="Arial" w:cs="Arial" w:eastAsia="Arial" w:hAnsi="Arial"/>
          <w:sz w:val="22"/>
          <w:szCs w:val="22"/>
          <w:color w:val="auto"/>
        </w:rPr>
      </w:pPr>
      <w:r>
        <w:rPr>
          <w:rFonts w:ascii="Arial" w:cs="Arial" w:eastAsia="Arial" w:hAnsi="Arial"/>
          <w:sz w:val="22"/>
          <w:szCs w:val="22"/>
          <w:color w:val="auto"/>
        </w:rPr>
        <w:t>Following the closing of the Syndax-Incyte Agreement, the Parties engaged in a series of communications with respect to [***] (the “</w:t>
      </w:r>
      <w:r>
        <w:rPr>
          <w:rFonts w:ascii="Arial" w:cs="Arial" w:eastAsia="Arial" w:hAnsi="Arial"/>
          <w:sz w:val="22"/>
          <w:szCs w:val="22"/>
          <w:b w:val="1"/>
          <w:bCs w:val="1"/>
          <w:color w:val="auto"/>
        </w:rPr>
        <w:t>Dispute</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firstLine="757"/>
        <w:spacing w:after="0" w:line="250" w:lineRule="auto"/>
        <w:tabs>
          <w:tab w:leader="none" w:pos="118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Parties have now agreed to finally resolve and settle the Dispute on the terms and conditions which are set forth in this Settlement Agreement.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NOW, THEREFORE, in consideration of the foregoing premises and the mutual covenants and conditions contained herein, and for other good and valuable consideration, the receipt and sufficiency of which are hereby acknowledged, the Parties hereby agree as follows:</w:t>
      </w:r>
    </w:p>
    <w:p>
      <w:pPr>
        <w:spacing w:after="0" w:line="180"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One-Time Payment to UCB</w:t>
      </w:r>
    </w:p>
    <w:p>
      <w:pPr>
        <w:spacing w:after="0" w:line="21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The Parties acknowledge that the licenses and other rights which were granted to Incyte under the terms of the Syndax-Incyte Agreement constitute a sublicense of the rights granted by UCB to Syndax under the terms of the License Agreement and that Incyte is a Sublicensee for all purposes of the License Agreement. Syndax shall make a one-time, non-refundable and non-creditable payment to UCB in the amount of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Syndax shall be entitled to credit and offset against such payment the full amount [***] of the March 2021 Payment, such that the net amount which shall be due and payable to UCB under this Section 1 shall be $5,750,000. The payment of the net amount provided for in this Section 1 shall be due and payable to UCB under the terms of Sections 4.9 and 4.11 of the License Agreement and within [***] business days after Syndax’s receipt of a written invoice from UCB for such amount, such payment representing further consideration for the licenses granted to Syndax under the terms of the License Agreement (and the sublicenses thereunder which were granted to Incyte under the terms of the Syndax-Incyte Agreement).</w:t>
      </w:r>
    </w:p>
    <w:p>
      <w:pPr>
        <w:spacing w:after="0" w:line="175"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License Agreement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2.1 Definition of Sublicense Consideration. </w:t>
      </w:r>
      <w:r>
        <w:rPr>
          <w:rFonts w:ascii="Arial" w:cs="Arial" w:eastAsia="Arial" w:hAnsi="Arial"/>
          <w:sz w:val="22"/>
          <w:szCs w:val="22"/>
          <w:color w:val="auto"/>
        </w:rPr>
        <w:t>Notwithstanding anything in Section [***] of the License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contrary, the Parties hereby agree that [***].</w:t>
      </w:r>
    </w:p>
    <w:p>
      <w:pPr>
        <w:spacing w:after="0" w:line="16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2.2 Additional Defined Terms. </w:t>
      </w:r>
      <w:r>
        <w:rPr>
          <w:rFonts w:ascii="Arial" w:cs="Arial" w:eastAsia="Arial" w:hAnsi="Arial"/>
          <w:sz w:val="22"/>
          <w:szCs w:val="22"/>
          <w:color w:val="auto"/>
        </w:rPr>
        <w:t>Article 1 of the License Agreement is hereby amended to include: (i) the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 “</w:t>
      </w:r>
      <w:r>
        <w:rPr>
          <w:rFonts w:ascii="Arial" w:cs="Arial" w:eastAsia="Arial" w:hAnsi="Arial"/>
          <w:sz w:val="22"/>
          <w:szCs w:val="22"/>
          <w:b w:val="1"/>
          <w:bCs w:val="1"/>
          <w:color w:val="auto"/>
        </w:rPr>
        <w:t>Syndax-Incyte Agreement</w:t>
      </w:r>
      <w:r>
        <w:rPr>
          <w:rFonts w:ascii="Arial" w:cs="Arial" w:eastAsia="Arial" w:hAnsi="Arial"/>
          <w:sz w:val="22"/>
          <w:szCs w:val="22"/>
          <w:color w:val="auto"/>
        </w:rPr>
        <w:t>” and “</w:t>
      </w:r>
      <w:r>
        <w:rPr>
          <w:rFonts w:ascii="Arial" w:cs="Arial" w:eastAsia="Arial" w:hAnsi="Arial"/>
          <w:sz w:val="22"/>
          <w:szCs w:val="22"/>
          <w:b w:val="1"/>
          <w:bCs w:val="1"/>
          <w:color w:val="auto"/>
        </w:rPr>
        <w:t>Upfront Consideration</w:t>
      </w:r>
      <w:r>
        <w:rPr>
          <w:rFonts w:ascii="Arial" w:cs="Arial" w:eastAsia="Arial" w:hAnsi="Arial"/>
          <w:sz w:val="22"/>
          <w:szCs w:val="22"/>
          <w:color w:val="auto"/>
        </w:rPr>
        <w:t>”, each of which shall have their respective meanings as set forth in this Settlement Agreement; (ii) the defined term “</w:t>
      </w:r>
      <w:r>
        <w:rPr>
          <w:rFonts w:ascii="Arial" w:cs="Arial" w:eastAsia="Arial" w:hAnsi="Arial"/>
          <w:sz w:val="22"/>
          <w:szCs w:val="22"/>
          <w:b w:val="1"/>
          <w:bCs w:val="1"/>
          <w:color w:val="auto"/>
        </w:rPr>
        <w:t>Incyte</w:t>
      </w:r>
      <w:r>
        <w:rPr>
          <w:rFonts w:ascii="Arial" w:cs="Arial" w:eastAsia="Arial" w:hAnsi="Arial"/>
          <w:sz w:val="22"/>
          <w:szCs w:val="22"/>
          <w:color w:val="auto"/>
        </w:rPr>
        <w:t>”, which shall mean Incyte Corporation, a Delaware corporation, or its successor-in-interest with respect to, or permitted assignee of, the Syndax-Incyte Agreement; (iii) the defined term “</w:t>
      </w:r>
      <w:r>
        <w:rPr>
          <w:rFonts w:ascii="Arial" w:cs="Arial" w:eastAsia="Arial" w:hAnsi="Arial"/>
          <w:sz w:val="22"/>
          <w:szCs w:val="22"/>
          <w:b w:val="1"/>
          <w:bCs w:val="1"/>
          <w:color w:val="auto"/>
        </w:rPr>
        <w:t>Amendment Date</w:t>
      </w:r>
      <w:r>
        <w:rPr>
          <w:rFonts w:ascii="Arial" w:cs="Arial" w:eastAsia="Arial" w:hAnsi="Arial"/>
          <w:sz w:val="22"/>
          <w:szCs w:val="22"/>
          <w:color w:val="auto"/>
        </w:rPr>
        <w:t>”, which shall mean the Settlement Date; and (iv) the defined term “</w:t>
      </w:r>
      <w:r>
        <w:rPr>
          <w:rFonts w:ascii="Arial" w:cs="Arial" w:eastAsia="Arial" w:hAnsi="Arial"/>
          <w:sz w:val="22"/>
          <w:szCs w:val="22"/>
          <w:b w:val="1"/>
          <w:bCs w:val="1"/>
          <w:color w:val="auto"/>
        </w:rPr>
        <w:t>cGVHD</w:t>
      </w:r>
      <w:r>
        <w:rPr>
          <w:rFonts w:ascii="Arial" w:cs="Arial" w:eastAsia="Arial" w:hAnsi="Arial"/>
          <w:sz w:val="22"/>
          <w:szCs w:val="22"/>
          <w:color w:val="auto"/>
        </w:rPr>
        <w:t>”, which shall mean chronic graft versus host disease.</w:t>
      </w:r>
    </w:p>
    <w:p>
      <w:pPr>
        <w:spacing w:after="0" w:line="18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 xml:space="preserve">Section 4.7.  </w:t>
      </w:r>
      <w:r>
        <w:rPr>
          <w:rFonts w:ascii="Arial" w:cs="Arial" w:eastAsia="Arial" w:hAnsi="Arial"/>
          <w:sz w:val="19"/>
          <w:szCs w:val="19"/>
          <w:color w:val="auto"/>
        </w:rPr>
        <w:t>Section 4.7 of the License Agreement is hereby amended and restated to read in its entirety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9" w:name="page60"/>
    <w:bookmarkEnd w:id="59"/>
    <w:p>
      <w:pPr>
        <w:ind w:left="1500"/>
        <w:spacing w:after="0"/>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Sublicense Consideration</w:t>
      </w:r>
      <w:r>
        <w:rPr>
          <w:rFonts w:ascii="Arial" w:cs="Arial" w:eastAsia="Arial" w:hAnsi="Arial"/>
          <w:sz w:val="22"/>
          <w:szCs w:val="22"/>
          <w:color w:val="auto"/>
        </w:rPr>
        <w:t>.</w:t>
      </w:r>
    </w:p>
    <w:p>
      <w:pPr>
        <w:spacing w:after="0" w:line="206" w:lineRule="exact"/>
        <w:rPr>
          <w:sz w:val="20"/>
          <w:szCs w:val="20"/>
          <w:color w:val="auto"/>
        </w:rPr>
      </w:pPr>
    </w:p>
    <w:p>
      <w:pPr>
        <w:ind w:left="2680" w:hanging="426"/>
        <w:spacing w:after="0"/>
        <w:tabs>
          <w:tab w:leader="none" w:pos="26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ind w:right="20" w:firstLine="749"/>
        <w:spacing w:after="0" w:line="256" w:lineRule="auto"/>
        <w:rPr>
          <w:sz w:val="20"/>
          <w:szCs w:val="20"/>
          <w:color w:val="auto"/>
        </w:rPr>
      </w:pPr>
      <w:r>
        <w:rPr>
          <w:rFonts w:ascii="Arial" w:cs="Arial" w:eastAsia="Arial" w:hAnsi="Arial"/>
          <w:sz w:val="22"/>
          <w:szCs w:val="22"/>
          <w:b w:val="1"/>
          <w:bCs w:val="1"/>
          <w:color w:val="auto"/>
        </w:rPr>
        <w:t xml:space="preserve">2.4 Section 12.5. </w:t>
      </w:r>
      <w:r>
        <w:rPr>
          <w:rFonts w:ascii="Arial" w:cs="Arial" w:eastAsia="Arial" w:hAnsi="Arial"/>
          <w:sz w:val="22"/>
          <w:szCs w:val="22"/>
          <w:color w:val="auto"/>
        </w:rPr>
        <w:t>Syndax’s address for notices and other communications under Section 12.5 of the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the address set forth in the introductory paragraph of this Settlement Agreement.</w:t>
      </w:r>
    </w:p>
    <w:p>
      <w:pPr>
        <w:spacing w:after="0" w:line="162"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No Other Amendments</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Except as expressly modified and amended by this Settlement Agreement, the License Agreement shall remain in full force and effect in accordance its terms and conditions. In case of any contradiction or conflict between the terms and conditions of this Settlement Agreement and the terms and conditions of the License Agreement, the terms of this Settlement Agreement shall prevail solely with respect any and all specific matters which are expressly set forth herein.</w:t>
      </w:r>
    </w:p>
    <w:p>
      <w:pPr>
        <w:spacing w:after="0" w:line="168"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Releases</w:t>
      </w:r>
    </w:p>
    <w:p>
      <w:pPr>
        <w:spacing w:after="0" w:line="21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Effective immediately upon completion of the payment to UCB of the net amount described in Section 1 above, the Parties hereby fully release and forever discharge each other and their representatives, agents, Affiliates, partners, shareholders, officers, directors, successors, assigns, attorneys, and predecessors, from any and all actions, causes of action, claims, demands, costs, expenses, liability, attorney’s fees and debts whatsoever, in law or in equity or otherwise, whether known, unknown, suspected or unsuspected, which they ever had, now have or hereafter can, shall or may have in any way relating to or arising out of facts, events, circumstances, acts or omissions existing or occurring from any time on or before the Effective Date relating in any way to or arising out of the Dispute or any of the facts or circumstances underlying the Dispute, including, in each case, any of the foregoing relating in any way to or arising out of the Upfront Consideration, but excluding any claims to enforce the express terms of this Settlement Agreement (including without limitation the amendments to the License Agreement provided for in Section 2 above).</w:t>
      </w:r>
    </w:p>
    <w:p>
      <w:pPr>
        <w:spacing w:after="0" w:line="175"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No Admission of Liability</w:t>
      </w:r>
    </w:p>
    <w:p>
      <w:pPr>
        <w:spacing w:after="0" w:line="21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It is expressly understood and agreed among the Parties that this Settlement Agreement is made in compromise of disputed and controverted claims, and that nothing contained herein and no payment made pursuant to this Settlement Agreement shall constitute or be deemed to be an admission of any breach of the License Agreement, fault, liability or wrongdoing of any kind by either Party, or as an admission by either Party of the validity of any allegations, claims or contentions.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0" w:name="page61"/>
    <w:bookmarkEnd w:id="60"/>
    <w:p>
      <w:pPr>
        <w:ind w:left="760" w:hanging="752"/>
        <w:spacing w:after="0"/>
        <w:tabs>
          <w:tab w:leader="none" w:pos="7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1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Each of the Parties shall keep the details of the Dispute, the negotiations and other related communications (whether written or verbal) between the Parties (or their respect representatives) prior to the Effective Date with respect to this Settlement Agreement, and the terms of this Settlement Agreement itself, as confidential and shall not disclose any information or documents relating to the Dispute, these negotiations or the contents of this Settlement Agreement (or a copy of all or any portion of it) to any person without the express prior written consent of the other Party. Neither of the Parties shall make any public comment or comment to any Third Party (including the press) concerning this Settlement Agreement save to say in response to any question which may be asked that the Dispute between the Parties has been settled and finally resolved on terms satisfactory to both Parties. The foregoing notwithstanding, a Party shall be permitted to disclose the existence and terms of this Settlement Agreement (without such consent) solely in the following circumstances:</w:t>
      </w:r>
    </w:p>
    <w:p>
      <w:pPr>
        <w:spacing w:after="0" w:line="158" w:lineRule="exact"/>
        <w:rPr>
          <w:sz w:val="20"/>
          <w:szCs w:val="20"/>
          <w:color w:val="auto"/>
        </w:rPr>
      </w:pPr>
    </w:p>
    <w:p>
      <w:pPr>
        <w:ind w:left="1500" w:hanging="743"/>
        <w:spacing w:after="0" w:line="250" w:lineRule="auto"/>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confidence to its auditors, group companies, insurers, financiers, accountants or legal or professional advisers;</w:t>
      </w:r>
    </w:p>
    <w:p>
      <w:pPr>
        <w:spacing w:after="0" w:line="174" w:lineRule="exact"/>
        <w:rPr>
          <w:rFonts w:ascii="Arial" w:cs="Arial" w:eastAsia="Arial" w:hAnsi="Arial"/>
          <w:sz w:val="22"/>
          <w:szCs w:val="22"/>
          <w:color w:val="auto"/>
        </w:rPr>
      </w:pPr>
    </w:p>
    <w:p>
      <w:pPr>
        <w:jc w:val="both"/>
        <w:ind w:left="1500" w:hanging="743"/>
        <w:spacing w:after="0" w:line="236" w:lineRule="auto"/>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and only to the extent such disclosure is required in order to comply with the listing requirements of any securities or investment exchange on which the securities of such Party or its Affiliate are traded or to comply with the requirements of any regulatory or governmental body having jurisdiction over such Party (including the U.S. Securities and Exchange Commission, the Belgian Financial Services and Markets Authority or the Euronext Brussels Stock Exchange);</w:t>
      </w:r>
    </w:p>
    <w:p>
      <w:pPr>
        <w:spacing w:after="0" w:line="187" w:lineRule="exact"/>
        <w:rPr>
          <w:rFonts w:ascii="Arial" w:cs="Arial" w:eastAsia="Arial" w:hAnsi="Arial"/>
          <w:sz w:val="22"/>
          <w:szCs w:val="22"/>
          <w:color w:val="auto"/>
        </w:rPr>
      </w:pPr>
    </w:p>
    <w:p>
      <w:pPr>
        <w:ind w:left="1500" w:hanging="743"/>
        <w:spacing w:after="0"/>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to a court or arbitrator solely to enable enforcement of this Settlement Agreement; or</w:t>
      </w:r>
    </w:p>
    <w:p>
      <w:pPr>
        <w:spacing w:after="0" w:line="206" w:lineRule="exact"/>
        <w:rPr>
          <w:rFonts w:ascii="Arial" w:cs="Arial" w:eastAsia="Arial" w:hAnsi="Arial"/>
          <w:sz w:val="22"/>
          <w:szCs w:val="22"/>
          <w:color w:val="auto"/>
        </w:rPr>
      </w:pPr>
    </w:p>
    <w:p>
      <w:pPr>
        <w:jc w:val="both"/>
        <w:ind w:left="1500" w:hanging="743"/>
        <w:spacing w:after="0"/>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required by the U.S. Federal Trade Commission, U.S. Department of Justice, European Commission or any other competition authority of competent jurisdiction, or by law, rule or regulation of any relevant jurisdiction or a court of competent jurisdiction;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that such Party shall, if legally permitted and reasonably possible to do so in the circumstances, promptly notify the other Party before any disclosure pursuant to subsection 6(ii) or subsection 6(iv) above and shall consult the other Party as to the possible steps to obtain confidential treatment and/or to avoid or limit the extent of the disclosure, or the terms on which the disclosure will be made, in each case to the extent permitted and reasonably possible under the circumstances.</w:t>
      </w:r>
    </w:p>
    <w:p>
      <w:pPr>
        <w:spacing w:after="0" w:line="14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The Parties acknowledge that either or both Parties may be obligated to file under applicable laws a copy of this Settlement Agreement with the SEC or other governmental authorities or otherwise to disclose the terms of this Settlement Agreement in securities filings as required by applicable law. Each Party shall be entitled to make such a required filing or disclosure;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required filing of a copy of this Settlement Agreement, it requests confidential treatment of the commercial terms and sensitive technical terms hereof to the extent such confidential treatment is reasonably available to such Party. At least ten (10) business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1" w:name="page62"/>
    <w:bookmarkEnd w:id="61"/>
    <w:p>
      <w:pPr>
        <w:jc w:val="both"/>
        <w:spacing w:after="0" w:line="236" w:lineRule="auto"/>
        <w:rPr>
          <w:sz w:val="20"/>
          <w:szCs w:val="20"/>
          <w:color w:val="auto"/>
        </w:rPr>
      </w:pPr>
      <w:r>
        <w:rPr>
          <w:rFonts w:ascii="Arial" w:cs="Arial" w:eastAsia="Arial" w:hAnsi="Arial"/>
          <w:sz w:val="22"/>
          <w:szCs w:val="22"/>
          <w:color w:val="auto"/>
        </w:rPr>
        <w:t>days prior to such disclosure or filing (or such shorter period as may be required to permit timely filing or disclosure with the SEC or other governmental authority), the Party required to make such a filing of a copy of this Settlement Agreement will provide the other Party with a copy of this Settlement Agreement marked to show provisions for which such Party intends to seek confidential treatment, and shall reasonably consider any requests made by such other Party during such period to seek confidential treatment of any additional provisions.</w:t>
      </w:r>
    </w:p>
    <w:p>
      <w:pPr>
        <w:spacing w:after="0" w:line="181"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for Non-Payment</w:t>
      </w:r>
    </w:p>
    <w:p>
      <w:pPr>
        <w:spacing w:after="0" w:line="21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In the event that Syndax fails to make timely payment to UCB of the one-time payment which is provided for under Section 1 of this Settlement Agreement, then UCB shall have the unilateral right, exercisable in its sole discretion and with immediate effect upon written notice to Syndax, to terminate this Settlement Agreement, in which event: (i) this Settlement Agreement shall be automatically deemed rescinded and any amendments to the License Agreement which are described herein will never come into effect or otherwise be binding upon or enforceable by any Party; and (ii) all of the terms and conditions of the License Agreement as existing immediately prior to the Effective Date, and each Party’s rights and obligations with respect thereto or arising thereunder, shall remain in effect and continue to apply to the same extent and in the same manner as if this Settlement Agreement had never existed. In such event, neither the existence of this Settlement Agreement nor anything contained herein (including any statements with respect to the Dispute, the facts and circumstances underlying the Dispute or the terms and conditions set forth herein with respect to settlement of the Dispute) shall be asserted or otherwise construed by or on behalf of one Party against the rights and interests of the other Party in respect of the Dispute.</w:t>
      </w:r>
    </w:p>
    <w:p>
      <w:pPr>
        <w:spacing w:after="0" w:line="149"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Attorneys’ Fees and Costs</w:t>
      </w:r>
    </w:p>
    <w:p>
      <w:pPr>
        <w:spacing w:after="0" w:line="21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Each Party to this Settlement Agreement will bear its own expenses and attorneys’ fees, whether taxable or otherwise, incurred in or arising out of or in any way related to matters released herein.</w:t>
      </w:r>
    </w:p>
    <w:p>
      <w:pPr>
        <w:spacing w:after="0" w:line="169"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 of Agreement</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headings of clauses contained in this Settlement Agreement preceding the text of the sections and subsections hereof are inserted solely for convenience and ease of reference only and shall not constitute any part of this Settlement Agreement or have any effect on its interpretation or construction. It is further agreed and understood that both Parties are represented by counsel and have participated in the drafting of this Settlement Agreement and that the rule interpreting any ambiguity in a contract against the Party drafting the document shall be of no force and effect.</w:t>
      </w:r>
    </w:p>
    <w:p>
      <w:pPr>
        <w:spacing w:after="0" w:line="172" w:lineRule="exact"/>
        <w:rPr>
          <w:sz w:val="20"/>
          <w:szCs w:val="20"/>
          <w:color w:val="auto"/>
        </w:rPr>
      </w:pPr>
    </w:p>
    <w:p>
      <w:pPr>
        <w:ind w:left="760" w:hanging="752"/>
        <w:spacing w:after="0"/>
        <w:tabs>
          <w:tab w:leader="none" w:pos="7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This Settlement Agreement shall be binding on and inure to the benefit of the Parties and their respective Affiliates, shareholders, directors, employees, agents, successors, and assigns.</w:t>
      </w:r>
    </w:p>
    <w:p>
      <w:pPr>
        <w:spacing w:after="0" w:line="169"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Parties agree that no representation or promise not expressly contained in this Settlement Agreement has been made and further acknowledge that the Parties are not entering</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2" w:name="page63"/>
    <w:bookmarkEnd w:id="62"/>
    <w:p>
      <w:pPr>
        <w:jc w:val="both"/>
        <w:spacing w:after="0" w:line="235" w:lineRule="auto"/>
        <w:rPr>
          <w:sz w:val="20"/>
          <w:szCs w:val="20"/>
          <w:color w:val="auto"/>
        </w:rPr>
      </w:pPr>
      <w:r>
        <w:rPr>
          <w:rFonts w:ascii="Arial" w:cs="Arial" w:eastAsia="Arial" w:hAnsi="Arial"/>
          <w:sz w:val="22"/>
          <w:szCs w:val="22"/>
          <w:color w:val="auto"/>
        </w:rPr>
        <w:t>into this Settlement Agreement on the basis of any promise or representation, express or implied, not otherwise contained herein. This Settlement Agreement, together with the License Agreement (as amended by this Settlement Agreement), sets forth the entire understanding and agreement between the Parties and supersedes all prior negotiations, representations, agreements and understandings (whether written or verbal) of the Parties. Each Party hereto has fully and personally investigated the subject matter of this Settlement Agreement and does not rely on any statement, fact or opinion of the other Party to this Settlement Agreement.</w:t>
      </w:r>
    </w:p>
    <w:p>
      <w:pPr>
        <w:spacing w:after="0" w:line="182"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of Agreement</w:t>
      </w:r>
    </w:p>
    <w:p>
      <w:pPr>
        <w:spacing w:after="0" w:line="21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Any proposed amendment or modification of this Settlement Agreement shall not be binding on the Parties unless expressly set out in writing and signed by authorized representatives of each of the Parties.</w:t>
      </w:r>
    </w:p>
    <w:p>
      <w:pPr>
        <w:spacing w:after="0" w:line="169"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Other Provisions</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This Settlement Agreement is subject to and governed by the terms of Sections 12.1, 12.2, 12.3, 12.5 (as modified by Section 2.4 of this Settlement Agreement), 12.8, 12.9, 12.10, 12.11 and 12.12 of the License Agreement.</w:t>
      </w:r>
    </w:p>
    <w:p>
      <w:pPr>
        <w:spacing w:after="0" w:line="145"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Signatories’ Authority</w:t>
      </w:r>
    </w:p>
    <w:p>
      <w:pPr>
        <w:spacing w:after="0" w:line="21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Each Party, on behalf of itself and its Affiliates, warrants and represents that, as of the date this Settlement Agreement is signed on behalf of such Party, (i) such Party is a corporation or other business entity duly organized and validly existing under the laws of the jurisdiction in which it is organized and has full corporate or other power and authority to enter into this Settlement Agreement and to perform its obligations hereunder and consummate the transactions contemplated herein, and (ii) the individual(s) executing this Settlement Agreement on behalf of such Party have been duly authorized to do so by all requisite corporate action.</w:t>
      </w:r>
    </w:p>
    <w:p>
      <w:pPr>
        <w:spacing w:after="0" w:line="182"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This Settlement Agreement may be executed in two or more counterparts, including by an exchange (whether via email, fax, regular mail or courier) of PDF copies of signed documents (whether signed physically or using certified digital signatures), with the same effect as if all Parties had signed the same document. All such counterparts shall be deemed an original, shall be construed together and shall together constitute one and the same instrument.</w:t>
      </w:r>
    </w:p>
    <w:p>
      <w:pPr>
        <w:spacing w:after="0" w:line="3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3" w:name="page64"/>
    <w:bookmarkEnd w:id="63"/>
    <w:p>
      <w:pPr>
        <w:ind w:right="20" w:firstLine="749"/>
        <w:spacing w:after="0" w:line="250" w:lineRule="auto"/>
        <w:rPr>
          <w:sz w:val="20"/>
          <w:szCs w:val="20"/>
          <w:color w:val="auto"/>
        </w:rPr>
      </w:pPr>
      <w:r>
        <w:rPr>
          <w:rFonts w:ascii="Arial" w:cs="Arial" w:eastAsia="Arial" w:hAnsi="Arial"/>
          <w:sz w:val="22"/>
          <w:szCs w:val="22"/>
          <w:color w:val="auto"/>
        </w:rPr>
        <w:t>IN WITNESS WHEREOF, this Settlement Agreement has been executed by the duly authorized representatives of the Parties as of the respective dates set forth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40" w:type="dxa"/>
            <w:vAlign w:val="bottom"/>
            <w:gridSpan w:val="8"/>
          </w:tcPr>
          <w:p>
            <w:pPr>
              <w:ind w:left="10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YNDAX</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6900" w:type="dxa"/>
            <w:vAlign w:val="bottom"/>
            <w:gridSpan w:val="10"/>
          </w:tcPr>
          <w:p>
            <w:pPr>
              <w:ind w:left="1340"/>
              <w:spacing w:after="0"/>
              <w:rPr>
                <w:sz w:val="20"/>
                <w:szCs w:val="20"/>
                <w:color w:val="auto"/>
              </w:rPr>
            </w:pPr>
            <w:r>
              <w:rPr>
                <w:rFonts w:ascii="Arial" w:cs="Arial" w:eastAsia="Arial" w:hAnsi="Arial"/>
                <w:sz w:val="22"/>
                <w:szCs w:val="22"/>
                <w:b w:val="1"/>
                <w:bCs w:val="1"/>
                <w:color w:val="auto"/>
              </w:rPr>
              <w:t>UCB B</w:t>
            </w:r>
            <w:r>
              <w:rPr>
                <w:rFonts w:ascii="Arial" w:cs="Arial" w:eastAsia="Arial" w:hAnsi="Arial"/>
                <w:sz w:val="14"/>
                <w:szCs w:val="14"/>
                <w:b w:val="1"/>
                <w:bCs w:val="1"/>
                <w:color w:val="auto"/>
              </w:rPr>
              <w:t>IOPHARMA</w:t>
            </w:r>
            <w:r>
              <w:rPr>
                <w:rFonts w:ascii="Arial" w:cs="Arial" w:eastAsia="Arial" w:hAnsi="Arial"/>
                <w:sz w:val="22"/>
                <w:szCs w:val="22"/>
                <w:b w:val="1"/>
                <w:bCs w:val="1"/>
                <w:color w:val="auto"/>
              </w:rPr>
              <w:t xml:space="preserve"> SRL</w:t>
            </w:r>
          </w:p>
        </w:tc>
      </w:tr>
      <w:tr>
        <w:trPr>
          <w:trHeight w:val="733"/>
        </w:trPr>
        <w:tc>
          <w:tcPr>
            <w:tcW w:w="4340" w:type="dxa"/>
            <w:vAlign w:val="bottom"/>
            <w:gridSpan w:val="8"/>
          </w:tcPr>
          <w:p>
            <w:pPr>
              <w:ind w:left="100"/>
              <w:spacing w:after="0"/>
              <w:rPr>
                <w:sz w:val="20"/>
                <w:szCs w:val="20"/>
                <w:color w:val="auto"/>
              </w:rPr>
            </w:pPr>
            <w:r>
              <w:rPr>
                <w:rFonts w:ascii="Arial" w:cs="Arial" w:eastAsia="Arial" w:hAnsi="Arial"/>
                <w:sz w:val="22"/>
                <w:szCs w:val="22"/>
                <w:color w:val="auto"/>
              </w:rPr>
              <w:t>By: /s/ Luke J. Albrecht</w:t>
            </w: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By: /s/ Bill Silbey</w:t>
            </w:r>
          </w:p>
        </w:tc>
      </w:tr>
      <w:tr>
        <w:trPr>
          <w:trHeight w:val="20"/>
        </w:trPr>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4340" w:type="dxa"/>
            <w:vAlign w:val="bottom"/>
            <w:gridSpan w:val="8"/>
          </w:tcPr>
          <w:p>
            <w:pPr>
              <w:ind w:left="100"/>
              <w:spacing w:after="0"/>
              <w:rPr>
                <w:sz w:val="20"/>
                <w:szCs w:val="20"/>
                <w:color w:val="auto"/>
              </w:rPr>
            </w:pPr>
            <w:r>
              <w:rPr>
                <w:rFonts w:ascii="Arial" w:cs="Arial" w:eastAsia="Arial" w:hAnsi="Arial"/>
                <w:sz w:val="22"/>
                <w:szCs w:val="22"/>
                <w:color w:val="auto"/>
              </w:rPr>
              <w:t>Name: Luke J. Albrecht</w:t>
            </w: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Name: Bill Silbey</w:t>
            </w: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4340" w:type="dxa"/>
            <w:vAlign w:val="bottom"/>
            <w:gridSpan w:val="8"/>
          </w:tcPr>
          <w:p>
            <w:pPr>
              <w:ind w:left="100"/>
              <w:spacing w:after="0"/>
              <w:rPr>
                <w:sz w:val="20"/>
                <w:szCs w:val="20"/>
                <w:color w:val="auto"/>
              </w:rPr>
            </w:pPr>
            <w:r>
              <w:rPr>
                <w:rFonts w:ascii="Arial" w:cs="Arial" w:eastAsia="Arial" w:hAnsi="Arial"/>
                <w:sz w:val="22"/>
                <w:szCs w:val="22"/>
                <w:color w:val="auto"/>
              </w:rPr>
              <w:t>Title: General Counsel, Secretary</w:t>
            </w: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Title: Head of Legal, IP and Compliance</w:t>
            </w:r>
          </w:p>
        </w:tc>
      </w:tr>
      <w:tr>
        <w:trPr>
          <w:trHeight w:val="20"/>
        </w:trPr>
        <w:tc>
          <w:tcPr>
            <w:tcW w:w="62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4340" w:type="dxa"/>
            <w:vAlign w:val="bottom"/>
            <w:gridSpan w:val="8"/>
          </w:tcPr>
          <w:p>
            <w:pPr>
              <w:ind w:left="100"/>
              <w:spacing w:after="0"/>
              <w:rPr>
                <w:sz w:val="20"/>
                <w:szCs w:val="20"/>
                <w:color w:val="auto"/>
              </w:rPr>
            </w:pPr>
            <w:r>
              <w:rPr>
                <w:rFonts w:ascii="Arial" w:cs="Arial" w:eastAsia="Arial" w:hAnsi="Arial"/>
                <w:sz w:val="22"/>
                <w:szCs w:val="22"/>
                <w:color w:val="auto"/>
              </w:rPr>
              <w:t>Date: 6/6/2022</w:t>
            </w: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Date: 26-May-2022</w:t>
            </w: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871"/>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By: /s/ Sandrine Dufour</w:t>
            </w: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Name: Sandrine Dufour</w:t>
            </w: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Title: CFO</w:t>
            </w: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00" w:type="dxa"/>
            <w:vAlign w:val="bottom"/>
            <w:gridSpan w:val="10"/>
          </w:tcPr>
          <w:p>
            <w:pPr>
              <w:ind w:left="1340"/>
              <w:spacing w:after="0"/>
              <w:rPr>
                <w:sz w:val="20"/>
                <w:szCs w:val="20"/>
                <w:color w:val="auto"/>
              </w:rPr>
            </w:pPr>
            <w:r>
              <w:rPr>
                <w:rFonts w:ascii="Arial" w:cs="Arial" w:eastAsia="Arial" w:hAnsi="Arial"/>
                <w:sz w:val="22"/>
                <w:szCs w:val="22"/>
                <w:color w:val="auto"/>
              </w:rPr>
              <w:t>Date: 29-May-2022</w:t>
            </w:r>
          </w:p>
        </w:tc>
      </w:tr>
      <w:tr>
        <w:trPr>
          <w:trHeight w:val="1070"/>
        </w:trPr>
        <w:tc>
          <w:tcPr>
            <w:tcW w:w="620" w:type="dxa"/>
            <w:vAlign w:val="bottom"/>
            <w:gridSpan w:val="2"/>
          </w:tcPr>
          <w:p>
            <w:pPr>
              <w:ind w:left="440"/>
              <w:spacing w:after="0"/>
              <w:rPr>
                <w:sz w:val="20"/>
                <w:szCs w:val="20"/>
                <w:color w:val="auto"/>
              </w:rPr>
            </w:pPr>
            <w:r>
              <w:rPr>
                <w:rFonts w:ascii="Arial" w:cs="Arial" w:eastAsia="Arial" w:hAnsi="Arial"/>
                <w:sz w:val="22"/>
                <w:szCs w:val="22"/>
                <w:color w:val="auto"/>
              </w:rPr>
              <w:t>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0"/>
        </w:trPr>
        <w:tc>
          <w:tcPr>
            <w:tcW w:w="4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6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20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4" w:name="page65"/>
    <w:bookmarkEnd w:id="64"/>
    <w:p>
      <w:pPr>
        <w:ind w:left="1026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212" w:lineRule="exact"/>
        <w:rPr>
          <w:sz w:val="20"/>
          <w:szCs w:val="20"/>
          <w:color w:val="auto"/>
        </w:rPr>
      </w:pPr>
    </w:p>
    <w:p>
      <w:pPr>
        <w:ind w:left="700" w:hanging="183"/>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11"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517"/>
        <w:spacing w:after="0" w:line="261" w:lineRule="auto"/>
        <w:tabs>
          <w:tab w:leader="none" w:pos="6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48" w:lineRule="auto"/>
        <w:tabs>
          <w:tab w:leader="none" w:pos="6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380" w:firstLine="506"/>
        <w:spacing w:after="0" w:line="248" w:lineRule="auto"/>
        <w:tabs>
          <w:tab w:leader="none" w:pos="12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100" w:firstLine="506"/>
        <w:spacing w:after="0" w:line="248" w:lineRule="auto"/>
        <w:tabs>
          <w:tab w:leader="none" w:pos="12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220" w:firstLine="506"/>
        <w:spacing w:after="0" w:line="324" w:lineRule="auto"/>
        <w:tabs>
          <w:tab w:leader="none" w:pos="1274"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00" w:firstLine="506"/>
        <w:spacing w:after="0" w:line="248" w:lineRule="auto"/>
        <w:tabs>
          <w:tab w:leader="none" w:pos="12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517"/>
        <w:spacing w:after="0" w:line="291" w:lineRule="auto"/>
        <w:tabs>
          <w:tab w:leader="none" w:pos="6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291" w:lineRule="auto"/>
        <w:tabs>
          <w:tab w:leader="none" w:pos="1274"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61" w:lineRule="auto"/>
        <w:tabs>
          <w:tab w:leader="none" w:pos="12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40" w:val="left"/>
          <w:tab w:leader="none" w:pos="724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6350</wp:posOffset>
            </wp:positionV>
            <wp:extent cx="25374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7260"/>
        <w:spacing w:after="0" w:line="232" w:lineRule="auto"/>
        <w:rPr>
          <w:sz w:val="20"/>
          <w:szCs w:val="20"/>
          <w:color w:val="auto"/>
        </w:rPr>
      </w:pPr>
      <w:r>
        <w:rPr>
          <w:rFonts w:ascii="Arial" w:cs="Arial" w:eastAsia="Arial" w:hAnsi="Arial"/>
          <w:sz w:val="18"/>
          <w:szCs w:val="18"/>
          <w:color w:val="auto"/>
        </w:rPr>
        <w:t>Michael A. Metzger</w:t>
      </w:r>
    </w:p>
    <w:p>
      <w:pPr>
        <w:ind w:left="726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65" w:name="page66"/>
    <w:bookmarkEnd w:id="65"/>
    <w:p>
      <w:pPr>
        <w:ind w:left="10260"/>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Keith A. Goldan, certify that:</w:t>
      </w:r>
    </w:p>
    <w:p>
      <w:pPr>
        <w:spacing w:after="0" w:line="212" w:lineRule="exact"/>
        <w:rPr>
          <w:sz w:val="20"/>
          <w:szCs w:val="20"/>
          <w:color w:val="auto"/>
        </w:rPr>
      </w:pPr>
    </w:p>
    <w:p>
      <w:pPr>
        <w:ind w:left="700" w:hanging="183"/>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11"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517"/>
        <w:spacing w:after="0" w:line="261" w:lineRule="auto"/>
        <w:tabs>
          <w:tab w:leader="none" w:pos="6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48" w:lineRule="auto"/>
        <w:tabs>
          <w:tab w:leader="none" w:pos="6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380" w:firstLine="506"/>
        <w:spacing w:after="0" w:line="248" w:lineRule="auto"/>
        <w:tabs>
          <w:tab w:leader="none" w:pos="12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100" w:firstLine="506"/>
        <w:spacing w:after="0" w:line="248" w:lineRule="auto"/>
        <w:tabs>
          <w:tab w:leader="none" w:pos="12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220" w:firstLine="506"/>
        <w:spacing w:after="0" w:line="324" w:lineRule="auto"/>
        <w:tabs>
          <w:tab w:leader="none" w:pos="1274"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00" w:firstLine="506"/>
        <w:spacing w:after="0" w:line="248" w:lineRule="auto"/>
        <w:tabs>
          <w:tab w:leader="none" w:pos="12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517"/>
        <w:spacing w:after="0" w:line="291" w:lineRule="auto"/>
        <w:tabs>
          <w:tab w:leader="none" w:pos="68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291" w:lineRule="auto"/>
        <w:tabs>
          <w:tab w:leader="none" w:pos="1274"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61" w:lineRule="auto"/>
        <w:tabs>
          <w:tab w:leader="none" w:pos="12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 w:leader="none" w:pos="72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6350</wp:posOffset>
            </wp:positionV>
            <wp:extent cx="25457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ind w:left="7240"/>
        <w:spacing w:after="0" w:line="232" w:lineRule="auto"/>
        <w:rPr>
          <w:sz w:val="20"/>
          <w:szCs w:val="20"/>
          <w:color w:val="auto"/>
        </w:rPr>
      </w:pPr>
      <w:r>
        <w:rPr>
          <w:rFonts w:ascii="Arial" w:cs="Arial" w:eastAsia="Arial" w:hAnsi="Arial"/>
          <w:sz w:val="18"/>
          <w:szCs w:val="18"/>
          <w:color w:val="auto"/>
        </w:rPr>
        <w:t>Keith A. Goldan</w:t>
      </w:r>
    </w:p>
    <w:p>
      <w:pPr>
        <w:ind w:left="7240"/>
        <w:spacing w:after="0" w:line="203"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66" w:name="page67"/>
    <w:bookmarkEnd w:id="66"/>
    <w:p>
      <w:pPr>
        <w:ind w:left="10260"/>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2022, as filed with the Securities and Exchange Commission on the date hereof (the “Report”), each of the undersigned officers of the Company hereby certifies, pursuant to 18 U.S.C. Section 1350, that to his or her knowledge:</w:t>
      </w:r>
    </w:p>
    <w:p>
      <w:pPr>
        <w:spacing w:after="0" w:line="182" w:lineRule="exact"/>
        <w:rPr>
          <w:sz w:val="20"/>
          <w:szCs w:val="20"/>
          <w:color w:val="auto"/>
        </w:rPr>
      </w:pPr>
    </w:p>
    <w:p>
      <w:pPr>
        <w:ind w:left="900" w:hanging="359"/>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3040" w:type="dxa"/>
            <w:vAlign w:val="bottom"/>
          </w:tcPr>
          <w:p>
            <w:pPr>
              <w:ind w:left="26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Metzger</w:t>
            </w:r>
          </w:p>
        </w:tc>
      </w:tr>
      <w:tr>
        <w:trPr>
          <w:trHeight w:val="156"/>
        </w:trPr>
        <w:tc>
          <w:tcPr>
            <w:tcW w:w="4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020" w:type="dxa"/>
            <w:vAlign w:val="bottom"/>
          </w:tcPr>
          <w:p>
            <w:pPr>
              <w:ind w:left="20"/>
              <w:spacing w:after="0" w:line="156" w:lineRule="exact"/>
              <w:rPr>
                <w:sz w:val="20"/>
                <w:szCs w:val="20"/>
                <w:color w:val="auto"/>
              </w:rPr>
            </w:pPr>
            <w:r>
              <w:rPr>
                <w:rFonts w:ascii="Arial" w:cs="Arial" w:eastAsia="Arial" w:hAnsi="Arial"/>
                <w:sz w:val="18"/>
                <w:szCs w:val="18"/>
                <w:color w:val="auto"/>
              </w:rPr>
              <w:t>Michael A. Metzger</w:t>
            </w:r>
          </w:p>
        </w:tc>
      </w:tr>
      <w:tr>
        <w:trPr>
          <w:trHeight w:val="230"/>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5"/>
        </w:trPr>
        <w:tc>
          <w:tcPr>
            <w:tcW w:w="418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3040" w:type="dxa"/>
            <w:vAlign w:val="bottom"/>
          </w:tcPr>
          <w:p>
            <w:pPr>
              <w:ind w:left="26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Goldan</w:t>
            </w:r>
          </w:p>
        </w:tc>
      </w:tr>
      <w:tr>
        <w:trPr>
          <w:trHeight w:val="156"/>
        </w:trPr>
        <w:tc>
          <w:tcPr>
            <w:tcW w:w="4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020" w:type="dxa"/>
            <w:vAlign w:val="bottom"/>
          </w:tcPr>
          <w:p>
            <w:pPr>
              <w:ind w:left="20"/>
              <w:spacing w:after="0" w:line="156" w:lineRule="exact"/>
              <w:rPr>
                <w:sz w:val="20"/>
                <w:szCs w:val="20"/>
                <w:color w:val="auto"/>
              </w:rPr>
            </w:pPr>
            <w:r>
              <w:rPr>
                <w:rFonts w:ascii="Arial" w:cs="Arial" w:eastAsia="Arial" w:hAnsi="Arial"/>
                <w:sz w:val="18"/>
                <w:szCs w:val="18"/>
                <w:color w:val="auto"/>
              </w:rPr>
              <w:t>Keith A. Goldan</w:t>
            </w:r>
          </w:p>
        </w:tc>
      </w:tr>
      <w:tr>
        <w:trPr>
          <w:trHeight w:val="230"/>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519"/>
        </w:trPr>
        <w:tc>
          <w:tcPr>
            <w:tcW w:w="41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3"/>
    </w:lvl>
  </w:abstractNum>
  <w:abstractNum w:abstractNumId="4">
    <w:nsid w:val="419AC241"/>
    <w:multiLevelType w:val="hybridMultilevel"/>
    <w:lvl w:ilvl="0">
      <w:lvlJc w:val="left"/>
      <w:lvlText w:val="%1."/>
      <w:numFmt w:val="decimal"/>
      <w:start w:val="4"/>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lowerRoman"/>
      <w:start w:val="2"/>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lowerLetter"/>
      <w:start w:val="2"/>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01"/>
    </w:lvl>
  </w:abstractNum>
  <w:abstractNum w:abstractNumId="40">
    <w:nsid w:val="12E685FB"/>
    <w:multiLevelType w:val="hybridMultilevel"/>
    <w:lvl w:ilvl="0">
      <w:lvlJc w:val="left"/>
      <w:lvlText w:val="†"/>
      <w:numFmt w:val="bullet"/>
      <w:start w:val="1"/>
    </w:lvl>
    <w:lvl w:ilvl="1">
      <w:lvlJc w:val="left"/>
      <w:lvlText w:val="%2"/>
      <w:numFmt w:val="decimal"/>
      <w:start w:val="104"/>
    </w:lvl>
  </w:abstractNum>
  <w:abstractNum w:abstractNumId="41">
    <w:nsid w:val="70C6A529"/>
    <w:multiLevelType w:val="hybridMultilevel"/>
    <w:lvl w:ilvl="0">
      <w:lvlJc w:val="left"/>
      <w:lvlText w:val="(%1)"/>
      <w:numFmt w:val="lowerRoman"/>
      <w:start w:val="1"/>
    </w:lvl>
  </w:abstractNum>
  <w:abstractNum w:abstractNumId="42">
    <w:nsid w:val="520EEDD1"/>
    <w:multiLevelType w:val="hybridMultilevel"/>
    <w:lvl w:ilvl="0">
      <w:lvlJc w:val="left"/>
      <w:lvlText w:val="%1."/>
      <w:numFmt w:val="upperLetter"/>
      <w:start w:val="1"/>
    </w:lvl>
  </w:abstractNum>
  <w:abstractNum w:abstractNumId="43">
    <w:nsid w:val="374A3FE6"/>
    <w:multiLevelType w:val="hybridMultilevel"/>
    <w:lvl w:ilvl="0">
      <w:lvlJc w:val="left"/>
      <w:lvlText w:val="%1."/>
      <w:numFmt w:val="upperLetter"/>
      <w:start w:val="6"/>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2"/>
    </w:lvl>
  </w:abstractNum>
  <w:abstractNum w:abstractNumId="46">
    <w:nsid w:val="649BB77C"/>
    <w:multiLevelType w:val="hybridMultilevel"/>
    <w:lvl w:ilvl="0">
      <w:lvlJc w:val="left"/>
      <w:lvlText w:val="(%1)"/>
      <w:numFmt w:val="lowerRoman"/>
      <w:start w:val="1"/>
    </w:lvl>
  </w:abstractNum>
  <w:abstractNum w:abstractNumId="47">
    <w:nsid w:val="275AC794"/>
    <w:multiLevelType w:val="hybridMultilevel"/>
    <w:lvl w:ilvl="0">
      <w:lvlJc w:val="left"/>
      <w:lvlText w:val="%1."/>
      <w:numFmt w:val="decimal"/>
      <w:start w:val="3"/>
    </w:lvl>
  </w:abstractNum>
  <w:abstractNum w:abstractNumId="48">
    <w:nsid w:val="39386575"/>
    <w:multiLevelType w:val="hybridMultilevel"/>
    <w:lvl w:ilvl="0">
      <w:lvlJc w:val="left"/>
      <w:lvlText w:val="%1."/>
      <w:numFmt w:val="decimal"/>
      <w:start w:val="4"/>
    </w:lvl>
  </w:abstractNum>
  <w:abstractNum w:abstractNumId="49">
    <w:nsid w:val="1CF10FD8"/>
    <w:multiLevelType w:val="hybridMultilevel"/>
    <w:lvl w:ilvl="0">
      <w:lvlJc w:val="left"/>
      <w:lvlText w:val="%1."/>
      <w:numFmt w:val="decimal"/>
      <w:start w:val="5"/>
    </w:lvl>
  </w:abstractNum>
  <w:abstractNum w:abstractNumId="50">
    <w:nsid w:val="180115BE"/>
    <w:multiLevelType w:val="hybridMultilevel"/>
    <w:lvl w:ilvl="0">
      <w:lvlJc w:val="left"/>
      <w:lvlText w:val="%1."/>
      <w:numFmt w:val="decimal"/>
      <w:start w:val="6"/>
    </w:lvl>
  </w:abstractNum>
  <w:abstractNum w:abstractNumId="51">
    <w:nsid w:val="235BA861"/>
    <w:multiLevelType w:val="hybridMultilevel"/>
    <w:lvl w:ilvl="0">
      <w:lvlJc w:val="left"/>
      <w:lvlText w:val="(%1)"/>
      <w:numFmt w:val="lowerRoman"/>
      <w:start w:val="1"/>
    </w:lvl>
  </w:abstractNum>
  <w:abstractNum w:abstractNumId="52">
    <w:nsid w:val="47398C89"/>
    <w:multiLevelType w:val="hybridMultilevel"/>
    <w:lvl w:ilvl="0">
      <w:lvlJc w:val="left"/>
      <w:lvlText w:val="%1."/>
      <w:numFmt w:val="decimal"/>
      <w:start w:val="7"/>
    </w:lvl>
  </w:abstractNum>
  <w:abstractNum w:abstractNumId="53">
    <w:nsid w:val="354FE9F9"/>
    <w:multiLevelType w:val="hybridMultilevel"/>
    <w:lvl w:ilvl="0">
      <w:lvlJc w:val="left"/>
      <w:lvlText w:val="%1."/>
      <w:numFmt w:val="decimal"/>
      <w:start w:val="8"/>
    </w:lvl>
  </w:abstractNum>
  <w:abstractNum w:abstractNumId="54">
    <w:nsid w:val="15B5AF5C"/>
    <w:multiLevelType w:val="hybridMultilevel"/>
    <w:lvl w:ilvl="0">
      <w:lvlJc w:val="left"/>
      <w:lvlText w:val="%1."/>
      <w:numFmt w:val="decimal"/>
      <w:start w:val="9"/>
    </w:lvl>
  </w:abstractNum>
  <w:abstractNum w:abstractNumId="55">
    <w:nsid w:val="741226BB"/>
    <w:multiLevelType w:val="hybridMultilevel"/>
    <w:lvl w:ilvl="0">
      <w:lvlJc w:val="left"/>
      <w:lvlText w:val="%1."/>
      <w:numFmt w:val="decimal"/>
      <w:start w:val="10"/>
    </w:lvl>
  </w:abstractNum>
  <w:abstractNum w:abstractNumId="56">
    <w:nsid w:val="D34B6A8"/>
    <w:multiLevelType w:val="hybridMultilevel"/>
    <w:lvl w:ilvl="0">
      <w:lvlJc w:val="left"/>
      <w:lvlText w:val="%1."/>
      <w:numFmt w:val="decimal"/>
      <w:start w:val="11"/>
    </w:lvl>
  </w:abstractNum>
  <w:abstractNum w:abstractNumId="57">
    <w:nsid w:val="10233C99"/>
    <w:multiLevelType w:val="hybridMultilevel"/>
    <w:lvl w:ilvl="0">
      <w:lvlJc w:val="left"/>
      <w:lvlText w:val="%1."/>
      <w:numFmt w:val="decimal"/>
      <w:start w:val="12"/>
    </w:lvl>
  </w:abstractNum>
  <w:abstractNum w:abstractNumId="58">
    <w:nsid w:val="3F6AB60F"/>
    <w:multiLevelType w:val="hybridMultilevel"/>
    <w:lvl w:ilvl="0">
      <w:lvlJc w:val="left"/>
      <w:lvlText w:val="%1."/>
      <w:numFmt w:val="decimal"/>
      <w:start w:val="13"/>
    </w:lvl>
  </w:abstractNum>
  <w:abstractNum w:abstractNumId="59">
    <w:nsid w:val="61574095"/>
    <w:multiLevelType w:val="hybridMultilevel"/>
    <w:lvl w:ilvl="0">
      <w:lvlJc w:val="left"/>
      <w:lvlText w:val="%1."/>
      <w:numFmt w:val="decimal"/>
      <w:start w:val="14"/>
    </w:lvl>
  </w:abstractNum>
  <w:abstractNum w:abstractNumId="60">
    <w:nsid w:val="7E0C57B1"/>
    <w:multiLevelType w:val="hybridMultilevel"/>
    <w:lvl w:ilvl="0">
      <w:lvlJc w:val="left"/>
      <w:lvlText w:val="%1."/>
      <w:numFmt w:val="decimal"/>
      <w:start w:val="15"/>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32" Type="http://schemas.openxmlformats.org/officeDocument/2006/relationships/hyperlink" Target="https://www.sec.gov/Archives/edgar/data/1395937/000119312516496764/d119516dex31.htm" TargetMode="External"/><Relationship Id="rId233" Type="http://schemas.openxmlformats.org/officeDocument/2006/relationships/hyperlink" Target="https://www.sec.gov/Archives/edgar/data/1395937/000119312516496764/d119516dex32.htm" TargetMode="External"/><Relationship Id="rId234" Type="http://schemas.openxmlformats.org/officeDocument/2006/relationships/hyperlink" Target="https://www.sec.gov/Archives/edgar/data/1395937/000156459022023045/sndx-ex101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2022-08-09T02:16:44Z</dcterms:created>
  <dcterms:modified xsi:type="dcterms:W3CDTF">2022-08-09T02:16:44Z</dcterms:modified>
</cp:coreProperties>
</file>