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108585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rFonts w:ascii="MS PGothic" w:cs="MS PGothic" w:eastAsia="MS PGothic" w:hAnsi="MS PGothic"/>
          <w:sz w:val="18"/>
          <w:szCs w:val="18"/>
          <w:color w:val="auto"/>
        </w:rPr>
      </w:pPr>
    </w:p>
    <w:p>
      <w:pPr>
        <w:ind w:left="39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September 30, 2018</w:t>
      </w:r>
    </w:p>
    <w:p>
      <w:pPr>
        <w:spacing w:after="0" w:line="12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2"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-4445</wp:posOffset>
            </wp:positionV>
            <wp:extent cx="1191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0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114935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4"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Syndax Pharmaceuticals, Inc.</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4" w:lineRule="exact"/>
        <w:rPr>
          <w:sz w:val="24"/>
          <w:szCs w:val="24"/>
          <w:color w:val="auto"/>
        </w:rPr>
      </w:pPr>
    </w:p>
    <w:tbl>
      <w:tblPr>
        <w:tblLayout w:type="fixed"/>
        <w:tblInd w:w="1900" w:type="dxa"/>
        <w:tblCellMar>
          <w:top w:w="0" w:type="dxa"/>
          <w:left w:w="0" w:type="dxa"/>
          <w:bottom w:w="0" w:type="dxa"/>
          <w:right w:w="0" w:type="dxa"/>
        </w:tblCellMar>
      </w:tblPr>
      <w:tr>
        <w:trPr>
          <w:trHeight w:val="194"/>
        </w:trPr>
        <w:tc>
          <w:tcPr>
            <w:tcW w:w="5600" w:type="dxa"/>
            <w:vAlign w:val="bottom"/>
          </w:tcPr>
          <w:p>
            <w:pPr>
              <w:jc w:val="center"/>
              <w:ind w:right="2743"/>
              <w:spacing w:after="0"/>
              <w:rPr>
                <w:sz w:val="20"/>
                <w:szCs w:val="20"/>
                <w:color w:val="auto"/>
              </w:rPr>
            </w:pPr>
            <w:r>
              <w:rPr>
                <w:rFonts w:ascii="Arial" w:cs="Arial" w:eastAsia="Arial" w:hAnsi="Arial"/>
                <w:sz w:val="16"/>
                <w:szCs w:val="16"/>
                <w:b w:val="1"/>
                <w:bCs w:val="1"/>
                <w:color w:val="auto"/>
                <w:w w:val="93"/>
              </w:rPr>
              <w:t>Delaware</w:t>
            </w:r>
          </w:p>
        </w:tc>
        <w:tc>
          <w:tcPr>
            <w:tcW w:w="1200" w:type="dxa"/>
            <w:vAlign w:val="bottom"/>
          </w:tcPr>
          <w:p>
            <w:pPr>
              <w:jc w:val="right"/>
              <w:ind w:right="84"/>
              <w:spacing w:after="0"/>
              <w:rPr>
                <w:sz w:val="20"/>
                <w:szCs w:val="20"/>
                <w:color w:val="auto"/>
              </w:rPr>
            </w:pPr>
            <w:r>
              <w:rPr>
                <w:rFonts w:ascii="Arial" w:cs="Arial" w:eastAsia="Arial" w:hAnsi="Arial"/>
                <w:sz w:val="16"/>
                <w:szCs w:val="16"/>
                <w:b w:val="1"/>
                <w:bCs w:val="1"/>
                <w:color w:val="auto"/>
              </w:rPr>
              <w:t>32-0162505</w:t>
            </w:r>
          </w:p>
        </w:tc>
      </w:tr>
      <w:tr>
        <w:trPr>
          <w:trHeight w:val="149"/>
        </w:trPr>
        <w:tc>
          <w:tcPr>
            <w:tcW w:w="5600" w:type="dxa"/>
            <w:vAlign w:val="bottom"/>
          </w:tcPr>
          <w:p>
            <w:pPr>
              <w:jc w:val="center"/>
              <w:ind w:right="274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0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600" w:type="dxa"/>
            <w:vAlign w:val="bottom"/>
          </w:tcPr>
          <w:p>
            <w:pPr>
              <w:jc w:val="center"/>
              <w:ind w:right="2743"/>
              <w:spacing w:after="0"/>
              <w:rPr>
                <w:sz w:val="20"/>
                <w:szCs w:val="20"/>
                <w:color w:val="auto"/>
              </w:rPr>
            </w:pPr>
            <w:r>
              <w:rPr>
                <w:rFonts w:ascii="Arial" w:cs="Arial" w:eastAsia="Arial" w:hAnsi="Arial"/>
                <w:sz w:val="14"/>
                <w:szCs w:val="14"/>
                <w:b w:val="1"/>
                <w:bCs w:val="1"/>
                <w:color w:val="auto"/>
                <w:w w:val="95"/>
              </w:rPr>
              <w:t>Incorporation or Organization)</w:t>
            </w:r>
          </w:p>
        </w:tc>
        <w:tc>
          <w:tcPr>
            <w:tcW w:w="120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Identification No.)</w:t>
            </w:r>
          </w:p>
        </w:tc>
      </w:tr>
      <w:tr>
        <w:trPr>
          <w:trHeight w:val="403"/>
        </w:trPr>
        <w:tc>
          <w:tcPr>
            <w:tcW w:w="5600" w:type="dxa"/>
            <w:vAlign w:val="bottom"/>
          </w:tcPr>
          <w:p>
            <w:pPr>
              <w:jc w:val="center"/>
              <w:ind w:right="2763"/>
              <w:spacing w:after="0"/>
              <w:rPr>
                <w:sz w:val="20"/>
                <w:szCs w:val="20"/>
                <w:color w:val="auto"/>
              </w:rPr>
            </w:pPr>
            <w:r>
              <w:rPr>
                <w:rFonts w:ascii="Arial" w:cs="Arial" w:eastAsia="Arial" w:hAnsi="Arial"/>
                <w:sz w:val="16"/>
                <w:szCs w:val="16"/>
                <w:b w:val="1"/>
                <w:bCs w:val="1"/>
                <w:color w:val="auto"/>
                <w:w w:val="91"/>
              </w:rPr>
              <w:t>35 Gatehouse Drive, Building D, Floor 3</w:t>
            </w:r>
          </w:p>
        </w:tc>
        <w:tc>
          <w:tcPr>
            <w:tcW w:w="1200" w:type="dxa"/>
            <w:vAlign w:val="bottom"/>
          </w:tcPr>
          <w:p>
            <w:pPr>
              <w:spacing w:after="0"/>
              <w:rPr>
                <w:sz w:val="24"/>
                <w:szCs w:val="24"/>
                <w:color w:val="auto"/>
              </w:rPr>
            </w:pPr>
          </w:p>
        </w:tc>
      </w:tr>
      <w:tr>
        <w:trPr>
          <w:trHeight w:val="207"/>
        </w:trPr>
        <w:tc>
          <w:tcPr>
            <w:tcW w:w="5600" w:type="dxa"/>
            <w:vAlign w:val="bottom"/>
          </w:tcPr>
          <w:p>
            <w:pPr>
              <w:jc w:val="center"/>
              <w:ind w:right="2763"/>
              <w:spacing w:after="0"/>
              <w:rPr>
                <w:sz w:val="20"/>
                <w:szCs w:val="20"/>
                <w:color w:val="auto"/>
              </w:rPr>
            </w:pPr>
            <w:r>
              <w:rPr>
                <w:rFonts w:ascii="Arial" w:cs="Arial" w:eastAsia="Arial" w:hAnsi="Arial"/>
                <w:sz w:val="16"/>
                <w:szCs w:val="16"/>
                <w:b w:val="1"/>
                <w:bCs w:val="1"/>
                <w:color w:val="auto"/>
                <w:w w:val="90"/>
              </w:rPr>
              <w:t>Waltham, Massachusetts</w:t>
            </w:r>
          </w:p>
        </w:tc>
        <w:tc>
          <w:tcPr>
            <w:tcW w:w="120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86"/>
        </w:trPr>
        <w:tc>
          <w:tcPr>
            <w:tcW w:w="5600" w:type="dxa"/>
            <w:vAlign w:val="bottom"/>
          </w:tcPr>
          <w:p>
            <w:pPr>
              <w:jc w:val="center"/>
              <w:ind w:right="2743"/>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00" w:type="dxa"/>
            <w:vAlign w:val="bottom"/>
          </w:tcPr>
          <w:p>
            <w:pPr>
              <w:jc w:val="center"/>
              <w:ind w:left="24"/>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5600" w:type="dxa"/>
            <w:vAlign w:val="bottom"/>
          </w:tcPr>
          <w:p>
            <w:pPr>
              <w:jc w:val="right"/>
              <w:ind w:right="1203"/>
              <w:spacing w:after="0"/>
              <w:rPr>
                <w:sz w:val="20"/>
                <w:szCs w:val="20"/>
                <w:color w:val="auto"/>
              </w:rPr>
            </w:pPr>
            <w:r>
              <w:rPr>
                <w:rFonts w:ascii="Arial" w:cs="Arial" w:eastAsia="Arial" w:hAnsi="Arial"/>
                <w:sz w:val="16"/>
                <w:szCs w:val="16"/>
                <w:b w:val="1"/>
                <w:bCs w:val="1"/>
                <w:color w:val="auto"/>
              </w:rPr>
              <w:t>(781) 419-1400</w:t>
            </w:r>
          </w:p>
        </w:tc>
        <w:tc>
          <w:tcPr>
            <w:tcW w:w="1200" w:type="dxa"/>
            <w:vAlign w:val="bottom"/>
          </w:tcPr>
          <w:p>
            <w:pPr>
              <w:spacing w:after="0"/>
              <w:rPr>
                <w:sz w:val="23"/>
                <w:szCs w:val="23"/>
                <w:color w:val="auto"/>
              </w:rPr>
            </w:pPr>
          </w:p>
        </w:tc>
      </w:tr>
      <w:tr>
        <w:trPr>
          <w:trHeight w:val="186"/>
        </w:trPr>
        <w:tc>
          <w:tcPr>
            <w:tcW w:w="5600" w:type="dxa"/>
            <w:vAlign w:val="bottom"/>
          </w:tcPr>
          <w:p>
            <w:pPr>
              <w:jc w:val="center"/>
              <w:ind w:left="1963"/>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ind w:right="260" w:firstLine="38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8" w:lineRule="exact"/>
        <w:rPr>
          <w:sz w:val="24"/>
          <w:szCs w:val="24"/>
          <w:color w:val="auto"/>
        </w:rPr>
      </w:pPr>
    </w:p>
    <w:p>
      <w:pPr>
        <w:ind w:right="40" w:firstLine="38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86" w:lineRule="exact"/>
        <w:rPr>
          <w:sz w:val="24"/>
          <w:szCs w:val="24"/>
          <w:color w:val="auto"/>
        </w:rPr>
      </w:pPr>
    </w:p>
    <w:p>
      <w:pPr>
        <w:ind w:firstLine="38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100" w:lineRule="exact"/>
        <w:rPr>
          <w:sz w:val="24"/>
          <w:szCs w:val="24"/>
          <w:color w:val="auto"/>
        </w:rPr>
      </w:pPr>
    </w:p>
    <w:p>
      <w:pPr>
        <w:ind w:right="220" w:firstLine="38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400"/>
        <w:spacing w:after="0" w:line="184" w:lineRule="exact"/>
        <w:tabs>
          <w:tab w:leader="none" w:pos="7900" w:val="left"/>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400"/>
        <w:spacing w:after="0"/>
        <w:rPr>
          <w:sz w:val="20"/>
          <w:szCs w:val="20"/>
          <w:color w:val="auto"/>
        </w:rPr>
      </w:pPr>
      <w:r>
        <w:rPr>
          <w:rFonts w:ascii="Arial" w:cs="Arial" w:eastAsia="Arial" w:hAnsi="Arial"/>
          <w:sz w:val="16"/>
          <w:szCs w:val="16"/>
          <w:color w:val="auto"/>
        </w:rPr>
        <w:t>As of November 2, 2018, there were 24,835,951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528320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32" w:right="39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trials of entinostat in lung cancer, melanoma, microsatellite stable colorectal cancer, ovarian cancer, and triple negative breast cancer;</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hormone receptor positive, human epidermal growth factor receptor 2 negative (HR+, HER2-) breast cancer;</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trials of SNDX-6352 and the potential use of SNDX-6352 to treat various cancer and cancer-related indications;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UCB Biopharma Sprl, and Vitae Pharmaceuticals, Inc., a subsidiary of Allergan plc;</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291"/>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4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Financial Statements:</w:t>
              </w:r>
            </w:hyperlink>
          </w:p>
        </w:tc>
        <w:tc>
          <w:tcPr>
            <w:tcW w:w="722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4"/>
                <w:szCs w:val="24"/>
                <w:color w:val="auto"/>
              </w:rPr>
            </w:pPr>
          </w:p>
        </w:tc>
        <w:tc>
          <w:tcPr>
            <w:tcW w:w="95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2018 and December 31, 2017</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0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nine months ended</w:t>
              </w:r>
            </w:hyperlink>
          </w:p>
        </w:tc>
        <w:tc>
          <w:tcPr>
            <w:tcW w:w="25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2018 and 2017</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1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2018</w:t>
              </w:r>
            </w:hyperlink>
          </w:p>
        </w:tc>
        <w:tc>
          <w:tcPr>
            <w:tcW w:w="2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2017</w:t>
              </w:r>
            </w:hyperlink>
          </w:p>
        </w:tc>
        <w:tc>
          <w:tcPr>
            <w:tcW w:w="864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5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12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780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784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24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Unregistered Sales of Equity Securities and Use of Proceeds</w:t>
              </w:r>
            </w:hyperlink>
          </w:p>
        </w:tc>
        <w:tc>
          <w:tcPr>
            <w:tcW w:w="522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7"/>
              </w:rPr>
              <w:t>September 30, 2018</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62,894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95,846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96,467</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3,180</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less current portion</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15,177</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32,193</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Commitments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 0 shares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September 30, 2018 and December 31, 2017</w:t>
            </w:r>
          </w:p>
        </w:tc>
        <w:tc>
          <w:tcPr>
            <w:tcW w:w="18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4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 24,051,364</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80"/>
              <w:spacing w:after="0"/>
              <w:rPr>
                <w:sz w:val="20"/>
                <w:szCs w:val="20"/>
                <w:color w:val="auto"/>
              </w:rPr>
            </w:pPr>
            <w:r>
              <w:rPr>
                <w:rFonts w:ascii="Arial" w:cs="Arial" w:eastAsia="Arial" w:hAnsi="Arial"/>
                <w:sz w:val="18"/>
                <w:szCs w:val="18"/>
                <w:color w:val="auto"/>
              </w:rPr>
              <w:t>and 24,390,033 shares issued and outstanding at September 30, 2018 and</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December 31, 2017, respectively</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484,893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(420,586)</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(366,111)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64,274</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96,467</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7"/>
              </w:rPr>
              <w:t>Three Months Ended September 30,</w:t>
            </w:r>
          </w:p>
        </w:tc>
        <w:tc>
          <w:tcPr>
            <w:tcW w:w="200" w:type="dxa"/>
            <w:vAlign w:val="bottom"/>
          </w:tcPr>
          <w:p>
            <w:pPr>
              <w:spacing w:after="0"/>
              <w:rPr>
                <w:sz w:val="16"/>
                <w:szCs w:val="16"/>
                <w:color w:val="auto"/>
              </w:rPr>
            </w:pPr>
          </w:p>
        </w:tc>
        <w:tc>
          <w:tcPr>
            <w:tcW w:w="2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39"/>
        </w:trPr>
        <w:tc>
          <w:tcPr>
            <w:tcW w:w="4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9"/>
                <w:szCs w:val="19"/>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1,138</w:t>
            </w:r>
          </w:p>
        </w:tc>
        <w:tc>
          <w:tcPr>
            <w:tcW w:w="16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w:t>
            </w:r>
          </w:p>
        </w:tc>
        <w:tc>
          <w:tcPr>
            <w:tcW w:w="4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(55,124)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marketable securities</w:t>
            </w:r>
          </w:p>
        </w:tc>
        <w:tc>
          <w:tcPr>
            <w:tcW w:w="6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4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(17,284)</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(15,096)</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(55,016)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(41,727)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(55,124)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(41,699)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w w:val="99"/>
              </w:rPr>
              <w:t>Net loss per share attributable to common stockholders—basic</w:t>
            </w: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(0.68)</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96"/>
        </w:trPr>
        <w:tc>
          <w:tcPr>
            <w:tcW w:w="49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98"/>
              </w:rPr>
              <w:t>Weighted-average number of common shares used to compute</w:t>
            </w:r>
          </w:p>
        </w:tc>
        <w:tc>
          <w:tcPr>
            <w:tcW w:w="4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attributable to common stockholders</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4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25,471,587</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22,239,996</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24,888,738</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20,004,409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18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(55,124)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(41,699)</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500"/>
              <w:spacing w:after="0"/>
              <w:rPr>
                <w:sz w:val="20"/>
                <w:szCs w:val="20"/>
                <w:color w:val="auto"/>
              </w:rPr>
            </w:pPr>
            <w:r>
              <w:rPr>
                <w:rFonts w:ascii="Arial" w:cs="Arial" w:eastAsia="Arial" w:hAnsi="Arial"/>
                <w:sz w:val="18"/>
                <w:szCs w:val="18"/>
                <w:color w:val="auto"/>
              </w:rPr>
              <w:t>Depreciation, amortization and accretion</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(2,784)</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718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(1,138)</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(53,488)</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9"/>
              </w:rPr>
              <w:t>(60,141)</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(113,012)</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sales and maturities of short-term investments</w:t>
            </w:r>
          </w:p>
        </w:tc>
        <w:tc>
          <w:tcPr>
            <w:tcW w:w="9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95,750</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35,436</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in follow-on public stock offering, net</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in at-the-market stock offering, net</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9,438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stock option exercises</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Proceeds from Employee Stock Purchase Plan</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9,584</w:t>
            </w:r>
          </w:p>
        </w:tc>
        <w:tc>
          <w:tcPr>
            <w:tcW w:w="3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(8,468)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9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35,389</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26,921</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w:t>
            </w: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82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820" w:type="dxa"/>
            <w:vAlign w:val="bottom"/>
            <w:gridSpan w:val="2"/>
            <w:shd w:val="clear" w:color="auto" w:fill="CFF0FC"/>
          </w:tcPr>
          <w:p>
            <w:pPr>
              <w:jc w:val="right"/>
              <w:ind w:right="70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2018, and the results of operations and comprehensive loss for the three and nine months ended September 30, 2018 and 2017, and cash flows for the nine months ended September 30, 2018 and 2017. The results for the three and nine months ended September 30, 2018 are not necessarily indicative of the results to be expected for the year ending December 31, 2018, any other interim periods, or any future year or period. These interim financial statements should be read in conjunction with the audited financial statements as of and for the year ended December 31, 2017, and the notes thereto, which are included in the Company’s Annual Report on Form 10-K that was filed with the Securities and Exchange Commission (“SEC”) on March 8, 2018.</w:t>
      </w:r>
    </w:p>
    <w:p>
      <w:pPr>
        <w:spacing w:after="0" w:line="17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51" w:lineRule="exact"/>
        <w:rPr>
          <w:sz w:val="20"/>
          <w:szCs w:val="20"/>
          <w:color w:val="auto"/>
        </w:rPr>
      </w:pPr>
    </w:p>
    <w:p>
      <w:pPr>
        <w:ind w:left="520" w:right="7860" w:hanging="512"/>
        <w:spacing w:after="0" w:line="400" w:lineRule="auto"/>
        <w:tabs>
          <w:tab w:leader="none" w:pos="183"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spacing w:after="0" w:line="1"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 xml:space="preserve">The Company’s significant accounting policies, which are disclosed in the audited consolidated financial statements for the year ended December 31, 2017 and the notes thereto are included in the Company’s Annual Report on Form 10-K that was filed with the SEC on March 8, 2018. Certain amounts reported in the previous year have been recast as a result of the retrospective adoption of new accounting standards in the first quarter of 2018. Refer to </w:t>
      </w:r>
      <w:r>
        <w:rPr>
          <w:rFonts w:ascii="Arial" w:cs="Arial" w:eastAsia="Arial" w:hAnsi="Arial"/>
          <w:sz w:val="16"/>
          <w:szCs w:val="16"/>
          <w:i w:val="1"/>
          <w:iCs w:val="1"/>
          <w:color w:val="auto"/>
        </w:rPr>
        <w:t>Recently Issued and Adopted Accounting Pronouncements</w:t>
      </w:r>
      <w:r>
        <w:rPr>
          <w:rFonts w:ascii="Arial" w:cs="Arial" w:eastAsia="Arial" w:hAnsi="Arial"/>
          <w:sz w:val="16"/>
          <w:szCs w:val="16"/>
          <w:color w:val="auto"/>
        </w:rPr>
        <w:t xml:space="preserve"> and Note 4 "Revenue from Contracts with Customers" for further discussion.</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adopted Accounting Standards Codification Rule 606 Revenue from Contracts with Customers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For the Company’s accounting policy for revenue recognition under ASC 605, refer to Item 8 of the Annual Report on Form 10-K for the year ended December 31, 2017. As of January 1, 2018, the Company had only one contract within the scope of ASC 606, a license agreement with Kyowa Hakko Kirin Co., Ltd. (“KHK”), under which the Company granted KHK an exclusive license to develop and commercialize entinostat in Japan and Korea (the “KHK License Agreement”). The KHK License Agreement is discussed further in Footnote 6.</w:t>
      </w:r>
    </w:p>
    <w:p>
      <w:pPr>
        <w:spacing w:after="0" w:line="18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enters into license agreements for the development and commercialization of its product candidates. License agreements may include non-refundable upfront payments, contingent payments based on the occurrence of specified events under the Company’s license arrangements, partial or complete reimbursement of research and development expenses, and license fees and royalties on sales if they are successfully approved and commercialized. The Company’s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right="360" w:firstLine="518"/>
        <w:spacing w:after="0" w:line="285" w:lineRule="auto"/>
        <w:rPr>
          <w:sz w:val="20"/>
          <w:szCs w:val="20"/>
          <w:color w:val="auto"/>
        </w:rPr>
      </w:pPr>
      <w:r>
        <w:rPr>
          <w:rFonts w:ascii="Arial" w:cs="Arial" w:eastAsia="Arial" w:hAnsi="Arial"/>
          <w:sz w:val="16"/>
          <w:szCs w:val="16"/>
          <w:color w:val="auto"/>
        </w:rPr>
        <w:t>Revenue is recognized when, or as, performance obligations are satisfied, which occurs when control of the promised products or services is transferred to customers. Revenue is measured as the amount of consideration the Company expects to receive in exchange for transferring products or services to a customer (“transaction price”). To the extent that the transaction price includes variable consideration, the Company estimates the amount of variable consideration that should be included in the transaction price utilizing the most likely amount method. Variable consideration is included in the transaction price if, in the Company’s judgment, it is probable that a significant future reversal of cumulative revenue under the contract will not</w:t>
      </w:r>
    </w:p>
    <w:p>
      <w:pPr>
        <w:spacing w:after="0" w:line="2"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occur.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3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assesses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spacing w:after="0" w:line="18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Licenses of intellectual property: 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Arrangements containing licenses to the Company’s intellectual property typically provide for a know-how transfer period. These arrangements may or may not also include rights to future updates of that intellectual property and related know-how. Revenues from non-refundable, up-front fees allocated to the licenses are recognized as the license is transferred to the customer and the customer is able to use and benefit from the license. This generally takes place over the related know-how transfer period, or if applicable, over the term of transfer of future updates to the intellectual property.</w:t>
      </w:r>
    </w:p>
    <w:p>
      <w:pPr>
        <w:spacing w:after="0" w:line="16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Development Milestone Payments: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 For development milestones related to the KHK Agreement, the Company does not take a substantive role or control the research, development or commercialization of any products generated by KHK. Therefore, the Company is not able to reasonably estimate when, if at all, any development milestone payments may be payable to the Company. As such, the development milestone payments associated with the KHK Agreement involve a substantial degree of uncertainty and risk that they may never be received.</w:t>
      </w:r>
    </w:p>
    <w:p>
      <w:pPr>
        <w:spacing w:after="0" w:line="169"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Commercial Milestone Payments and Royalties: For arrangements that include sales-based royalties, including milestone payments based on the 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spacing w:after="0" w:line="171"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154"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Issued and Adopted Accounting Pronouncements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 xml:space="preserve">In June 2018, the Financial Accounting Standards Board (“FASB”) issued Accounting Standards Update (“ASU”) 2018-07,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(Topic 718): Improvements to Nonemployee Share-Based Payment Accounting </w:t>
      </w:r>
      <w:r>
        <w:rPr>
          <w:rFonts w:ascii="Arial" w:cs="Arial" w:eastAsia="Arial" w:hAnsi="Arial"/>
          <w:sz w:val="17"/>
          <w:szCs w:val="17"/>
          <w:color w:val="auto"/>
        </w:rPr>
        <w:t>(“ASU 2018-07”). ASU 2018-07 is intended to simplify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aspects of the accounting for nonemployee share-based payment transactions by expanding the scope of Topic 718 to include share-based payment transactions for acquiring goods and services from nonemployees. This ASU is effective for public reporting companies for interim and annual periods beginning after December 15, 2018, with early adoption permitted but no earlier than an entity’s adoption date of Topic 606. The Company is in the process of evaluating the effect of the new guidance on the Company’s consolidated financial statements and related disclosures.</w:t>
      </w:r>
    </w:p>
    <w:p>
      <w:pPr>
        <w:spacing w:after="0" w:line="178"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ASU 2017-09 provides guidance about which changes to the terms or conditions of a share-based payment award require an entity to apply modification accounting. An entity should account for the effects of a modification unless all of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Company adopted ASU 2017-09 on January 1, 2018, and it did not have a material impact on its condensed consolidated balance sheet, condensed statement of comprehensive loss or condensed statement of cash flows. As part of the adoption of this guidance, the Company adopted a policy to account for the effects of a modification unless certain exclusions are met.</w:t>
      </w:r>
    </w:p>
    <w:p>
      <w:pPr>
        <w:spacing w:after="0" w:line="173"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ASU 2016-18 requires that restricted cash and restricted cash equivalents be included with cash and cash equivalents when reconciling the beginning-of-period and end-of-period total amounts shown on the statement of cash flows. The statement of cash flows must also explain the change during the period in the total of cash, cash equivalents, and restricted cash or restricted cash equivalents. The Company adopted ASU 2016-18 on January 1, 2018, utilizing the retrospective transition method and it did not have a material impact on its condensed statement of cash flows. As part of the adoption of this guidance, the Company included restricted cash with cash and cash equivalents in the condensed statement of cash flows for the periods ending September 30, 2018 and 2017. The following table provides a reconciliation of the cash, cash equivalents, and restricted cash balances as of September 30, 2018 and December 31, 2017, as shown above:</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97"/>
              <w:spacing w:after="0"/>
              <w:rPr>
                <w:sz w:val="20"/>
                <w:szCs w:val="20"/>
                <w:color w:val="auto"/>
              </w:rPr>
            </w:pPr>
            <w:r>
              <w:rPr>
                <w:rFonts w:ascii="Arial" w:cs="Arial" w:eastAsia="Arial" w:hAnsi="Arial"/>
                <w:sz w:val="14"/>
                <w:szCs w:val="14"/>
                <w:b w:val="1"/>
                <w:bCs w:val="1"/>
                <w:color w:val="auto"/>
                <w:w w:val="93"/>
              </w:rPr>
              <w:t>September 30, 2018</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gridSpan w:val="4"/>
          </w:tcPr>
          <w:p>
            <w:pPr>
              <w:jc w:val="right"/>
              <w:ind w:right="1214"/>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26,705</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current and noncurrent assets</w:t>
            </w:r>
          </w:p>
        </w:tc>
        <w:tc>
          <w:tcPr>
            <w:tcW w:w="7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7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26,921</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35,389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 The standard will be effective for the Company on January 1, 2019. The Company is currently assessing the impact of the standard, including optional practical expedients that the Company may elect upon adoption and is progressing with an implementation plan. The implementation plan includes identifying the Company’s lease population, updating the Company’s lease database and identifying changes to processes and controls. The Company is currently assessing the impact that this standard will have on its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 w:name="page10"/>
    <w:bookmarkEnd w:id="9"/>
    <w:p>
      <w:pPr>
        <w:ind w:right="120" w:firstLine="518"/>
        <w:spacing w:after="0" w:line="279"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The Company adopted ASU 2014-09 and its related amendments (collectively known as ASC 606) effective on January 1, 2018 using the modified retrospective method. See Note 4 "Revenue from Contracts with Customers" for the required disclosures related to the impact of adopting this standard and a discussion of the Company's updated policies related to revenue recognition.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On January 1, 2018, the Company adopted ASC 606 applying the modified retrospective method, which only impacted the accounting for the KHK License Agreement. As a result of applying the modified retrospective method to adopt the new revenue guidance, the following adjustments were made to accounts on the consolidated balance sheet as of January 1, 2018:</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As Reported at</w:t>
            </w:r>
          </w:p>
        </w:tc>
        <w:tc>
          <w:tcPr>
            <w:tcW w:w="1420" w:type="dxa"/>
            <w:vAlign w:val="bottom"/>
            <w:gridSpan w:val="4"/>
          </w:tcPr>
          <w:p>
            <w:pPr>
              <w:jc w:val="center"/>
              <w:ind w:right="325"/>
              <w:spacing w:after="0"/>
              <w:rPr>
                <w:sz w:val="20"/>
                <w:szCs w:val="20"/>
                <w:color w:val="auto"/>
              </w:rPr>
            </w:pPr>
            <w:r>
              <w:rPr>
                <w:rFonts w:ascii="Arial" w:cs="Arial" w:eastAsia="Arial" w:hAnsi="Arial"/>
                <w:sz w:val="14"/>
                <w:szCs w:val="14"/>
                <w:b w:val="1"/>
                <w:bCs w:val="1"/>
                <w:color w:val="auto"/>
                <w:w w:val="91"/>
              </w:rPr>
              <w:t>Adjustments</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4"/>
          </w:tcPr>
          <w:p>
            <w:pPr>
              <w:jc w:val="center"/>
              <w:ind w:right="305"/>
              <w:spacing w:after="0" w:line="149" w:lineRule="exact"/>
              <w:rPr>
                <w:sz w:val="20"/>
                <w:szCs w:val="20"/>
                <w:color w:val="auto"/>
              </w:rPr>
            </w:pPr>
            <w:r>
              <w:rPr>
                <w:rFonts w:ascii="Arial" w:cs="Arial" w:eastAsia="Arial" w:hAnsi="Arial"/>
                <w:sz w:val="14"/>
                <w:szCs w:val="14"/>
                <w:b w:val="1"/>
                <w:bCs w:val="1"/>
                <w:color w:val="auto"/>
                <w:w w:val="93"/>
              </w:rPr>
              <w:t>Due to ASC</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January 1,</w:t>
            </w:r>
          </w:p>
        </w:tc>
      </w:tr>
      <w:tr>
        <w:trPr>
          <w:trHeight w:val="171"/>
        </w:trPr>
        <w:tc>
          <w:tcPr>
            <w:tcW w:w="20" w:type="dxa"/>
            <w:vAlign w:val="bottom"/>
          </w:tcPr>
          <w:p>
            <w:pPr>
              <w:spacing w:after="0"/>
              <w:rPr>
                <w:sz w:val="14"/>
                <w:szCs w:val="14"/>
                <w:color w:val="auto"/>
              </w:rPr>
            </w:pPr>
          </w:p>
        </w:tc>
        <w:tc>
          <w:tcPr>
            <w:tcW w:w="464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606</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revenue</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FF0FC"/>
          </w:tcPr>
          <w:p>
            <w:pPr>
              <w:spacing w:after="0"/>
              <w:rPr>
                <w:sz w:val="19"/>
                <w:szCs w:val="19"/>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15,798</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15,742</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Deferred revenue, less current portion</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16,759</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16,166</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17,069</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32,867</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32,218</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(366,111)</w:t>
            </w:r>
          </w:p>
        </w:tc>
        <w:tc>
          <w:tcPr>
            <w:tcW w:w="106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(365,462)</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104,319</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104,968</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137,186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137,186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New Revenue Guidance on Financial Statement Line Items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Results for reporting periods beginning after January 1, 2018 were presented under Topic 606, while prior period amounts were not adjusted and reported under the accounting standards in effect for the prior periods. The following tables show the impact on the reported condensed consolidated balance sheet for the nine months ended September 30, 2018, and the statement of income for the three and nine months ended September 30, 2018, for pro-forma amounts had the previous guidance been in effect (in thousands):</w:t>
      </w:r>
    </w:p>
    <w:p>
      <w:pPr>
        <w:sectPr>
          <w:pgSz w:w="11900" w:h="16838" w:orient="portrait"/>
          <w:cols w:equalWidth="0" w:num="1">
            <w:col w:w="11300"/>
          </w:cols>
          <w:pgMar w:left="240" w:top="598" w:right="359" w:bottom="1440" w:gutter="0" w:footer="0" w:header="0"/>
        </w:sectPr>
      </w:pPr>
    </w:p>
    <w:p>
      <w:pPr>
        <w:spacing w:after="0" w:line="192"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Financial Statement Line Item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6350</wp:posOffset>
            </wp:positionV>
            <wp:extent cx="3576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143"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Condensed Consolidated Statement of Income</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License fee</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Comprehensive loss</w:t>
      </w:r>
    </w:p>
    <w:p>
      <w:pPr>
        <w:spacing w:after="0" w:line="24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Condensed Consolidated Balance Sheet **</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portion of deferred revenue</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Deferred revenue, less current portion</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Increase (Decrease)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74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Three months ended</w:t>
            </w:r>
          </w:p>
        </w:tc>
        <w:tc>
          <w:tcPr>
            <w:tcW w:w="1520" w:type="dxa"/>
            <w:vAlign w:val="bottom"/>
            <w:tcBorders>
              <w:top w:val="single" w:sz="8" w:color="auto"/>
            </w:tcBorders>
          </w:tcPr>
          <w:p>
            <w:pPr>
              <w:ind w:left="160"/>
              <w:spacing w:after="0" w:line="133" w:lineRule="exact"/>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1"/>
                <w:szCs w:val="11"/>
                <w:color w:val="auto"/>
              </w:rPr>
            </w:pPr>
          </w:p>
        </w:tc>
      </w:tr>
      <w:tr>
        <w:trPr>
          <w:trHeight w:val="171"/>
        </w:trPr>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2018</w:t>
            </w: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2018</w:t>
            </w:r>
          </w:p>
        </w:tc>
      </w:tr>
      <w:tr>
        <w:trPr>
          <w:trHeight w:val="222"/>
        </w:trPr>
        <w:tc>
          <w:tcPr>
            <w:tcW w:w="150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w w:val="74"/>
              </w:rPr>
              <w:t>(14)</w:t>
            </w:r>
          </w:p>
        </w:tc>
        <w:tc>
          <w:tcPr>
            <w:tcW w:w="240" w:type="dxa"/>
            <w:vAlign w:val="bottom"/>
          </w:tcPr>
          <w:p>
            <w:pPr>
              <w:spacing w:after="0"/>
              <w:rPr>
                <w:sz w:val="19"/>
                <w:szCs w:val="19"/>
                <w:color w:val="auto"/>
              </w:rPr>
            </w:pPr>
          </w:p>
        </w:tc>
        <w:tc>
          <w:tcPr>
            <w:tcW w:w="152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w w:val="74"/>
              </w:rPr>
              <w:t>(42)</w:t>
            </w:r>
          </w:p>
        </w:tc>
        <w:tc>
          <w:tcPr>
            <w:tcW w:w="60" w:type="dxa"/>
            <w:vAlign w:val="bottom"/>
          </w:tcPr>
          <w:p>
            <w:pPr>
              <w:spacing w:after="0"/>
              <w:rPr>
                <w:sz w:val="19"/>
                <w:szCs w:val="19"/>
                <w:color w:val="auto"/>
              </w:rPr>
            </w:pPr>
          </w:p>
        </w:tc>
      </w:tr>
      <w:tr>
        <w:trPr>
          <w:trHeight w:val="230"/>
        </w:trPr>
        <w:tc>
          <w:tcPr>
            <w:tcW w:w="1740" w:type="dxa"/>
            <w:vAlign w:val="bottom"/>
            <w:gridSpan w:val="2"/>
          </w:tcPr>
          <w:p>
            <w:pPr>
              <w:ind w:left="1240"/>
              <w:spacing w:after="0"/>
              <w:rPr>
                <w:sz w:val="20"/>
                <w:szCs w:val="20"/>
                <w:color w:val="auto"/>
              </w:rPr>
            </w:pPr>
            <w:r>
              <w:rPr>
                <w:rFonts w:ascii="Arial" w:cs="Arial" w:eastAsia="Arial" w:hAnsi="Arial"/>
                <w:sz w:val="18"/>
                <w:szCs w:val="18"/>
                <w:color w:val="auto"/>
              </w:rPr>
              <w:t>(14)</w:t>
            </w: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w w:val="93"/>
              </w:rPr>
              <w:t>(42)</w:t>
            </w:r>
          </w:p>
        </w:tc>
      </w:tr>
      <w:tr>
        <w:trPr>
          <w:trHeight w:val="230"/>
        </w:trPr>
        <w:tc>
          <w:tcPr>
            <w:tcW w:w="1740" w:type="dxa"/>
            <w:vAlign w:val="bottom"/>
            <w:gridSpan w:val="2"/>
          </w:tcPr>
          <w:p>
            <w:pPr>
              <w:ind w:left="1240"/>
              <w:spacing w:after="0"/>
              <w:rPr>
                <w:sz w:val="20"/>
                <w:szCs w:val="20"/>
                <w:color w:val="auto"/>
              </w:rPr>
            </w:pPr>
            <w:r>
              <w:rPr>
                <w:rFonts w:ascii="Arial" w:cs="Arial" w:eastAsia="Arial" w:hAnsi="Arial"/>
                <w:sz w:val="18"/>
                <w:szCs w:val="18"/>
                <w:color w:val="auto"/>
              </w:rPr>
              <w:t>(14)</w:t>
            </w: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w w:val="93"/>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-145415</wp:posOffset>
            </wp:positionV>
            <wp:extent cx="579755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-445135</wp:posOffset>
            </wp:positionV>
            <wp:extent cx="579755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6350</wp:posOffset>
            </wp:positionV>
            <wp:extent cx="579755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(56)</w:t>
      </w:r>
    </w:p>
    <w:p>
      <w:pPr>
        <w:spacing w:after="0" w:line="33"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(551)</w:t>
      </w:r>
    </w:p>
    <w:p>
      <w:pPr>
        <w:spacing w:after="0" w:line="3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-130810</wp:posOffset>
            </wp:positionV>
            <wp:extent cx="579755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360"/>
          </w:cols>
          <w:pgMar w:left="240" w:top="598" w:right="359" w:bottom="1440" w:gutter="0" w:footer="0" w:header="0"/>
          <w:type w:val="continuous"/>
        </w:sectPr>
      </w:pPr>
    </w:p>
    <w:p>
      <w:pPr>
        <w:spacing w:after="0" w:line="51" w:lineRule="exact"/>
        <w:rPr>
          <w:sz w:val="20"/>
          <w:szCs w:val="20"/>
          <w:color w:val="auto"/>
        </w:rPr>
      </w:pPr>
    </w:p>
    <w:p>
      <w:pPr>
        <w:ind w:left="520" w:right="24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line items that were not affected by the Company’s adoption of ASC 606. The adoption had no impact to cash provided by or used in net operating, investing or financing activities in the Condensed Consolidated Statement of Cash Flows.</w:t>
      </w:r>
    </w:p>
    <w:p>
      <w:pPr>
        <w:spacing w:after="0" w:line="76" w:lineRule="exact"/>
        <w:rPr>
          <w:sz w:val="20"/>
          <w:szCs w:val="20"/>
          <w:color w:val="auto"/>
        </w:rPr>
      </w:pPr>
    </w:p>
    <w:p>
      <w:pPr>
        <w:ind w:left="5660" w:right="3060" w:hanging="5652"/>
        <w:spacing w:after="0" w:line="528" w:lineRule="auto"/>
        <w:tabs>
          <w:tab w:leader="none" w:pos="51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Balance sheet line item amounts include the cumulative-effect adjustment recorded on December 31, 2017.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98"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Impact to KHK License Agreement Revenue</w:t>
      </w:r>
    </w:p>
    <w:p>
      <w:pPr>
        <w:spacing w:after="0" w:line="117"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Under ASC 606, the Company determined that the performance obligations associated with the KHK License Agreement include (i) the combined license, rights to access and use materials and data, and rights to additional intellectual property, and (ii) the clinical supply obligation. All other goods or services promised to KHK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as opposed to the initial delivery of the clinical trial materials in June 2015.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 promises nor is it significantly modified or customized by them, and (iii) the clinical supply is not highly interdependent or highly interrelated with the other promises in the agreement as KHK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KHK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KHK Agreement at contract inception were not distinct and represented a single performance obligation, and that the obligations for goods and services provided would be completed over the performance period of the agreement, any payments received by the Company from KHK,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17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Contract liabilities consisted of deferred revenue, as presented on the consolidated balance sheet, as of September 30, 2018. Deferred revenue related to the KHK License Agreement was $16.5 million as of September 30, 2018 and will be recognized over the remainder of the contract term. The Company recognized license fees revenue of $0.4 million during the three months ended September 30, 2018 that was included in the deferred revenue balance as of January 1,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ectPr>
          <w:pgSz w:w="11900" w:h="16838" w:orient="portrait"/>
          <w:cols w:equalWidth="0" w:num="1">
            <w:col w:w="11440"/>
          </w:cols>
          <w:pgMar w:left="240" w:top="665" w:right="219" w:bottom="1440" w:gutter="0" w:footer="0" w:header="0"/>
        </w:sectPr>
      </w:pPr>
    </w:p>
    <w:p>
      <w:pPr>
        <w:spacing w:after="0" w:line="314" w:lineRule="exact"/>
        <w:rPr>
          <w:sz w:val="20"/>
          <w:szCs w:val="20"/>
          <w:color w:val="auto"/>
        </w:rPr>
      </w:pPr>
    </w:p>
    <w:p>
      <w:pPr>
        <w:jc w:val="center"/>
        <w:ind w:left="52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13970</wp:posOffset>
            </wp:positionV>
            <wp:extent cx="17494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7" w:lineRule="exact"/>
        <w:rPr>
          <w:sz w:val="20"/>
          <w:szCs w:val="20"/>
          <w:color w:val="auto"/>
        </w:rPr>
      </w:pPr>
    </w:p>
    <w:p>
      <w:pPr>
        <w:ind w:left="5500"/>
        <w:spacing w:after="0"/>
        <w:tabs>
          <w:tab w:leader="none" w:pos="69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0</wp:posOffset>
            </wp:positionV>
            <wp:extent cx="17494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jc w:val="center"/>
        <w:ind w:left="5220"/>
        <w:spacing w:after="0"/>
        <w:rPr>
          <w:sz w:val="20"/>
          <w:szCs w:val="20"/>
          <w:color w:val="auto"/>
        </w:rPr>
      </w:pPr>
      <w:r>
        <w:rPr>
          <w:rFonts w:ascii="Arial" w:cs="Arial" w:eastAsia="Arial" w:hAnsi="Arial"/>
          <w:sz w:val="12"/>
          <w:szCs w:val="12"/>
          <w:b w:val="1"/>
          <w:bCs w:val="1"/>
          <w:color w:val="auto"/>
        </w:rPr>
        <w:t>(In thousands, except share and per</w:t>
      </w:r>
    </w:p>
    <w:p>
      <w:pPr>
        <w:spacing w:after="0" w:line="10"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share data)</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98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13970</wp:posOffset>
            </wp:positionV>
            <wp:extent cx="17494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7" w:lineRule="exact"/>
        <w:rPr>
          <w:sz w:val="20"/>
          <w:szCs w:val="20"/>
          <w:color w:val="auto"/>
        </w:rPr>
      </w:pPr>
    </w:p>
    <w:p>
      <w:pPr>
        <w:ind w:left="200"/>
        <w:spacing w:after="0"/>
        <w:tabs>
          <w:tab w:leader="none" w:pos="16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0</wp:posOffset>
            </wp:positionV>
            <wp:extent cx="17494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jc w:val="center"/>
        <w:ind w:right="980"/>
        <w:spacing w:after="0"/>
        <w:rPr>
          <w:sz w:val="20"/>
          <w:szCs w:val="20"/>
          <w:color w:val="auto"/>
        </w:rPr>
      </w:pPr>
      <w:r>
        <w:rPr>
          <w:rFonts w:ascii="Arial" w:cs="Arial" w:eastAsia="Arial" w:hAnsi="Arial"/>
          <w:sz w:val="12"/>
          <w:szCs w:val="12"/>
          <w:b w:val="1"/>
          <w:bCs w:val="1"/>
          <w:color w:val="auto"/>
        </w:rPr>
        <w:t>(In thousands, except share and per</w:t>
      </w:r>
    </w:p>
    <w:p>
      <w:pPr>
        <w:spacing w:after="0" w:line="10"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share data)</w:t>
      </w:r>
    </w:p>
    <w:p>
      <w:pPr>
        <w:spacing w:after="0" w:line="20" w:lineRule="exact"/>
        <w:rPr>
          <w:sz w:val="20"/>
          <w:szCs w:val="20"/>
          <w:color w:val="auto"/>
        </w:rPr>
      </w:pPr>
    </w:p>
    <w:p>
      <w:pPr>
        <w:sectPr>
          <w:pgSz w:w="11900" w:h="16838" w:orient="portrait"/>
          <w:cols w:equalWidth="0" w:num="2">
            <w:col w:w="7560" w:space="720"/>
            <w:col w:w="3160"/>
          </w:cols>
          <w:pgMar w:left="240" w:top="665"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(17,338)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(15,088)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(55,124)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(41,699)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w:t>
            </w:r>
          </w:p>
        </w:tc>
        <w:tc>
          <w:tcPr>
            <w:tcW w:w="5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(17,338)</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(15,088)</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(55,124)</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(41,699)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5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3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stockholders—basic and diluted</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(0.68)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(0.68)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Denominator—basic and diluted:</w:t>
            </w:r>
          </w:p>
        </w:tc>
        <w:tc>
          <w:tcPr>
            <w:tcW w:w="5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Weighted-average number of common shares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used to compute net loss per share attributable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to common stockholders—basic and diluted</w:t>
            </w:r>
          </w:p>
        </w:tc>
        <w:tc>
          <w:tcPr>
            <w:tcW w:w="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25,471,587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22,239,996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24,888,738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20,004,409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type w:val="continuous"/>
        </w:sectPr>
      </w:pPr>
    </w:p>
    <w:bookmarkStart w:id="11" w:name="page12"/>
    <w:bookmarkEnd w:id="11"/>
    <w:p>
      <w:pPr>
        <w:ind w:right="220" w:firstLine="51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9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8"/>
              </w:rPr>
              <w:t>September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4,272,646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3,286,936</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Common stock warrant</w:t>
            </w:r>
          </w:p>
        </w:tc>
        <w:tc>
          <w:tcPr>
            <w:tcW w:w="19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357,840</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11,321</w:t>
            </w:r>
          </w:p>
        </w:tc>
        <w:tc>
          <w:tcPr>
            <w:tcW w:w="80" w:type="dxa"/>
            <w:vAlign w:val="bottom"/>
            <w:shd w:val="clear" w:color="auto" w:fill="CFF0FC"/>
          </w:tcPr>
          <w:p>
            <w:pPr>
              <w:spacing w:after="0"/>
              <w:rPr>
                <w:sz w:val="19"/>
                <w:szCs w:val="19"/>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In October 2017, the Company entered into a license agreement (the “Allergan License Agreement”) with Vitae Pharmaceuticals, Inc., a subsidiary of Allergan plc (“Allergan”), under which Allergan granted the Company an exclusive, sublicensable, worldwide license to a portfolio of preclinical, orally available, small molecule inhibitors of the interaction of Menin with the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In 2016, the Company entered into a license agreement (the “UCB License Agreement”) with UCB Biopharma Sprl (“UCB”), under which UCB granted to the Company a worldwide, sublicenseable, exclusive license to UCB6352, which the Company refers to as SNDX-6352, an investigational new drug (“IND”) ready anti-CSF-1R monoclonal antibody. The Company made a nonrefundable upfront payment of $5.0 million to UCB in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has been recorded as research and development expense in the condensed consolidated statement of comprehensive loss.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color w:val="auto"/>
        </w:rPr>
        <w:t>Kyowa Hakko Kirin Co., Ltd.</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On December 19, 2014 (the “Effective Date”), the Company entered into the KHK License Agreement,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0"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18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In October 2017, the Company announced that KHK enrolled the first Japanese patient into a local pivotal study of entinostat for the treatment of hormone receptor positive, human epidermal growth factor receptor 2 negative breast cancer. In accordance with the terms of the license agreement, KHK paid the Company a $5.0 million milestone payment which the Company received in December 2017. Please refer to Note 4, Revenue from Contracts, for further discussion related to the accounting for the milestone.</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In October 2016, the Company entered into a clinical trial co-funding agreement with KHK under which the Company expanded its clinical trial agreement with Eastern Cooperative Oncology Group (the “ECOG Agreement”) to include enrollments from sites in Korea.</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right="140" w:firstLine="518"/>
        <w:spacing w:after="0" w:line="287" w:lineRule="auto"/>
        <w:rPr>
          <w:sz w:val="20"/>
          <w:szCs w:val="20"/>
          <w:color w:val="auto"/>
        </w:rPr>
      </w:pPr>
      <w:r>
        <w:rPr>
          <w:rFonts w:ascii="Arial" w:cs="Arial" w:eastAsia="Arial" w:hAnsi="Arial"/>
          <w:sz w:val="16"/>
          <w:szCs w:val="16"/>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second quarter of 2016, the ECOG Agreement was amended to provide additional study activities and the contractual obligation increased by $0.8 million. During the first quarter of 2017, the ECOG Agreement was amended to expand the study to include enrollments from sites in Korea and to provide additional study activities and the contractual obligation increased by $2.0 million. As of September 30, 2018, the Company’s aggregate payment obligations under this agreement were approximately $24.3 million; and its remaining payment obligations are approximately $10.2 million over an estimated period of approximately three years.</w:t>
      </w:r>
    </w:p>
    <w:p>
      <w:pPr>
        <w:spacing w:after="0" w:line="173"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8"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was exercised or the closing of the IPO. The warrant contained anti-dilution protection to maintain Bayer’s potential ownership at 1.75% of the shares of common stock outstanding on a fully diluted basis, requiring that the actual number of shares of common stock issuable pursuant to the warrant be increased or decreased for any changes in the fully diluted shares of common stock outstanding. The warrant was exercisable at an exercise price of $1.54 per share and would have expired upon the earlier of the 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using current assumptions just prior to the reclassification. On March 1, 2018, Bayer notified the Company of its election to exercise the warrant utilizing the net exercise feature contained therein, resulting in the Company’s issuance to Bayer of 299,215 shares of the Company’s common stock for no net cash proceeds.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that are accessible at the market date for identical unrestricted assets or liabilities.</w:t>
      </w:r>
    </w:p>
    <w:p>
      <w:pPr>
        <w:spacing w:after="0" w:line="117" w:lineRule="exact"/>
        <w:rPr>
          <w:sz w:val="20"/>
          <w:szCs w:val="20"/>
          <w:color w:val="auto"/>
        </w:rPr>
      </w:pPr>
    </w:p>
    <w:p>
      <w:pPr>
        <w:ind w:left="1220" w:hanging="688"/>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94"/>
              </w:rPr>
              <w:t>Fair Value Measurements Using</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7"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Prices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jc w:val="right"/>
              <w:ind w:right="637"/>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September 30, 2018</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Assets:</w:t>
            </w:r>
          </w:p>
        </w:tc>
        <w:tc>
          <w:tcPr>
            <w:tcW w:w="2220" w:type="dxa"/>
            <w:vAlign w:val="bottom"/>
            <w:tcBorders>
              <w:top w:val="single" w:sz="8" w:color="CFF0FC"/>
            </w:tcBorders>
          </w:tcPr>
          <w:p>
            <w:pPr>
              <w:spacing w:after="0"/>
              <w:rPr>
                <w:sz w:val="19"/>
                <w:szCs w:val="19"/>
                <w:color w:val="auto"/>
              </w:rPr>
            </w:pPr>
          </w:p>
        </w:tc>
        <w:tc>
          <w:tcPr>
            <w:tcW w:w="16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Short-term investments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20" w:type="dxa"/>
            <w:vAlign w:val="bottom"/>
            <w:gridSpan w:val="4"/>
            <w:vMerge w:val="continue"/>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Assets: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35,168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Short-term investments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Long-term investments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Cash of $25.7 million and $25.0 million as of September 30, 2018 and December 31, 2017, respectively, consisted of overnight investments and money market funds and are classified within Level 1 of the fair value hierarchy because they are valued using quoted market prices in active markets. Cash equivalents of $1.0 million and $10.2 million as of September 30, 2018 and December 31, 2017, respectively,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 Short-term investments of $62.9 million and $94.8 million as of September 30, 2018 and December 31, 2017, respectively, and long-term investments of $3.2 million as of December 31, 2017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2"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September 30, 2018,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nine months ended September 30, 2018 and 2017. As a result, the Company did not reclassify any amounts out of accumulated other comprehensive income for the same periods. The Company has a limited number of available-for-sale securities in insignificant loss positions as of September 30, 2018, which the Company does not intend to sell and has concluded it will not be required to sell before recovery of the amortized cost for the investment at maturity. The following table summarizes the available-for-sale securities: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16"/>
              <w:spacing w:after="0"/>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76"/>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5"/>
          </w:tcPr>
          <w:p>
            <w:pPr>
              <w:jc w:val="right"/>
              <w:ind w:right="84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32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September 30, 2018</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4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820" w:type="dxa"/>
            <w:vAlign w:val="bottom"/>
            <w:tcBorders>
              <w:bottom w:val="single" w:sz="8" w:color="CFF0FC"/>
            </w:tcBorders>
          </w:tcPr>
          <w:p>
            <w:pPr>
              <w:spacing w:after="0"/>
              <w:rPr>
                <w:sz w:val="22"/>
                <w:szCs w:val="22"/>
                <w:color w:val="auto"/>
              </w:rPr>
            </w:pPr>
          </w:p>
        </w:tc>
        <w:tc>
          <w:tcPr>
            <w:tcW w:w="20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63,928</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63,893</w:t>
            </w:r>
          </w:p>
        </w:tc>
        <w:tc>
          <w:tcPr>
            <w:tcW w:w="12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460" w:type="dxa"/>
            <w:vAlign w:val="bottom"/>
            <w:tcBorders>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88"/>
              </w:rPr>
              <w:t>December 31, 2017</w:t>
            </w:r>
          </w:p>
        </w:tc>
        <w:tc>
          <w:tcPr>
            <w:tcW w:w="1860" w:type="dxa"/>
            <w:vAlign w:val="bottom"/>
            <w:tcBorders>
              <w:bottom w:val="single" w:sz="8" w:color="CFF0FC"/>
            </w:tcBorders>
            <w:gridSpan w:val="2"/>
            <w:shd w:val="clear" w:color="auto" w:fill="CFF0FC"/>
          </w:tcPr>
          <w:p>
            <w:pPr>
              <w:spacing w:after="0"/>
              <w:rPr>
                <w:sz w:val="16"/>
                <w:szCs w:val="16"/>
                <w:color w:val="auto"/>
              </w:rPr>
            </w:pPr>
          </w:p>
        </w:tc>
        <w:tc>
          <w:tcPr>
            <w:tcW w:w="20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71,721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108,391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108,248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vMerge w:val="restart"/>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September 30, 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gridSpan w:val="4"/>
          </w:tcPr>
          <w:p>
            <w:pPr>
              <w:jc w:val="right"/>
              <w:ind w:right="109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Prepaid clinical supplies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Reimbursable costs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September 30, 2018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gridSpan w:val="4"/>
          </w:tcPr>
          <w:p>
            <w:pPr>
              <w:jc w:val="right"/>
              <w:ind w:right="109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Accrued compensation and related costs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12,319</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In January 2018, the number of shares of common stock available for issuance under the 2015 Omnibus Incentive Plan (“2015 Plan”), was increased by 975,601 shares due to the automatic annual provision to increase shares available under the 2015 Plan. As of September 30, 2018, the total number of shares of common stock available for issuance under the 2015 Plan was 1,403,338.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20" w:type="dxa"/>
            <w:vAlign w:val="bottom"/>
            <w:gridSpan w:val="7"/>
          </w:tcPr>
          <w:p>
            <w:pPr>
              <w:spacing w:after="0"/>
              <w:rPr>
                <w:sz w:val="20"/>
                <w:szCs w:val="20"/>
                <w:color w:val="auto"/>
              </w:rPr>
            </w:pPr>
            <w:r>
              <w:rPr>
                <w:rFonts w:ascii="Arial" w:cs="Arial" w:eastAsia="Arial" w:hAnsi="Arial"/>
                <w:sz w:val="14"/>
                <w:szCs w:val="14"/>
                <w:b w:val="1"/>
                <w:bCs w:val="1"/>
                <w:color w:val="auto"/>
                <w:w w:val="96"/>
              </w:rPr>
              <w:t>Nine Months Ended September</w:t>
            </w:r>
          </w:p>
        </w:tc>
      </w:tr>
      <w:tr>
        <w:trPr>
          <w:trHeight w:val="171"/>
        </w:trPr>
        <w:tc>
          <w:tcPr>
            <w:tcW w:w="3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1"/>
              </w:rPr>
              <w:t>30,</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4"/>
          </w:tcPr>
          <w:p>
            <w:pPr>
              <w:jc w:val="right"/>
              <w:ind w:right="454"/>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5"/>
          </w:tcPr>
          <w:p>
            <w:pPr>
              <w:jc w:val="center"/>
              <w:ind w:right="134"/>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3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3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6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60" w:type="dxa"/>
            <w:vAlign w:val="bottom"/>
            <w:tcBorders>
              <w:bottom w:val="single" w:sz="8" w:color="CFF0FC"/>
            </w:tcBorders>
          </w:tcPr>
          <w:p>
            <w:pPr>
              <w:spacing w:after="0"/>
              <w:rPr>
                <w:sz w:val="19"/>
                <w:szCs w:val="19"/>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expense by type of award in the three and nine months ended September 30, 2018 and 2017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w w:val="95"/>
              </w:rPr>
              <w:t>Nine Months Ended September</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1"/>
              </w:rPr>
              <w:t>30,</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jc w:val="right"/>
              <w:ind w:right="454"/>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194"/>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3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3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4,153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4,170</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99"/>
              <w:spacing w:after="0"/>
              <w:rPr>
                <w:sz w:val="20"/>
                <w:szCs w:val="20"/>
                <w:color w:val="auto"/>
              </w:rPr>
            </w:pPr>
            <w:r>
              <w:rPr>
                <w:rFonts w:ascii="Arial" w:cs="Arial" w:eastAsia="Arial" w:hAnsi="Arial"/>
                <w:sz w:val="18"/>
                <w:szCs w:val="18"/>
                <w:color w:val="auto"/>
                <w:w w:val="89"/>
              </w:rPr>
              <w:t>13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6" w:name="page17"/>
    <w:bookmarkEnd w:id="16"/>
    <w:p>
      <w:pPr>
        <w:ind w:right="20" w:firstLine="518"/>
        <w:spacing w:after="0" w:line="286" w:lineRule="auto"/>
        <w:rPr>
          <w:sz w:val="20"/>
          <w:szCs w:val="20"/>
          <w:color w:val="auto"/>
        </w:rPr>
      </w:pPr>
      <w:r>
        <w:rPr>
          <w:rFonts w:ascii="Arial" w:cs="Arial" w:eastAsia="Arial" w:hAnsi="Arial"/>
          <w:sz w:val="17"/>
          <w:szCs w:val="17"/>
          <w:color w:val="auto"/>
        </w:rPr>
        <w:t>During the three and nine months ended September 30, 2018, the Company granted 76,000 and 1,049,400 stock options to certain executives and employees. The grant date fair value of the options granted in the nine months ended September 30, 2018, was $6.5 million, or $6.17 per share on a weighted-average basis and will be recognized as compensation expense over the requisite service period of three to four years.</w:t>
      </w:r>
    </w:p>
    <w:p>
      <w:pPr>
        <w:spacing w:after="0" w:line="206"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No options were exercised in the three months ended September 30, 2018 and 7,850 options exercised during the nine months ended September 30, 2018, resulting in total proceeds of $26,000. The intrinsic value of the options exercised was $91,000. In accordance with the Company’s policy, the shares were issued from a pool of shares reserved for issuance under the 2007 and 2015 Plans.</w:t>
      </w:r>
    </w:p>
    <w:p>
      <w:pPr>
        <w:spacing w:after="0" w:line="181" w:lineRule="exact"/>
        <w:rPr>
          <w:sz w:val="20"/>
          <w:szCs w:val="20"/>
          <w:color w:val="auto"/>
        </w:rPr>
      </w:pPr>
    </w:p>
    <w:p>
      <w:pPr>
        <w:ind w:right="100" w:firstLine="518"/>
        <w:spacing w:after="0" w:line="303" w:lineRule="auto"/>
        <w:rPr>
          <w:sz w:val="20"/>
          <w:szCs w:val="20"/>
          <w:color w:val="auto"/>
        </w:rPr>
      </w:pPr>
      <w:r>
        <w:rPr>
          <w:rFonts w:ascii="Arial" w:cs="Arial" w:eastAsia="Arial" w:hAnsi="Arial"/>
          <w:sz w:val="17"/>
          <w:szCs w:val="17"/>
          <w:color w:val="auto"/>
        </w:rPr>
        <w:t>As of September 30, 2018, there was $10.3 million of unrecognized compensation cost related to employee and non-employee unvested stock options and unvested restricted stock share-based compensation arrangements granted under the 2015 and 2007 Plans, which is expected to be recognized over a weighted-average remaining service period of 2.5 years. Stock compensation costs have not been capitalized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Stock Purchase Plan</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January 2018, the number of shares of common stock available for issuance under the ESPP, was increased by 243,900 shares as a result of the automatic increase provision of the ESPP. As of September 30, 2018, the total number of shares of common stock available for issuance under the ESPP was 651,453. The Company issued 24,684 shares during the first nine months of 2018.</w:t>
      </w:r>
    </w:p>
    <w:p>
      <w:pPr>
        <w:spacing w:after="0" w:line="181"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starting on February 1 and on August 1. The compensation expense related to the ESPP for the three and nine months ended September 30, 2018 was approximately $36,000 and $94,000, respectively. The compensation expense related to the ESPP recorded in the three and nine months ended September 30, 2017 was approximately $17,000.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nine months ended September 30,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920" w:type="dxa"/>
            <w:vAlign w:val="bottom"/>
            <w:gridSpan w:val="4"/>
            <w:vMerge w:val="restart"/>
          </w:tcPr>
          <w:p>
            <w:pPr>
              <w:jc w:val="center"/>
              <w:ind w:left="134"/>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20" w:type="dxa"/>
            <w:vAlign w:val="bottom"/>
            <w:gridSpan w:val="4"/>
          </w:tcPr>
          <w:p>
            <w:pPr>
              <w:jc w:val="center"/>
              <w:ind w:left="134"/>
              <w:spacing w:after="0" w:line="149" w:lineRule="exact"/>
              <w:rPr>
                <w:sz w:val="20"/>
                <w:szCs w:val="20"/>
                <w:color w:val="auto"/>
              </w:rPr>
            </w:pPr>
            <w:r>
              <w:rPr>
                <w:rFonts w:ascii="Arial" w:cs="Arial" w:eastAsia="Arial" w:hAnsi="Arial"/>
                <w:sz w:val="14"/>
                <w:szCs w:val="14"/>
                <w:b w:val="1"/>
                <w:bCs w:val="1"/>
                <w:color w:val="auto"/>
                <w:w w:val="90"/>
              </w:rPr>
              <w:t>$0.0001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1920" w:type="dxa"/>
            <w:vAlign w:val="bottom"/>
            <w:gridSpan w:val="4"/>
          </w:tcPr>
          <w:p>
            <w:pPr>
              <w:jc w:val="center"/>
              <w:ind w:left="114"/>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Income / (Loss)</w:t>
            </w:r>
          </w:p>
        </w:tc>
        <w:tc>
          <w:tcPr>
            <w:tcW w:w="1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24,390,033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470,571</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CFF0FC"/>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(366,111)</w:t>
            </w: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104,319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24,684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Proceeds from 'At-the-market' offering, net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1,329,582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issuance due to warrant exercise, cashless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Proceeds from exercise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7,850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Unrealized gains on short-term investments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Employee withholdings ESPP</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Cumulative effect adjustment of adoption ASU</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2014-09</w:t>
            </w:r>
          </w:p>
        </w:tc>
        <w:tc>
          <w:tcPr>
            <w:tcW w:w="28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80" w:type="dxa"/>
            <w:vAlign w:val="bottom"/>
            <w:gridSpan w:val="2"/>
          </w:tcPr>
          <w:p>
            <w:pPr>
              <w:spacing w:after="0"/>
              <w:rPr>
                <w:sz w:val="20"/>
                <w:szCs w:val="20"/>
                <w:color w:val="auto"/>
              </w:rPr>
            </w:pPr>
            <w:r>
              <w:rPr>
                <w:rFonts w:ascii="Arial" w:cs="Arial" w:eastAsia="Arial" w:hAnsi="Arial"/>
                <w:sz w:val="18"/>
                <w:szCs w:val="18"/>
                <w:color w:val="auto"/>
              </w:rPr>
              <w:t>Retirement of common stock in exchange for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140"/>
              <w:spacing w:after="0"/>
              <w:rPr>
                <w:sz w:val="20"/>
                <w:szCs w:val="20"/>
                <w:color w:val="auto"/>
              </w:rPr>
            </w:pPr>
            <w:r>
              <w:rPr>
                <w:rFonts w:ascii="Arial" w:cs="Arial" w:eastAsia="Arial" w:hAnsi="Arial"/>
                <w:sz w:val="18"/>
                <w:szCs w:val="18"/>
                <w:color w:val="auto"/>
              </w:rPr>
              <w:t>common stock warrant</w:t>
            </w:r>
            <w:r>
              <w:rPr>
                <w:rFonts w:ascii="Arial" w:cs="Arial" w:eastAsia="Arial" w:hAnsi="Arial"/>
                <w:sz w:val="15"/>
                <w:szCs w:val="15"/>
                <w:color w:val="auto"/>
              </w:rPr>
              <w:t>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15"/>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common stock warrant in exchange</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retirement of common stock</w:t>
            </w:r>
            <w:r>
              <w:rPr>
                <w:rFonts w:ascii="Arial" w:cs="Arial" w:eastAsia="Arial" w:hAnsi="Arial"/>
                <w:sz w:val="15"/>
                <w:szCs w:val="15"/>
                <w:color w:val="auto"/>
              </w:rPr>
              <w:t>1</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(55,124)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(55,124)</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September 30,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24,051,364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484,893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(420,586</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520" w:right="160" w:hanging="512"/>
        <w:spacing w:after="0" w:line="241" w:lineRule="auto"/>
        <w:tabs>
          <w:tab w:leader="none" w:pos="52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On June 18, 2018, the Company signed an exchange agreement with Biotechnology Value Fund and certain affiliated funds (“BVF”) under which BVF exchanged 2,000,000 shares of common stock for 2,000,000 warrant shares. The Company recorded the issuance of the warrants and the retirement of the common stock at fair value within additional paid-in capital. BVF can exercise the warrant shares at an exercise price per share equal to $0.0001 per share and the warrant shares expire 20 years from issuance. Per the terms of the warrant agreement, the outstanding warrants to purchase shares of common stock may not be exercised if the holder's ownership of the Company's common stock would exceed 9.99 percent following such exercise.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20" w:firstLine="518"/>
        <w:spacing w:after="0" w:line="255" w:lineRule="auto"/>
        <w:rPr>
          <w:sz w:val="20"/>
          <w:szCs w:val="20"/>
          <w:color w:val="auto"/>
        </w:rPr>
      </w:pPr>
      <w:r>
        <w:rPr>
          <w:rFonts w:ascii="Arial" w:cs="Arial" w:eastAsia="Arial" w:hAnsi="Arial"/>
          <w:sz w:val="18"/>
          <w:szCs w:val="18"/>
          <w:color w:val="auto"/>
        </w:rPr>
        <w:t>In April 2017, the Company entered into a sales agreement with Cowen and Company, LLC (“Cowen”) under which the Company may issue and sell shares of our common stock having aggregate sales proceeds of up to $50.0 million from time to time through Cowen, acting as agent, in a series of one or more at-the-market (“ATM”) equity offerings. Cowen is not required to sell any specific amount, but acts as our sales agent using commercially reasonable efforts consistent with its normal trading and sales practices. In the third quarter of 2018, the Company sold 1,329,582 shares of common stock under the ATM program for net proceeds of $9.4 million. In the fourth quarter of 2018, through November 2, 2018, the Company sold 784,587 shares of common stock under the ATM program for net proceeds of $6.1 million. As of November 2, 2018, we have $32.1 million of common stock available for sale under the ATM program.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w:t>
      </w:r>
    </w:p>
    <w:p>
      <w:pPr>
        <w:spacing w:after="0" w:line="18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the first quarter of 2018 we completed our evaluation of the accounting for the tax effects of enactment of the Tax Cuts and Jobs Act of 2017 (the “Act”). The only impact of the Act was the remeasurement of the Company’s deferred tax assets and liabilities, which was recorded in fiscal 2017 as a result of the reduction in U.S. corporate tax rates from 35% to 21%. As of December 31, 2017, the Company determined it had no accumulated unrepatriated foreign earnings, and therefore had recorded no liability for the repatriation transition tax. No changes have been made to the estimates recorded in fiscal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Company’s chief executive officer and member of the board of directors is also a managing director at MPM Asset Management, LLC, which holds an investment in the Company’s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Company considers events and transactions that occur after the balance sheet date but prior to the issuance of the financial statements to provide additional evidence relative to certain estimates or to identify matters that require additional disclosure. The Company has completed an evaluation of all subsequent events through the date of this filing of this Quarterly Report on Form 10-Q.</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8,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We are a clinical stage biopharmaceutical company developing an innovative pipeline of cancer therapies. We are developing our lead product candidate, entinostat, a once-weekly, oral, small molecule, Class I HDAC inhibitor, in combination with exemestane and several approved PD-1/PD-L1 antagonists. Our pipeline also includes SNDX-6352, a monoclonal antibody that blocks the colony stimulating factor 1 (CSF-1) receptor, as well as a portfolio of potent and selective inhibitors targeting the binding interaction of Menin with MLLr. We plan to continue to leverage the technical and business expertise of our management team and scientific collaborators to license, acquire and develop additional cancer therapies to expand our pipeline.</w:t>
      </w:r>
    </w:p>
    <w:p>
      <w:pPr>
        <w:spacing w:after="0" w:line="15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nine months ended September 30, 2018 and 2017, we reported a net loss of $55.1 million and $41.7 million, respectively. As of September 30, 2018, we had an accumulated deficit of $420.6 million, which included non-cash charges for stock-based compensation, preferred stock accretion and extinguishment charges. As of September 30, 2018, we had cash, cash equivalents and short-term investments of $89.6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w:t>
      </w:r>
    </w:p>
    <w:p>
      <w:pPr>
        <w:spacing w:after="0" w:line="117" w:lineRule="exact"/>
        <w:rPr>
          <w:sz w:val="20"/>
          <w:szCs w:val="20"/>
          <w:color w:val="auto"/>
        </w:rPr>
      </w:pPr>
    </w:p>
    <w:p>
      <w:pPr>
        <w:ind w:left="1040" w:right="80" w:hanging="519"/>
        <w:spacing w:after="0" w:line="25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At the International Association for the Study of Lung Cancer (IASLC) 19th World Conference on Lung Cancer (WCLC) in September, we presented data from the full cohort of PD-(L)1 refractory non-small cell lung cancer (NSCLC) patients enrolled in the ENCORE 601 trial of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The data continued to support the prior observation of enhanced clinical benefit in a subpopulation of patients with elevated baseline levels of peripheral classical blood monocytes. In October, we announced plans to commence a focused, biomarker-driven, randomized registration trial comparing the entinostat-pembrolizumab combination to standard of care chemotherapy in patients whose disease has progressed after both platinum-based chemotherapy and PD-1 antagonist therapy. The trial will seek to validate peripheral classical monocytes as a marker of response to the combination and to determine whether the combination can improve progression free survival (PFS) over standard of care chemotherapy in the high monocyte population. We anticipate beginning the trial in the first half of 2019.</w:t>
      </w:r>
    </w:p>
    <w:p>
      <w:pPr>
        <w:spacing w:after="0" w:line="89" w:lineRule="exact"/>
        <w:rPr>
          <w:rFonts w:ascii="Arial" w:cs="Arial" w:eastAsia="Arial" w:hAnsi="Arial"/>
          <w:sz w:val="18"/>
          <w:szCs w:val="18"/>
          <w:color w:val="auto"/>
        </w:rPr>
      </w:pPr>
    </w:p>
    <w:p>
      <w:pPr>
        <w:ind w:left="1040" w:right="140" w:hanging="519"/>
        <w:spacing w:after="0" w:line="270"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October, we announced that enrollment in E2112 has concluded, the Phase 3 registration trial of entinostat plus exemestane in advanced hormone receptor positive, human epidermal growth factor receptor 2 negative (HR+, HER2-) breast cancer, with a total of 608 patients enrolled. ECOG-ACRIN and NCI informed us that the trial did not meet the statistical hurdle for the first primary endpoint of improving PFS, which would have provided the earliest regulatory filing opportunity. Following the most recent interim overall survival (OS) analysis conducted by the trial’s Data Safety Monitoring Committee, ECOG-ACRIN also informed us that the trial is continuing as planned, with the next interim analysis for the OS primary endpoint scheduled for the second quarter of 2019. Additional interim analyses will be conducted every six months until either an OS benefit is observed, or the final target number of events occur. E2112 was designed, and obtained Breakthrough Therapy Designation for this indication, based on positive Phase 2b OS results. Any positive OS assessment would enable us to file for full regulatory approval.</w:t>
      </w:r>
    </w:p>
    <w:p>
      <w:pPr>
        <w:spacing w:after="0" w:line="73"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We will make a decision later this year on next steps for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in melanoma patients whose disease has progressed following PD-1 therapy.</w:t>
      </w:r>
    </w:p>
    <w:p>
      <w:pPr>
        <w:spacing w:after="0" w:line="62" w:lineRule="exact"/>
        <w:rPr>
          <w:rFonts w:ascii="Arial" w:cs="Arial" w:eastAsia="Arial" w:hAnsi="Arial"/>
          <w:sz w:val="18"/>
          <w:szCs w:val="18"/>
          <w:color w:val="auto"/>
        </w:rPr>
      </w:pPr>
    </w:p>
    <w:p>
      <w:pPr>
        <w:ind w:left="1040" w:right="320" w:hanging="519"/>
        <w:spacing w:after="0" w:line="308"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Enrollment in the expanded stage 1 ENCORE 601 cohort of patients with microsatellite stable colorectal cancer (MSS-CRC, n = 37) is now complete. A decision on whether to continue to the second stage of this cohort is expected in the first quarter of 2019.</w:t>
      </w:r>
    </w:p>
    <w:p>
      <w:pPr>
        <w:spacing w:after="0" w:line="38" w:lineRule="exact"/>
        <w:rPr>
          <w:rFonts w:ascii="Arial" w:cs="Arial" w:eastAsia="Arial" w:hAnsi="Arial"/>
          <w:sz w:val="17"/>
          <w:szCs w:val="17"/>
          <w:color w:val="auto"/>
        </w:rPr>
      </w:pPr>
    </w:p>
    <w:p>
      <w:pPr>
        <w:ind w:left="1040" w:right="300" w:hanging="519"/>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Target enrollment is complete in both the Phase 2 portion of ENCORE 602, the Phase 1b/2 clinical trial evaluating the combination of entinostat plus Genentech's PD-(L)1 inhibitor,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in patients with triple negative breast cancer, and the Phase 2 portion of ENCORE 603, evaluating entinostat in combination with Pfizer/Merck KGaA's PD-(L)1 inhibitor, </w:t>
      </w:r>
      <w:r>
        <w:rPr>
          <w:rFonts w:ascii="Arial" w:cs="Arial" w:eastAsia="Arial" w:hAnsi="Arial"/>
          <w:sz w:val="18"/>
          <w:szCs w:val="18"/>
          <w:i w:val="1"/>
          <w:iCs w:val="1"/>
          <w:color w:val="auto"/>
        </w:rPr>
        <w:t>Bavencio</w:t>
      </w:r>
      <w:r>
        <w:rPr>
          <w:rFonts w:ascii="Arial" w:cs="Arial" w:eastAsia="Arial" w:hAnsi="Arial"/>
          <w:sz w:val="18"/>
          <w:szCs w:val="18"/>
          <w:color w:val="auto"/>
        </w:rPr>
        <w:t>, in patients with ovarian cancer. Topline results for ENCORE 603 are expected in the first quarter of 2019, with topline results from ENCORE 602 to follow in the second quarter of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1040" w:right="80" w:hanging="519"/>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ENCORE 606, the Phase 1b/2 trial evaluating entinostat in combination with NKTR-214, Nektar's CD122-biased agonist, is expected to begin enrolling patients with melanoma whose disease has progressed after PD-1 antagonist therapy in the second quarter of 2019.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SNDX-6352</w:t>
      </w:r>
    </w:p>
    <w:p>
      <w:pPr>
        <w:spacing w:after="0" w:line="117" w:lineRule="exact"/>
        <w:rPr>
          <w:sz w:val="20"/>
          <w:szCs w:val="20"/>
          <w:color w:val="auto"/>
        </w:rPr>
      </w:pPr>
    </w:p>
    <w:p>
      <w:pPr>
        <w:ind w:left="1040" w:right="100" w:hanging="519"/>
        <w:spacing w:after="0" w:line="31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Enrollment has recently been initiated in the Phase 1 dose escalation trial of SNDX-6352, our anti-CSF-1R monoclonal antibody, in patients with chronic graft versus host disease (cGVHD). The objectives of this trial are to evaluate the safety and preliminary efficacy of SNDX-6352 in cGVHD and to identify a recommended Phase 2 dose and schedule. Initial results are anticipated in the second half of 2019.</w:t>
      </w:r>
    </w:p>
    <w:p>
      <w:pPr>
        <w:spacing w:after="0" w:line="38" w:lineRule="exact"/>
        <w:rPr>
          <w:rFonts w:ascii="Arial" w:cs="Arial" w:eastAsia="Arial" w:hAnsi="Arial"/>
          <w:sz w:val="16"/>
          <w:szCs w:val="16"/>
          <w:color w:val="auto"/>
        </w:rPr>
      </w:pPr>
    </w:p>
    <w:p>
      <w:pPr>
        <w:ind w:left="1040" w:right="100" w:hanging="519"/>
        <w:spacing w:after="0" w:line="31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 Phase 1/1b dose escalation study evaluating the safety of SNDX-6352 remains ongoing with patients continuing to receive doses of SNDX-6352 alone or in combination with </w:t>
      </w:r>
      <w:r>
        <w:rPr>
          <w:rFonts w:ascii="Arial" w:cs="Arial" w:eastAsia="Arial" w:hAnsi="Arial"/>
          <w:sz w:val="16"/>
          <w:szCs w:val="16"/>
          <w:i w:val="1"/>
          <w:iCs w:val="1"/>
          <w:color w:val="auto"/>
        </w:rPr>
        <w:t>Imfinzi</w:t>
      </w:r>
      <w:r>
        <w:rPr>
          <w:rFonts w:ascii="Arial" w:cs="Arial" w:eastAsia="Arial" w:hAnsi="Arial"/>
          <w:sz w:val="16"/>
          <w:szCs w:val="16"/>
          <w:color w:val="auto"/>
        </w:rPr>
        <w:t>, AstraZeneca's human monoclonal antibody directed against PD-L1. We anticipate identifying the recommended Phase 2 dose and schedule for SNDX-6352 monotherapy and in combination with durvalumab in the second quarter of 2019.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Menin-MLLr Inhibitor Portfolio</w:t>
      </w:r>
    </w:p>
    <w:p>
      <w:pPr>
        <w:spacing w:after="0" w:line="117" w:lineRule="exact"/>
        <w:rPr>
          <w:sz w:val="20"/>
          <w:szCs w:val="20"/>
          <w:color w:val="auto"/>
        </w:rPr>
      </w:pPr>
    </w:p>
    <w:p>
      <w:pPr>
        <w:ind w:left="1040" w:right="14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of our portfolio of Menin-Mixed Lineage Leukemia (MLLr) inhibitors is ongoing, and we have selected a lead compound, SNDX-5613, to continue through IND-enabling studies. We expect to file an IND with the FDA and initiate a Phase 1 clinical trial in patients with a defined subset of acute leukemias in the second quarter of 2019.</w:t>
      </w:r>
    </w:p>
    <w:p>
      <w:pPr>
        <w:spacing w:after="0" w:line="73"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Menin-MLLr program will be featured in two presentations at the upcoming 60th American Society of Hematology Annual Meeting &amp; Exposition being held December 1-4, 2018 in San Diego.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candidates. Our revenues for the three and nine months ended September 30, 2018 and 2017 have been solely derived from our license agreement with Kyowa Hakko Kirin Co., Ltd., or KHK, under which we granted KHK an exclusive license to develop and commercialize 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KHK’s purchase of shares of our convertible preferred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40" w:right="10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0" w:name="page21"/>
    <w:bookmarkEnd w:id="20"/>
    <w:p>
      <w:pPr>
        <w:ind w:right="40" w:firstLine="518"/>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September 30, 2018, we have incurred $195.9 million in research and development expenses.</w:t>
      </w:r>
    </w:p>
    <w:p>
      <w:pPr>
        <w:spacing w:after="0" w:line="19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3"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capital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of America.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1" w:name="page22"/>
    <w:bookmarkEnd w:id="21"/>
    <w:p>
      <w:pPr>
        <w:ind w:right="200"/>
        <w:spacing w:after="0" w:line="293" w:lineRule="auto"/>
        <w:rPr>
          <w:sz w:val="20"/>
          <w:szCs w:val="20"/>
          <w:color w:val="auto"/>
        </w:rPr>
      </w:pPr>
      <w:r>
        <w:rPr>
          <w:rFonts w:ascii="Arial" w:cs="Arial" w:eastAsia="Arial" w:hAnsi="Arial"/>
          <w:sz w:val="16"/>
          <w:szCs w:val="16"/>
          <w:color w:val="auto"/>
        </w:rPr>
        <w:t>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6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significant accounting policies are more fully described in Note 3 of the accompanying unaudited condensed consolidated financial statements and in Note 3 to the audited consolidated financial statements contained in our Annual Report on Form 10-K for the year ended December 31, 2017, filed with the SEC on March 8, 2018. There have been no material changes to our significant accounting policies from those described in Note 3 to the audited consolidated financial statements or to our critical accounting policies described in the “Management’s Discussion and Analysis of Financial Condition and Results of Operations” contained in our Annual Report, except as set forth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On January 1, 2018, we adopted Financial Accounting Standards Board Accounting Standards Codification Topic 606, Revenue from Contracts with Customers, or ASC 606 using the modified retrospective method applied to those contracts which were not completed as of January 1, 2018. The provisions of ASC 606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to in exchange for those goods or services. The adoption of ASC 606 requires us to provide expanded disclosures related to our contracts with customers but did not have a material impact on the Company’s consolidated financial position, results of operations, equity or cash flows as of the adoption date or for the periods presented.</w:t>
      </w:r>
    </w:p>
    <w:p>
      <w:pPr>
        <w:spacing w:after="0" w:line="189" w:lineRule="exact"/>
        <w:rPr>
          <w:sz w:val="20"/>
          <w:szCs w:val="20"/>
          <w:color w:val="auto"/>
        </w:rPr>
      </w:pPr>
    </w:p>
    <w:p>
      <w:pPr>
        <w:ind w:right="140" w:firstLine="518"/>
        <w:spacing w:after="0" w:line="289" w:lineRule="auto"/>
        <w:rPr>
          <w:sz w:val="20"/>
          <w:szCs w:val="20"/>
          <w:color w:val="auto"/>
        </w:rPr>
      </w:pPr>
      <w:r>
        <w:rPr>
          <w:rFonts w:ascii="Arial" w:cs="Arial" w:eastAsia="Arial" w:hAnsi="Arial"/>
          <w:sz w:val="16"/>
          <w:szCs w:val="16"/>
          <w:color w:val="auto"/>
        </w:rPr>
        <w:t>For license fee revenues, we applied and may continue to apply significant judgment to our KHK Agreement. We evaluated whether our contractual obligations represented distinct performance obligations. Such evaluation required judgment since it was made from the customer’s perspective. We determined that our performance obligations under the collaboration at contract inception were not distinct and represented a single performance obligation. The KHK agreement also includes variable consideration. We assess variable consideration at each reporting period as to whether it is not subject to significant future reversal and, therefore, should be included in the transaction price. For development milestones related to the KHK Agreement, the Company does not take a substantive role or control the research, development or commercialization of any products generated by KHK. Therefore, the Company is not able to reasonably estimate when, if at all, any development milestone payments may be payable to the Company. As such, the development milestone payments associated with the KHK Agreement involve a substantial degree of uncertainty and risk that they may never be received. Sales-based milestones and royalties will be recognized as royalty revenue in the period the related sale occurred.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ind w:left="260"/>
              <w:spacing w:after="0"/>
              <w:rPr>
                <w:sz w:val="20"/>
                <w:szCs w:val="20"/>
                <w:color w:val="auto"/>
              </w:rPr>
            </w:pPr>
            <w:r>
              <w:rPr>
                <w:rFonts w:ascii="Arial" w:cs="Arial" w:eastAsia="Arial" w:hAnsi="Arial"/>
                <w:sz w:val="14"/>
                <w:szCs w:val="14"/>
                <w:b w:val="1"/>
                <w:bCs w:val="1"/>
                <w:color w:val="auto"/>
                <w:w w:val="90"/>
              </w:rPr>
              <w:t>Increase (Decrease)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jc w:val="right"/>
              <w:ind w:right="45"/>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License fees</w:t>
            </w:r>
          </w:p>
        </w:tc>
        <w:tc>
          <w:tcPr>
            <w:tcW w:w="10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9"/>
                <w:szCs w:val="19"/>
                <w:color w:val="auto"/>
              </w:rPr>
            </w:pP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54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580"/>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54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580"/>
              <w:spacing w:after="0"/>
              <w:rPr>
                <w:sz w:val="20"/>
                <w:szCs w:val="20"/>
                <w:color w:val="auto"/>
              </w:rPr>
            </w:pPr>
            <w:r>
              <w:rPr>
                <w:rFonts w:ascii="Arial" w:cs="Arial" w:eastAsia="Arial" w:hAnsi="Arial"/>
                <w:sz w:val="18"/>
                <w:szCs w:val="18"/>
                <w:color w:val="auto"/>
              </w:rPr>
              <w:t>Loss from operations</w:t>
            </w: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(17,841)</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(15,446)</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540" w:type="dxa"/>
            <w:vAlign w:val="bottom"/>
            <w:vMerge w:val="restart"/>
          </w:tcPr>
          <w:p>
            <w:pPr>
              <w:spacing w:after="0"/>
              <w:rPr>
                <w:sz w:val="20"/>
                <w:szCs w:val="20"/>
                <w:color w:val="auto"/>
              </w:rPr>
            </w:pPr>
            <w:r>
              <w:rPr>
                <w:rFonts w:ascii="Arial" w:cs="Arial" w:eastAsia="Arial" w:hAnsi="Arial"/>
                <w:sz w:val="18"/>
                <w:szCs w:val="18"/>
                <w:color w:val="auto"/>
              </w:rPr>
              <w:t>Total other income</w:t>
            </w: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5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54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(17,338)</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(15,088)</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513"/>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For the three months ended September 30, 2018 and 2017, we recognized license fees of $0.4 million and $0.3 million respectively, derived from the KHK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For the three months ended September 30, 2018, our total research and development expenses increased $1.9 million, or 16%, to $14.1 million from $12.2 million for the comparable quarter in the prior year due to an increase in development activities of $0.8 million and increased employee compensation expense of $1.2 million. The increase in development activities was primarily due to increases in spending related to the development of the Menin program and increased activities in 602 ENCORE trial partially offset by completion of Phase 1 clinical pharmacology trials and decrease in E2112 costs. The increase in employee compensation costs was primarily due to increased headcount. We expect R&amp;D expenses to fluctuate from quarter to quarter depending on the timing of clinical trial activities, clinical manufacturing and other development activities.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Increase (Decrease)</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10,156</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10,408</w:t>
            </w:r>
          </w:p>
        </w:tc>
        <w:tc>
          <w:tcPr>
            <w:tcW w:w="6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(252)</w:t>
            </w: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12,188</w:t>
            </w:r>
          </w:p>
        </w:tc>
        <w:tc>
          <w:tcPr>
            <w:tcW w:w="20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For the three months ended September 30, 2018, our total general and administrative expenses increased $0.6 million, or 16%, to $4.1 million from $3.6 million for the comparable period in the prior year. The increase in general and administrative expenses was primarily due to an increase employee related expenses of $0.3 million and in professional and legal fees of $0.2 million. The increase in professional fees was primarily due to pre-commercialization activities. The increase in legal fees is primarily due to an increase in patent related legal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For the three months ended September 30, 2018, interest income, net, increased $0.1 million from the comparable period in the prior year. The increase was primarily due to increased yield on our cash, cash equivalents and short-term investments.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Increase (Decrease)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65"/>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tcPr>
          <w:p>
            <w:pPr>
              <w:ind w:left="500"/>
              <w:spacing w:after="0"/>
              <w:rPr>
                <w:sz w:val="20"/>
                <w:szCs w:val="20"/>
                <w:color w:val="auto"/>
              </w:rPr>
            </w:pPr>
            <w:r>
              <w:rPr>
                <w:rFonts w:ascii="Arial" w:cs="Arial" w:eastAsia="Arial" w:hAnsi="Arial"/>
                <w:sz w:val="18"/>
                <w:szCs w:val="18"/>
                <w:color w:val="auto"/>
              </w:rPr>
              <w:t>License fees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9"/>
                <w:szCs w:val="19"/>
                <w:color w:val="auto"/>
              </w:rPr>
            </w:pPr>
          </w:p>
        </w:tc>
        <w:tc>
          <w:tcPr>
            <w:tcW w:w="56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ind w:left="580"/>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12,683</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57,681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14,301</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580"/>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(56,543)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(42,465)</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14,078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expense</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300" w:type="dxa"/>
            <w:vAlign w:val="bottom"/>
            <w:vMerge w:val="restart"/>
          </w:tcPr>
          <w:p>
            <w:pPr>
              <w:spacing w:after="0"/>
              <w:rPr>
                <w:sz w:val="20"/>
                <w:szCs w:val="20"/>
                <w:color w:val="auto"/>
              </w:rPr>
            </w:pPr>
            <w:r>
              <w:rPr>
                <w:rFonts w:ascii="Arial" w:cs="Arial" w:eastAsia="Arial" w:hAnsi="Arial"/>
                <w:sz w:val="18"/>
                <w:szCs w:val="18"/>
                <w:color w:val="auto"/>
              </w:rPr>
              <w:t>Total other income</w:t>
            </w: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3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(55,124)</w:t>
            </w:r>
          </w:p>
        </w:tc>
        <w:tc>
          <w:tcPr>
            <w:tcW w:w="12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(41,699)</w:t>
            </w:r>
          </w:p>
        </w:tc>
        <w:tc>
          <w:tcPr>
            <w:tcW w:w="12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13,425</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For the nine months ended September 30, 2018 and 2017, we recognized license fees of $1.1 million and $0.9 million, respectively, derived from the KHK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For the nine months ended September 30, 2018, our total research and development expenses increased $12.7 million, or 40%, to $44.3 million from $31.6 million for the comparable period in the prior year due to increases in development expenses of $6.2 million, employee compensation expense of $3.9 million, professional fees of $2.4 million and facility costs of $0.3 million. The increase in development expenses was primarily due to increases in spending related the increased manufacturing costs for SNDX-6352, development of the Menin program and increased activities in ENCORE 602 and ENCORE 603 partially offset by completion of Phase 1 clinical pharmacology trials and decrease in E2112 costs. The increase in employee compensation costs was primarily due to increased headcount. The increase in professional fees was primarily due to the increase in New Drug Application (NDA) preparation activities and medical communication. We expect R&amp;D expenses to fluctuate from quarter to quarter depending on the timing of clinical trial activities, clinical manufacturing and other development activities.</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94"/>
              </w:rPr>
              <w:t>Nine Months Ended September 30,</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Increase (Decrease)</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32,571</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24,846</w:t>
            </w:r>
          </w:p>
        </w:tc>
        <w:tc>
          <w:tcPr>
            <w:tcW w:w="6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4,958</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44,286</w:t>
            </w: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31,603</w:t>
            </w:r>
          </w:p>
        </w:tc>
        <w:tc>
          <w:tcPr>
            <w:tcW w:w="20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12,683</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nine months ended September 30, 2018, our total general and administrative expenses increased $1.6 million, or 14%, to $13.4 million,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$11.8 million for the comparable period in the prior year. The increase in general and administrative expenses was primarily due to increases in legal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professional fees of $1.2 million and employee related expenses of $0.4 million. The increase in professional fees was primarily due to pre-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commercialization activities. The increase in legal fees is primarily due to an increase in patent related legal expenses.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For the nine months ended September 30, 2018, interest income, net, increased $0.5 million from the comparable period in the prior year. The increase was primarily due to increased yield on our cash, cash equivalents and short-term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As of September 30, 2018, we had cash, cash equivalents and short-term investments totaling $89.6 million. Since our inception, our operations have been primarily financed by net proceeds from our IPO, our follow-on stock offering, sale of convertible preferred stock and convertible debt securities and proceeds from our license agreements. We believe that our existing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79"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In March 2016, we completed our IPO whereby we sold 4,809,475 shares of our common stock at the price of $12.00 per share, resulting in total net proceeds of $50.5 million, after deducting underwriting discounts and commissions and offering expenses. In May 2017, we completed a follow-on public offering whereby we sold 3,950,190 shares of our common stock at a price of $13.25 per share, resulting in total net proceeds of $48.7 million, net of underwriting discounts and commissions and offering expenses. In October 2017, we issued to BVF 2,021,018 shares of our common stock at a price of $12.37 per share. Net proceeds after deducting expenses were approximately $24.9 million.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4" w:name="page25"/>
    <w:bookmarkEnd w:id="24"/>
    <w:p>
      <w:pPr>
        <w:ind w:right="60" w:firstLine="518"/>
        <w:spacing w:after="0" w:line="288" w:lineRule="auto"/>
        <w:rPr>
          <w:sz w:val="20"/>
          <w:szCs w:val="20"/>
          <w:color w:val="auto"/>
        </w:rPr>
      </w:pPr>
      <w:r>
        <w:rPr>
          <w:rFonts w:ascii="Arial" w:cs="Arial" w:eastAsia="Arial" w:hAnsi="Arial"/>
          <w:sz w:val="16"/>
          <w:szCs w:val="16"/>
          <w:color w:val="auto"/>
        </w:rPr>
        <w:t>In April 2017, we entered into a sales agreement with Cowen under which we may issue and sell shares of our common stock having aggregate sales proceeds of up to $50.0 million from time to time pursuant to the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 (Registration No. 333-217172), which was declared effective on April 20, 2017. Our common stock will be sold at prevailing market prices at the time of the sale; and as a result, prices may vary. We will pay Cowen up to 3% of the gross proceeds from any common stock sold through the sales agreement. The proceeds from the offerings, if any, will be used for general corporate purposes, including expenditures for research and development of the Company’s drug products. During the nine months ended September 30, 2018, the Company sold 1,329,582 shares of common stock, with net proceeds of $9.4 million. As of September 30, 2018, $38.4 million of common stock remained available for sale under the ATM program. In the fourth quarter of 2018, up to November 2, 2018, we have sold an additional 784,587 shares of our common stock with net proceeds of approximately $6.1 million. As of November 2, 2018, we have $32.1 million of common stock available for sale under the ATM program.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85"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040" w:right="44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firstLine="518"/>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September 30, 2018, we had an accumulated deficit of $420.6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6"/>
        </w:trPr>
        <w:tc>
          <w:tcPr>
            <w:tcW w:w="5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(53,488)</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(34,649)</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35,436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(18,622)</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50,108</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operating activities for the nine months ended September 30, 2018 was $53.5 million and primarily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$55.1 million adjusted for non-cash items, including stock-based compensation of $4.7 million, net decrease in operating assets and liabilities of $2.8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net decrease in investment amortization of $0.3 million. The increase in our net loss was primarily due to the increase in our clinical trial activities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CMC expenses. The significant items in the decrease in operating assets and liabilities included an increase in prepaid expenses and other assets of</w:t>
      </w:r>
    </w:p>
    <w:p>
      <w:pPr>
        <w:spacing w:after="0" w:line="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$2.8 million and a decrease in deferred revenue of $1.1 million partially offset by an increase in accounts payable, accrued expenses and other liabilities of $1.1 million.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operating activities for the nine months ended September 30, 2017 was $34.6 million and primarily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$41.7 million adjusted for non-cash items including stock-based compensation of $4.2 million and a net increase in operating assets and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 million. The increase in our net loss was primarily due to the increase in our clinical trial activities and increase in headcount. The significant items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operating assets and liabilities included an increase in prepaid expenses and other assets of $0.2 million and a decrease in deferred revenue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$0.9 million offset by an increase in accrued expenses and other liabilities of $4.0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Net cash provided by investing activities for the nine months ended September 30, 2018 was $35.4 million and was primarily due to the $95.8 million of proceeds from the maturities of available-for-sale securities partially offset by the purchase of $60.1 million of available-for-sale marketable securities and purchase of equipment.</w:t>
      </w:r>
    </w:p>
    <w:p>
      <w:pPr>
        <w:spacing w:after="0" w:line="18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Net cash used in investing activities for the nine months ended September 30, 2017 was $18.6 million and was primarily due to the $94.4 million of proceeds from the maturities of available-for-sale securities partially offset by the purchase of $113.0 million of available-for-sale marketable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Net cash provided by financing activities for the nine months ended September 30, 2018 of $9.6 million was primarily due to proceeds from sales of shares of common stock under our at-the-market offering, net of discounts and commissions of $9.4 million and purchases pursuant to our 2015 Employee Stock Purchase Plan of $0.1 million.</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2017 of $50.1 million was primarily due to proceeds from our follow-on offering, net of underwriting discounts and commissions of $48.7 million, proceeds from sales of shares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of common stock under our at-the-market offering, net of discounts and commissions of $1.1 million, and the exercise of stock options of $0.3 million.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that was filed with the SEC on March 8,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September 30, 2018, we had cash and cash equivalents of $26.7 million, consisting of overnight investments, interest-bearing money market funds, commercial papers and short-term corporate bonds and short-term investments of $62.9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2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280" w:firstLine="518"/>
        <w:spacing w:after="0" w:line="273" w:lineRule="auto"/>
        <w:rPr>
          <w:sz w:val="20"/>
          <w:szCs w:val="20"/>
          <w:color w:val="auto"/>
        </w:rPr>
      </w:pPr>
      <w:r>
        <w:rPr>
          <w:rFonts w:ascii="Arial" w:cs="Arial" w:eastAsia="Arial" w:hAnsi="Arial"/>
          <w:sz w:val="17"/>
          <w:szCs w:val="17"/>
          <w:color w:val="auto"/>
        </w:rPr>
        <w:t>As of September 30, 2018,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2018, our disclosure controls and procedures were effective at the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2018, we were not party to any material legal or arbitration proceedings. No governmental proceedings are pending or, to our knowledge, contemplated against us.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exemestane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3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exemestane in advanced HR+, HER2- breast cancer patients. The trial is measuring two primary endpoints of progression-free survival, or PFS, and overall survival. We received the final PFS analysis from ECOG-ACRIN in October 2018 and we expect to receive the final overall survival analysis no later than the end of 2020. In October 2018, ECOG-ACRIN informed us that the trial did not achieve the statistical hurdle for the first primary endpoint of improving PFS, which would have provided the earliest regulatory filing opportunity. In accordance with the trial protocol, ECOG-ACRIN is confidentially holding the findings from the PFS analysis until reporting final overall survival results. We will not be able to submit an NDA unless and until we receive data demonstrating that the trial has achieved the primary endpoint for overall survival. In addition, based on scientific advice that we received from the European Medicines Agency in March 2014, the current Phase 3 clinical trial is not likely to be sufficient to receive regulatory approval in Europe for entinostat to treat advanced HR+, HER2- breast cancer, and it is unclear whether we would be able to complete an alternate clinical trial that would be sufficient.</w:t>
      </w:r>
    </w:p>
    <w:p>
      <w:pPr>
        <w:spacing w:after="0" w:line="183"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exemestane, we cannot be certain that we will not observe these toxicities or unexpected side effects in the Phase 3 clinical trial.</w:t>
      </w:r>
    </w:p>
    <w:p>
      <w:pPr>
        <w:spacing w:after="0" w:line="154"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8"/>
          <w:szCs w:val="18"/>
          <w:i w:val="1"/>
          <w:iCs w:val="1"/>
          <w:color w:val="auto"/>
        </w:rPr>
        <w:t>Verzenio</w:t>
      </w:r>
      <w:r>
        <w:rPr>
          <w:rFonts w:ascii="Arial" w:cs="Arial" w:eastAsia="Arial" w:hAnsi="Arial"/>
          <w:sz w:val="18"/>
          <w:szCs w:val="18"/>
          <w:color w:val="auto"/>
        </w:rPr>
        <w:t>,</w:t>
      </w:r>
      <w:r>
        <w:rPr>
          <w:rFonts w:ascii="Arial" w:cs="Arial" w:eastAsia="Arial" w:hAnsi="Arial"/>
          <w:sz w:val="18"/>
          <w:szCs w:val="18"/>
          <w:i w:val="1"/>
          <w:iCs w:val="1"/>
          <w:color w:val="auto"/>
        </w:rPr>
        <w:t xml:space="preserve"> Kisqali </w:t>
      </w:r>
      <w:r>
        <w:rPr>
          <w:rFonts w:ascii="Arial" w:cs="Arial" w:eastAsia="Arial" w:hAnsi="Arial"/>
          <w:sz w:val="18"/>
          <w:szCs w:val="18"/>
          <w:color w:val="auto"/>
        </w:rPr>
        <w:t>and</w:t>
      </w:r>
      <w:r>
        <w:rPr>
          <w:rFonts w:ascii="Arial" w:cs="Arial" w:eastAsia="Arial" w:hAnsi="Arial"/>
          <w:sz w:val="18"/>
          <w:szCs w:val="18"/>
          <w:i w:val="1"/>
          <w:iCs w:val="1"/>
          <w:color w:val="auto"/>
        </w:rPr>
        <w:t xml:space="preserve"> Ibrance</w:t>
      </w:r>
      <w:r>
        <w:rPr>
          <w:rFonts w:ascii="Arial" w:cs="Arial" w:eastAsia="Arial" w:hAnsi="Arial"/>
          <w:sz w:val="18"/>
          <w:szCs w:val="18"/>
          <w:color w:val="auto"/>
        </w:rPr>
        <w:t>, patients enrolled in the Phase 3 clinical trial may be different than those enrolled in our previous Phase 2b clinical trial in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they may have received a CDK 4/6 inhibitor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right="200"/>
        <w:spacing w:after="0" w:line="375" w:lineRule="auto"/>
        <w:rPr>
          <w:sz w:val="20"/>
          <w:szCs w:val="20"/>
          <w:color w:val="auto"/>
        </w:rPr>
      </w:pPr>
      <w:r>
        <w:rPr>
          <w:rFonts w:ascii="Arial" w:cs="Arial" w:eastAsia="Arial" w:hAnsi="Arial"/>
          <w:sz w:val="15"/>
          <w:szCs w:val="15"/>
          <w:b w:val="1"/>
          <w:bCs w:val="1"/>
          <w:i w:val="1"/>
          <w:iCs w:val="1"/>
          <w:color w:val="auto"/>
        </w:rPr>
        <w:t>The failure of ECOG-ACRIN or the NCI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We have entered into an arrangement with ECOG-ACRIN, pursuant to which it, with sponsorship and funding support by the NCI, is conducting the Phase 3 clinical trial of entinostat in combination with exemestane in advanced HR+, HER2- breast cancer patients. While we provide operational and logistical support for the trial, we have limited control of their activities. We cannot control whether ECOG-ACRIN will devote sufficient time and resources to the trial, including as a result of any reduction or delay in government funding or sponsorship of the activities of ECOG-ACRIN or the NCI. If ECOG-ACRIN or the NCI does not successfully carry out its obligations and responsibilities or meet expected deadlines or if the quality or accuracy of the clinical data that ECOG-ACRIN obtains is compromised due to the failure to adhere to cGMPs,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97"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3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17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Phase 3 clinical trial of entinostat in combination with exemestane in advanced HR+, HER2- breast cancer commenced in the second quarter of 2014, and we expect to receive the final overall survival analysis no later than the end of 2020. Our product development costs could increase if we experience delays in the overall number of survival events.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that may result in a delay or unsuccessful completion of clinical development of entinostat include, among other things:</w:t>
      </w:r>
    </w:p>
    <w:p>
      <w:pPr>
        <w:spacing w:after="0" w:line="85" w:lineRule="exact"/>
        <w:rPr>
          <w:sz w:val="20"/>
          <w:szCs w:val="20"/>
          <w:color w:val="auto"/>
        </w:rPr>
      </w:pPr>
    </w:p>
    <w:p>
      <w:pPr>
        <w:ind w:left="1040" w:hanging="519"/>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unexpectedly high rate of patients withdrawing consent or being lost to follow-up, including patients that withdraw or are lost to follow-up following our announcement in October 2018 that the trial did not achieve the statistical hurdle for the first primary endpoint of improving PFS;</w:t>
      </w:r>
    </w:p>
    <w:p>
      <w:pPr>
        <w:spacing w:after="0" w:line="15" w:lineRule="exact"/>
        <w:rPr>
          <w:rFonts w:ascii="Arial" w:cs="Arial" w:eastAsia="Arial" w:hAnsi="Arial"/>
          <w:sz w:val="16"/>
          <w:szCs w:val="16"/>
          <w:color w:val="auto"/>
        </w:rPr>
      </w:pPr>
    </w:p>
    <w:p>
      <w:pPr>
        <w:ind w:left="1040" w:right="1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62" w:lineRule="exact"/>
        <w:rPr>
          <w:rFonts w:ascii="Arial" w:cs="Arial" w:eastAsia="Arial" w:hAnsi="Arial"/>
          <w:sz w:val="18"/>
          <w:szCs w:val="18"/>
          <w:color w:val="auto"/>
        </w:rPr>
      </w:pPr>
    </w:p>
    <w:p>
      <w:pPr>
        <w:ind w:left="1040" w:right="30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73" w:lineRule="exact"/>
        <w:rPr>
          <w:rFonts w:ascii="Arial" w:cs="Arial" w:eastAsia="Arial" w:hAnsi="Arial"/>
          <w:sz w:val="18"/>
          <w:szCs w:val="18"/>
          <w:color w:val="auto"/>
        </w:rPr>
      </w:pPr>
    </w:p>
    <w:p>
      <w:pPr>
        <w:ind w:left="1040" w:right="9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 to conduct the trial in accordance with regulatory requirements;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2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73"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The protocol for the pivotal Phase 3 trial of entinostat in combination with exemestane in advanced HR+, HER2- breast cancer was reviewed and agreed upon by the FDA under a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In October 2018, ECOG-ACRIN informed us that the trial did not achieve the statistical hurdle for the first primary endpoint of improving PFS, which would have provided the earliest regulatory filing opportunity. Further, obtaining clinical trial data meeting the overall survival endpoint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overall survival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2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62"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received breakthrough therapy designation from the FDA for entinostat when used in combination with exemestane based on the overall survival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overall survival,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our Phase 3 trial in HR+, HER2- breast cancer patients failed to achieve one of its primary endpoints of improving PFS. We expect to receive final analysis on the second primary endpoint, overall survival, no later than the end of 2020. If the results do not confirm the improvement in overall survival observed in our Phase 2b clinical trial, the FDA may rescind our breakthrough therapy designation.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63"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7"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0" w:name="page31"/>
    <w:bookmarkEnd w:id="30"/>
    <w:p>
      <w:pPr>
        <w:jc w:val="both"/>
        <w:ind w:firstLine="51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Entinostat, SNDX-6352 and the Menin Assets are currently our only product candidates. 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9" w:lineRule="exact"/>
        <w:rPr>
          <w:sz w:val="20"/>
          <w:szCs w:val="20"/>
          <w:color w:val="auto"/>
        </w:rPr>
      </w:pPr>
    </w:p>
    <w:p>
      <w:pPr>
        <w:ind w:left="1040" w:right="500" w:hanging="519"/>
        <w:spacing w:after="0" w:line="34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timely commencement and completion of the Phase 1b/2 clinical trials of entinostat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w:t>
      </w:r>
      <w:r>
        <w:rPr>
          <w:rFonts w:ascii="Arial" w:cs="Arial" w:eastAsia="Arial" w:hAnsi="Arial"/>
          <w:sz w:val="16"/>
          <w:szCs w:val="16"/>
          <w:i w:val="1"/>
          <w:iCs w:val="1"/>
          <w:color w:val="auto"/>
        </w:rPr>
        <w:t>Tecentriq</w:t>
      </w:r>
      <w:r>
        <w:rPr>
          <w:rFonts w:ascii="Arial" w:cs="Arial" w:eastAsia="Arial" w:hAnsi="Arial"/>
          <w:sz w:val="16"/>
          <w:szCs w:val="16"/>
          <w:color w:val="auto"/>
        </w:rPr>
        <w:t xml:space="preserve">, </w:t>
      </w:r>
      <w:r>
        <w:rPr>
          <w:rFonts w:ascii="Arial" w:cs="Arial" w:eastAsia="Arial" w:hAnsi="Arial"/>
          <w:sz w:val="16"/>
          <w:szCs w:val="16"/>
          <w:i w:val="1"/>
          <w:iCs w:val="1"/>
          <w:color w:val="auto"/>
        </w:rPr>
        <w:t>Bavencio</w:t>
      </w:r>
      <w:r>
        <w:rPr>
          <w:rFonts w:ascii="Arial" w:cs="Arial" w:eastAsia="Arial" w:hAnsi="Arial"/>
          <w:sz w:val="13"/>
          <w:szCs w:val="13"/>
          <w:color w:val="auto"/>
        </w:rPr>
        <w:t>®</w:t>
      </w:r>
      <w:r>
        <w:rPr>
          <w:rFonts w:ascii="Arial" w:cs="Arial" w:eastAsia="Arial" w:hAnsi="Arial"/>
          <w:sz w:val="16"/>
          <w:szCs w:val="16"/>
          <w:color w:val="auto"/>
        </w:rPr>
        <w:t xml:space="preserve"> (avelumab) and NKTR-214 and the Phase 1/1b clinical trials of SNDX-6352 as a monotherapy and in combination with durvalumab;</w:t>
      </w:r>
    </w:p>
    <w:p>
      <w:pPr>
        <w:spacing w:after="0" w:line="15" w:lineRule="exact"/>
        <w:rPr>
          <w:rFonts w:ascii="Arial" w:cs="Arial" w:eastAsia="Arial" w:hAnsi="Arial"/>
          <w:sz w:val="16"/>
          <w:szCs w:val="16"/>
          <w:color w:val="auto"/>
        </w:rPr>
      </w:pPr>
    </w:p>
    <w:p>
      <w:pPr>
        <w:ind w:left="1040" w:right="8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completion of the Phase 3 clinical trial in advanced HR+, HER2- breast cancer, which has been significantly slower than we anticipated and will depend substantially upon the satisfactory performance of the ECOG-ACRIN and the NCI and other third-party contractors for entinostat;</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are able to complete IND enabling studies for one of the Menin Assets and file a subsequent IND with the FDA;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in any of our clinical trials;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40" w:right="480" w:hanging="519"/>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third-party contract manufacturers to produce trial supplies and to develop, validate and maintain a commercially viable manufacturing process that is compliant with current Good Manufacturing Practices regulations, or cGMP;</w:t>
      </w:r>
    </w:p>
    <w:p>
      <w:pPr>
        <w:spacing w:after="0" w:line="38" w:lineRule="exact"/>
        <w:rPr>
          <w:rFonts w:ascii="Arial" w:cs="Arial" w:eastAsia="Arial" w:hAnsi="Arial"/>
          <w:sz w:val="17"/>
          <w:szCs w:val="17"/>
          <w:color w:val="auto"/>
        </w:rPr>
      </w:pPr>
    </w:p>
    <w:p>
      <w:pPr>
        <w:ind w:left="1040" w:right="2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availability of commercial supplies of therapeutics, including exemestane,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Bavencio</w:t>
      </w:r>
      <w:r>
        <w:rPr>
          <w:rFonts w:ascii="Arial" w:cs="Arial" w:eastAsia="Arial" w:hAnsi="Arial"/>
          <w:sz w:val="18"/>
          <w:szCs w:val="18"/>
          <w:color w:val="auto"/>
        </w:rPr>
        <w:t>, and clinical supplies of investigational drugs, to support the development and marketing of the entinostat therapy as a component of a combination drug regimen for entinostat;</w:t>
      </w:r>
    </w:p>
    <w:p>
      <w:pPr>
        <w:spacing w:after="0" w:line="73"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 w:name="page32"/>
    <w:bookmarkEnd w:id="31"/>
    <w:p>
      <w:pPr>
        <w:ind w:right="740"/>
        <w:spacing w:after="0" w:line="308" w:lineRule="auto"/>
        <w:rPr>
          <w:sz w:val="20"/>
          <w:szCs w:val="20"/>
          <w:color w:val="auto"/>
        </w:rPr>
      </w:pPr>
      <w:r>
        <w:rPr>
          <w:rFonts w:ascii="Arial" w:cs="Arial" w:eastAsia="Arial" w:hAnsi="Arial"/>
          <w:sz w:val="17"/>
          <w:szCs w:val="17"/>
          <w:b w:val="1"/>
          <w:bCs w:val="1"/>
          <w:i w:val="1"/>
          <w:iCs w:val="1"/>
          <w:color w:val="auto"/>
        </w:rPr>
        <w:t>Our strategy of combining entinostat with immune checkpoint inhibitors has undergone limited clinical testing and we may fail to show that the combination is safe and well tolerated and demonstrates additional clinical benefit from the combination.</w:t>
      </w:r>
    </w:p>
    <w:p>
      <w:pPr>
        <w:spacing w:after="0" w:line="3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Preclinical studies conducted by us and others suggest a strong rationale for combining entinostat with immune checkpoint inhibitors, including PD1 pathway antagonists, to enhance the immune system’s ability to detect and eliminate tumor cells. Our approach is to conduct Phase 1 and 2 clinical trials in patients with tumors that are known to be responsive to PD1 pathway antagonists and assess both the safety and efficacy of the combination of entinostat plus a PD1 pathway antagonist. Our initial clinical data is supportive of our hypothesis as we have seen clinical benefit from the combination of entinostat plus pembrolizumab in patients with metastatic melanoma and non-small cell lung cancer. However, we have not yet sufficiently demonstrated a favorable risk-benefit of this combination in patients, and we may be unable to establish sufficient efficacy to warrant regulatory submission and approval.</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transfer, qualify and validate an assay for determining peripheral monocyte levels in our forthcoming NSCLC registration trial.</w:t>
      </w:r>
    </w:p>
    <w:p>
      <w:pPr>
        <w:spacing w:after="0" w:line="14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October 2018, we announced that we are proceeding with a registration trial in NSCLC patients whose disease has progressed after both platinum-based combination chemotherapy and a PD1 antagonist therapy. We designed the trial to both validate a classical monocyte biomarker and demonstrate that the combination therapy of entinostat plus Keytruda is superior to standard of care chemotherapy in a high monocyte population. This trial will require testing patients for levels of circulating classical monocytes prior to treatment before assigning them to the appropriate arm of the trial. The assay that our academic collaborators have used to determine circulating levels of classical monocytes has not been developed or validated to the qualifications that the FDA may require for patient selection. We are working to measure circulating levels of cells, including monocytes, but we may not be able to successfully transfer, qualify and validate an assay for determining peripheral monocyte levels that will be acceptable to the FDA.</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immuno-oncology agents;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dependent on Merck, Genentech, Merck KGaA, Pfizer, AstraZeneca, Nektar and any future collaborators to perform satisfactorily under our agreements.</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Under the agreements with Merck, Genentech, Merck KGaA, Pfizer, AstraZeneca, Nektar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2" w:name="page33"/>
    <w:bookmarkEnd w:id="32"/>
    <w:p>
      <w:pPr>
        <w:ind w:right="160"/>
        <w:spacing w:after="0" w:line="264" w:lineRule="auto"/>
        <w:rPr>
          <w:sz w:val="20"/>
          <w:szCs w:val="20"/>
          <w:color w:val="auto"/>
        </w:rPr>
      </w:pPr>
      <w:r>
        <w:rPr>
          <w:rFonts w:ascii="Arial" w:cs="Arial" w:eastAsia="Arial" w:hAnsi="Arial"/>
          <w:sz w:val="18"/>
          <w:szCs w:val="18"/>
          <w:color w:val="auto"/>
        </w:rPr>
        <w:t>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8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If we are unable to enter into additional clinical collaborations with developers of immune checkpoint inhibitors or other combination therapies to explore the same or additional indications, the commercial potential of entinostat and SNDX-6352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actions of KHK, Eddingpharm Investment Company Limited and any other current or future sublicensees could adversely affect our business.</w:t>
      </w:r>
    </w:p>
    <w:p>
      <w:pPr>
        <w:spacing w:after="0" w:line="14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11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For example, under the UCB license agreement, UCB has transferred to us certain data and materials, provided limited technical assistance and certain transitional services, and is manufacturing and supplying us with quantities of SNDX-6352, which we expect will assist us with the development, manufacture and commercialization of SNDX-6352. If UCB fails to supply us with sufficient quantities of SNDX-6352 to complete all planned Phase 1 and Phase 2 studies, our efforts to develop and commercialize SNDX-6352 may be delayed or may fail.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17" w:lineRule="exact"/>
        <w:rPr>
          <w:rFonts w:ascii="Arial" w:cs="Arial" w:eastAsia="Arial" w:hAnsi="Arial"/>
          <w:sz w:val="18"/>
          <w:szCs w:val="18"/>
          <w:color w:val="auto"/>
        </w:rPr>
      </w:pPr>
    </w:p>
    <w:p>
      <w:pPr>
        <w:ind w:left="1040" w:right="12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left="1040" w:right="20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5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ind w:right="240"/>
        <w:spacing w:after="0" w:line="257" w:lineRule="auto"/>
        <w:rPr>
          <w:sz w:val="20"/>
          <w:szCs w:val="20"/>
          <w:color w:val="auto"/>
        </w:rPr>
      </w:pPr>
      <w:r>
        <w:rPr>
          <w:rFonts w:ascii="Arial" w:cs="Arial" w:eastAsia="Arial" w:hAnsi="Arial"/>
          <w:sz w:val="18"/>
          <w:szCs w:val="18"/>
          <w:color w:val="auto"/>
        </w:rPr>
        <w:t>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29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We are not developing entinostat as a monotherapy. A shortage in the supply of exemestane, Keytruda, Tecentriq, Bavencio, NKTR-214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63" w:lineRule="exact"/>
        <w:rPr>
          <w:sz w:val="20"/>
          <w:szCs w:val="20"/>
          <w:color w:val="auto"/>
        </w:rPr>
      </w:pPr>
    </w:p>
    <w:p>
      <w:pPr>
        <w:ind w:right="420" w:firstLine="518"/>
        <w:spacing w:after="0" w:line="272" w:lineRule="auto"/>
        <w:rPr>
          <w:sz w:val="20"/>
          <w:szCs w:val="20"/>
          <w:color w:val="auto"/>
        </w:rPr>
      </w:pPr>
      <w:r>
        <w:rPr>
          <w:rFonts w:ascii="Arial" w:cs="Arial" w:eastAsia="Arial" w:hAnsi="Arial"/>
          <w:sz w:val="17"/>
          <w:szCs w:val="17"/>
          <w:color w:val="auto"/>
        </w:rPr>
        <w:t xml:space="preserve">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exemestane, </w:t>
      </w:r>
      <w:r>
        <w:rPr>
          <w:rFonts w:ascii="Arial" w:cs="Arial" w:eastAsia="Arial" w:hAnsi="Arial"/>
          <w:sz w:val="17"/>
          <w:szCs w:val="17"/>
          <w:i w:val="1"/>
          <w:iCs w:val="1"/>
          <w:color w:val="auto"/>
        </w:rPr>
        <w:t>Keytruda</w:t>
      </w:r>
      <w:r>
        <w:rPr>
          <w:rFonts w:ascii="Arial" w:cs="Arial" w:eastAsia="Arial" w:hAnsi="Arial"/>
          <w:sz w:val="17"/>
          <w:szCs w:val="17"/>
          <w:color w:val="auto"/>
        </w:rPr>
        <w:t>,</w:t>
      </w:r>
      <w:r>
        <w:rPr>
          <w:rFonts w:ascii="Arial" w:cs="Arial" w:eastAsia="Arial" w:hAnsi="Arial"/>
          <w:sz w:val="17"/>
          <w:szCs w:val="17"/>
          <w:i w:val="1"/>
          <w:iCs w:val="1"/>
          <w:color w:val="auto"/>
        </w:rPr>
        <w:t xml:space="preserve"> Tecentriq</w:t>
      </w:r>
      <w:r>
        <w:rPr>
          <w:rFonts w:ascii="Arial" w:cs="Arial" w:eastAsia="Arial" w:hAnsi="Arial"/>
          <w:sz w:val="17"/>
          <w:szCs w:val="17"/>
          <w:color w:val="auto"/>
        </w:rPr>
        <w:t>,</w:t>
      </w:r>
      <w:r>
        <w:rPr>
          <w:rFonts w:ascii="Arial" w:cs="Arial" w:eastAsia="Arial" w:hAnsi="Arial"/>
          <w:sz w:val="17"/>
          <w:szCs w:val="17"/>
          <w:i w:val="1"/>
          <w:iCs w:val="1"/>
          <w:color w:val="auto"/>
        </w:rPr>
        <w:t xml:space="preserve"> Bavencio</w:t>
      </w:r>
      <w:r>
        <w:rPr>
          <w:rFonts w:ascii="Arial" w:cs="Arial" w:eastAsia="Arial" w:hAnsi="Arial"/>
          <w:sz w:val="17"/>
          <w:szCs w:val="17"/>
          <w:color w:val="auto"/>
        </w:rPr>
        <w:t>, NKTR-214 or other drugs that we are testing in combination with entinostat could adversely affect our ability to timely</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the Phase 3 clinical trial in advanced HR+, HER2- breast cancer and the Phase 1b/2 clinical trials in NSCLC, melanoma, microsatellite stable colorectal cancer, ovarian cancer, and TNBC, and if entinostat receives regulatory approval, to commercialize entinostat for treatment of advanced HR+, HER2- breast cancer, NSCLC, melanoma, microsatellite stable colorectal cancer, ovarian cancer or TNBC. A shortage of supply may also result in an increase, which could be significant, in our costs of procuring exemestane.</w:t>
      </w:r>
    </w:p>
    <w:p>
      <w:pPr>
        <w:spacing w:after="0" w:line="178"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6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6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4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3"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5"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6" w:name="page37"/>
    <w:bookmarkEnd w:id="36"/>
    <w:p>
      <w:pPr>
        <w:ind w:right="140"/>
        <w:spacing w:after="0" w:line="342" w:lineRule="auto"/>
        <w:rPr>
          <w:sz w:val="20"/>
          <w:szCs w:val="20"/>
          <w:color w:val="auto"/>
        </w:rPr>
      </w:pPr>
      <w:r>
        <w:rPr>
          <w:rFonts w:ascii="Arial" w:cs="Arial" w:eastAsia="Arial" w:hAnsi="Arial"/>
          <w:sz w:val="16"/>
          <w:szCs w:val="16"/>
          <w:color w:val="auto"/>
        </w:rPr>
        <w:t>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24"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29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040" w:right="76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40" w:firstLine="51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that we received from the European Medicines Agency in March 2014,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 xml:space="preserve">The pharmacologic treatment of NSCLC, melanoma, microsatellite stable colorectal cancer, ovarian cancer and TNBC patients has included chemotherapies and therapies targeting specific gene mutations. Over the past few years, immune checkpoint inhibitors have been approved for NSCLC and melanoma and are under investigation for ovarian cancer, TNBC and microsatellite stable colorectal cancer. Currently there are few approved combination immuno-oncology therapies although numerous drugs are undergoing active clinical investigation. We believe that if entinostat in combination with either </w:t>
      </w:r>
      <w:r>
        <w:rPr>
          <w:rFonts w:ascii="Arial" w:cs="Arial" w:eastAsia="Arial" w:hAnsi="Arial"/>
          <w:sz w:val="16"/>
          <w:szCs w:val="16"/>
          <w:i w:val="1"/>
          <w:iCs w:val="1"/>
          <w:color w:val="auto"/>
        </w:rPr>
        <w:t>Keytruda</w:t>
      </w:r>
      <w:r>
        <w:rPr>
          <w:rFonts w:ascii="Arial" w:cs="Arial" w:eastAsia="Arial" w:hAnsi="Arial"/>
          <w:sz w:val="16"/>
          <w:szCs w:val="16"/>
          <w:color w:val="auto"/>
        </w:rPr>
        <w:t>,</w:t>
      </w:r>
      <w:r>
        <w:rPr>
          <w:rFonts w:ascii="Arial" w:cs="Arial" w:eastAsia="Arial" w:hAnsi="Arial"/>
          <w:sz w:val="16"/>
          <w:szCs w:val="16"/>
          <w:i w:val="1"/>
          <w:iCs w:val="1"/>
          <w:color w:val="auto"/>
        </w:rPr>
        <w:t xml:space="preserve"> Tecentriq </w:t>
      </w:r>
      <w:r>
        <w:rPr>
          <w:rFonts w:ascii="Arial" w:cs="Arial" w:eastAsia="Arial" w:hAnsi="Arial"/>
          <w:sz w:val="16"/>
          <w:szCs w:val="16"/>
          <w:color w:val="auto"/>
        </w:rPr>
        <w:t>or</w:t>
      </w:r>
      <w:r>
        <w:rPr>
          <w:rFonts w:ascii="Arial" w:cs="Arial" w:eastAsia="Arial" w:hAnsi="Arial"/>
          <w:sz w:val="16"/>
          <w:szCs w:val="16"/>
          <w:i w:val="1"/>
          <w:iCs w:val="1"/>
          <w:color w:val="auto"/>
        </w:rPr>
        <w:t xml:space="preserve"> Bavencio </w:t>
      </w:r>
      <w:r>
        <w:rPr>
          <w:rFonts w:ascii="Arial" w:cs="Arial" w:eastAsia="Arial" w:hAnsi="Arial"/>
          <w:sz w:val="16"/>
          <w:szCs w:val="16"/>
          <w:color w:val="auto"/>
        </w:rPr>
        <w:t>were approved for the treatment of NSCLC, melanoma, microsatellite stable colorectal cancer, ovarian cancer or TNBC, it</w:t>
      </w:r>
      <w:r>
        <w:rPr>
          <w:rFonts w:ascii="Arial" w:cs="Arial" w:eastAsia="Arial" w:hAnsi="Arial"/>
          <w:sz w:val="16"/>
          <w:szCs w:val="16"/>
          <w:i w:val="1"/>
          <w:iCs w:val="1"/>
          <w:color w:val="auto"/>
        </w:rPr>
        <w:t xml:space="preserve"> </w:t>
      </w:r>
      <w:r>
        <w:rPr>
          <w:rFonts w:ascii="Arial" w:cs="Arial" w:eastAsia="Arial" w:hAnsi="Arial"/>
          <w:sz w:val="16"/>
          <w:szCs w:val="16"/>
          <w:color w:val="auto"/>
        </w:rPr>
        <w:t>would face competition from standard-of-care approaches and other investigational drugs being tested in combination with any of these approaches.</w:t>
      </w:r>
    </w:p>
    <w:p>
      <w:pPr>
        <w:spacing w:after="0" w:line="165"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 xml:space="preserve">If entinostat in combination with exemestane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w:t>
      </w:r>
      <w:r>
        <w:rPr>
          <w:rFonts w:ascii="Arial" w:cs="Arial" w:eastAsia="Arial" w:hAnsi="Arial"/>
          <w:sz w:val="18"/>
          <w:szCs w:val="18"/>
          <w:i w:val="1"/>
          <w:iCs w:val="1"/>
          <w:color w:val="auto"/>
        </w:rPr>
        <w:t>Verzenio</w:t>
      </w:r>
      <w:r>
        <w:rPr>
          <w:rFonts w:ascii="Arial" w:cs="Arial" w:eastAsia="Arial" w:hAnsi="Arial"/>
          <w:sz w:val="18"/>
          <w:szCs w:val="18"/>
          <w:color w:val="auto"/>
        </w:rPr>
        <w:t>, and other therapies currently in Phase 3 clinical development such as alpelisib.</w:t>
      </w:r>
    </w:p>
    <w:p>
      <w:pPr>
        <w:spacing w:after="0" w:line="1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left="1040" w:right="6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acceptance of entinostat in combination with exemestane,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w:t>
      </w:r>
      <w:r>
        <w:rPr>
          <w:rFonts w:ascii="Arial" w:cs="Arial" w:eastAsia="Arial" w:hAnsi="Arial"/>
          <w:sz w:val="18"/>
          <w:szCs w:val="18"/>
          <w:i w:val="1"/>
          <w:iCs w:val="1"/>
          <w:color w:val="auto"/>
        </w:rPr>
        <w:t>Bavencio</w:t>
      </w:r>
      <w:r>
        <w:rPr>
          <w:rFonts w:ascii="Arial" w:cs="Arial" w:eastAsia="Arial" w:hAnsi="Arial"/>
          <w:sz w:val="18"/>
          <w:szCs w:val="18"/>
          <w:color w:val="auto"/>
        </w:rPr>
        <w:t xml:space="preserve"> and other drugs by physicians and other healthcare providers.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14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ind w:right="80" w:firstLine="518"/>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89"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Private payors often follow the Centers for Medicare and Medicaid Services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9"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ind w:right="60"/>
        <w:spacing w:after="0" w:line="269" w:lineRule="auto"/>
        <w:rPr>
          <w:sz w:val="20"/>
          <w:szCs w:val="20"/>
          <w:color w:val="auto"/>
        </w:rPr>
      </w:pPr>
      <w:r>
        <w:rPr>
          <w:rFonts w:ascii="Arial" w:cs="Arial" w:eastAsia="Arial" w:hAnsi="Arial"/>
          <w:sz w:val="17"/>
          <w:szCs w:val="17"/>
          <w:color w:val="auto"/>
        </w:rPr>
        <w:t>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Some of the provisions of the Affordable Care Act have yet to be implemented, while certain provisions have been subject to judicial and Congressional challenges, as well as recent efforts by the Trump administration to repeal or replace certain aspects of the Affordable Care Act. Since January 2017, President Trump has signed two Executive Orders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fees mandated by the Affordable Care Act,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Affordable Care Act, effective January 1, 2019, to increase from 50% to 70% the point-of-sale discount that is owed by pharmaceutical manufacturers who participate in Medicare Part D and to close the coverage gap in most Medicare drug plans, commonly referred to as the “donut hole”. In addition, Congress may consider other legislation to repeal and replace elements of the Affordable Care Act. We continue to evaluate the effect that the Affordable Care Act and its possible repeal and replacement has on our business.</w:t>
      </w:r>
    </w:p>
    <w:p>
      <w:pPr>
        <w:spacing w:after="0" w:line="18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including the BBA, has extended the 2% reduction to 2027.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9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2019 contains additional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3"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9"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120"/>
        <w:spacing w:after="0" w:line="264" w:lineRule="auto"/>
        <w:rPr>
          <w:sz w:val="20"/>
          <w:szCs w:val="20"/>
          <w:color w:val="auto"/>
        </w:rPr>
      </w:pPr>
      <w:r>
        <w:rPr>
          <w:rFonts w:ascii="Arial" w:cs="Arial" w:eastAsia="Arial" w:hAnsi="Arial"/>
          <w:sz w:val="18"/>
          <w:szCs w:val="18"/>
          <w:color w:val="auto"/>
        </w:rPr>
        <w:t>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73"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30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4" w:lineRule="exact"/>
        <w:rPr>
          <w:sz w:val="20"/>
          <w:szCs w:val="20"/>
          <w:color w:val="auto"/>
        </w:rPr>
      </w:pPr>
    </w:p>
    <w:p>
      <w:pPr>
        <w:ind w:left="1040" w:right="280" w:hanging="519"/>
        <w:spacing w:after="0" w:line="27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040" w:right="20" w:hanging="519"/>
        <w:spacing w:after="0" w:line="259"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2" w:name="page43"/>
    <w:bookmarkEnd w:id="42"/>
    <w:p>
      <w:pPr>
        <w:ind w:left="1040" w:right="40" w:hanging="519"/>
        <w:spacing w:after="0" w:line="255"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81" w:lineRule="exact"/>
        <w:rPr>
          <w:rFonts w:ascii="Arial" w:cs="Arial" w:eastAsia="Arial" w:hAnsi="Arial"/>
          <w:sz w:val="18"/>
          <w:szCs w:val="18"/>
          <w:color w:val="auto"/>
        </w:rPr>
      </w:pPr>
    </w:p>
    <w:p>
      <w:pPr>
        <w:ind w:left="1040" w:right="20" w:hanging="519"/>
        <w:spacing w:after="0" w:line="288"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6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For the nine months ended September 30, 2018, we reported a net loss of $55.1 million; and as of September 30, 2018, we had an accumulated deficit of $420.6 million, which included non-cash charges for stock-based compensation, preferred stock accretion and extinguishment charges. 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188"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9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For example, we may discover that we need to conduct additional activities that exceed our current budget to achieve appropriate rates of patient enrollment, which would increase our development costs.</w:t>
      </w:r>
    </w:p>
    <w:p>
      <w:pPr>
        <w:spacing w:after="0" w:line="15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80"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our product candidates or cease operations altogether;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4" w:name="page45"/>
    <w:bookmarkEnd w:id="44"/>
    <w:p>
      <w:pPr>
        <w:ind w:firstLine="518"/>
        <w:spacing w:after="0" w:line="277"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040" w:right="440" w:hanging="519"/>
        <w:spacing w:after="0" w:line="26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040" w:right="2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December 31, 2017 and determined that on March 30, 2007 and August 21, 2015 ownership changes had occurred. We did not experience ownership changes since August 21, 2015 but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On December 22, 2017, the Tax Cuts and Jobs Act of 2017, or the Tax Act, was signed into law. The Tax Act, among other things, contains significant changes to corporate taxation, including (i) reduction of the corporate tax rate from a top marginal rate of 35% to a flat rate of 21%, (ii) limitation of the tax deduction for interest expense to 30% of adjusted earnings (except for certain small businesses), (iii) limitation of the deduction for net operating losses to 80% of current year taxable income in respect of net operating losses generated during or after 2018 and elimination of net operating loss carrybacks, (iv) one-time taxation of offshore earnings at reduced rates regardless of whether they are repatriated, (v) immediate deductions for certain new investments instead of deductions for depreciation expense over time, and (vi) modifying or repealing many business deductions and credits. Any federal net operating loss incurred in 2018 and in future years may now be carried forward indefinitely pursuant to the Tax Act. It is uncertain if and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what extent various states will conform to the newly enacted federal tax law. We will continue to examine the impact the Tax Act may have on our business.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18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right="100"/>
        <w:spacing w:after="0" w:line="272" w:lineRule="auto"/>
        <w:rPr>
          <w:sz w:val="20"/>
          <w:szCs w:val="20"/>
          <w:color w:val="auto"/>
        </w:rPr>
      </w:pPr>
      <w:r>
        <w:rPr>
          <w:rFonts w:ascii="Arial" w:cs="Arial" w:eastAsia="Arial" w:hAnsi="Arial"/>
          <w:sz w:val="17"/>
          <w:szCs w:val="17"/>
          <w:color w:val="auto"/>
        </w:rPr>
        <w:t>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17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portfolio that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16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portfolio that we licensed from Vitae Pharmaceuticals, a subsidiary of Allergan, includes patent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patents will be granted based on the pending applications that we licensed from Allergan or even if one or more patents are granted that the claims issued in those patents would cover the desired lead compounds, compositions, and methods of use thereof. Based on the priority date and filing date of the applications in the portfolio that we licensed from Allergan, we expect that a patent, if any, granted based on the currently pending applications would expire in 2036. The actual term of any patents granted based on the pending applications that we licensed from Allergan can only be determined after such patents are actually granted.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82"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right="40"/>
        <w:spacing w:after="0" w:line="291" w:lineRule="auto"/>
        <w:rPr>
          <w:sz w:val="20"/>
          <w:szCs w:val="20"/>
          <w:color w:val="auto"/>
        </w:rPr>
      </w:pPr>
      <w:r>
        <w:rPr>
          <w:rFonts w:ascii="Arial" w:cs="Arial" w:eastAsia="Arial" w:hAnsi="Arial"/>
          <w:sz w:val="16"/>
          <w:szCs w:val="16"/>
          <w:color w:val="auto"/>
        </w:rPr>
        <w:t>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7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62" w:lineRule="exact"/>
        <w:rPr>
          <w:sz w:val="20"/>
          <w:szCs w:val="20"/>
          <w:color w:val="auto"/>
        </w:rPr>
      </w:pPr>
    </w:p>
    <w:p>
      <w:pPr>
        <w:ind w:right="280" w:firstLine="51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If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7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jc w:val="both"/>
        <w:ind w:right="280"/>
        <w:spacing w:after="0" w:line="264" w:lineRule="auto"/>
        <w:rPr>
          <w:sz w:val="20"/>
          <w:szCs w:val="20"/>
          <w:color w:val="auto"/>
        </w:rPr>
      </w:pPr>
      <w:r>
        <w:rPr>
          <w:rFonts w:ascii="Arial" w:cs="Arial" w:eastAsia="Arial" w:hAnsi="Arial"/>
          <w:sz w:val="18"/>
          <w:szCs w:val="18"/>
          <w:color w:val="auto"/>
        </w:rPr>
        <w:t>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the Menin Assets or if the license agreement is otherwise terminated, we could lose the ability to continue the development and commercialization of the Menin Assets.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Our commercial success depends upon our ability to develop, manufacture, market and sell one or more of the Menin Assets. Subject to the achievement of certain milestone events, we may be required to pay Vitae, a subsidiary of Allergan, up to $99 million in one-time development and regulatory milestone payments over the term of the Allergan license agreement. In the event that we or any of our affiliates or sublicensees commercializes any of the Menin Assets, we will also be obligated to pay Allergan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Allergan.</w:t>
      </w:r>
    </w:p>
    <w:p>
      <w:pPr>
        <w:spacing w:after="0" w:line="165"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Allergan may terminate the license agreement if we seek to revoke or challenge the validity of any patent licensed to us by Allergan under the license agreement or if we procure or assist a third party to take any such action.</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Allergan would expire because no commercial sales of the Menin Assets have occurred and the last-to-expire relevant patent covering the Menin Assets in a given country may change in the future.</w:t>
      </w:r>
    </w:p>
    <w:p>
      <w:pPr>
        <w:spacing w:after="0" w:line="18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any of the Menin Assets and would need to negotiate a new or reinstated agreement, which may not be available to us on equally favorable terms,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right="120"/>
        <w:spacing w:after="0" w:line="302" w:lineRule="auto"/>
        <w:rPr>
          <w:sz w:val="20"/>
          <w:szCs w:val="20"/>
          <w:color w:val="auto"/>
        </w:rPr>
      </w:pPr>
      <w:r>
        <w:rPr>
          <w:rFonts w:ascii="Arial" w:cs="Arial" w:eastAsia="Arial" w:hAnsi="Arial"/>
          <w:sz w:val="16"/>
          <w:szCs w:val="16"/>
          <w:color w:val="auto"/>
        </w:rPr>
        <w:t>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262"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ind w:right="22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 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16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18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left="37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Until we can generate a sufficient amount of revenue from our products, if ever, we expect to finance future cash needs through public or private equity or debt offerings. In April 2017, we filed a shelf registration statement on Form S-3 (Registration No. 333-217172) that allows us to sell up to an aggregate of $200 million of our common stock, which includes up to $50.0 million designated in the prospectus supplement for an at-the-market (“ATM”) offering program. As of September 30, 2018, $38.4 million of common stock remained available for sale under the at-the-market offering program. In the fourth quarter of 2018, through November 2, 2018, we sold 784,587 shares of common stock under the ATM program for net proceeds of $6.1 million. As of November 2, 2018, we have $32.1 million of common stock available for sale under the ATM program.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1" w:right="339" w:bottom="1440" w:gutter="0" w:footer="0" w:header="0"/>
        </w:sectPr>
      </w:pPr>
    </w:p>
    <w:bookmarkStart w:id="53" w:name="page54"/>
    <w:bookmarkEnd w:id="53"/>
    <w:p>
      <w:pPr>
        <w:spacing w:after="0" w:line="257" w:lineRule="auto"/>
        <w:rPr>
          <w:sz w:val="20"/>
          <w:szCs w:val="20"/>
          <w:color w:val="auto"/>
        </w:rPr>
      </w:pPr>
      <w:r>
        <w:rPr>
          <w:rFonts w:ascii="Arial" w:cs="Arial" w:eastAsia="Arial" w:hAnsi="Arial"/>
          <w:sz w:val="18"/>
          <w:szCs w:val="18"/>
          <w:color w:val="auto"/>
        </w:rPr>
        <w:t>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will likely decline. If one or more of these analysts cease coverage of us or fail to publish reports on us regularly, we could lose visibility in the financial markets, which in turn could cause our stock price or trading volume to decline.</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As of September 30, 2018, our executive officers, directors, holders of 5% or more of our capital stock and their respective affiliates beneficially own approximately 48.0% of our outstanding voting stock and options and warrants to acquire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5"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may avail ourselves of reduced disclosure requirements applicable to emerging growth companies, which could make our common stock less attractive to investors and adversely affect the market price of our common stock.</w:t>
      </w:r>
    </w:p>
    <w:p>
      <w:pPr>
        <w:spacing w:after="0" w:line="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040" w:right="480" w:hanging="519"/>
        <w:spacing w:after="0" w:line="308"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8" w:lineRule="exact"/>
        <w:rPr>
          <w:rFonts w:ascii="Arial" w:cs="Arial" w:eastAsia="Arial" w:hAnsi="Arial"/>
          <w:sz w:val="17"/>
          <w:szCs w:val="17"/>
          <w:color w:val="auto"/>
        </w:rPr>
      </w:pPr>
    </w:p>
    <w:p>
      <w:pPr>
        <w:ind w:left="1040" w:hanging="519"/>
        <w:spacing w:after="0" w:line="25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8"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5" w:lineRule="exact"/>
        <w:rPr>
          <w:rFonts w:ascii="Arial" w:cs="Arial" w:eastAsia="Arial" w:hAnsi="Arial"/>
          <w:sz w:val="16"/>
          <w:szCs w:val="16"/>
          <w:color w:val="auto"/>
        </w:rPr>
      </w:pPr>
    </w:p>
    <w:p>
      <w:pPr>
        <w:ind w:left="1040" w:right="4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right="60" w:firstLine="518"/>
        <w:spacing w:after="0" w:line="288" w:lineRule="auto"/>
        <w:rPr>
          <w:sz w:val="20"/>
          <w:szCs w:val="20"/>
          <w:color w:val="auto"/>
        </w:rPr>
      </w:pPr>
      <w:r>
        <w:rPr>
          <w:rFonts w:ascii="Arial" w:cs="Arial" w:eastAsia="Arial" w:hAnsi="Arial"/>
          <w:sz w:val="16"/>
          <w:szCs w:val="16"/>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Some of the holders of our securities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trading price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ind w:right="20" w:firstLine="518"/>
        <w:spacing w:after="0" w:line="286"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6"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73" w:lineRule="exact"/>
        <w:rPr>
          <w:sz w:val="20"/>
          <w:szCs w:val="20"/>
          <w:color w:val="auto"/>
        </w:rPr>
      </w:pPr>
    </w:p>
    <w:p>
      <w:pPr>
        <w:ind w:left="1040" w:right="4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7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March 8, 2016, we completed our IPO and sold 4,400,000 shares of common stock at the initial public offering price of $12.00 per share.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11, 2016, we sold an additional 409,475 shares of our common stock at the initial public offering price of $12.00 per share as a result of the partial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 by the underwriters of their option purchase additional shares of common stock. We received net proceeds from the IPO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$50.5 million, after deducting underwriting discounts, commissions and offering expenses. None of these expenses consisted of payments made by us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officers or persons owning 10% or more of our common stock or to their associates, or to our affiliates. The offer and sale of the shares in our IPO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registered pursuant to our Registration Statement on Form S-1 (File No. 333-208861), which was declared effective by the SEC on March 2,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and Citigroup acted as joint book-running managers for the offering, and JMP Securities and Oppenheimer &amp; Co. acted as co-managers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offering. There has been no material change in the planned use of proceeds from our IPO as described in our final prospectus filed with the SEC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 2016, pursuant to Rule 424. We invested the funds received in cash equivalents and other short-term investments in accordance with our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policy. As of September 30, 2018, we have used approximately $48.1 million of the proceeds from the IPO and as such, the balance of the net proceeds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as cash, cash equivalents and short-term investments.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1020" w:type="dxa"/>
            <w:vAlign w:val="bottom"/>
          </w:tcPr>
          <w:p>
            <w:pPr>
              <w:jc w:val="right"/>
              <w:ind w:right="394"/>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16"/>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20" w:type="dxa"/>
            <w:vAlign w:val="bottom"/>
          </w:tcPr>
          <w:p>
            <w:pPr>
              <w:jc w:val="right"/>
              <w:ind w:right="194"/>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500" w:type="dxa"/>
            <w:vAlign w:val="bottom"/>
            <w:gridSpan w:val="12"/>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tcPr>
          <w:p>
            <w:pPr>
              <w:jc w:val="right"/>
              <w:ind w:right="61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w w:val="96"/>
              </w:rPr>
            </w:pPr>
            <w:hyperlink r:id="rId89">
              <w:r>
                <w:rPr>
                  <w:rFonts w:ascii="Arial" w:cs="Arial" w:eastAsia="Arial" w:hAnsi="Arial"/>
                  <w:sz w:val="18"/>
                  <w:szCs w:val="18"/>
                  <w:color w:val="0000EE"/>
                  <w:w w:val="96"/>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Current Report on Form 8-K (File No. 001-37708), as filed with the SEC on March 8, 2016).</w:t>
              </w:r>
            </w:hyperlink>
          </w:p>
        </w:tc>
        <w:tc>
          <w:tcPr>
            <w:tcW w:w="5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Amended and Restated Bylaws of the Company (incorporated herein by reference to Exhibit 3.2 to the Company’s Current Report on Form 8-</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K (File No. 001-37708), as filed with the SEC on March 8,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4"/>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620" w:type="dxa"/>
            <w:vAlign w:val="bottom"/>
            <w:tcBorders>
              <w:bottom w:val="single" w:sz="8" w:color="0000EE"/>
            </w:tcBorders>
            <w:gridSpan w:val="7"/>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Specimen Common Stock Certificate of the Company (incorporated herein by reference to Exhibit 4.1 to the Company’s Registration</w:t>
              </w:r>
            </w:hyperlink>
          </w:p>
        </w:tc>
        <w:tc>
          <w:tcPr>
            <w:tcW w:w="6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Statement on Form S-1/A (File No. 333-208861), as filed with the SEC on February 10, 2016).</w:t>
              </w:r>
            </w:hyperlink>
          </w:p>
        </w:tc>
        <w:tc>
          <w:tcPr>
            <w:tcW w:w="3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14"/>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Form of Warrant to purchase Common Stock issued pursuant to the Exchange Agreement between the Company and Biotechnology Value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r:id="rId92">
              <w:r>
                <w:rPr>
                  <w:rFonts w:ascii="Arial" w:cs="Arial" w:eastAsia="Arial" w:hAnsi="Arial"/>
                  <w:sz w:val="18"/>
                  <w:szCs w:val="18"/>
                  <w:color w:val="0000EE"/>
                  <w:w w:val="94"/>
                </w:rPr>
                <w:t>Fund, L.P., Biotechnology Value Fund II, L.P. and Biotechnology Value Trading Fund OS, L.P., dated June 18, 2018 (incorporated by</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040" w:type="dxa"/>
            <w:vAlign w:val="bottom"/>
            <w:gridSpan w:val="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reference to Exhibit 4.1 to the Company’s Current Report on Form 8-K (File No. 001-37708), as filed with the SEC on June 20, 2018).</w:t>
              </w:r>
            </w:hyperlink>
          </w:p>
        </w:tc>
        <w:tc>
          <w:tcPr>
            <w:tcW w:w="5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14"/>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Certification of Principal Executive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1934, as amended.</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4"/>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of Principal Financial Officer pursuant to Rules 13a-14(a) and 15d-14(a) promulgated under the Securities Exchange Act of</w:t>
              </w:r>
            </w:hyperlink>
          </w:p>
        </w:tc>
        <w:tc>
          <w:tcPr>
            <w:tcW w:w="3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1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1934, as amended.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514"/>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Certifications of Chief Executive Officer and Chief Financial Officer 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of the Sarbanes-Oxley Act of 2002.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60" w:right="160" w:hanging="1152"/>
        <w:spacing w:after="0" w:line="259"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September 30, 2018, formatted in XBRL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9690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40" w:lineRule="exact"/>
        <w:rPr>
          <w:sz w:val="20"/>
          <w:szCs w:val="20"/>
          <w:color w:val="auto"/>
        </w:rPr>
      </w:pPr>
    </w:p>
    <w:p>
      <w:pPr>
        <w:jc w:val="both"/>
        <w:ind w:left="520" w:right="440" w:hanging="512"/>
        <w:spacing w:after="0" w:line="312"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Richard P. Shea</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4"/>
              </w:rPr>
              <w:t>(Principal Executive Officer and Principal Accounting</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700" w:hanging="17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526"/>
        <w:spacing w:after="0" w:line="264" w:lineRule="auto"/>
        <w:tabs>
          <w:tab w:leader="none" w:pos="6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499"/>
        <w:spacing w:after="0" w:line="277" w:lineRule="auto"/>
        <w:tabs>
          <w:tab w:leader="none" w:pos="12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November 5, 2018</w:t>
            </w:r>
          </w:p>
        </w:tc>
        <w:tc>
          <w:tcPr>
            <w:tcW w:w="7080" w:type="dxa"/>
            <w:vAlign w:val="bottom"/>
            <w:gridSpan w:val="2"/>
          </w:tcPr>
          <w:p>
            <w:pPr>
              <w:ind w:left="2540"/>
              <w:spacing w:after="0"/>
              <w:rPr>
                <w:sz w:val="20"/>
                <w:szCs w:val="20"/>
                <w:color w:val="auto"/>
              </w:rPr>
            </w:pPr>
            <w:r>
              <w:rPr>
                <w:rFonts w:ascii="Arial" w:cs="Arial" w:eastAsia="Arial" w:hAnsi="Arial"/>
                <w:sz w:val="18"/>
                <w:szCs w:val="18"/>
                <w:color w:val="auto"/>
              </w:rPr>
              <w:t>By:  /s/ Briggs W. Morrison, M.D.</w:t>
            </w:r>
          </w:p>
        </w:tc>
      </w:tr>
      <w:tr>
        <w:trPr>
          <w:trHeight w:val="195"/>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225" w:lineRule="exact"/>
        <w:rPr>
          <w:sz w:val="20"/>
          <w:szCs w:val="20"/>
          <w:color w:val="auto"/>
        </w:rPr>
      </w:pPr>
    </w:p>
    <w:p>
      <w:pPr>
        <w:ind w:left="700" w:hanging="17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526"/>
        <w:spacing w:after="0" w:line="264" w:lineRule="auto"/>
        <w:tabs>
          <w:tab w:leader="none" w:pos="6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499"/>
        <w:spacing w:after="0" w:line="277" w:lineRule="auto"/>
        <w:tabs>
          <w:tab w:leader="none" w:pos="12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November 5, 2018</w:t>
            </w:r>
          </w:p>
        </w:tc>
        <w:tc>
          <w:tcPr>
            <w:tcW w:w="7080" w:type="dxa"/>
            <w:vAlign w:val="bottom"/>
            <w:gridSpan w:val="2"/>
          </w:tcPr>
          <w:p>
            <w:pPr>
              <w:ind w:left="2560"/>
              <w:spacing w:after="0"/>
              <w:rPr>
                <w:sz w:val="20"/>
                <w:szCs w:val="20"/>
                <w:color w:val="auto"/>
              </w:rPr>
            </w:pPr>
            <w:r>
              <w:rPr>
                <w:rFonts w:ascii="Arial" w:cs="Arial" w:eastAsia="Arial" w:hAnsi="Arial"/>
                <w:sz w:val="18"/>
                <w:szCs w:val="18"/>
                <w:color w:val="auto"/>
              </w:rPr>
              <w:t>By:  /s/ Richard P. Shea</w:t>
            </w:r>
          </w:p>
        </w:tc>
      </w:tr>
      <w:tr>
        <w:trPr>
          <w:trHeight w:val="195"/>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P. Shea</w:t>
            </w: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8"/>
              </w:rPr>
              <w:t>(Principal Financial Officer and Principal Accounting</w:t>
            </w:r>
          </w:p>
        </w:tc>
      </w:tr>
      <w:tr>
        <w:trPr>
          <w:trHeight w:val="230"/>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513"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September 30, 2018,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November 5, 2018</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13"/>
        </w:trPr>
        <w:tc>
          <w:tcPr>
            <w:tcW w:w="4340" w:type="dxa"/>
            <w:vAlign w:val="bottom"/>
          </w:tcPr>
          <w:p>
            <w:pPr>
              <w:spacing w:after="0"/>
              <w:rPr>
                <w:sz w:val="20"/>
                <w:szCs w:val="20"/>
                <w:color w:val="auto"/>
              </w:rPr>
            </w:pPr>
            <w:r>
              <w:rPr>
                <w:rFonts w:ascii="Arial" w:cs="Arial" w:eastAsia="Arial" w:hAnsi="Arial"/>
                <w:sz w:val="18"/>
                <w:szCs w:val="18"/>
                <w:color w:val="auto"/>
              </w:rPr>
              <w:t>Date: November 5, 2018</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195"/>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Richard P. Shea</w:t>
            </w:r>
          </w:p>
        </w:tc>
      </w:tr>
      <w:tr>
        <w:trPr>
          <w:trHeight w:val="230"/>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0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89" Type="http://schemas.openxmlformats.org/officeDocument/2006/relationships/hyperlink" Target="http://www.sec.gov/Archives/edgar/data/1395937/000119312516496764/d119516dex31.htm" TargetMode="External"/><Relationship Id="rId90" Type="http://schemas.openxmlformats.org/officeDocument/2006/relationships/hyperlink" Target="http://www.sec.gov/Archives/edgar/data/1395937/000119312516496764/d119516dex32.htm" TargetMode="External"/><Relationship Id="rId91" Type="http://schemas.openxmlformats.org/officeDocument/2006/relationships/hyperlink" Target="http://www.sec.gov/Archives/edgar/data/1395937/000119312516457615/d117131dex41.htm" TargetMode="External"/><Relationship Id="rId92" Type="http://schemas.openxmlformats.org/officeDocument/2006/relationships/hyperlink" Target="http://www.sec.gov/Archives/edgar/data/1395937/000119312518197997/d61755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2019-12-28T18:22:09Z</dcterms:created>
  <dcterms:modified xsi:type="dcterms:W3CDTF">2019-12-28T18:22:09Z</dcterms:modified>
</cp:coreProperties>
</file>