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2.jpeg" ContentType="image/jpeg"/>
  <Override PartName="/word/media/image3.jpeg" ContentType="image/jpeg"/>
  <Override PartName="/word/media/image4.jpeg" ContentType="image/jpeg"/>
  <Override PartName="/word/media/image11.jpeg" ContentType="image/jpeg"/>
  <Override PartName="/word/media/image9.jpeg" ContentType="image/jpeg"/>
  <Override PartName="/word/media/image14.jpeg" ContentType="image/jpeg"/>
  <Override PartName="/word/media/image5.gif" ContentType="image/gif"/>
  <Override PartName="/word/media/image6.gif" ContentType="image/gif"/>
  <Override PartName="/word/media/image7.gif" ContentType="image/gif"/>
  <Override PartName="/word/media/image2.gif" ContentType="image/gif"/>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60430.htm"/>
      <w:bookmarkStart w:id="1" w:name="kssndx20260430"/>
      <w:bookmarkEnd w:id="0"/>
      <w:bookmarkEnd w:id="1"/>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1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32"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No.__)</w:t>
      </w:r>
    </w:p>
    <w:p>
      <w:pPr>
        <w:pStyle w:val="TextBody"/>
        <w:bidi w:val="0"/>
        <w:spacing w:before="110" w:after="283"/>
        <w:jc w:val="left"/>
        <w:rPr>
          <w:rFonts w:ascii="Times New Roman" w:hAnsi="Times New Roman"/>
          <w:color w:val="000000"/>
          <w:sz w:val="20"/>
        </w:rPr>
      </w:pPr>
      <w:r>
        <w:rPr>
          <w:rFonts w:ascii="Times New Roman" w:hAnsi="Times New Roman"/>
          <w:color w:val="000000"/>
          <w:sz w:val="20"/>
        </w:rPr>
        <w:t>Filed by the Registrant ☒ Filed by a party other than the Registrant </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spacing w:before="88" w:after="283"/>
        <w:jc w:val="center"/>
        <w:rPr>
          <w:rFonts w:ascii="Times New Roman" w:hAnsi="Times New Roman"/>
          <w:b/>
          <w:color w:val="000000"/>
          <w:sz w:val="48"/>
        </w:rPr>
      </w:pPr>
      <w:r>
        <w:rPr>
          <w:rFonts w:ascii="Times New Roman" w:hAnsi="Times New Roman"/>
          <w:b/>
          <w:color w:val="000000"/>
          <w:sz w:val="48"/>
        </w:rPr>
        <w:t>Syndax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88"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88" w:after="283"/>
        <w:jc w:val="left"/>
        <w:rPr>
          <w:rFonts w:ascii="Times New Roman" w:hAnsi="Times New Roman"/>
          <w:color w:val="000000"/>
          <w:sz w:val="20"/>
        </w:rPr>
      </w:pPr>
      <w:r>
        <w:rPr>
          <w:rFonts w:ascii="Times New Roman" w:hAnsi="Times New Roman"/>
          <w:color w:val="000000"/>
          <w:sz w:val="20"/>
        </w:rPr>
        <w:t>Payment of Filing Fee (Check the appropriate box):</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6" w:space="1" w:color="000000"/>
        </w:pBdr>
        <w:bidi w:val="0"/>
        <w:spacing w:before="22" w:after="22"/>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9335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476250"/>
                    </a:xfrm>
                    <a:prstGeom prst="rect">
                      <a:avLst/>
                    </a:prstGeom>
                  </pic:spPr>
                </pic:pic>
              </a:graphicData>
            </a:graphic>
          </wp:inline>
        </w:drawing>
      </w:r>
    </w:p>
    <w:p>
      <w:pPr>
        <w:pStyle w:val="TextBody"/>
        <w:bidi w:val="0"/>
        <w:jc w:val="right"/>
        <w:rPr>
          <w:rFonts w:ascii="Times New Roman" w:hAnsi="Times New Roman"/>
          <w:color w:val="000000"/>
          <w:sz w:val="20"/>
        </w:rPr>
      </w:pPr>
      <w:r>
        <w:rPr>
          <w:rFonts w:ascii="Times New Roman" w:hAnsi="Times New Roman"/>
          <w:color w:val="000000"/>
          <w:sz w:val="20"/>
        </w:rPr>
        <w:t>April 30, 2026</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132" w:after="283"/>
        <w:jc w:val="both"/>
        <w:rPr>
          <w:rFonts w:ascii="Times New Roman" w:hAnsi="Times New Roman"/>
          <w:sz w:val="20"/>
        </w:rPr>
      </w:pPr>
      <w:r>
        <w:rPr>
          <w:rFonts w:ascii="Times New Roman" w:hAnsi="Times New Roman"/>
          <w:color w:val="000000"/>
          <w:sz w:val="20"/>
        </w:rPr>
        <w:t>You are cordially invited to attend the 2026 Annual Meeting of Stockholders (the “</w:t>
      </w:r>
      <w:r>
        <w:rPr>
          <w:rFonts w:ascii="Times New Roman" w:hAnsi="Times New Roman"/>
          <w:b/>
          <w:i/>
          <w:color w:val="000000"/>
          <w:sz w:val="20"/>
        </w:rPr>
        <w:t>Annual Meeting</w:t>
      </w:r>
      <w:r>
        <w:rPr>
          <w:rFonts w:ascii="Times New Roman" w:hAnsi="Times New Roman"/>
          <w:color w:val="000000"/>
          <w:sz w:val="20"/>
        </w:rPr>
        <w:t>”) of Syndax Pharmaceuticals, Inc. (“</w:t>
      </w:r>
      <w:r>
        <w:rPr>
          <w:rFonts w:ascii="Times New Roman" w:hAnsi="Times New Roman"/>
          <w:b/>
          <w:i/>
          <w:color w:val="000000"/>
          <w:sz w:val="20"/>
        </w:rPr>
        <w:t>Syndax</w:t>
      </w:r>
      <w:r>
        <w:rPr>
          <w:rFonts w:ascii="Times New Roman" w:hAnsi="Times New Roman"/>
          <w:color w:val="000000"/>
          <w:sz w:val="20"/>
        </w:rPr>
        <w:t xml:space="preserve">”) The meeting will be held on June 10, 2026 at 12:00 p.m. EDT. The Annual Meeting will be held in a virtual meeting format only. You will not be able to attend the meeting in person. You can attend the Annual Meeting online, vote your shares electronically, and submit your questions during the Annual Meeting by visiting </w:t>
      </w:r>
      <w:r>
        <w:rPr>
          <w:rFonts w:ascii="Times New Roman" w:hAnsi="Times New Roman"/>
          <w:color w:val="000000"/>
          <w:sz w:val="20"/>
          <w:u w:val="single"/>
        </w:rPr>
        <w:t>www.meetnow.global/MUGAWRX</w:t>
      </w:r>
      <w:r>
        <w:rPr>
          <w:rFonts w:ascii="Times New Roman" w:hAnsi="Times New Roman"/>
          <w:color w:val="000000"/>
          <w:sz w:val="20"/>
        </w:rPr>
        <w: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Details regarding admission to the Annual Meeting and the business to be conducted at the Annual Meeting are more fully described in the accompanying Notice of 2026 Annual Meeting of Stockholders and proxy statement.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The agenda for the Annual Meeting includes the election of two (2) Class I directors, each to serve a three-year term, a non-binding advisory vote on the compensation paid to Syndax’s named executive officers, the ratification of the appointment of Deloitte &amp; Touche LLP as Syndax’s independent registered public accounting firm for the fiscal year ending December 31, 2026, approval of the Company’s 2026 equity incentive plan, and approval of the Company’s 2026 employee stock purchase plan.</w:t>
      </w:r>
    </w:p>
    <w:p>
      <w:pPr>
        <w:pStyle w:val="TextBody"/>
        <w:bidi w:val="0"/>
        <w:spacing w:before="264" w:after="283"/>
        <w:jc w:val="both"/>
        <w:rPr>
          <w:rFonts w:ascii="Times New Roman" w:hAnsi="Times New Roman"/>
          <w:sz w:val="20"/>
        </w:rPr>
      </w:pPr>
      <w:r>
        <w:rPr>
          <w:rFonts w:ascii="Times New Roman" w:hAnsi="Times New Roman"/>
          <w:color w:val="000000"/>
          <w:sz w:val="20"/>
        </w:rPr>
        <w:t xml:space="preserve">Under Securities and Exchange Commission rules, Syndax is providing access to the proxy materials for the Annual Meeting to stockholders via the Internet. Accordingly, you can access the proxy materials and vote your shares in advance of the Annual Meeting at </w:t>
      </w:r>
      <w:r>
        <w:rPr>
          <w:rFonts w:ascii="Times New Roman" w:hAnsi="Times New Roman"/>
          <w:color w:val="000000"/>
          <w:sz w:val="20"/>
          <w:u w:val="single"/>
        </w:rPr>
        <w:t>www.investorvote.com/SNDX</w:t>
      </w:r>
      <w:r>
        <w:rPr>
          <w:rFonts w:ascii="Times New Roman" w:hAnsi="Times New Roman"/>
          <w:color w:val="000000"/>
          <w:sz w:val="20"/>
        </w:rPr>
        <w:t>. Instructions for accessing the proxy materials and voting are described in the attached proxy statement and in the Notice Regarding Availability of Proxy Materials that you received. Your vote is very important. Whether or not you plan to attend the Annual Meeting, please carefully review the proxy statement and then cast your vote, regardless of the number of shares you hold. If you are a stockholder of record, you may vote over the Internet, by telephone, or, if you request to receive a printed set of the proxy materials, by completing, signing, dating and mailing the accompanying proxy card in the return envelope. Submitting your vote via the Internet in advance of the Annual Meeting or by telephone or proxy card will not affect your right to vote during the Annual Meeting if you decide to attend the Annual Meeting. If your shares are held in street name (held for your account by a broker, bank or other agent), you will receive instructions from your broker, bank or other agent explaining how to vote your shares, and you will have the option to cast your vote by telephone or over the Internet in advance of the Annual Meeting if your voting instruction form from your broker, bank or other agent includes instructions and a toll-free telephone number or Internet website to do so. In any event, to be sure that your vote will be received in time, please cast your vote by your choice of available means at your earliest convenience.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We hope that you will join us on June 10, 2026 and greatly appreciate your continuing interest in Syndax.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drawing>
          <wp:inline distT="0" distB="0" distL="0" distR="0">
            <wp:extent cx="9239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3925" cy="3524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Michael A. Metzger</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spacing w:before="264" w:after="283"/>
        <w:jc w:val="left"/>
        <w:rPr/>
      </w:pPr>
      <w:r>
        <w:rPr/>
        <w:t> </w:t>
      </w:r>
    </w:p>
    <w:p>
      <w:pPr>
        <w:pStyle w:val="TextBody"/>
        <w:bidi w:val="0"/>
        <w:jc w:val="left"/>
        <w:rPr/>
      </w:pPr>
      <w:r>
        <w:rPr/>
        <w:t> </w:t>
      </w:r>
    </w:p>
    <w:p>
      <w:pPr>
        <w:pStyle w:val="TextBody"/>
        <w:pBdr>
          <w:top w:val="single" w:sz="4" w:space="1" w:color="000000"/>
          <w:left w:val="single" w:sz="4" w:space="1" w:color="000000"/>
          <w:bottom w:val="single" w:sz="4" w:space="1" w:color="000000"/>
          <w:right w:val="single" w:sz="4" w:space="1" w:color="000000"/>
        </w:pBdr>
        <w:bidi w:val="0"/>
        <w:jc w:val="both"/>
        <w:rPr>
          <w:rFonts w:ascii="Times New Roman" w:hAnsi="Times New Roman"/>
          <w:b/>
          <w:color w:val="000000"/>
          <w:sz w:val="18"/>
        </w:rPr>
      </w:pPr>
      <w:r>
        <w:rPr>
          <w:rFonts w:ascii="Times New Roman" w:hAnsi="Times New Roman"/>
          <w:b/>
          <w:color w:val="000000"/>
          <w:sz w:val="18"/>
        </w:rPr>
        <w:t>You are cordially invited to attend the Annual Meeting. Whether or not you expect to attend the Annual Meeting virtually, please vote by telephone or through the Internet, or, if you receive a paper proxy card by mail, by completing and returning the proxy card mailed to you, as promptly as possible in order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 If you participate virtually in the Annual Meeting, you may vote at that time, even if you previously submitted your vote. Please note, however, that if your shares are held of record by a brokerage firm, bank or other agent and you wish to vote at the Annual Meeting, you must obtain a proxy issued in your name from that agent in order to vote your shares that are held in such agent’s name and account and registered with Computershare as set forth in the proxy statement accompanying this notice.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7526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419100"/>
                    </a:xfrm>
                    <a:prstGeom prst="rect">
                      <a:avLst/>
                    </a:prstGeom>
                  </pic:spPr>
                </pic:pic>
              </a:graphicData>
            </a:graphic>
          </wp:inline>
        </w:drawing>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NOTICE OF 2026 ANNUAL MEETING OF STOCKHOLDERS</w:t>
      </w:r>
    </w:p>
    <w:tbl>
      <w:tblPr>
        <w:tblW w:w="10205" w:type="dxa"/>
        <w:jc w:val="left"/>
        <w:tblInd w:w="0" w:type="dxa"/>
        <w:tblLayout w:type="fixed"/>
        <w:tblCellMar>
          <w:top w:w="28" w:type="dxa"/>
          <w:left w:w="28" w:type="dxa"/>
          <w:bottom w:w="28" w:type="dxa"/>
          <w:right w:w="28" w:type="dxa"/>
        </w:tblCellMar>
      </w:tblPr>
      <w:tblGrid>
        <w:gridCol w:w="1318"/>
        <w:gridCol w:w="8887"/>
      </w:tblGrid>
      <w:tr>
        <w:trPr/>
        <w:tc>
          <w:tcPr>
            <w:tcW w:w="1318" w:type="dxa"/>
            <w:tcBorders/>
            <w:vAlign w:val="center"/>
          </w:tcPr>
          <w:p>
            <w:pPr>
              <w:pStyle w:val="TableContents"/>
              <w:bidi w:val="0"/>
              <w:spacing w:before="0" w:after="283"/>
              <w:jc w:val="left"/>
              <w:rPr>
                <w:sz w:val="4"/>
                <w:szCs w:val="4"/>
              </w:rPr>
            </w:pPr>
            <w:r>
              <w:rPr>
                <w:sz w:val="4"/>
                <w:szCs w:val="4"/>
              </w:rPr>
            </w:r>
          </w:p>
        </w:tc>
        <w:tc>
          <w:tcPr>
            <w:tcW w:w="8887" w:type="dxa"/>
            <w:tcBorders/>
            <w:vAlign w:val="center"/>
          </w:tcPr>
          <w:p>
            <w:pPr>
              <w:pStyle w:val="TableContents"/>
              <w:bidi w:val="0"/>
              <w:spacing w:before="0" w:after="283"/>
              <w:jc w:val="left"/>
              <w:rPr>
                <w:sz w:val="4"/>
                <w:szCs w:val="4"/>
              </w:rPr>
            </w:pPr>
            <w:r>
              <w:rPr>
                <w:sz w:val="4"/>
                <w:szCs w:val="4"/>
              </w:rPr>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Time</w:t>
            </w:r>
          </w:p>
        </w:tc>
        <w:tc>
          <w:tcPr>
            <w:tcW w:w="8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12:00 p.m., Eastern Daylight Time</w:t>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Date</w:t>
            </w:r>
          </w:p>
        </w:tc>
        <w:tc>
          <w:tcPr>
            <w:tcW w:w="8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Wednesday, June 10, 2026</w:t>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Virtual Meeting</w:t>
            </w:r>
          </w:p>
        </w:tc>
        <w:tc>
          <w:tcPr>
            <w:tcW w:w="8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The Annual Meeting will be a virtual meeting through which you can listen to the meeting, submit questions and vote online. You may access the Annual Meeting by visiting </w:t>
            </w:r>
            <w:r>
              <w:rPr>
                <w:rFonts w:ascii="Times New Roman" w:hAnsi="Times New Roman"/>
                <w:color w:val="000000"/>
                <w:sz w:val="20"/>
                <w:u w:val="single"/>
              </w:rPr>
              <w:t>www.meetnow.global/MUGAWRX</w:t>
            </w:r>
            <w:r>
              <w:rPr>
                <w:rFonts w:ascii="Times New Roman" w:hAnsi="Times New Roman"/>
                <w:color w:val="000000"/>
                <w:sz w:val="20"/>
              </w:rPr>
              <w:t> and entering the control number (included in the Notice Regarding the Availability of Proxy Materials mailed to you). Stockholders attending the virtual meeting will be afforded the same rights and opportunities to participate as they would at an in-person meeting.</w:t>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i/>
                <w:color w:val="000000"/>
                <w:sz w:val="20"/>
              </w:rPr>
            </w:pPr>
            <w:r>
              <w:rPr>
                <w:rFonts w:ascii="Times New Roman" w:hAnsi="Times New Roman"/>
                <w:b/>
                <w:i/>
                <w:color w:val="000000"/>
                <w:sz w:val="20"/>
              </w:rPr>
              <w:t>Purpose</w:t>
            </w:r>
          </w:p>
        </w:tc>
        <w:tc>
          <w:tcPr>
            <w:tcW w:w="8887" w:type="dxa"/>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(1)</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To elect the Board of Directors’ nominees, Pierre Legault and Michael A. Metzger, as Class I members of the Board of Directors, to serve until the 2029 Annual Meeting of Stockholders and until their successors are duly elected and qualified, or until their earlier death, resignation or removal.</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(2)</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To approve, on an advisory basis, the compensation of the Company’s named executive officers, as disclosed in this proxy statement.</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(3)</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To ratify the selection of Deloitte &amp; Touche LLP as the Company’s independent registered public accounting firm for the fiscal year ending December 31, 2026.</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(4)</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To approve the Syndax Pharmaceuticals, Inc. 2026 Equity Incentive Plan.</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(5)</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To approve the Syndax Pharmaceuticals, Inc. 2026 Employee Stock Purchase Plan.</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(6)</w:t>
            </w:r>
          </w:p>
          <w:p>
            <w:pPr>
              <w:pStyle w:val="TableContents"/>
              <w:bidi w:val="0"/>
              <w:spacing w:before="0" w:after="60"/>
              <w:jc w:val="both"/>
              <w:rPr>
                <w:rFonts w:ascii="Times New Roman" w:hAnsi="Times New Roman"/>
                <w:color w:val="000000"/>
                <w:sz w:val="20"/>
              </w:rPr>
            </w:pPr>
            <w:r>
              <w:rPr>
                <w:rFonts w:ascii="Times New Roman" w:hAnsi="Times New Roman"/>
                <w:color w:val="000000"/>
                <w:sz w:val="20"/>
              </w:rPr>
              <w:t xml:space="preserve">To transact any other business that may properly come before the meeting or any adjournment or postponement thereof. </w:t>
            </w:r>
          </w:p>
          <w:p>
            <w:pPr>
              <w:pStyle w:val="TableContents"/>
              <w:bidi w:val="0"/>
              <w:spacing w:before="0" w:after="60"/>
              <w:ind w:left="0" w:right="0" w:firstLine="49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w:t>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Record Date</w:t>
            </w:r>
          </w:p>
        </w:tc>
        <w:tc>
          <w:tcPr>
            <w:tcW w:w="888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Board of Directors has fixed the close of business on April 21, 2026 as the record date for determining stockholders entitled to notice of and to vote at the meeting.</w:t>
            </w:r>
          </w:p>
          <w:p>
            <w:pPr>
              <w:pStyle w:val="TableContents"/>
              <w:bidi w:val="0"/>
              <w:jc w:val="both"/>
              <w:rPr/>
            </w:pPr>
            <w:r>
              <w:rPr/>
              <w:t> </w:t>
            </w:r>
          </w:p>
          <w:p>
            <w:pPr>
              <w:pStyle w:val="TableContents"/>
              <w:bidi w:val="0"/>
              <w:spacing w:before="0" w:after="283"/>
              <w:jc w:val="both"/>
              <w:rPr>
                <w:rFonts w:ascii="Times New Roman" w:hAnsi="Times New Roman"/>
                <w:sz w:val="20"/>
              </w:rPr>
            </w:pPr>
            <w:r>
              <w:rPr>
                <w:rFonts w:ascii="Times New Roman" w:hAnsi="Times New Roman"/>
                <w:color w:val="000000"/>
                <w:sz w:val="20"/>
              </w:rPr>
              <w:t xml:space="preserve">A list of stockholders entitled to vote at the Annual Meeting will be available for inspection by any stockholder of record for purposes germane to the Annual Meeting for a period of ten (10) days prior to the Annual Meeting. Please contact the Secretary of the Company to make arrangements to inspect the list. In addition, during the Annual Meeting, that list of stockholders will be available for examination by any stockholder of record at </w:t>
            </w:r>
            <w:r>
              <w:rPr>
                <w:rFonts w:ascii="Times New Roman" w:hAnsi="Times New Roman"/>
                <w:color w:val="000000"/>
                <w:sz w:val="20"/>
                <w:u w:val="single"/>
              </w:rPr>
              <w:t>www.meetnow.global/MUGAWRX</w:t>
            </w:r>
            <w:r>
              <w:rPr>
                <w:rFonts w:ascii="Times New Roman" w:hAnsi="Times New Roman"/>
                <w:color w:val="000000"/>
                <w:sz w:val="20"/>
              </w:rPr>
              <w:t>.</w:t>
            </w:r>
          </w:p>
        </w:tc>
      </w:tr>
      <w:tr>
        <w:trPr/>
        <w:tc>
          <w:tcPr>
            <w:tcW w:w="1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left"/>
        <w:rPr/>
      </w:pPr>
      <w:r>
        <w:rPr/>
        <w:drawing>
          <wp:inline distT="0" distB="0" distL="0" distR="0">
            <wp:extent cx="68580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3905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Luke J. Albrecht</w:t>
      </w:r>
    </w:p>
    <w:p>
      <w:pPr>
        <w:pStyle w:val="TextBody"/>
        <w:bidi w:val="0"/>
        <w:jc w:val="left"/>
        <w:rPr>
          <w:rFonts w:ascii="Times New Roman" w:hAnsi="Times New Roman"/>
          <w:color w:val="000000"/>
          <w:sz w:val="20"/>
        </w:rPr>
      </w:pPr>
      <w:r>
        <w:rPr>
          <w:rFonts w:ascii="Times New Roman" w:hAnsi="Times New Roman"/>
          <w:color w:val="000000"/>
          <w:sz w:val="20"/>
        </w:rPr>
        <w:t>General Counsel &amp; Secretary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York, New York</w:t>
      </w:r>
    </w:p>
    <w:p>
      <w:pPr>
        <w:pStyle w:val="TextBody"/>
        <w:bidi w:val="0"/>
        <w:jc w:val="left"/>
        <w:rPr>
          <w:rFonts w:ascii="Times New Roman" w:hAnsi="Times New Roman"/>
          <w:color w:val="000000"/>
          <w:sz w:val="20"/>
        </w:rPr>
      </w:pPr>
      <w:r>
        <w:rPr>
          <w:rFonts w:ascii="Times New Roman" w:hAnsi="Times New Roman"/>
          <w:color w:val="000000"/>
          <w:sz w:val="20"/>
        </w:rPr>
        <w:t>April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682"/>
        <w:gridCol w:w="146"/>
        <w:gridCol w:w="318"/>
        <w:gridCol w:w="148"/>
        <w:gridCol w:w="911"/>
      </w:tblGrid>
      <w:tr>
        <w:trPr/>
        <w:tc>
          <w:tcPr>
            <w:tcW w:w="8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8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c>
          <w:tcPr>
            <w:tcW w:w="91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general_information">
              <w:r>
                <w:rPr>
                  <w:rStyle w:val="InternetLink"/>
                  <w:rFonts w:ascii="Times New Roman" w:hAnsi="Times New Roman"/>
                  <w:b/>
                  <w:color w:val="0000FF"/>
                  <w:sz w:val="20"/>
                  <w:u w:val="single"/>
                </w:rPr>
                <w:t>GENERAL INFORMATION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prop1">
              <w:r>
                <w:rPr>
                  <w:rStyle w:val="InternetLink"/>
                  <w:rFonts w:ascii="Times New Roman" w:hAnsi="Times New Roman"/>
                  <w:b/>
                  <w:color w:val="0000FF"/>
                  <w:sz w:val="20"/>
                  <w:u w:val="single"/>
                </w:rPr>
                <w:t>PROPOSAL 1 — ELECTION OF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1_gen">
              <w:r>
                <w:rPr>
                  <w:rStyle w:val="InternetLink"/>
                  <w:rFonts w:ascii="Times New Roman" w:hAnsi="Times New Roman"/>
                  <w:color w:val="0000FF"/>
                  <w:sz w:val="20"/>
                  <w:u w:val="single"/>
                </w:rPr>
                <w:t>General</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1_or">
              <w:r>
                <w:rPr>
                  <w:rStyle w:val="InternetLink"/>
                  <w:rFonts w:ascii="Times New Roman" w:hAnsi="Times New Roman"/>
                  <w:color w:val="0000FF"/>
                  <w:sz w:val="20"/>
                  <w:u w:val="single"/>
                </w:rPr>
                <w:t>Our Recommendation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1_inf">
              <w:r>
                <w:rPr>
                  <w:rStyle w:val="InternetLink"/>
                  <w:rFonts w:ascii="Times New Roman" w:hAnsi="Times New Roman"/>
                  <w:color w:val="0000FF"/>
                  <w:sz w:val="20"/>
                  <w:u w:val="single"/>
                </w:rPr>
                <w:t>Information About Our Board of Directors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1_inf">
              <w:r>
                <w:rPr>
                  <w:rStyle w:val="InternetLink"/>
                  <w:rFonts w:ascii="Times New Roman" w:hAnsi="Times New Roman"/>
                  <w:b/>
                  <w:color w:val="0000FF"/>
                  <w:sz w:val="20"/>
                  <w:u w:val="single"/>
                </w:rPr>
                <w:t>INFORMATION ABOUT OUR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o">
              <w:r>
                <w:rPr>
                  <w:rStyle w:val="InternetLink"/>
                  <w:rFonts w:ascii="Times New Roman" w:hAnsi="Times New Roman"/>
                  <w:b/>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tbodaic">
              <w:r>
                <w:rPr>
                  <w:rStyle w:val="InternetLink"/>
                  <w:rFonts w:ascii="Times New Roman" w:hAnsi="Times New Roman"/>
                  <w:b/>
                  <w:color w:val="0000FF"/>
                  <w:sz w:val="20"/>
                  <w:u w:val="single"/>
                </w:rPr>
                <w:t>THE BOARD OF DIRECTORS AND ITS COMMITTEES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oardindependence">
              <w:r>
                <w:rPr>
                  <w:rStyle w:val="InternetLink"/>
                  <w:rFonts w:ascii="Times New Roman" w:hAnsi="Times New Roman"/>
                  <w:color w:val="0000FF"/>
                  <w:sz w:val="20"/>
                  <w:u w:val="single"/>
                </w:rPr>
                <w:t>Board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bmaa">
              <w:r>
                <w:rPr>
                  <w:rStyle w:val="InternetLink"/>
                  <w:rFonts w:ascii="Times New Roman" w:hAnsi="Times New Roman"/>
                  <w:color w:val="0000FF"/>
                  <w:sz w:val="20"/>
                  <w:u w:val="single"/>
                </w:rPr>
                <w:t>Board Meetings and Attendance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cmtes">
              <w:r>
                <w:rPr>
                  <w:rStyle w:val="InternetLink"/>
                  <w:rFonts w:ascii="Times New Roman" w:hAnsi="Times New Roman"/>
                  <w:color w:val="0000FF"/>
                  <w:sz w:val="20"/>
                  <w:u w:val="single"/>
                </w:rPr>
                <w:t>Board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interlocks">
              <w:r>
                <w:rPr>
                  <w:rStyle w:val="InternetLink"/>
                  <w:rFonts w:ascii="Times New Roman" w:hAnsi="Times New Roman"/>
                  <w:color w:val="0000FF"/>
                  <w:sz w:val="20"/>
                  <w:u w:val="single"/>
                </w:rPr>
                <w:t>Compensation Committee Interlocks and Insider Participation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saro">
              <w:r>
                <w:rPr>
                  <w:rStyle w:val="InternetLink"/>
                  <w:rFonts w:ascii="Times New Roman" w:hAnsi="Times New Roman"/>
                  <w:color w:val="0000FF"/>
                  <w:sz w:val="20"/>
                  <w:u w:val="single"/>
                </w:rPr>
                <w:t>Leadership Structure and Risk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bcae">
              <w:r>
                <w:rPr>
                  <w:rStyle w:val="InternetLink"/>
                  <w:rFonts w:ascii="Times New Roman" w:hAnsi="Times New Roman"/>
                  <w:color w:val="0000FF"/>
                  <w:sz w:val="20"/>
                  <w:u w:val="single"/>
                </w:rPr>
                <w:t>Code of Business Conduct and Ethics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tockholder_communications_with_ourboard">
              <w:r>
                <w:rPr>
                  <w:rStyle w:val="InternetLink"/>
                  <w:rFonts w:ascii="Times New Roman" w:hAnsi="Times New Roman"/>
                  <w:color w:val="0000FF"/>
                  <w:sz w:val="20"/>
                  <w:u w:val="single"/>
                </w:rPr>
                <w:t>Stockholder Communications with Our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rop2">
              <w:r>
                <w:rPr>
                  <w:rStyle w:val="InternetLink"/>
                  <w:rFonts w:ascii="Times New Roman" w:hAnsi="Times New Roman"/>
                  <w:b/>
                  <w:color w:val="0000FF"/>
                  <w:sz w:val="20"/>
                  <w:u w:val="single"/>
                </w:rPr>
                <w:t>PROPOSAL 2 — ADVISORY VOTE ON COMPENSATION OF THE COMPANY</w:t>
              </w:r>
            </w:hyperlink>
            <w:r>
              <w:rPr>
                <w:rFonts w:ascii="Times New Roman" w:hAnsi="Times New Roman"/>
                <w:color w:val="000000"/>
                <w:sz w:val="20"/>
              </w:rPr>
              <w:t>’</w:t>
            </w:r>
            <w:hyperlink w:anchor="prop2">
              <w:r>
                <w:rPr>
                  <w:rStyle w:val="InternetLink"/>
                  <w:rFonts w:ascii="Times New Roman" w:hAnsi="Times New Roman"/>
                  <w:b/>
                  <w:color w:val="0000FF"/>
                  <w:sz w:val="20"/>
                  <w:u w:val="single"/>
                </w:rPr>
                <w:t>S NAMED EXECUTIVE OFFICERS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4">
              <w:r>
                <w:rPr>
                  <w:rStyle w:val="InternetLink"/>
                  <w:rFonts w:ascii="Times New Roman" w:hAnsi="Times New Roman"/>
                  <w:b/>
                  <w:color w:val="0000FF"/>
                  <w:sz w:val="20"/>
                  <w:u w:val="single"/>
                </w:rPr>
                <w:t>PROPOSAL 3 — RATIFICATION OF SELECTION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eapproval">
              <w:r>
                <w:rPr>
                  <w:rStyle w:val="InternetLink"/>
                  <w:rFonts w:ascii="Times New Roman" w:hAnsi="Times New Roman"/>
                  <w:color w:val="0000FF"/>
                  <w:sz w:val="20"/>
                  <w:u w:val="single"/>
                </w:rPr>
                <w:t>Pre-Approval Policies and Procedures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rpaff">
              <w:r>
                <w:rPr>
                  <w:rStyle w:val="InternetLink"/>
                  <w:rFonts w:ascii="Times New Roman" w:hAnsi="Times New Roman"/>
                  <w:color w:val="0000FF"/>
                  <w:sz w:val="20"/>
                  <w:u w:val="single"/>
                </w:rPr>
                <w:t>Independent Registered Public Accounting Firm Fees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recc2">
              <w:r>
                <w:rPr>
                  <w:rStyle w:val="InternetLink"/>
                  <w:rFonts w:ascii="Times New Roman" w:hAnsi="Times New Roman"/>
                  <w:color w:val="0000FF"/>
                  <w:sz w:val="20"/>
                  <w:u w:val="single"/>
                </w:rPr>
                <w:t>Our Recommendation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4">
              <w:r>
                <w:rPr>
                  <w:rStyle w:val="InternetLink"/>
                  <w:rFonts w:ascii="Times New Roman" w:hAnsi="Times New Roman"/>
                  <w:b/>
                  <w:color w:val="0000FF"/>
                  <w:sz w:val="20"/>
                  <w:u w:val="single"/>
                </w:rPr>
                <w:t>PROPOSAL 4 — APPROVAL OF THE SYNDAX PHARMACEUTICALS, INC.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_wssstp">
              <w:r>
                <w:rPr>
                  <w:rStyle w:val="InternetLink"/>
                  <w:rFonts w:ascii="Times New Roman" w:hAnsi="Times New Roman"/>
                  <w:color w:val="0000FF"/>
                  <w:sz w:val="20"/>
                  <w:u w:val="single"/>
                </w:rPr>
                <w:t>Why Stockholders Should Support This Proposal</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4_intention">
              <w:r>
                <w:rPr>
                  <w:rStyle w:val="InternetLink"/>
                  <w:rFonts w:ascii="Times New Roman" w:hAnsi="Times New Roman"/>
                  <w:color w:val="0000FF"/>
                  <w:sz w:val="20"/>
                  <w:u w:val="single"/>
                </w:rPr>
                <w:t>The 2026 Plan Is Intended to Protect Stockholder Interests and Is Consistent with Good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osal4_t2026p">
              <w:r>
                <w:rPr>
                  <w:rStyle w:val="InternetLink"/>
                  <w:rFonts w:ascii="Times New Roman" w:hAnsi="Times New Roman"/>
                  <w:color w:val="0000FF"/>
                  <w:sz w:val="20"/>
                  <w:u w:val="single"/>
                </w:rPr>
                <w:t>The 2026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4_taxes">
              <w:r>
                <w:rPr>
                  <w:rStyle w:val="InternetLink"/>
                  <w:rFonts w:ascii="Times New Roman" w:hAnsi="Times New Roman"/>
                  <w:color w:val="0000FF"/>
                  <w:sz w:val="20"/>
                  <w:u w:val="single"/>
                </w:rPr>
                <w:t>U.S. Federal Income Tax Consequences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osal4_taxconseq">
              <w:r>
                <w:rPr>
                  <w:rStyle w:val="InternetLink"/>
                  <w:rFonts w:ascii="Times New Roman" w:hAnsi="Times New Roman"/>
                  <w:color w:val="0000FF"/>
                  <w:sz w:val="20"/>
                  <w:u w:val="single"/>
                </w:rPr>
                <w:t>Tax Consequences to the Company</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4_benefits">
              <w:r>
                <w:rPr>
                  <w:rStyle w:val="InternetLink"/>
                  <w:rFonts w:ascii="Times New Roman" w:hAnsi="Times New Roman"/>
                  <w:color w:val="0000FF"/>
                  <w:sz w:val="20"/>
                  <w:u w:val="single"/>
                </w:rPr>
                <w:t>New Plan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osal4_registration">
              <w:r>
                <w:rPr>
                  <w:rStyle w:val="InternetLink"/>
                  <w:rFonts w:ascii="Times New Roman" w:hAnsi="Times New Roman"/>
                  <w:color w:val="0000FF"/>
                  <w:sz w:val="20"/>
                  <w:u w:val="single"/>
                </w:rPr>
                <w:t>Registration with the SEC</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4_recc">
              <w:r>
                <w:rPr>
                  <w:rStyle w:val="InternetLink"/>
                  <w:rFonts w:ascii="Times New Roman" w:hAnsi="Times New Roman"/>
                  <w:color w:val="0000FF"/>
                  <w:sz w:val="20"/>
                  <w:u w:val="single"/>
                </w:rPr>
                <w:t>Our Recommendation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proposal5">
              <w:r>
                <w:rPr>
                  <w:rStyle w:val="InternetLink"/>
                  <w:rFonts w:ascii="Times New Roman" w:hAnsi="Times New Roman"/>
                  <w:b/>
                  <w:color w:val="0000FF"/>
                  <w:sz w:val="20"/>
                  <w:u w:val="single"/>
                </w:rPr>
                <w:t>PROPOSAL 5 — APPROVAL OF THE SYNDAX PHARMACEUTICALS, INC. 2026 EMPLOYEE STOCK PURCHASE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5_theespp">
              <w:r>
                <w:rPr>
                  <w:rStyle w:val="InternetLink"/>
                  <w:rFonts w:ascii="Times New Roman" w:hAnsi="Times New Roman"/>
                  <w:color w:val="0000FF"/>
                  <w:sz w:val="20"/>
                  <w:u w:val="single"/>
                </w:rPr>
                <w:t>The ESPP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osal5_taxes">
              <w:r>
                <w:rPr>
                  <w:rStyle w:val="InternetLink"/>
                  <w:rFonts w:ascii="Times New Roman" w:hAnsi="Times New Roman"/>
                  <w:color w:val="0000FF"/>
                  <w:sz w:val="20"/>
                  <w:u w:val="single"/>
                </w:rPr>
                <w:t>U.S. Federal Income Tax Consequences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5_benefits">
              <w:r>
                <w:rPr>
                  <w:rStyle w:val="InternetLink"/>
                  <w:rFonts w:ascii="Times New Roman" w:hAnsi="Times New Roman"/>
                  <w:color w:val="0000FF"/>
                  <w:sz w:val="20"/>
                  <w:u w:val="single"/>
                </w:rPr>
                <w:t>New Plan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roposal5_registration">
              <w:r>
                <w:rPr>
                  <w:rStyle w:val="InternetLink"/>
                  <w:rFonts w:ascii="Times New Roman" w:hAnsi="Times New Roman"/>
                  <w:color w:val="0000FF"/>
                  <w:sz w:val="20"/>
                  <w:u w:val="single"/>
                </w:rPr>
                <w:t>Registration with the SEC</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5_recc">
              <w:r>
                <w:rPr>
                  <w:rStyle w:val="InternetLink"/>
                  <w:rFonts w:ascii="Times New Roman" w:hAnsi="Times New Roman"/>
                  <w:color w:val="0000FF"/>
                  <w:sz w:val="20"/>
                  <w:u w:val="single"/>
                </w:rPr>
                <w:t>Our Recommendation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cda">
              <w:r>
                <w:rPr>
                  <w:rStyle w:val="InternetLink"/>
                  <w:rFonts w:ascii="Times New Roman" w:hAnsi="Times New Roman"/>
                  <w:b/>
                  <w:color w:val="0000FF"/>
                  <w:sz w:val="20"/>
                  <w:u w:val="single"/>
                </w:rPr>
                <w:t>COMPENSATION DISCUSSION AND ANALYSIS</w:t>
              </w:r>
            </w:hyperlink>
            <w:hyperlink w:anchor="cda">
              <w:r>
                <w:rPr>
                  <w:rStyle w:val="InternetLink"/>
                  <w:rFonts w:ascii="Times New Roman" w:hAnsi="Times New Roman"/>
                  <w:color w:val="0000FF"/>
                  <w:sz w:val="20"/>
                </w:rPr>
                <w:t xml:space="preserve"> </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pany_overview">
              <w:r>
                <w:rPr>
                  <w:rStyle w:val="InternetLink"/>
                  <w:rFonts w:ascii="Times New Roman" w:hAnsi="Times New Roman"/>
                  <w:color w:val="0000FF"/>
                  <w:sz w:val="20"/>
                  <w:u w:val="single"/>
                </w:rPr>
                <w:t>Company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leadership_transistions">
              <w:r>
                <w:rPr>
                  <w:rStyle w:val="InternetLink"/>
                  <w:rFonts w:ascii="Times New Roman" w:hAnsi="Times New Roman"/>
                  <w:color w:val="0000FF"/>
                  <w:sz w:val="20"/>
                  <w:u w:val="single"/>
                </w:rPr>
                <w:t>Leadership Transition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c_philosophy_objectives">
              <w:r>
                <w:rPr>
                  <w:rStyle w:val="InternetLink"/>
                  <w:rFonts w:ascii="Times New Roman" w:hAnsi="Times New Roman"/>
                  <w:color w:val="0000FF"/>
                  <w:sz w:val="20"/>
                  <w:u w:val="single"/>
                </w:rPr>
                <w:t>Executive Compensation Philosophy and Objectives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ay_program_overview">
              <w:r>
                <w:rPr>
                  <w:rStyle w:val="InternetLink"/>
                  <w:rFonts w:ascii="Times New Roman" w:hAnsi="Times New Roman"/>
                  <w:color w:val="0000FF"/>
                  <w:sz w:val="20"/>
                  <w:u w:val="single"/>
                </w:rPr>
                <w:t>Pay Program Overview</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eo_paymix">
              <w:r>
                <w:rPr>
                  <w:rStyle w:val="InternetLink"/>
                  <w:rFonts w:ascii="Times New Roman" w:hAnsi="Times New Roman"/>
                  <w:color w:val="0000FF"/>
                  <w:sz w:val="20"/>
                  <w:u w:val="single"/>
                </w:rPr>
                <w:t>CEO and Other NEO Pay Mix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mpprogram_governance">
              <w:r>
                <w:rPr>
                  <w:rStyle w:val="InternetLink"/>
                  <w:rFonts w:ascii="Times New Roman" w:hAnsi="Times New Roman"/>
                  <w:color w:val="0000FF"/>
                  <w:sz w:val="20"/>
                  <w:u w:val="single"/>
                </w:rPr>
                <w:t>Compensation Program Governance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p_determination_process">
              <w:r>
                <w:rPr>
                  <w:rStyle w:val="InternetLink"/>
                  <w:rFonts w:ascii="Times New Roman" w:hAnsi="Times New Roman"/>
                  <w:color w:val="0000FF"/>
                  <w:sz w:val="20"/>
                  <w:u w:val="single"/>
                </w:rPr>
                <w:t>Compensation Determination Process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mponents_ec_compprogram">
              <w:r>
                <w:rPr>
                  <w:rStyle w:val="InternetLink"/>
                  <w:rFonts w:ascii="Times New Roman" w:hAnsi="Times New Roman"/>
                  <w:color w:val="0000FF"/>
                  <w:sz w:val="20"/>
                  <w:u w:val="single"/>
                </w:rPr>
                <w:t>Components of Our Executive Compensation Program</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addelements_of_comp">
              <w:r>
                <w:rPr>
                  <w:rStyle w:val="InternetLink"/>
                  <w:rFonts w:ascii="Times New Roman" w:hAnsi="Times New Roman"/>
                  <w:color w:val="0000FF"/>
                  <w:sz w:val="20"/>
                  <w:u w:val="single"/>
                </w:rPr>
                <w:t>Additional Compensation Policies and Practices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report_of_compcommittee">
              <w:r>
                <w:rPr>
                  <w:rStyle w:val="InternetLink"/>
                  <w:rFonts w:ascii="Times New Roman" w:hAnsi="Times New Roman"/>
                  <w:color w:val="0000FF"/>
                  <w:sz w:val="20"/>
                  <w:u w:val="single"/>
                </w:rPr>
                <w:t>Report of Compensation Committee on Executive Compensation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2"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oadc">
              <w:r>
                <w:rPr>
                  <w:rStyle w:val="InternetLink"/>
                  <w:rFonts w:ascii="Times New Roman" w:hAnsi="Times New Roman"/>
                  <w:b/>
                  <w:color w:val="0000FF"/>
                  <w:sz w:val="20"/>
                  <w:u w:val="single"/>
                </w:rPr>
                <w:t>EXECUTIVE OFFICER AND 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eoc">
              <w:r>
                <w:rPr>
                  <w:rStyle w:val="InternetLink"/>
                  <w:rFonts w:ascii="Times New Roman" w:hAnsi="Times New Roman"/>
                  <w:color w:val="0000FF"/>
                  <w:sz w:val="20"/>
                  <w:u w:val="single"/>
                </w:rPr>
                <w:t>Executive Officer Compensation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6"/>
        <w:gridCol w:w="146"/>
        <w:gridCol w:w="316"/>
        <w:gridCol w:w="146"/>
        <w:gridCol w:w="911"/>
      </w:tblGrid>
      <w:tr>
        <w:trPr/>
        <w:tc>
          <w:tcPr>
            <w:tcW w:w="8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ea_fiscalyrend">
              <w:r>
                <w:rPr>
                  <w:rStyle w:val="InternetLink"/>
                  <w:rFonts w:ascii="Times New Roman" w:hAnsi="Times New Roman"/>
                  <w:color w:val="0000FF"/>
                  <w:sz w:val="20"/>
                  <w:u w:val="single"/>
                </w:rPr>
                <w:t>Outstanding Equity Awards at Fiscal Year-End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oesv">
              <w:r>
                <w:rPr>
                  <w:rStyle w:val="InternetLink"/>
                  <w:rFonts w:ascii="Times New Roman" w:hAnsi="Times New Roman"/>
                  <w:color w:val="0000FF"/>
                  <w:sz w:val="20"/>
                  <w:u w:val="single"/>
                </w:rPr>
                <w:t>Option Exercises and Stock-Vested</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quity_plans">
              <w:r>
                <w:rPr>
                  <w:rStyle w:val="InternetLink"/>
                  <w:rFonts w:ascii="Times New Roman" w:hAnsi="Times New Roman"/>
                  <w:color w:val="0000FF"/>
                  <w:sz w:val="20"/>
                  <w:u w:val="single"/>
                </w:rPr>
                <w:t>Equity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emplagreements_neos">
              <w:r>
                <w:rPr>
                  <w:rStyle w:val="InternetLink"/>
                  <w:rFonts w:ascii="Times New Roman" w:hAnsi="Times New Roman"/>
                  <w:color w:val="0000FF"/>
                  <w:sz w:val="20"/>
                  <w:u w:val="single"/>
                </w:rPr>
                <w:t>Employment Agreements with Named Executive Officers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ot_payments_upon_termin_change_control">
              <w:r>
                <w:rPr>
                  <w:rStyle w:val="InternetLink"/>
                  <w:rFonts w:ascii="Times New Roman" w:hAnsi="Times New Roman"/>
                  <w:color w:val="0000FF"/>
                  <w:sz w:val="20"/>
                  <w:u w:val="single"/>
                </w:rPr>
                <w:t>Potential Payments Upon Termination or Change in Control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ay_ratio">
              <w:r>
                <w:rPr>
                  <w:rStyle w:val="InternetLink"/>
                  <w:rFonts w:ascii="Times New Roman" w:hAnsi="Times New Roman"/>
                  <w:color w:val="0000FF"/>
                  <w:sz w:val="20"/>
                  <w:u w:val="single"/>
                </w:rPr>
                <w:t>Pay Ratio Disclosure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comp">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indemn">
              <w:r>
                <w:rPr>
                  <w:rStyle w:val="InternetLink"/>
                  <w:rFonts w:ascii="Times New Roman" w:hAnsi="Times New Roman"/>
                  <w:color w:val="0000FF"/>
                  <w:sz w:val="20"/>
                  <w:u w:val="single"/>
                </w:rPr>
                <w:t>Limitation on Liability and Indemnification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ule_10b51_salesplans">
              <w:r>
                <w:rPr>
                  <w:rStyle w:val="InternetLink"/>
                  <w:rFonts w:ascii="Times New Roman" w:hAnsi="Times New Roman"/>
                  <w:color w:val="0000FF"/>
                  <w:sz w:val="20"/>
                  <w:u w:val="single"/>
                </w:rPr>
                <w:t>Rule 10b5-1 Sales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payvsperformance">
              <w:r>
                <w:rPr>
                  <w:rStyle w:val="InternetLink"/>
                  <w:rFonts w:ascii="Times New Roman" w:hAnsi="Times New Roman"/>
                  <w:b/>
                  <w:color w:val="0000FF"/>
                  <w:sz w:val="20"/>
                  <w:u w:val="single"/>
                </w:rPr>
                <w:t>PAY VERSUS PERFORMANCE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eo_neo_tsr">
              <w:r>
                <w:rPr>
                  <w:rStyle w:val="InternetLink"/>
                  <w:rFonts w:ascii="Times New Roman" w:hAnsi="Times New Roman"/>
                  <w:color w:val="0000FF"/>
                  <w:sz w:val="20"/>
                  <w:u w:val="single"/>
                </w:rPr>
                <w:t>Relationship Between PEO and Non-PEO NEO CAP, Company TSR and Peer Group TSR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peo_neo_ni">
              <w:r>
                <w:rPr>
                  <w:rStyle w:val="InternetLink"/>
                  <w:rFonts w:ascii="Times New Roman" w:hAnsi="Times New Roman"/>
                  <w:color w:val="0000FF"/>
                  <w:sz w:val="20"/>
                  <w:u w:val="single"/>
                </w:rPr>
                <w:t>Relationship Between PEO and Non-PEO NEO CAP and Net Income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eo_neo_stockprice">
              <w:r>
                <w:rPr>
                  <w:rStyle w:val="InternetLink"/>
                  <w:rFonts w:ascii="Times New Roman" w:hAnsi="Times New Roman"/>
                  <w:color w:val="0000FF"/>
                  <w:sz w:val="20"/>
                  <w:u w:val="single"/>
                </w:rPr>
                <w:t>Relationship Between PEO and Non-PEO NEO CAP and Stock Price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certain_relationships_and_related_party">
              <w:r>
                <w:rPr>
                  <w:rStyle w:val="InternetLink"/>
                  <w:rFonts w:ascii="Times New Roman" w:hAnsi="Times New Roman"/>
                  <w:b/>
                  <w:color w:val="0000FF"/>
                  <w:sz w:val="20"/>
                  <w:u w:val="single"/>
                </w:rPr>
                <w:t>CERTAIN RELATIONSHIPS AND RELATED PARTY TRANSACTIONS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aprtwrp">
              <w:r>
                <w:rPr>
                  <w:rStyle w:val="InternetLink"/>
                  <w:rFonts w:ascii="Times New Roman" w:hAnsi="Times New Roman"/>
                  <w:color w:val="0000FF"/>
                  <w:sz w:val="20"/>
                  <w:u w:val="single"/>
                </w:rPr>
                <w:t>Policies and Procedures Regarding Transactions with Related Parties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rpt">
              <w:r>
                <w:rPr>
                  <w:rStyle w:val="InternetLink"/>
                  <w:rFonts w:ascii="Times New Roman" w:hAnsi="Times New Roman"/>
                  <w:color w:val="0000FF"/>
                  <w:sz w:val="20"/>
                  <w:u w:val="single"/>
                </w:rPr>
                <w:t>Certain Related-Party Transactions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ecurity_ownership_of_certain_beneficial">
              <w:r>
                <w:rPr>
                  <w:rStyle w:val="InternetLink"/>
                  <w:rFonts w:ascii="Times New Roman" w:hAnsi="Times New Roman"/>
                  <w:b/>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so">
              <w:r>
                <w:rPr>
                  <w:rStyle w:val="InternetLink"/>
                  <w:rFonts w:ascii="Times New Roman" w:hAnsi="Times New Roman"/>
                  <w:color w:val="0000FF"/>
                  <w:sz w:val="20"/>
                  <w:u w:val="single"/>
                </w:rPr>
                <w:t>Security Ownership of Certain Beneficial Owners and Management</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ecauth">
              <w:r>
                <w:rPr>
                  <w:rStyle w:val="InternetLink"/>
                  <w:rFonts w:ascii="Times New Roman" w:hAnsi="Times New Roman"/>
                  <w:color w:val="0000FF"/>
                  <w:sz w:val="20"/>
                  <w:u w:val="single"/>
                </w:rPr>
                <w:t>Securities Authorized for Issuance Under Equity Compensation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hyperlink w:anchor="otherinfo">
              <w:r>
                <w:rPr>
                  <w:rStyle w:val="InternetLink"/>
                  <w:rFonts w:ascii="Times New Roman" w:hAnsi="Times New Roman"/>
                  <w:b/>
                  <w:color w:val="0000FF"/>
                  <w:sz w:val="20"/>
                  <w:u w:val="single"/>
                </w:rPr>
                <w:t>OTHER INFORMATION FOR STOCKHOLDERS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therinfo_sp">
              <w:r>
                <w:rPr>
                  <w:rStyle w:val="InternetLink"/>
                  <w:rFonts w:ascii="Times New Roman" w:hAnsi="Times New Roman"/>
                  <w:color w:val="0000FF"/>
                  <w:sz w:val="20"/>
                  <w:u w:val="single"/>
                </w:rPr>
                <w:t>Stockholder Proposals for the 2027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otherinfo_householding">
              <w:r>
                <w:rPr>
                  <w:rStyle w:val="InternetLink"/>
                  <w:rFonts w:ascii="Times New Roman" w:hAnsi="Times New Roman"/>
                  <w:color w:val="0000FF"/>
                  <w:sz w:val="20"/>
                  <w:u w:val="single"/>
                </w:rPr>
                <w:t>Householding of Proxy Materials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868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therinfo_other">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730 THIRD AVENUE, FLOOR 9</w:t>
      </w:r>
    </w:p>
    <w:p>
      <w:pPr>
        <w:pStyle w:val="TextBody"/>
        <w:bidi w:val="0"/>
        <w:jc w:val="center"/>
        <w:rPr>
          <w:rFonts w:ascii="Times New Roman" w:hAnsi="Times New Roman"/>
          <w:b/>
          <w:color w:val="000000"/>
          <w:sz w:val="20"/>
        </w:rPr>
      </w:pPr>
      <w:r>
        <w:rPr>
          <w:rFonts w:ascii="Times New Roman" w:hAnsi="Times New Roman"/>
          <w:b/>
          <w:color w:val="000000"/>
          <w:sz w:val="20"/>
        </w:rPr>
        <w:t>NEW YORK, NEW YORK 10017</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FOR THE 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10, 2026</w:t>
      </w:r>
    </w:p>
    <w:p>
      <w:pPr>
        <w:pStyle w:val="TextBody"/>
        <w:bidi w:val="0"/>
        <w:jc w:val="center"/>
        <w:rPr>
          <w:rFonts w:ascii="Times New Roman" w:hAnsi="Times New Roman"/>
          <w:b/>
          <w:color w:val="000000"/>
          <w:sz w:val="20"/>
        </w:rPr>
      </w:pPr>
      <w:r>
        <w:rPr>
          <w:rFonts w:ascii="Times New Roman" w:hAnsi="Times New Roman"/>
          <w:b/>
          <w:color w:val="000000"/>
          <w:sz w:val="20"/>
        </w:rPr>
        <w:t>AT 12:00 PM EDT</w:t>
      </w:r>
    </w:p>
    <w:p>
      <w:pPr>
        <w:pStyle w:val="TextBody"/>
        <w:bidi w:val="0"/>
        <w:spacing w:before="132" w:after="283"/>
        <w:jc w:val="center"/>
        <w:rPr>
          <w:rFonts w:ascii="Times New Roman" w:hAnsi="Times New Roman"/>
          <w:b/>
          <w:color w:val="000000"/>
          <w:sz w:val="20"/>
        </w:rPr>
      </w:pPr>
      <w:bookmarkStart w:id="2" w:name="general_information"/>
      <w:bookmarkEnd w:id="2"/>
      <w:r>
        <w:rPr>
          <w:rFonts w:ascii="Times New Roman" w:hAnsi="Times New Roman"/>
          <w:b/>
          <w:color w:val="000000"/>
          <w:sz w:val="20"/>
        </w:rPr>
        <w:t>GENERAL INFORMATION</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Why did I receive a notice regarding the availability of proxy materials on the internet?</w:t>
      </w:r>
    </w:p>
    <w:p>
      <w:pPr>
        <w:pStyle w:val="TextBody"/>
        <w:bidi w:val="0"/>
        <w:spacing w:before="132" w:after="283"/>
        <w:jc w:val="both"/>
        <w:rPr>
          <w:rFonts w:ascii="Times New Roman" w:hAnsi="Times New Roman"/>
          <w:sz w:val="20"/>
        </w:rPr>
      </w:pPr>
      <w:r>
        <w:rPr>
          <w:rFonts w:ascii="Times New Roman" w:hAnsi="Times New Roman"/>
          <w:color w:val="000000"/>
          <w:sz w:val="20"/>
        </w:rPr>
        <w:t>Pursuant to rules adopted by the Securities and Exchange Commission (the “</w:t>
      </w:r>
      <w:r>
        <w:rPr>
          <w:rFonts w:ascii="Times New Roman" w:hAnsi="Times New Roman"/>
          <w:b/>
          <w:i/>
          <w:color w:val="000000"/>
          <w:sz w:val="20"/>
        </w:rPr>
        <w:t>SEC</w:t>
      </w:r>
      <w:r>
        <w:rPr>
          <w:rFonts w:ascii="Times New Roman" w:hAnsi="Times New Roman"/>
          <w:color w:val="000000"/>
          <w:sz w:val="20"/>
        </w:rPr>
        <w:t>”), we have elected to provide access to our proxy materials to our stockholders via the Internet. Accordingly, on or about April 30, 2026, we sent you a Notice Regarding Availability of Proxy Materials (“</w:t>
      </w:r>
      <w:r>
        <w:rPr>
          <w:rFonts w:ascii="Times New Roman" w:hAnsi="Times New Roman"/>
          <w:b/>
          <w:i/>
          <w:color w:val="000000"/>
          <w:sz w:val="20"/>
        </w:rPr>
        <w:t>Notice of Internet Availability</w:t>
      </w:r>
      <w:r>
        <w:rPr>
          <w:rFonts w:ascii="Times New Roman" w:hAnsi="Times New Roman"/>
          <w:color w:val="000000"/>
          <w:sz w:val="20"/>
        </w:rPr>
        <w:t>”) because the Board of Directors (the “</w:t>
      </w:r>
      <w:r>
        <w:rPr>
          <w:rFonts w:ascii="Times New Roman" w:hAnsi="Times New Roman"/>
          <w:b/>
          <w:i/>
          <w:color w:val="000000"/>
          <w:sz w:val="20"/>
        </w:rPr>
        <w:t>Board</w:t>
      </w:r>
      <w:r>
        <w:rPr>
          <w:rFonts w:ascii="Times New Roman" w:hAnsi="Times New Roman"/>
          <w:color w:val="000000"/>
          <w:sz w:val="20"/>
        </w:rPr>
        <w:t>”) is soliciting your proxy to vote at the 2026 Annual Meeting of Stockholders (“</w:t>
      </w:r>
      <w:r>
        <w:rPr>
          <w:rFonts w:ascii="Times New Roman" w:hAnsi="Times New Roman"/>
          <w:b/>
          <w:i/>
          <w:color w:val="000000"/>
          <w:sz w:val="20"/>
        </w:rPr>
        <w:t>Annual Meeting</w:t>
      </w:r>
      <w:r>
        <w:rPr>
          <w:rFonts w:ascii="Times New Roman" w:hAnsi="Times New Roman"/>
          <w:color w:val="000000"/>
          <w:sz w:val="20"/>
        </w:rPr>
        <w:t>”), including at any adjournments or postponements of the meeting. The Notice of 2026 Annual Meeting of Stockholders (“</w:t>
      </w:r>
      <w:r>
        <w:rPr>
          <w:rFonts w:ascii="Times New Roman" w:hAnsi="Times New Roman"/>
          <w:b/>
          <w:i/>
          <w:color w:val="000000"/>
          <w:sz w:val="20"/>
        </w:rPr>
        <w:t>Notice of Annual Meeting</w:t>
      </w:r>
      <w:r>
        <w:rPr>
          <w:rFonts w:ascii="Times New Roman" w:hAnsi="Times New Roman"/>
          <w:color w:val="000000"/>
          <w:sz w:val="20"/>
        </w:rPr>
        <w:t>”), this proxy statement and proxy card or, for shares held in “street name” (i.e., shares held for your account by a broker, bank or other agent), voting instruction form, and the Annual Report on Form 10-K for the year ending December 31, 2025 (collectively, the “</w:t>
      </w:r>
      <w:r>
        <w:rPr>
          <w:rFonts w:ascii="Times New Roman" w:hAnsi="Times New Roman"/>
          <w:b/>
          <w:i/>
          <w:color w:val="000000"/>
          <w:sz w:val="20"/>
        </w:rPr>
        <w:t>Proxy Materials</w:t>
      </w:r>
      <w:r>
        <w:rPr>
          <w:rFonts w:ascii="Times New Roman" w:hAnsi="Times New Roman"/>
          <w:color w:val="000000"/>
          <w:sz w:val="20"/>
        </w:rPr>
        <w:t xml:space="preserve">”) are available to stockholders on the Internet. Instructions on how to access the Proxy Materials over the Internet or to request a printed copy may be found in the Notice of Internet Availability. The Notice of Internet Availability will also provide instructions as to how stockholders may request that a printed set of the Proxy Materials, including a proxy card, be sent to them by mail. The Notice of Internet Availability will also provide voting instructions.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used in this proxy statement, “we,” “us,” “our” and the “Company” refer to Syndax Pharmaceuticals, Inc. The term “Annual Meeting,” as used in this proxy statement, includes any adjournment or postponement of such meeting. </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Will I receive any other proxy materials by mail?</w:t>
      </w:r>
    </w:p>
    <w:p>
      <w:pPr>
        <w:pStyle w:val="TextBody"/>
        <w:bidi w:val="0"/>
        <w:spacing w:before="132" w:after="283"/>
        <w:jc w:val="both"/>
        <w:rPr>
          <w:rFonts w:ascii="Times New Roman" w:hAnsi="Times New Roman"/>
          <w:sz w:val="20"/>
        </w:rPr>
      </w:pPr>
      <w:r>
        <w:rPr>
          <w:rFonts w:ascii="Times New Roman" w:hAnsi="Times New Roman"/>
          <w:color w:val="000000"/>
          <w:sz w:val="20"/>
        </w:rPr>
        <w:t>You will not receive any additional Proxy Materials by mail unless you request a printed copy of the Proxy Materials in accordance with the instructions set forth in the Notice of Annual Meeting. We may elect, in our discretion, to send you a proxy card and a second Notice of Internet Availability, which we may send on or after May 11, 2026</w:t>
      </w:r>
      <w:r>
        <w:rPr>
          <w:rFonts w:ascii="Times New Roman" w:hAnsi="Times New Roman"/>
          <w:smallCaps/>
          <w:color w:val="000000"/>
          <w:sz w:val="20"/>
        </w:rPr>
        <w:t>.</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Why is Syndax conducting a virtual Annual Meeting?</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We believe that conducting a virtual Annual Meeting is in the best interest of our stockholders and enables increased stockholder attendance and participation, improves communication and lowers costs while reducing the environmental impact of the meeting. Stockholders attending the virtual meeting will be afforded the same rights and opportunities to participate as they would at an in-person meeting, including the ability to submit questions and comments and to vote.</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When is the record date for the Annual Meeting?</w:t>
      </w:r>
    </w:p>
    <w:p>
      <w:pPr>
        <w:pStyle w:val="TextBody"/>
        <w:bidi w:val="0"/>
        <w:spacing w:before="132" w:after="283"/>
        <w:jc w:val="both"/>
        <w:rPr>
          <w:rFonts w:ascii="Times New Roman" w:hAnsi="Times New Roman"/>
          <w:sz w:val="20"/>
        </w:rPr>
      </w:pPr>
      <w:r>
        <w:rPr>
          <w:rFonts w:ascii="Times New Roman" w:hAnsi="Times New Roman"/>
          <w:color w:val="000000"/>
          <w:sz w:val="20"/>
        </w:rPr>
        <w:t>The Board has fixed the record date for the Annual Meeting as of the close of business on April 21, 2026 (the “</w:t>
      </w:r>
      <w:r>
        <w:rPr>
          <w:rFonts w:ascii="Times New Roman" w:hAnsi="Times New Roman"/>
          <w:b/>
          <w:i/>
          <w:color w:val="000000"/>
          <w:sz w:val="20"/>
        </w:rPr>
        <w:t>Record Date</w:t>
      </w:r>
      <w:r>
        <w:rPr>
          <w:rFonts w:ascii="Times New Roman" w:hAnsi="Times New Roman"/>
          <w:color w:val="000000"/>
          <w:sz w:val="20"/>
        </w:rPr>
        <w:t>”).</w:t>
      </w:r>
    </w:p>
    <w:p>
      <w:pPr>
        <w:pStyle w:val="TextBody"/>
        <w:bidi w:val="0"/>
        <w:spacing w:before="396" w:after="283"/>
        <w:jc w:val="both"/>
        <w:rPr>
          <w:rFonts w:ascii="Times New Roman" w:hAnsi="Times New Roman"/>
          <w:sz w:val="20"/>
        </w:rPr>
      </w:pPr>
      <w:r>
        <w:rPr>
          <w:rFonts w:ascii="Times New Roman" w:hAnsi="Times New Roman"/>
          <w:b/>
          <w:color w:val="000000"/>
          <w:sz w:val="20"/>
        </w:rPr>
        <w:t>How do I attend the Annual Meeting</w:t>
      </w:r>
      <w:r>
        <w:rPr>
          <w:rFonts w:ascii="Times New Roman" w:hAnsi="Times New Roman"/>
          <w:color w:val="000000"/>
          <w:sz w:val="20"/>
        </w:rPr>
        <w:t xml:space="preserve">?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Annual Meeting will be a completely virtual meeting of stockholders through which you can listen to the meeting, submit questions and vote online. You are entitled to participate in the Annual Meeting only if you were a stockholder of the Company as of the Record Date, or if you hold a valid proxy for the Annual Meeting.</w:t>
      </w:r>
    </w:p>
    <w:p>
      <w:pPr>
        <w:pStyle w:val="TextBody"/>
        <w:bidi w:val="0"/>
        <w:spacing w:before="132" w:after="283"/>
        <w:jc w:val="both"/>
        <w:rPr>
          <w:rFonts w:ascii="Times New Roman" w:hAnsi="Times New Roman"/>
          <w:sz w:val="20"/>
        </w:rPr>
      </w:pPr>
      <w:r>
        <w:rPr>
          <w:rFonts w:ascii="Times New Roman" w:hAnsi="Times New Roman"/>
          <w:color w:val="000000"/>
          <w:sz w:val="20"/>
        </w:rPr>
        <w:t>The meeting will be held at 12:00 p.m. Eastern Daylight Time (“</w:t>
      </w:r>
      <w:r>
        <w:rPr>
          <w:rFonts w:ascii="Times New Roman" w:hAnsi="Times New Roman"/>
          <w:b/>
          <w:i/>
          <w:color w:val="000000"/>
          <w:sz w:val="20"/>
        </w:rPr>
        <w:t>EDT</w:t>
      </w:r>
      <w:r>
        <w:rPr>
          <w:rFonts w:ascii="Times New Roman" w:hAnsi="Times New Roman"/>
          <w:color w:val="000000"/>
          <w:sz w:val="20"/>
        </w:rPr>
        <w:t xml:space="preserve">”) on Wednesday, June 10, 2026, and can be accessed by visiting </w:t>
      </w:r>
      <w:r>
        <w:rPr>
          <w:rFonts w:ascii="Times New Roman" w:hAnsi="Times New Roman"/>
          <w:color w:val="000000"/>
          <w:sz w:val="20"/>
          <w:u w:val="single"/>
        </w:rPr>
        <w:t>www.meetnow.global/MUGAWRX</w:t>
      </w:r>
      <w:r>
        <w:rPr>
          <w:rFonts w:ascii="Times New Roman" w:hAnsi="Times New Roman"/>
          <w:color w:val="000000"/>
          <w:sz w:val="20"/>
        </w:rPr>
        <w:t xml:space="preserve"> and entering the control number included on your Notice of Internet Availability, on your proxy card or on the instructions that accompanied your Proxy Materials, as applicable. We expect most beneficial owners will be able to attend the Annual Meeting, vote their shares and ask questions using the control number found on the voting instructions included with the proxy materials; however, not every broker, bank or other intermediary provides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for this convenience. If you were not provided a control number, please contact the intermediary through which you hold your shares to see if one can be provided. Whether or not you were provided a control number, we recommend that all beneficial owners confirm with the intermediary through which they hold their shares whether they can participate at the Annual Meeting using a control number provided by such intermediary. If your intermediary does not provide for this convenience, to participate at the Annual Meeting, you will be required to request a legal proxy from your intermediary and to register such legal proxy in advance of the annual meeting with Computershare. If registration is required, please see “How do I register to attend the Annual Meeting virtually on the Internet?” below. If your intermediary does provide for this convenience, please visit </w:t>
      </w:r>
      <w:r>
        <w:rPr>
          <w:rFonts w:ascii="Times New Roman" w:hAnsi="Times New Roman"/>
          <w:color w:val="000000"/>
          <w:sz w:val="20"/>
          <w:u w:val="single"/>
        </w:rPr>
        <w:t>www.meetnow.global/MUGAWRX</w:t>
      </w:r>
      <w:r>
        <w:rPr>
          <w:rFonts w:ascii="Times New Roman" w:hAnsi="Times New Roman"/>
          <w:color w:val="000000"/>
          <w:sz w:val="20"/>
        </w:rPr>
        <w:t xml:space="preserve"> on the day of the Annual Meeting and enter your control number found on the voting instructions included with your proxy materials. We encourage you to access the meeting prior to the start time leaving ample time for the check in. Please follow the registration instructions as outlined in this proxy statement. Information on how to vote online during the Annual Meeting is discussed below.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What if I have technical difficulties or trouble accessing the virtual Annual Meeting?</w:t>
      </w:r>
    </w:p>
    <w:p>
      <w:pPr>
        <w:pStyle w:val="TextBody"/>
        <w:bidi w:val="0"/>
        <w:jc w:val="both"/>
        <w:rPr>
          <w:rFonts w:ascii="Times New Roman" w:hAnsi="Times New Roman"/>
          <w:sz w:val="20"/>
        </w:rPr>
      </w:pPr>
      <w:r>
        <w:rPr>
          <w:rFonts w:ascii="Times New Roman" w:hAnsi="Times New Roman"/>
          <w:color w:val="000000"/>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hAnsi="Times New Roman"/>
          <w:color w:val="000000"/>
          <w:sz w:val="20"/>
          <w:u w:val="single"/>
        </w:rPr>
        <w:t>https://support.vevent.com</w:t>
      </w:r>
      <w:r>
        <w:rPr>
          <w:rFonts w:ascii="Times New Roman" w:hAnsi="Times New Roman"/>
          <w:color w:val="000000"/>
          <w:sz w:val="20"/>
        </w:rPr>
        <w:t xml:space="preserve"> or at </w:t>
      </w:r>
      <w:r>
        <w:rPr>
          <w:rFonts w:ascii="Times New Roman" w:hAnsi="Times New Roman"/>
          <w:color w:val="000000"/>
          <w:sz w:val="20"/>
          <w:u w:val="single"/>
        </w:rPr>
        <w:t>www.meetnow.global/MUGAWRX</w:t>
      </w:r>
      <w:r>
        <w:rPr>
          <w:rFonts w:ascii="Times New Roman" w:hAnsi="Times New Roman"/>
          <w:color w:val="000000"/>
          <w:sz w:val="20"/>
        </w:rPr>
        <w:t>. Technical support will be available starting at 11:30 a.m. EDT on June 10, 2026.</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How do I register to attend the Annual Meeting virtually on the Internet?</w:t>
      </w:r>
    </w:p>
    <w:p>
      <w:pPr>
        <w:pStyle w:val="TextBody"/>
        <w:bidi w:val="0"/>
        <w:spacing w:before="132" w:after="283"/>
        <w:jc w:val="both"/>
        <w:rPr>
          <w:rFonts w:ascii="Times New Roman" w:hAnsi="Times New Roman"/>
          <w:sz w:val="20"/>
        </w:rPr>
      </w:pPr>
      <w:r>
        <w:rPr>
          <w:rFonts w:ascii="Times New Roman" w:hAnsi="Times New Roman"/>
          <w:color w:val="000000"/>
          <w:sz w:val="20"/>
        </w:rPr>
        <w:t>If you are a registered stockholder (i.e., you hold your shares through our transfer agent, Fidelity Stock Transfer (“</w:t>
      </w:r>
      <w:r>
        <w:rPr>
          <w:rFonts w:ascii="Times New Roman" w:hAnsi="Times New Roman"/>
          <w:b/>
          <w:i/>
          <w:color w:val="000000"/>
          <w:sz w:val="20"/>
        </w:rPr>
        <w:t>Fidelity</w:t>
      </w:r>
      <w:r>
        <w:rPr>
          <w:rFonts w:ascii="Times New Roman" w:hAnsi="Times New Roman"/>
          <w:color w:val="000000"/>
          <w:sz w:val="20"/>
        </w:rPr>
        <w:t xml:space="preserve">”)), you do not need to register to attend the Annual Meeting. Please follow the instructions on the Notice of Annual Meeting or proxy card that you received to join the Annual Meeting.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If you hold your shares through an intermediary, such as a broker, bank or other agent, we recommend that you contact such intermediary to confirm whether the intermediary permits beneficial owners to use the control number found on the voting instructions included with the proxy materials, if any, to attend the Annual Meeting, vote their shares and ask questions. If your intermediary does not provide for this convenience, you will be required to request a valid legal proxy from your intermediary and you must register with Computershare in advance to attend the Annual Meeting or to vote or ask questions during the Annual Meeting. </w:t>
      </w:r>
    </w:p>
    <w:p>
      <w:pPr>
        <w:pStyle w:val="TextBody"/>
        <w:bidi w:val="0"/>
        <w:spacing w:before="132" w:after="283"/>
        <w:jc w:val="both"/>
        <w:rPr>
          <w:rFonts w:ascii="Times New Roman" w:hAnsi="Times New Roman"/>
          <w:sz w:val="20"/>
        </w:rPr>
      </w:pPr>
      <w:r>
        <w:rPr>
          <w:rFonts w:ascii="Times New Roman" w:hAnsi="Times New Roman"/>
          <w:color w:val="000000"/>
          <w:sz w:val="20"/>
        </w:rPr>
        <w:t>To register to attend the Annual Meeting you must submit proof of your proxy power (legal proxy) reflecting your holdings in the Company along with your name and email address to Computershare Trust Company, N.A. (“</w:t>
      </w:r>
      <w:r>
        <w:rPr>
          <w:rFonts w:ascii="Times New Roman" w:hAnsi="Times New Roman"/>
          <w:b/>
          <w:i/>
          <w:color w:val="000000"/>
          <w:sz w:val="20"/>
        </w:rPr>
        <w:t>Computershare</w:t>
      </w:r>
      <w:r>
        <w:rPr>
          <w:rFonts w:ascii="Times New Roman" w:hAnsi="Times New Roman"/>
          <w:color w:val="000000"/>
          <w:sz w:val="20"/>
        </w:rPr>
        <w:t>”). Requests for registration must be labeled as “Legal Proxy” and be received no later than 5:00 p.m. EDT on June 4, 2026. You will receive a confirmation of your registration by email after we receive your registration materials.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Requests for registration should be directed to Computershare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7"/>
        <w:gridCol w:w="146"/>
        <w:gridCol w:w="9212"/>
      </w:tblGrid>
      <w:tr>
        <w:trPr/>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2" w:type="dxa"/>
            <w:tcBorders/>
            <w:vAlign w:val="center"/>
          </w:tcPr>
          <w:p>
            <w:pPr>
              <w:pStyle w:val="TableContents"/>
              <w:bidi w:val="0"/>
              <w:spacing w:before="0" w:after="283"/>
              <w:jc w:val="left"/>
              <w:rPr>
                <w:sz w:val="4"/>
                <w:szCs w:val="4"/>
              </w:rPr>
            </w:pPr>
            <w:r>
              <w:rPr>
                <w:sz w:val="4"/>
                <w:szCs w:val="4"/>
              </w:rPr>
            </w:r>
          </w:p>
        </w:tc>
      </w:tr>
      <w:tr>
        <w:trPr/>
        <w:tc>
          <w:tcPr>
            <w:tcW w:w="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email: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the email from your broker, bank or other agent, or attach an image of your legal proxy, to legalproxy@computershare.com</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Computershare Trust Company, N.A.</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Syndax Pharmaceuticals Legal Proxy</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 Box 43001</w:t>
            </w:r>
          </w:p>
        </w:tc>
      </w:tr>
      <w:tr>
        <w:trPr/>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Providence, RI 02940-3001</w:t>
            </w:r>
          </w:p>
        </w:tc>
      </w:tr>
    </w:tbl>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Only stockholders as of the Record Date, which we refer to as stockholders of record, will be entitled to vote at the Annual Meeting. On this Record Date, a total of 88,595,948 shares of common stock of the Company were issued and outstanding and entitled to vote. Each share of common stock is entitled to one vote on each matter.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on the Record Date your shares were registered directly in your name with Fidelity, then you are a stockholder of record. As a stockholder of record, you may vote at the meeting, vote by proxy over the telephone or through the internet, or vote by proxy using a proxy card that you may request or that we may elect to deliver later. Whether or not you plan to attend the meeting, we urge you to vote by proxy to ensure that your vote is counted. You may still attend the Annual Meeting and vote even if you have already voted by proxy.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Beneficial Owner: Shares Registered in the Name of a Broker, Bank or Other Agent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on the Record Date your shares were held, not in your name, but rather in an account at a brokerage firm, bank or other agent, then you are the beneficial owner of shares held in “street name” and the Notice of Internet Availability is being forwarded to you by that intermediary. The intermediary holding your shares in an account is considered to be the stockholder of record for purposes of voting at the Annual Meeting. As a beneficial owner, you have the right to direct your intermediary regarding how to vote the shares in your account. You are also invited to attend the Annual Meeting. You must follow the instructions provided by your intermediary to vote your shares per your instructions. Alternatively, many intermediaries provide the means to grant proxies or otherwise instruct them to vote your shares by telephone and via the internet, including by providing you with a control number via email or on your proxy card or your voting instruction form. If you wish to vote prior to or at the Annual Meeting, you must follow the instructions from your intermediary, including any requirement to obtain a valid legal proxy and to register any such legal proxy with Computershare. For more information, see “How do I attend the Annual Meeting?” above.</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you are a stockholder of record and your shares are registered directly in your name, you may vote:</w:t>
      </w:r>
    </w:p>
    <w:p>
      <w:pPr>
        <w:pStyle w:val="TextBody"/>
        <w:bidi w:val="0"/>
        <w:spacing w:before="132" w:after="283"/>
        <w:jc w:val="both"/>
        <w:rPr>
          <w:color w:val="000000"/>
        </w:rPr>
      </w:pPr>
      <w:r>
        <w:rPr>
          <w:color w:val="000000"/>
        </w:rPr>
        <w:t>•</w:t>
      </w:r>
    </w:p>
    <w:p>
      <w:pPr>
        <w:pStyle w:val="TextBody"/>
        <w:bidi w:val="0"/>
        <w:spacing w:before="132" w:after="283"/>
        <w:jc w:val="both"/>
        <w:rPr/>
      </w:pPr>
      <w:r>
        <w:rPr>
          <w:rFonts w:ascii="Times New Roman" w:hAnsi="Times New Roman"/>
          <w:color w:val="000000"/>
          <w:sz w:val="20"/>
          <w:u w:val="single"/>
        </w:rPr>
        <w:t>By Internet in Advance of the Annual Meeting</w:t>
      </w:r>
      <w:r>
        <w:rPr>
          <w:rFonts w:ascii="Times New Roman" w:hAnsi="Times New Roman"/>
          <w:color w:val="000000"/>
          <w:sz w:val="20"/>
        </w:rPr>
        <w:t>. Access the website of our tabulator, Computershare, at: www.investorvote.com/SNDX, using the control number printed on the Notice of Internet Availability. Your shares will be voted in accordance with your instructions. You must specify how you want your shares voted or your Internet vote cannot be completed and you will receive an error message. If you vote on the Internet, you may also request electronic delivery of future proxy materials. Your Internet vote in advance of the Annual Meeting must be received by 1:00 a.m. EDT on June 10, 2026 to be counted.</w:t>
      </w:r>
    </w:p>
    <w:p>
      <w:pPr>
        <w:pStyle w:val="TextBody"/>
        <w:bidi w:val="0"/>
        <w:spacing w:before="132" w:after="283"/>
        <w:jc w:val="both"/>
        <w:rPr>
          <w:color w:val="000000"/>
        </w:rPr>
      </w:pPr>
      <w:r>
        <w:rPr>
          <w:color w:val="000000"/>
        </w:rPr>
        <w:t>•</w:t>
      </w:r>
    </w:p>
    <w:p>
      <w:pPr>
        <w:pStyle w:val="TextBody"/>
        <w:bidi w:val="0"/>
        <w:spacing w:before="132" w:after="283"/>
        <w:jc w:val="both"/>
        <w:rPr/>
      </w:pPr>
      <w:r>
        <w:rPr>
          <w:rFonts w:ascii="Times New Roman" w:hAnsi="Times New Roman"/>
          <w:color w:val="000000"/>
          <w:sz w:val="20"/>
          <w:u w:val="single"/>
        </w:rPr>
        <w:t>By Telephone</w:t>
      </w:r>
      <w:r>
        <w:rPr>
          <w:rFonts w:ascii="Times New Roman" w:hAnsi="Times New Roman"/>
          <w:color w:val="000000"/>
          <w:sz w:val="20"/>
        </w:rPr>
        <w:t>. Call 1-800-652-VOTE (8683) toll-free from the U.S., U.S. territories and Canada, and follow the instructions on the Notice of Internet Availability. You will be asked to provide your control number from the Notice of Internet Availability. Your shares will be voted in accordance with your instructions. You must specify how you want your shares voted or your telephone vote cannot be completed. Your telephone vote must be received by 1:00 a.m. EDT on June 10, 2026 to be counted.</w:t>
      </w:r>
    </w:p>
    <w:p>
      <w:pPr>
        <w:pStyle w:val="TextBody"/>
        <w:bidi w:val="0"/>
        <w:spacing w:before="132" w:after="283"/>
        <w:jc w:val="both"/>
        <w:rPr>
          <w:color w:val="000000"/>
        </w:rPr>
      </w:pPr>
      <w:r>
        <w:rPr>
          <w:color w:val="000000"/>
        </w:rPr>
        <w:t>•</w:t>
      </w:r>
    </w:p>
    <w:p>
      <w:pPr>
        <w:pStyle w:val="TextBody"/>
        <w:bidi w:val="0"/>
        <w:spacing w:before="132" w:after="283"/>
        <w:jc w:val="both"/>
        <w:rPr/>
      </w:pPr>
      <w:r>
        <w:rPr>
          <w:rFonts w:ascii="Times New Roman" w:hAnsi="Times New Roman"/>
          <w:color w:val="000000"/>
          <w:sz w:val="20"/>
          <w:u w:val="single"/>
        </w:rPr>
        <w:t>By Proxy Card</w:t>
      </w:r>
      <w:r>
        <w:rPr>
          <w:rFonts w:ascii="Times New Roman" w:hAnsi="Times New Roman"/>
          <w:color w:val="000000"/>
          <w:sz w:val="20"/>
        </w:rPr>
        <w:t xml:space="preserve">. Complete and mail the proxy card that may be delivered and return it promptly in the envelope provided. Your proxy will be voted in accordance with your instructions. If you return your signed proxy card to us before the Annual Meeting, we will vote your shares as you direct. If you are mailed or otherwise receive or obtain a proxy card or voting instruction form, and you choose to vote by telephone or by Internet, you do not have to return your proxy card or voting instruction form. </w:t>
      </w:r>
    </w:p>
    <w:p>
      <w:pPr>
        <w:pStyle w:val="TextBody"/>
        <w:bidi w:val="0"/>
        <w:spacing w:before="132" w:after="283"/>
        <w:jc w:val="both"/>
        <w:rPr>
          <w:color w:val="000000"/>
        </w:rPr>
      </w:pPr>
      <w:r>
        <w:rPr>
          <w:color w:val="000000"/>
        </w:rPr>
        <w:t>•</w:t>
      </w:r>
    </w:p>
    <w:p>
      <w:pPr>
        <w:pStyle w:val="TextBody"/>
        <w:bidi w:val="0"/>
        <w:spacing w:before="132" w:after="283"/>
        <w:jc w:val="both"/>
        <w:rPr/>
      </w:pPr>
      <w:r>
        <w:rPr>
          <w:rFonts w:ascii="Times New Roman" w:hAnsi="Times New Roman"/>
          <w:color w:val="000000"/>
          <w:sz w:val="20"/>
          <w:u w:val="single"/>
        </w:rPr>
        <w:t>During the Annual Meeting</w:t>
      </w:r>
      <w:r>
        <w:rPr>
          <w:rFonts w:ascii="Times New Roman" w:hAnsi="Times New Roman"/>
          <w:color w:val="000000"/>
          <w:sz w:val="20"/>
        </w:rPr>
        <w:t xml:space="preserve">. You will be able to attend the Annual Meeting online and vote during the meeting by visiting </w:t>
      </w:r>
      <w:r>
        <w:rPr>
          <w:rFonts w:ascii="Times New Roman" w:hAnsi="Times New Roman"/>
          <w:color w:val="000000"/>
          <w:sz w:val="20"/>
          <w:u w:val="single"/>
        </w:rPr>
        <w:t>www.meetnow.global/MUGAWRX</w:t>
      </w:r>
      <w:r>
        <w:rPr>
          <w:color w:val="000000"/>
        </w:rPr>
        <w:t xml:space="preserve"> </w:t>
      </w:r>
      <w:r>
        <w:rPr>
          <w:rFonts w:ascii="Times New Roman" w:hAnsi="Times New Roman"/>
          <w:color w:val="000000"/>
          <w:sz w:val="20"/>
        </w:rPr>
        <w:t>and entering the control number included on your Notice of Internet Availability, on your proxy card or on the instructions that accompanied your Proxy Materials, as applicable. See “</w:t>
      </w:r>
      <w:r>
        <w:rPr>
          <w:rFonts w:ascii="Times New Roman" w:hAnsi="Times New Roman"/>
          <w:i/>
          <w:color w:val="000000"/>
          <w:sz w:val="20"/>
        </w:rPr>
        <w:t>How do I register to attend the Annual Meeting virtually on the Internet?</w:t>
      </w:r>
      <w:r>
        <w:rPr>
          <w:color w:val="000000"/>
        </w:rPr>
        <w:t xml:space="preserve">” </w:t>
      </w:r>
      <w:r>
        <w:rPr>
          <w:rFonts w:ascii="Times New Roman" w:hAnsi="Times New Roman"/>
          <w:color w:val="000000"/>
          <w:sz w:val="20"/>
        </w:rPr>
        <w:t>for additional information.</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If your shares of common stock are held in street name (i.e., held for your account by a broker, bank or other agent), you should have received a Notice of Internet Availability containing voting instructions from that organization rather than from us. You should follow the instructions in the Notice of Internet Availability to ensure your vote is counted. To vote during the Annual Meeting, you must obtain a valid proxy from your broker, bank or other agent. Follow the instructions from your broker, bank or other agent or contact your broker, bank or other agent to request a proxy form.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ind w:left="0" w:right="0" w:firstLine="115"/>
              <w:jc w:val="both"/>
              <w:rPr/>
            </w:pPr>
            <w:r>
              <w:rPr/>
              <w:t> </w:t>
            </w:r>
          </w:p>
          <w:p>
            <w:pPr>
              <w:pStyle w:val="TableContents"/>
              <w:bidi w:val="0"/>
              <w:ind w:left="0" w:right="0" w:firstLine="115"/>
              <w:jc w:val="both"/>
              <w:rPr>
                <w:rFonts w:ascii="Times New Roman" w:hAnsi="Times New Roman"/>
                <w:sz w:val="20"/>
              </w:rPr>
            </w:pPr>
            <w:r>
              <w:rPr>
                <w:rFonts w:ascii="Times New Roman" w:hAnsi="Times New Roman"/>
                <w:b/>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 w:hAnsi="Times New Roman"/>
                <w:color w:val="000000"/>
                <w:sz w:val="20"/>
              </w:rPr>
              <w:t xml:space="preserve"> </w:t>
            </w:r>
          </w:p>
          <w:p>
            <w:pPr>
              <w:pStyle w:val="TableContents"/>
              <w:bidi w:val="0"/>
              <w:spacing w:before="0" w:after="283"/>
              <w:ind w:left="0" w:right="0" w:firstLine="115"/>
              <w:jc w:val="both"/>
              <w:rPr/>
            </w:pPr>
            <w:r>
              <w:rPr/>
              <w:t> </w:t>
            </w:r>
          </w:p>
        </w:tc>
      </w:tr>
    </w:tbl>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What are the Board’s recommendations on how to vote my shares?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Board recommends a vote:</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Proposal 1: </w:t>
      </w:r>
      <w:r>
        <w:rPr>
          <w:rFonts w:ascii="Times New Roman" w:hAnsi="Times New Roman"/>
          <w:b/>
          <w:color w:val="000000"/>
          <w:sz w:val="20"/>
        </w:rPr>
        <w:t>FOR</w:t>
      </w:r>
      <w:r>
        <w:rPr>
          <w:rFonts w:ascii="Times New Roman" w:hAnsi="Times New Roman"/>
          <w:color w:val="000000"/>
          <w:sz w:val="20"/>
        </w:rPr>
        <w:t xml:space="preserve"> the election of the two Class I director nominees (page 7)</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Proposal 2: </w:t>
      </w:r>
      <w:r>
        <w:rPr>
          <w:rFonts w:ascii="Times New Roman" w:hAnsi="Times New Roman"/>
          <w:b/>
          <w:color w:val="000000"/>
          <w:sz w:val="20"/>
        </w:rPr>
        <w:t>FOR</w:t>
      </w:r>
      <w:r>
        <w:rPr>
          <w:rFonts w:ascii="Times New Roman" w:hAnsi="Times New Roman"/>
          <w:color w:val="000000"/>
          <w:sz w:val="20"/>
        </w:rPr>
        <w:t xml:space="preserve"> the advisory vote on the compensation paid to our named executive officers (“</w:t>
      </w:r>
      <w:r>
        <w:rPr>
          <w:rFonts w:ascii="Times New Roman" w:hAnsi="Times New Roman"/>
          <w:b/>
          <w:i/>
          <w:color w:val="000000"/>
          <w:sz w:val="20"/>
        </w:rPr>
        <w:t>NEOs</w:t>
      </w:r>
      <w:r>
        <w:rPr>
          <w:rFonts w:ascii="Times New Roman" w:hAnsi="Times New Roman"/>
          <w:color w:val="000000"/>
          <w:sz w:val="20"/>
        </w:rPr>
        <w:t>”) (page 19)</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Proposal 3: </w:t>
      </w:r>
      <w:r>
        <w:rPr>
          <w:rFonts w:ascii="Times New Roman" w:hAnsi="Times New Roman"/>
          <w:b/>
          <w:color w:val="000000"/>
          <w:sz w:val="20"/>
        </w:rPr>
        <w:t>FOR</w:t>
      </w:r>
      <w:r>
        <w:rPr>
          <w:rFonts w:ascii="Times New Roman" w:hAnsi="Times New Roman"/>
          <w:color w:val="000000"/>
          <w:sz w:val="20"/>
        </w:rPr>
        <w:t xml:space="preserve"> the ratification of the selection of Deloitte &amp; Touche LLP as the Company’s independent registered public accounting firm (page 20)</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Proposal 4: </w:t>
      </w:r>
      <w:r>
        <w:rPr>
          <w:rFonts w:ascii="Times New Roman" w:hAnsi="Times New Roman"/>
          <w:b/>
          <w:color w:val="000000"/>
          <w:sz w:val="20"/>
        </w:rPr>
        <w:t>FOR</w:t>
      </w:r>
      <w:r>
        <w:rPr>
          <w:rFonts w:ascii="Times New Roman" w:hAnsi="Times New Roman"/>
          <w:color w:val="000000"/>
          <w:sz w:val="20"/>
        </w:rPr>
        <w:t xml:space="preserve"> the approval of the Syndax Pharmaceutics, Inc. 2026 Equity Incentive Plan (the “</w:t>
      </w:r>
      <w:r>
        <w:rPr>
          <w:rFonts w:ascii="Times New Roman" w:hAnsi="Times New Roman"/>
          <w:b/>
          <w:i/>
          <w:color w:val="000000"/>
          <w:sz w:val="20"/>
        </w:rPr>
        <w:t>2026 Plan</w:t>
      </w:r>
      <w:r>
        <w:rPr>
          <w:rFonts w:ascii="Times New Roman" w:hAnsi="Times New Roman"/>
          <w:color w:val="000000"/>
          <w:sz w:val="20"/>
        </w:rPr>
        <w:t>”) (page21)</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Proposal 5: </w:t>
      </w:r>
      <w:r>
        <w:rPr>
          <w:rFonts w:ascii="Times New Roman" w:hAnsi="Times New Roman"/>
          <w:b/>
          <w:color w:val="000000"/>
          <w:sz w:val="20"/>
        </w:rPr>
        <w:t>FOR</w:t>
      </w:r>
      <w:r>
        <w:rPr>
          <w:rFonts w:ascii="Times New Roman" w:hAnsi="Times New Roman"/>
          <w:color w:val="000000"/>
          <w:sz w:val="20"/>
        </w:rPr>
        <w:t xml:space="preserve"> the approval of the Syndax Pharmaceutics, Inc. 2026 Employee Stock Purchase Plan (the “</w:t>
      </w:r>
      <w:r>
        <w:rPr>
          <w:rFonts w:ascii="Times New Roman" w:hAnsi="Times New Roman"/>
          <w:b/>
          <w:i/>
          <w:color w:val="000000"/>
          <w:sz w:val="20"/>
        </w:rPr>
        <w:t>ESPP</w:t>
      </w:r>
      <w:r>
        <w:rPr>
          <w:rFonts w:ascii="Times New Roman" w:hAnsi="Times New Roman"/>
          <w:color w:val="000000"/>
          <w:sz w:val="20"/>
        </w:rPr>
        <w:t>”) (page 29)</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Who pays the cost for soliciting proxies?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and other agents for the cost of forwarding these proxy materials to their beneficial owners.</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If I am a stockholder of record and I do not vote, or if I return a proxy card or otherwise vote but do not make specific choices?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you are a stockholder of record and do not vote by completing your proxy card, by telephone, through the internet or online at the annual meeting, your shares will not be voted.</w:t>
      </w:r>
    </w:p>
    <w:p>
      <w:pPr>
        <w:pStyle w:val="TextBody"/>
        <w:bidi w:val="0"/>
        <w:spacing w:before="132" w:after="283"/>
        <w:jc w:val="both"/>
        <w:rPr>
          <w:rFonts w:ascii="Times New Roman" w:hAnsi="Times New Roman"/>
          <w:sz w:val="20"/>
        </w:rPr>
      </w:pPr>
      <w:r>
        <w:rPr>
          <w:rFonts w:ascii="Times New Roman" w:hAnsi="Times New Roman"/>
          <w:color w:val="000000"/>
          <w:sz w:val="20"/>
        </w:rPr>
        <w:t>If you return a signed and dated proxy card or otherwise vote without marking voting selections, your shares will be voted, as applicable, “For” the election of all nominees for director (Proposal 1), “For” the advisory approval of the compensation paid to our named executive officers (Proposal 2), “For” the ratification of the selection of Deloitte &amp; Touche LLP as the Company’s independent registered public accounting firm (Proposal 3), “For” the approval of the Company’s 2026 Equity Incentive Plan (Proposal 4), and “For” the approval of the Company’s 2026 Employee Stock Purchase Plan (Proposal 5 or the “</w:t>
      </w:r>
      <w:r>
        <w:rPr>
          <w:rFonts w:ascii="Times New Roman" w:hAnsi="Times New Roman"/>
          <w:b/>
          <w:i/>
          <w:color w:val="000000"/>
          <w:sz w:val="20"/>
        </w:rPr>
        <w:t>ESPP Proposal</w:t>
      </w:r>
      <w:r>
        <w:rPr>
          <w:rFonts w:ascii="Times New Roman" w:hAnsi="Times New Roman"/>
          <w:color w:val="000000"/>
          <w:sz w:val="20"/>
        </w:rPr>
        <w:t xml:space="preserve">”). If any other matter is properly presented at the meeting, your proxyholder (one of the individuals named on your proxy card) will vote your shares using his or her best judgment. </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If I am a beneficial owner of shares held in street name and I do not provide my broker, bank or other agent with voting instructions, what happens?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Proposals 1, 2, 4 and 5 are considered to be “non-routine,” meaning that your broker may not vote your shares on those proposals in the absence of your voting instructions. Proposal 3 is considered to be a “routine” matter, meaning that if you do not return voting instructions to your broker by its deadline, your shares may be voted by your broker in its discretion on Proposal 3.</w:t>
      </w:r>
    </w:p>
    <w:p>
      <w:pPr>
        <w:pStyle w:val="TextBody"/>
        <w:bidi w:val="0"/>
        <w:spacing w:before="132" w:after="283"/>
        <w:jc w:val="both"/>
        <w:rPr>
          <w:rFonts w:ascii="Times New Roman" w:hAnsi="Times New Roman"/>
          <w:sz w:val="20"/>
        </w:rPr>
      </w:pPr>
      <w:r>
        <w:rPr>
          <w:rFonts w:ascii="Times New Roman" w:hAnsi="Times New Roman"/>
          <w:b/>
          <w:i/>
          <w:color w:val="000000"/>
          <w:sz w:val="20"/>
        </w:rPr>
        <w:t xml:space="preserve">If you are a beneficial owner of shares held in street name, and you do not plan to attend the Annual Meeting, in order to ensure that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that you receive from your broker, bank or other agent</w:t>
      </w:r>
      <w:r>
        <w:rPr>
          <w:rFonts w:ascii="Times New Roman" w:hAnsi="Times New Roman"/>
          <w:b/>
          <w:color w:val="000000"/>
          <w:sz w:val="20"/>
        </w:rPr>
        <w:t>.</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Can I change my vote?</w:t>
      </w:r>
    </w:p>
    <w:p>
      <w:pPr>
        <w:pStyle w:val="TextBody"/>
        <w:bidi w:val="0"/>
        <w:spacing w:before="132" w:after="283"/>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Yes. If you are the stockholder of record for your shares, you may revoke your proxy at any time before the final vote at the Annual Meeting in one of the following ways: </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by notifying our Secretary in writing at 730 Third Avenue, Floor 9, New York, New York 10017 that you are revoking your proxy; </w:t>
      </w:r>
    </w:p>
    <w:p>
      <w:pPr>
        <w:pStyle w:val="TextBody"/>
        <w:bidi w:val="0"/>
        <w:spacing w:before="132" w:after="283"/>
        <w:jc w:val="left"/>
        <w:rPr>
          <w:color w:val="000000"/>
        </w:rPr>
      </w:pPr>
      <w:r>
        <w:rPr>
          <w:color w:val="000000"/>
        </w:rPr>
        <w:t>•</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by submitting another properly completed proxy with a later date;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by transmitting a subsequent vote over the Internet or by telephone prior to by 1:00 a.m. EDT on June 10, 2026; or </w:t>
      </w:r>
    </w:p>
    <w:p>
      <w:pPr>
        <w:pStyle w:val="TextBody"/>
        <w:bidi w:val="0"/>
        <w:spacing w:before="132" w:after="283"/>
        <w:jc w:val="left"/>
        <w:rPr>
          <w:color w:val="000000"/>
        </w:rPr>
      </w:pPr>
      <w:r>
        <w:rPr>
          <w:color w:val="000000"/>
        </w:rPr>
        <w:t>•</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by attending and voting online during the Annual Meeting.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i/>
          <w:color w:val="000000"/>
          <w:sz w:val="20"/>
        </w:rPr>
      </w:pPr>
      <w:r>
        <w:rPr>
          <w:rFonts w:ascii="Times New Roman" w:hAnsi="Times New Roman"/>
          <w:i/>
          <w:color w:val="000000"/>
          <w:sz w:val="20"/>
        </w:rPr>
        <w:t>Beneficial Owner: Shares Registered in the Name of a Broker, Bank or Similar Organization</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If your shares are held in street name, you must contact your broker, bank or other agent for instructions as to how to change your vote. Your attendance at the Annual Meeting does not revoke your proxy. Your last vote, whether prior to or at the Annual Meeting, is the vote that we will count. </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How is a quorum reached?</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A quorum of stockholders is necessary to hold a valid meeting. A quorum will be present if stockholders holding at least a majority of the outstanding shares entitled to vote are present at the Annual Meeting or represented by proxy. Shares held of record by stockholders or brokers, bankers or other nominees who do not return a valid proxy or attend the Annual Meeting will not be considered present or represented at the Annual Meeting and will not be counted in determining the presence of a quorum. The inspectors of election appointed for the Annual Meeting will determine whether a quorum is present.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Abstentions and broker non-votes, if any, will be counted for purposes of determining whether a quorum is present for the transaction of business at the meeting. If there is no quorum, the chairperson of the Annual Meeting or the holders of a majority of shares present at the Annual Meeting or represented by proxy may adjourn the Annual Meeting to another date.</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What are “broker non-votes”?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As discussed above, when a beneficial owner of shares held in “street name” does not give instructions to the broker or nominee holding the shares as to how to vote on matters deemed to be “non-routine,” the broker or nominee cannot vote the shares. When there is at least one “routine” matter that the broker, bank or other securities intermediary votes on, the shares that are unvoted on “non-routine” matters are counted as “broker non-votes.” Proposal 3 is a “routine” matter, and we therefore expect brokers, banks or other securities intermediaries to vote on that proposal. The remaining proposals are considered to be “non-routine,” and we therefore expect broker non-votes to exist in connection with those proposals.</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What vote is required to approve each item and how are votes counted?</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following table summarizes the minimum vote needed to approve each proposal and the effect of abstentions and broker non-votes.</w:t>
      </w:r>
    </w:p>
    <w:p>
      <w:pPr>
        <w:pStyle w:val="TextBody"/>
        <w:bidi w:val="0"/>
        <w:spacing w:before="132" w:after="283"/>
        <w:jc w:val="both"/>
        <w:rPr/>
      </w:pPr>
      <w:r>
        <w:rPr/>
        <w:t> </w:t>
      </w:r>
    </w:p>
    <w:tbl>
      <w:tblPr>
        <w:tblW w:w="10205" w:type="dxa"/>
        <w:jc w:val="left"/>
        <w:tblInd w:w="0" w:type="dxa"/>
        <w:tblLayout w:type="fixed"/>
        <w:tblCellMar>
          <w:top w:w="28" w:type="dxa"/>
          <w:left w:w="28" w:type="dxa"/>
          <w:bottom w:w="28" w:type="dxa"/>
          <w:right w:w="28" w:type="dxa"/>
        </w:tblCellMar>
      </w:tblPr>
      <w:tblGrid>
        <w:gridCol w:w="968"/>
        <w:gridCol w:w="2214"/>
        <w:gridCol w:w="2829"/>
        <w:gridCol w:w="1164"/>
        <w:gridCol w:w="1167"/>
        <w:gridCol w:w="1863"/>
      </w:tblGrid>
      <w:tr>
        <w:trPr/>
        <w:tc>
          <w:tcPr>
            <w:tcW w:w="96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968" w:type="dxa"/>
            <w:tcBorders/>
            <w:tcMar>
              <w:top w:w="0" w:type="dxa"/>
              <w:left w:w="0" w:type="dxa"/>
              <w:bottom w:w="0" w:type="dxa"/>
              <w:right w:w="0" w:type="dxa"/>
            </w:tcMar>
            <w:vAlign w:val="center"/>
          </w:tcPr>
          <w:p>
            <w:pPr>
              <w:pStyle w:val="TableContents"/>
              <w:pBdr>
                <w:bottom w:val="single" w:sz="6"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Proposal Number</w:t>
            </w:r>
          </w:p>
        </w:tc>
        <w:tc>
          <w:tcPr>
            <w:tcW w:w="2214" w:type="dxa"/>
            <w:tcBorders/>
            <w:tcMar>
              <w:top w:w="0" w:type="dxa"/>
              <w:left w:w="0" w:type="dxa"/>
              <w:bottom w:w="0" w:type="dxa"/>
              <w:right w:w="0" w:type="dxa"/>
            </w:tcMar>
            <w:vAlign w:val="center"/>
          </w:tcPr>
          <w:p>
            <w:pPr>
              <w:pStyle w:val="TableContents"/>
              <w:pBdr>
                <w:bottom w:val="single" w:sz="6"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Proposal Description</w:t>
            </w:r>
          </w:p>
        </w:tc>
        <w:tc>
          <w:tcPr>
            <w:tcW w:w="2829" w:type="dxa"/>
            <w:tcBorders/>
            <w:tcMar>
              <w:top w:w="0" w:type="dxa"/>
              <w:left w:w="0" w:type="dxa"/>
              <w:bottom w:w="0" w:type="dxa"/>
              <w:right w:w="0" w:type="dxa"/>
            </w:tcMar>
            <w:vAlign w:val="center"/>
          </w:tcPr>
          <w:p>
            <w:pPr>
              <w:pStyle w:val="TableContents"/>
              <w:pBdr>
                <w:bottom w:val="single" w:sz="6"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Vote Required for Approval</w:t>
            </w:r>
          </w:p>
        </w:tc>
        <w:tc>
          <w:tcPr>
            <w:tcW w:w="1164" w:type="dxa"/>
            <w:tcBorders/>
            <w:tcMar>
              <w:top w:w="0" w:type="dxa"/>
              <w:left w:w="0" w:type="dxa"/>
              <w:bottom w:w="0" w:type="dxa"/>
              <w:right w:w="0" w:type="dxa"/>
            </w:tcMar>
            <w:vAlign w:val="center"/>
          </w:tcPr>
          <w:p>
            <w:pPr>
              <w:pStyle w:val="TableContents"/>
              <w:pBdr>
                <w:bottom w:val="single" w:sz="6"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Effect of Abstentions</w:t>
            </w:r>
          </w:p>
        </w:tc>
        <w:tc>
          <w:tcPr>
            <w:tcW w:w="1167" w:type="dxa"/>
            <w:tcBorders/>
            <w:tcMar>
              <w:top w:w="0" w:type="dxa"/>
              <w:left w:w="0" w:type="dxa"/>
              <w:bottom w:w="0" w:type="dxa"/>
              <w:right w:w="0" w:type="dxa"/>
            </w:tcMar>
            <w:vAlign w:val="center"/>
          </w:tcPr>
          <w:p>
            <w:pPr>
              <w:pStyle w:val="TableContents"/>
              <w:pBdr>
                <w:bottom w:val="single" w:sz="6"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Effect of Broker Non-Votes</w:t>
            </w:r>
          </w:p>
        </w:tc>
        <w:tc>
          <w:tcPr>
            <w:tcW w:w="1863" w:type="dxa"/>
            <w:tcBorders/>
            <w:tcMar>
              <w:top w:w="0" w:type="dxa"/>
              <w:left w:w="0" w:type="dxa"/>
              <w:bottom w:w="0" w:type="dxa"/>
              <w:right w:w="0" w:type="dxa"/>
            </w:tcMar>
            <w:vAlign w:val="center"/>
          </w:tcPr>
          <w:p>
            <w:pPr>
              <w:pStyle w:val="TableContents"/>
              <w:pBdr>
                <w:bottom w:val="single" w:sz="6" w:space="1" w:color="000000"/>
              </w:pBdr>
              <w:bidi w:val="0"/>
              <w:spacing w:before="120" w:after="283"/>
              <w:ind w:left="0" w:right="0" w:firstLine="720"/>
              <w:jc w:val="center"/>
              <w:rPr>
                <w:rFonts w:ascii="Times New Roman" w:hAnsi="Times New Roman"/>
                <w:b/>
                <w:color w:val="000000"/>
                <w:sz w:val="20"/>
              </w:rPr>
            </w:pPr>
            <w:r>
              <w:rPr>
                <w:rFonts w:ascii="Times New Roman" w:hAnsi="Times New Roman"/>
                <w:b/>
                <w:color w:val="000000"/>
                <w:sz w:val="20"/>
              </w:rPr>
              <w:t>Matter</w:t>
            </w:r>
          </w:p>
        </w:tc>
      </w:tr>
      <w:tr>
        <w:trPr/>
        <w:tc>
          <w:tcPr>
            <w:tcW w:w="96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w:t>
            </w:r>
          </w:p>
        </w:tc>
        <w:tc>
          <w:tcPr>
            <w:tcW w:w="2214" w:type="dxa"/>
            <w:tcBorders/>
            <w:tcMar>
              <w:top w:w="0" w:type="dxa"/>
              <w:left w:w="0" w:type="dxa"/>
              <w:bottom w:w="0" w:type="dxa"/>
              <w:right w:w="0" w:type="dxa"/>
            </w:tcMar>
            <w:vAlign w:val="center"/>
          </w:tcPr>
          <w:p>
            <w:pPr>
              <w:pStyle w:val="TableContents"/>
              <w:bidi w:val="0"/>
              <w:spacing w:before="120" w:after="120"/>
              <w:ind w:left="0" w:right="0" w:firstLine="11"/>
              <w:jc w:val="left"/>
              <w:rPr>
                <w:rFonts w:ascii="Times New Roman" w:hAnsi="Times New Roman"/>
                <w:color w:val="000000"/>
                <w:sz w:val="20"/>
              </w:rPr>
            </w:pPr>
            <w:r>
              <w:rPr>
                <w:rFonts w:ascii="Times New Roman" w:hAnsi="Times New Roman"/>
                <w:color w:val="000000"/>
                <w:sz w:val="20"/>
              </w:rPr>
              <w:t>Election of Directors</w:t>
            </w:r>
          </w:p>
        </w:tc>
        <w:tc>
          <w:tcPr>
            <w:tcW w:w="2829" w:type="dxa"/>
            <w:tcBorders/>
            <w:tcMar>
              <w:top w:w="0" w:type="dxa"/>
              <w:left w:w="0" w:type="dxa"/>
              <w:bottom w:w="0" w:type="dxa"/>
              <w:right w:w="0" w:type="dxa"/>
            </w:tcMar>
            <w:vAlign w:val="center"/>
          </w:tcPr>
          <w:p>
            <w:pPr>
              <w:pStyle w:val="TableContents"/>
              <w:bidi w:val="0"/>
              <w:spacing w:before="120" w:after="120"/>
              <w:ind w:left="0" w:right="0" w:firstLine="11"/>
              <w:jc w:val="both"/>
              <w:rPr>
                <w:rFonts w:ascii="Times New Roman" w:hAnsi="Times New Roman"/>
                <w:color w:val="000000"/>
                <w:sz w:val="20"/>
              </w:rPr>
            </w:pPr>
            <w:r>
              <w:rPr>
                <w:rFonts w:ascii="Times New Roman" w:hAnsi="Times New Roman"/>
                <w:color w:val="000000"/>
                <w:sz w:val="20"/>
              </w:rPr>
              <w:t>Nominees receiving the most “For” votes; withheld votes will have no effect.</w:t>
            </w:r>
          </w:p>
        </w:tc>
        <w:tc>
          <w:tcPr>
            <w:tcW w:w="1164"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Not applicable</w:t>
            </w:r>
          </w:p>
        </w:tc>
        <w:tc>
          <w:tcPr>
            <w:tcW w:w="1167"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863" w:type="dxa"/>
            <w:tcBorders/>
            <w:tcMar>
              <w:top w:w="0" w:type="dxa"/>
              <w:left w:w="0" w:type="dxa"/>
              <w:bottom w:w="0" w:type="dxa"/>
              <w:right w:w="0" w:type="dxa"/>
            </w:tcMar>
            <w:vAlign w:val="center"/>
          </w:tcPr>
          <w:p>
            <w:pPr>
              <w:pStyle w:val="TableContents"/>
              <w:bidi w:val="0"/>
              <w:spacing w:before="120" w:after="120"/>
              <w:ind w:left="0" w:right="0" w:firstLine="720"/>
              <w:jc w:val="center"/>
              <w:rPr>
                <w:rFonts w:ascii="Times New Roman" w:hAnsi="Times New Roman"/>
                <w:color w:val="000000"/>
                <w:sz w:val="20"/>
              </w:rPr>
            </w:pPr>
            <w:r>
              <w:rPr>
                <w:rFonts w:ascii="Times New Roman" w:hAnsi="Times New Roman"/>
                <w:color w:val="000000"/>
                <w:sz w:val="20"/>
              </w:rPr>
              <w:t>Non-routine</w:t>
            </w:r>
          </w:p>
        </w:tc>
      </w:tr>
      <w:tr>
        <w:trPr/>
        <w:tc>
          <w:tcPr>
            <w:tcW w:w="96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w:t>
            </w:r>
          </w:p>
        </w:tc>
        <w:tc>
          <w:tcPr>
            <w:tcW w:w="2214" w:type="dxa"/>
            <w:tcBorders/>
            <w:tcMar>
              <w:top w:w="0" w:type="dxa"/>
              <w:left w:w="0" w:type="dxa"/>
              <w:bottom w:w="0" w:type="dxa"/>
              <w:right w:w="0" w:type="dxa"/>
            </w:tcMar>
            <w:vAlign w:val="center"/>
          </w:tcPr>
          <w:p>
            <w:pPr>
              <w:pStyle w:val="TableContents"/>
              <w:bidi w:val="0"/>
              <w:spacing w:before="120" w:after="120"/>
              <w:ind w:left="0" w:right="0" w:firstLine="11"/>
              <w:jc w:val="left"/>
              <w:rPr>
                <w:rFonts w:ascii="Times New Roman" w:hAnsi="Times New Roman"/>
                <w:color w:val="000000"/>
                <w:sz w:val="20"/>
              </w:rPr>
            </w:pPr>
            <w:r>
              <w:rPr>
                <w:rFonts w:ascii="Times New Roman" w:hAnsi="Times New Roman"/>
                <w:color w:val="000000"/>
                <w:sz w:val="20"/>
              </w:rPr>
              <w:t>Advisory approval of the compensation of our named executive officers</w:t>
            </w:r>
          </w:p>
        </w:tc>
        <w:tc>
          <w:tcPr>
            <w:tcW w:w="2829" w:type="dxa"/>
            <w:tcBorders/>
            <w:tcMar>
              <w:top w:w="0" w:type="dxa"/>
              <w:left w:w="0" w:type="dxa"/>
              <w:bottom w:w="0" w:type="dxa"/>
              <w:right w:w="0" w:type="dxa"/>
            </w:tcMar>
            <w:vAlign w:val="center"/>
          </w:tcPr>
          <w:p>
            <w:pPr>
              <w:pStyle w:val="TableContents"/>
              <w:bidi w:val="0"/>
              <w:spacing w:before="120" w:after="120"/>
              <w:ind w:left="0" w:right="0" w:firstLine="11"/>
              <w:jc w:val="both"/>
              <w:rPr>
                <w:color w:val="000000"/>
              </w:rPr>
            </w:pPr>
            <w:r>
              <w:rPr>
                <w:color w:val="000000"/>
              </w:rPr>
              <w:t>“</w:t>
            </w:r>
            <w:r>
              <w:rPr>
                <w:rFonts w:ascii="Times New Roman" w:hAnsi="Times New Roman"/>
                <w:color w:val="000000"/>
                <w:sz w:val="20"/>
              </w:rPr>
              <w:t>For” votes from the holders of a majority of the voting power of the shares present in person or represented by proxy and such votes are entitled to vote on the matter and are voted “for” or “against” the matter.</w:t>
            </w:r>
          </w:p>
        </w:tc>
        <w:tc>
          <w:tcPr>
            <w:tcW w:w="1164"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167"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863" w:type="dxa"/>
            <w:tcBorders/>
            <w:tcMar>
              <w:top w:w="0" w:type="dxa"/>
              <w:left w:w="0" w:type="dxa"/>
              <w:bottom w:w="0" w:type="dxa"/>
              <w:right w:w="0" w:type="dxa"/>
            </w:tcMar>
            <w:vAlign w:val="center"/>
          </w:tcPr>
          <w:p>
            <w:pPr>
              <w:pStyle w:val="TableContents"/>
              <w:bidi w:val="0"/>
              <w:spacing w:before="120" w:after="120"/>
              <w:ind w:left="0" w:right="0" w:firstLine="720"/>
              <w:jc w:val="center"/>
              <w:rPr>
                <w:rFonts w:ascii="Times New Roman" w:hAnsi="Times New Roman"/>
                <w:color w:val="000000"/>
                <w:sz w:val="20"/>
              </w:rPr>
            </w:pPr>
            <w:r>
              <w:rPr>
                <w:rFonts w:ascii="Times New Roman" w:hAnsi="Times New Roman"/>
                <w:color w:val="000000"/>
                <w:sz w:val="20"/>
              </w:rPr>
              <w:t>Non-routine</w:t>
            </w:r>
          </w:p>
        </w:tc>
      </w:tr>
      <w:tr>
        <w:trPr/>
        <w:tc>
          <w:tcPr>
            <w:tcW w:w="96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w:t>
            </w:r>
          </w:p>
        </w:tc>
        <w:tc>
          <w:tcPr>
            <w:tcW w:w="2214" w:type="dxa"/>
            <w:tcBorders/>
            <w:tcMar>
              <w:top w:w="0" w:type="dxa"/>
              <w:left w:w="0" w:type="dxa"/>
              <w:bottom w:w="0" w:type="dxa"/>
              <w:right w:w="0" w:type="dxa"/>
            </w:tcMar>
            <w:vAlign w:val="center"/>
          </w:tcPr>
          <w:p>
            <w:pPr>
              <w:pStyle w:val="TableContents"/>
              <w:bidi w:val="0"/>
              <w:spacing w:before="120" w:after="120"/>
              <w:ind w:left="0" w:right="0" w:firstLine="11"/>
              <w:jc w:val="left"/>
              <w:rPr>
                <w:rFonts w:ascii="Times New Roman" w:hAnsi="Times New Roman"/>
                <w:color w:val="000000"/>
                <w:sz w:val="20"/>
              </w:rPr>
            </w:pPr>
            <w:r>
              <w:rPr>
                <w:rFonts w:ascii="Times New Roman" w:hAnsi="Times New Roman"/>
                <w:color w:val="000000"/>
                <w:sz w:val="20"/>
              </w:rPr>
              <w:t>Ratification of the selection of Deloitte &amp; Touche LLP as the Company’s independent registered public accounting firm</w:t>
            </w:r>
          </w:p>
        </w:tc>
        <w:tc>
          <w:tcPr>
            <w:tcW w:w="2829" w:type="dxa"/>
            <w:tcBorders/>
            <w:tcMar>
              <w:top w:w="0" w:type="dxa"/>
              <w:left w:w="0" w:type="dxa"/>
              <w:bottom w:w="0" w:type="dxa"/>
              <w:right w:w="0" w:type="dxa"/>
            </w:tcMar>
            <w:vAlign w:val="center"/>
          </w:tcPr>
          <w:p>
            <w:pPr>
              <w:pStyle w:val="TableContents"/>
              <w:bidi w:val="0"/>
              <w:spacing w:before="120" w:after="120"/>
              <w:ind w:left="0" w:right="0" w:firstLine="11"/>
              <w:jc w:val="both"/>
              <w:rPr>
                <w:color w:val="000000"/>
              </w:rPr>
            </w:pPr>
            <w:r>
              <w:rPr>
                <w:color w:val="000000"/>
              </w:rPr>
              <w:t>“</w:t>
            </w:r>
            <w:r>
              <w:rPr>
                <w:rFonts w:ascii="Times New Roman" w:hAnsi="Times New Roman"/>
                <w:color w:val="000000"/>
                <w:sz w:val="20"/>
              </w:rPr>
              <w:t>For” votes from the holders of a majority of the voting power of the shares present in person or represented by proxy and such votes are entitled to vote on the matter and are voted “for” or “against” the matter.</w:t>
            </w:r>
          </w:p>
        </w:tc>
        <w:tc>
          <w:tcPr>
            <w:tcW w:w="1164"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167"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sz w:val="20"/>
              </w:rPr>
            </w:pPr>
            <w:r>
              <w:rPr>
                <w:rFonts w:ascii="Times New Roman" w:hAnsi="Times New Roman"/>
                <w:color w:val="000000"/>
                <w:sz w:val="20"/>
              </w:rPr>
              <w:t>Not applicable</w:t>
            </w:r>
            <w:r>
              <w:rPr>
                <w:rFonts w:ascii="Times New Roman" w:hAnsi="Times New Roman"/>
                <w:color w:val="000000"/>
                <w:sz w:val="13"/>
              </w:rPr>
              <w:t>(1)</w:t>
            </w:r>
          </w:p>
        </w:tc>
        <w:tc>
          <w:tcPr>
            <w:tcW w:w="1863"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Routine</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
        <w:gridCol w:w="2062"/>
        <w:gridCol w:w="4790"/>
        <w:gridCol w:w="622"/>
        <w:gridCol w:w="630"/>
        <w:gridCol w:w="1865"/>
      </w:tblGrid>
      <w:tr>
        <w:trPr/>
        <w:tc>
          <w:tcPr>
            <w:tcW w:w="23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479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w:t>
            </w:r>
          </w:p>
        </w:tc>
        <w:tc>
          <w:tcPr>
            <w:tcW w:w="2062" w:type="dxa"/>
            <w:tcBorders/>
            <w:tcMar>
              <w:top w:w="0" w:type="dxa"/>
              <w:left w:w="0" w:type="dxa"/>
              <w:bottom w:w="0" w:type="dxa"/>
              <w:right w:w="0" w:type="dxa"/>
            </w:tcMar>
            <w:vAlign w:val="center"/>
          </w:tcPr>
          <w:p>
            <w:pPr>
              <w:pStyle w:val="TableContents"/>
              <w:bidi w:val="0"/>
              <w:spacing w:before="120" w:after="120"/>
              <w:ind w:left="0" w:right="0" w:firstLine="11"/>
              <w:jc w:val="left"/>
              <w:rPr>
                <w:rFonts w:ascii="Times New Roman" w:hAnsi="Times New Roman"/>
                <w:color w:val="000000"/>
                <w:sz w:val="20"/>
              </w:rPr>
            </w:pPr>
            <w:r>
              <w:rPr>
                <w:rFonts w:ascii="Times New Roman" w:hAnsi="Times New Roman"/>
                <w:color w:val="000000"/>
                <w:sz w:val="20"/>
              </w:rPr>
              <w:t>Approval of the Company’s 2026 Equity Incentive Plan</w:t>
            </w:r>
          </w:p>
        </w:tc>
        <w:tc>
          <w:tcPr>
            <w:tcW w:w="4790" w:type="dxa"/>
            <w:tcBorders/>
            <w:tcMar>
              <w:top w:w="0" w:type="dxa"/>
              <w:left w:w="0" w:type="dxa"/>
              <w:bottom w:w="0" w:type="dxa"/>
              <w:right w:w="0" w:type="dxa"/>
            </w:tcMar>
            <w:vAlign w:val="center"/>
          </w:tcPr>
          <w:p>
            <w:pPr>
              <w:pStyle w:val="TableContents"/>
              <w:bidi w:val="0"/>
              <w:spacing w:before="120" w:after="120"/>
              <w:ind w:left="0" w:right="0" w:firstLine="11"/>
              <w:jc w:val="both"/>
              <w:rPr>
                <w:color w:val="000000"/>
              </w:rPr>
            </w:pPr>
            <w:r>
              <w:rPr>
                <w:color w:val="000000"/>
              </w:rPr>
              <w:t>“</w:t>
            </w:r>
            <w:r>
              <w:rPr>
                <w:rFonts w:ascii="Times New Roman" w:hAnsi="Times New Roman"/>
                <w:color w:val="000000"/>
                <w:sz w:val="20"/>
              </w:rPr>
              <w:t>For” votes from the holders of a majority of the voting power of the shares present in person or represented by proxy and such votes are entitled to vote on the matter and are voted “for” or “against” the matter.</w:t>
            </w:r>
          </w:p>
        </w:tc>
        <w:tc>
          <w:tcPr>
            <w:tcW w:w="622"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No effect</w:t>
            </w:r>
          </w:p>
        </w:tc>
        <w:tc>
          <w:tcPr>
            <w:tcW w:w="630"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865" w:type="dxa"/>
            <w:tcBorders/>
            <w:tcMar>
              <w:top w:w="0" w:type="dxa"/>
              <w:left w:w="0" w:type="dxa"/>
              <w:bottom w:w="0" w:type="dxa"/>
              <w:right w:w="0" w:type="dxa"/>
            </w:tcMar>
            <w:vAlign w:val="center"/>
          </w:tcPr>
          <w:p>
            <w:pPr>
              <w:pStyle w:val="TableContents"/>
              <w:bidi w:val="0"/>
              <w:spacing w:before="120" w:after="120"/>
              <w:ind w:left="0" w:right="0" w:firstLine="720"/>
              <w:jc w:val="center"/>
              <w:rPr>
                <w:rFonts w:ascii="Times New Roman" w:hAnsi="Times New Roman"/>
                <w:color w:val="000000"/>
                <w:sz w:val="20"/>
              </w:rPr>
            </w:pPr>
            <w:r>
              <w:rPr>
                <w:rFonts w:ascii="Times New Roman" w:hAnsi="Times New Roman"/>
                <w:color w:val="000000"/>
                <w:sz w:val="20"/>
              </w:rPr>
              <w:t>Non-routine</w:t>
            </w:r>
          </w:p>
        </w:tc>
      </w:tr>
      <w:tr>
        <w:trPr/>
        <w:tc>
          <w:tcPr>
            <w:tcW w:w="2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w:t>
            </w:r>
          </w:p>
        </w:tc>
        <w:tc>
          <w:tcPr>
            <w:tcW w:w="2062" w:type="dxa"/>
            <w:tcBorders/>
            <w:tcMar>
              <w:top w:w="0" w:type="dxa"/>
              <w:left w:w="0" w:type="dxa"/>
              <w:bottom w:w="0" w:type="dxa"/>
              <w:right w:w="0" w:type="dxa"/>
            </w:tcMar>
            <w:vAlign w:val="center"/>
          </w:tcPr>
          <w:p>
            <w:pPr>
              <w:pStyle w:val="TableContents"/>
              <w:bidi w:val="0"/>
              <w:spacing w:before="120" w:after="120"/>
              <w:ind w:left="0" w:right="0" w:firstLine="11"/>
              <w:jc w:val="left"/>
              <w:rPr>
                <w:rFonts w:ascii="Times New Roman" w:hAnsi="Times New Roman"/>
                <w:color w:val="000000"/>
                <w:sz w:val="20"/>
              </w:rPr>
            </w:pPr>
            <w:r>
              <w:rPr>
                <w:rFonts w:ascii="Times New Roman" w:hAnsi="Times New Roman"/>
                <w:color w:val="000000"/>
                <w:sz w:val="20"/>
              </w:rPr>
              <w:t>Approval of the Company’s 2026 Employee Stock Purchase Plan</w:t>
            </w:r>
          </w:p>
        </w:tc>
        <w:tc>
          <w:tcPr>
            <w:tcW w:w="4790" w:type="dxa"/>
            <w:tcBorders/>
            <w:tcMar>
              <w:top w:w="0" w:type="dxa"/>
              <w:left w:w="0" w:type="dxa"/>
              <w:bottom w:w="0" w:type="dxa"/>
              <w:right w:w="0" w:type="dxa"/>
            </w:tcMar>
            <w:vAlign w:val="center"/>
          </w:tcPr>
          <w:p>
            <w:pPr>
              <w:pStyle w:val="TableContents"/>
              <w:bidi w:val="0"/>
              <w:spacing w:before="120" w:after="120"/>
              <w:ind w:left="0" w:right="0" w:firstLine="11"/>
              <w:jc w:val="both"/>
              <w:rPr>
                <w:color w:val="000000"/>
              </w:rPr>
            </w:pPr>
            <w:r>
              <w:rPr>
                <w:color w:val="000000"/>
              </w:rPr>
              <w:t>“</w:t>
            </w:r>
            <w:r>
              <w:rPr>
                <w:rFonts w:ascii="Times New Roman" w:hAnsi="Times New Roman"/>
                <w:color w:val="000000"/>
                <w:sz w:val="20"/>
              </w:rPr>
              <w:t>For” votes from the holders of a majority of the voting power of the shares present in person or represented by proxy and such votes are entitled to vote on the matter and are voted “for” or “against” the matter.</w:t>
            </w:r>
          </w:p>
        </w:tc>
        <w:tc>
          <w:tcPr>
            <w:tcW w:w="622"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No effect</w:t>
            </w:r>
          </w:p>
        </w:tc>
        <w:tc>
          <w:tcPr>
            <w:tcW w:w="630"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 effect</w:t>
            </w:r>
          </w:p>
        </w:tc>
        <w:tc>
          <w:tcPr>
            <w:tcW w:w="1865" w:type="dxa"/>
            <w:tcBorders/>
            <w:tcMar>
              <w:top w:w="0" w:type="dxa"/>
              <w:left w:w="0" w:type="dxa"/>
              <w:bottom w:w="0" w:type="dxa"/>
              <w:right w:w="0" w:type="dxa"/>
            </w:tcMar>
            <w:vAlign w:val="center"/>
          </w:tcPr>
          <w:p>
            <w:pPr>
              <w:pStyle w:val="TableContents"/>
              <w:bidi w:val="0"/>
              <w:spacing w:before="120" w:after="120"/>
              <w:ind w:left="0" w:right="0" w:firstLine="8"/>
              <w:jc w:val="center"/>
              <w:rPr>
                <w:rFonts w:ascii="Times New Roman" w:hAnsi="Times New Roman"/>
                <w:color w:val="000000"/>
                <w:sz w:val="20"/>
              </w:rPr>
            </w:pPr>
            <w:r>
              <w:rPr>
                <w:rFonts w:ascii="Times New Roman" w:hAnsi="Times New Roman"/>
                <w:color w:val="000000"/>
                <w:sz w:val="20"/>
              </w:rPr>
              <w:t>Non-routine</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Could other matters be decided at the Annual Meeting?</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We do not know of any other matters that may be presented for action at the Annual Meeting. Should any other business come before the meeting, the persons named on the proxy will have discretionary authority to vote the shares represented by such proxies in accordance with their best judgment. If you hold shares through a broker, bank or other nominee as described above, they will not be able to vote your shares on any other business that comes before the Annual Meeting unless they receive instructions from you with respect to such matter.</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What happens if the Annual Meeting is postponed or adjourned?</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Your proxy may be voted at the postponed or adjourned meeting. You will still be able to change your proxy until it is voted.</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132" w:after="283"/>
        <w:jc w:val="both"/>
        <w:rPr>
          <w:rFonts w:ascii="Times New Roman" w:hAnsi="Times New Roman"/>
          <w:sz w:val="20"/>
        </w:rPr>
      </w:pPr>
      <w:r>
        <w:rPr>
          <w:rFonts w:ascii="Times New Roman" w:hAnsi="Times New Roman"/>
          <w:color w:val="000000"/>
          <w:sz w:val="20"/>
        </w:rPr>
        <w:t>Preliminary voting results will be announced at the Annual Meeting. Final voting results will be published in a Current Report on Form 8-K (“</w:t>
      </w:r>
      <w:r>
        <w:rPr>
          <w:rFonts w:ascii="Times New Roman" w:hAnsi="Times New Roman"/>
          <w:b/>
          <w:i/>
          <w:color w:val="000000"/>
          <w:sz w:val="20"/>
        </w:rPr>
        <w:t>Form 8-K</w:t>
      </w:r>
      <w:r>
        <w:rPr>
          <w:rFonts w:ascii="Times New Roman" w:hAnsi="Times New Roman"/>
          <w:color w:val="000000"/>
          <w:sz w:val="20"/>
        </w:rPr>
        <w:t xml:space="preserve">”)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What does it mean if I receive more than one Notice of Internet Availability?</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It means that your shares may be registered in one or more names or multiple accounts at the transfer agent or with brokers. Please follow the instructions on the notices to ensure that all your shares are voted.</w:t>
      </w:r>
    </w:p>
    <w:p>
      <w:pPr>
        <w:pStyle w:val="TextBody"/>
        <w:bidi w:val="0"/>
        <w:spacing w:before="396" w:after="283"/>
        <w:jc w:val="both"/>
        <w:rPr>
          <w:rFonts w:ascii="Times New Roman" w:hAnsi="Times New Roman"/>
          <w:b/>
          <w:color w:val="000000"/>
          <w:sz w:val="20"/>
        </w:rPr>
      </w:pPr>
      <w:r>
        <w:rPr>
          <w:rFonts w:ascii="Times New Roman" w:hAnsi="Times New Roman"/>
          <w:b/>
          <w:color w:val="000000"/>
          <w:sz w:val="20"/>
        </w:rPr>
        <w:t>Who should I call if I have any additional questions?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you are the stockholder of record for your shares, please call Luke J. Albrecht, General Counsel and Secretary of the Company, at (781) 419-1400. If your shares are held in street name, please contact the telephone number provided on your voting instruction form or contact your broker or nominee holder directly.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rop1"/>
      <w:bookmarkEnd w:id="3"/>
      <w:r>
        <w:rPr>
          <w:rFonts w:ascii="Times New Roman" w:hAnsi="Times New Roman"/>
          <w:b/>
          <w:color w:val="000000"/>
          <w:sz w:val="20"/>
        </w:rPr>
        <w:t>PROPOSAL 1: ELECTION OF DIRECTORS</w:t>
      </w:r>
    </w:p>
    <w:p>
      <w:pPr>
        <w:pStyle w:val="TextBody"/>
        <w:bidi w:val="0"/>
        <w:spacing w:before="264" w:after="283"/>
        <w:jc w:val="left"/>
        <w:rPr>
          <w:rFonts w:ascii="Times New Roman" w:hAnsi="Times New Roman"/>
          <w:b/>
          <w:color w:val="000000"/>
          <w:sz w:val="20"/>
        </w:rPr>
      </w:pPr>
      <w:bookmarkStart w:id="4" w:name="prop1_gen"/>
      <w:bookmarkEnd w:id="4"/>
      <w:r>
        <w:rPr>
          <w:rFonts w:ascii="Times New Roman" w:hAnsi="Times New Roman"/>
          <w:b/>
          <w:color w:val="000000"/>
          <w:sz w:val="20"/>
        </w:rPr>
        <w:t>General</w:t>
      </w:r>
    </w:p>
    <w:p>
      <w:pPr>
        <w:pStyle w:val="TextBody"/>
        <w:bidi w:val="0"/>
        <w:spacing w:before="264" w:after="283"/>
        <w:jc w:val="both"/>
        <w:rPr>
          <w:rFonts w:ascii="Times New Roman" w:hAnsi="Times New Roman"/>
          <w:sz w:val="20"/>
        </w:rPr>
      </w:pPr>
      <w:r>
        <w:rPr>
          <w:rFonts w:ascii="Times New Roman" w:hAnsi="Times New Roman"/>
          <w:color w:val="000000"/>
          <w:sz w:val="20"/>
        </w:rPr>
        <w:t>Our Board currently consists of seven directors. Our amended and restated certificate of incorporation (“</w:t>
      </w:r>
      <w:r>
        <w:rPr>
          <w:rFonts w:ascii="Times New Roman" w:hAnsi="Times New Roman"/>
          <w:b/>
          <w:i/>
          <w:color w:val="000000"/>
          <w:sz w:val="20"/>
        </w:rPr>
        <w:t>Certificate of Incorporation</w:t>
      </w:r>
      <w:r>
        <w:rPr>
          <w:rFonts w:ascii="Times New Roman" w:hAnsi="Times New Roman"/>
          <w:color w:val="000000"/>
          <w:sz w:val="20"/>
        </w:rPr>
        <w:t xml:space="preserve">”) provides for a classified Board consisting of three classes of directors. Currently, Class III consists of three directors and Classes I and II each consist of two directors. Each class serves a staggered three-year term. At each annual meeting of stockholders, the successors to directors whose terms then expire will be elected to serve from the time of election and qualification until the third annual meeting following their election, or until the director’s death, resignation or removal.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There are currently no vacancies on the Board. </w:t>
      </w:r>
    </w:p>
    <w:p>
      <w:pPr>
        <w:pStyle w:val="TextBody"/>
        <w:bidi w:val="0"/>
        <w:spacing w:before="264" w:after="283"/>
        <w:jc w:val="both"/>
        <w:rPr>
          <w:rFonts w:ascii="Times New Roman" w:hAnsi="Times New Roman"/>
          <w:sz w:val="20"/>
        </w:rPr>
      </w:pPr>
      <w:r>
        <w:rPr>
          <w:rFonts w:ascii="Times New Roman" w:hAnsi="Times New Roman"/>
          <w:color w:val="000000"/>
          <w:sz w:val="20"/>
        </w:rPr>
        <w:t>There are two directors in Class I whose term of office expires in 2026. Upon the recommendation of the nominating and corporate governance committee (the “</w:t>
      </w:r>
      <w:r>
        <w:rPr>
          <w:rFonts w:ascii="Times New Roman" w:hAnsi="Times New Roman"/>
          <w:b/>
          <w:i/>
          <w:color w:val="000000"/>
          <w:sz w:val="20"/>
        </w:rPr>
        <w:t>Nominating and Corporate Governance Committee</w:t>
      </w:r>
      <w:r>
        <w:rPr>
          <w:rFonts w:ascii="Times New Roman" w:hAnsi="Times New Roman"/>
          <w:color w:val="000000"/>
          <w:sz w:val="20"/>
        </w:rPr>
        <w:t>”), our Board has nominated Pierre Legault and Michael Metzger for election as directors at the Annual Meeting. The biographies below under “Information About Our Board” include information, as of the date of this proxy statement, regarding the specific and particular experience, qualifications, attributes or skills of each director nominee that led the Nominating and Corporate Governance Committee to believe that each nominee should continue to serve on the Board. Messrs. Legault and Metzger have previously been elected to the Board by our stockholders. If you elect the nominees, they will each hold office until the annual meeting of stockholders in 2029 and until each of their successors has been duly elected and qualified, or until the director’s death, resignation or removal.</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All nominees have consented to being named in this proxy statement and to serve if elected.</w:t>
      </w:r>
    </w:p>
    <w:p>
      <w:pPr>
        <w:pStyle w:val="TextBody"/>
        <w:bidi w:val="0"/>
        <w:spacing w:before="264" w:after="240"/>
        <w:jc w:val="both"/>
        <w:rPr>
          <w:rFonts w:ascii="Times New Roman" w:hAnsi="Times New Roman"/>
          <w:color w:val="000000"/>
          <w:sz w:val="20"/>
        </w:rPr>
      </w:pPr>
      <w:r>
        <w:rPr>
          <w:rFonts w:ascii="Times New Roman" w:hAnsi="Times New Roman"/>
          <w:color w:val="000000"/>
          <w:sz w:val="20"/>
        </w:rPr>
        <w:t>If any nominee is unable or does not qualify to serve, you or your proxy may vote for another nominee proposed by the Board. If, for any reason, these nominees prove unable or unwilling to stand for election or cease to qualify to serve as directors, the Board will nominate alternates or reduce the size of the Board to eliminate the vacancies. The Board has no reason to believe that any of the nominees would prove unable to serve if elected. There are no arrangements or understandings between us and any director, or nominee for directorship, pursuant to which such person was selected as a director or nominee.</w:t>
      </w:r>
    </w:p>
    <w:tbl>
      <w:tblPr>
        <w:tblW w:w="6049" w:type="dxa"/>
        <w:jc w:val="left"/>
        <w:tblInd w:w="0" w:type="dxa"/>
        <w:tblLayout w:type="fixed"/>
        <w:tblCellMar>
          <w:top w:w="28" w:type="dxa"/>
          <w:left w:w="28" w:type="dxa"/>
          <w:bottom w:w="28" w:type="dxa"/>
          <w:right w:w="28" w:type="dxa"/>
        </w:tblCellMar>
      </w:tblPr>
      <w:tblGrid>
        <w:gridCol w:w="1741"/>
        <w:gridCol w:w="146"/>
        <w:gridCol w:w="646"/>
        <w:gridCol w:w="146"/>
        <w:gridCol w:w="766"/>
        <w:gridCol w:w="146"/>
        <w:gridCol w:w="1441"/>
        <w:gridCol w:w="146"/>
        <w:gridCol w:w="8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Nominees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Age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 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Since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Pierre Legault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r>
    </w:tbl>
    <w:p>
      <w:pPr>
        <w:pStyle w:val="TextBody"/>
        <w:bidi w:val="0"/>
        <w:jc w:val="left"/>
        <w:rPr>
          <w:rFonts w:ascii="Times New Roman" w:hAnsi="Times New Roman"/>
          <w:color w:val="000000"/>
          <w:sz w:val="20"/>
        </w:rPr>
      </w:pPr>
      <w:r>
        <w:rPr>
          <w:rFonts w:ascii="Times New Roman" w:hAnsi="Times New Roman"/>
          <w:color w:val="000000"/>
          <w:sz w:val="20"/>
        </w:rPr>
        <w:t>_____</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Ages as of April 30, 2026.</w:t>
      </w:r>
    </w:p>
    <w:p>
      <w:pPr>
        <w:pStyle w:val="TextBody"/>
        <w:bidi w:val="0"/>
        <w:spacing w:before="264" w:after="283"/>
        <w:jc w:val="left"/>
        <w:rPr>
          <w:rFonts w:ascii="Times New Roman" w:hAnsi="Times New Roman"/>
          <w:b/>
          <w:color w:val="000000"/>
          <w:sz w:val="20"/>
        </w:rPr>
      </w:pPr>
      <w:bookmarkStart w:id="5" w:name="prop1_or"/>
      <w:bookmarkEnd w:id="5"/>
      <w:r>
        <w:rPr>
          <w:rFonts w:ascii="Times New Roman" w:hAnsi="Times New Roman"/>
          <w:b/>
          <w:color w:val="000000"/>
          <w:sz w:val="20"/>
        </w:rPr>
        <w:t>Our Recommendation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BOARD UNANIMOUSLY RECOMMENDS THAT YOU VOTE FOR</w:t>
      </w:r>
    </w:p>
    <w:p>
      <w:pPr>
        <w:pStyle w:val="TextBody"/>
        <w:bidi w:val="0"/>
        <w:jc w:val="center"/>
        <w:rPr>
          <w:rFonts w:ascii="Times New Roman" w:hAnsi="Times New Roman"/>
          <w:sz w:val="20"/>
        </w:rPr>
      </w:pPr>
      <w:r>
        <w:rPr>
          <w:rFonts w:ascii="Times New Roman" w:hAnsi="Times New Roman"/>
          <w:b/>
          <w:color w:val="000000"/>
          <w:sz w:val="20"/>
        </w:rPr>
        <w:t>EACH OF THE DIRECTOR NOMINEES FOR CLASS I DIRECTOR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(PROPOSAL 1 ON YOUR NOTICE OF INTERNET AVAILABILITY)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prop1_inf"/>
      <w:bookmarkEnd w:id="6"/>
      <w:r>
        <w:rPr>
          <w:rFonts w:ascii="Times New Roman" w:hAnsi="Times New Roman"/>
          <w:b/>
          <w:caps/>
          <w:color w:val="000000"/>
          <w:sz w:val="20"/>
        </w:rPr>
        <w:t>Information About Our Board of Directors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Set forth below are the names, ages and length of service of the remaining members of our Board whose terms continue beyond the Annual Meeting.</w:t>
      </w:r>
    </w:p>
    <w:p>
      <w:pPr>
        <w:pStyle w:val="TextBody"/>
        <w:bidi w:val="0"/>
        <w:jc w:val="both"/>
        <w:rPr/>
      </w:pPr>
      <w:r>
        <w:rPr/>
        <w:t> </w:t>
      </w:r>
    </w:p>
    <w:tbl>
      <w:tblPr>
        <w:tblW w:w="6799" w:type="dxa"/>
        <w:jc w:val="left"/>
        <w:tblInd w:w="0" w:type="dxa"/>
        <w:tblLayout w:type="fixed"/>
        <w:tblCellMar>
          <w:top w:w="28" w:type="dxa"/>
          <w:left w:w="28" w:type="dxa"/>
          <w:bottom w:w="28" w:type="dxa"/>
          <w:right w:w="28" w:type="dxa"/>
        </w:tblCellMar>
      </w:tblPr>
      <w:tblGrid>
        <w:gridCol w:w="2491"/>
        <w:gridCol w:w="146"/>
        <w:gridCol w:w="646"/>
        <w:gridCol w:w="146"/>
        <w:gridCol w:w="766"/>
        <w:gridCol w:w="146"/>
        <w:gridCol w:w="1441"/>
        <w:gridCol w:w="146"/>
        <w:gridCol w:w="87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Continuing Directors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 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Since</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H. Huber,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Jarrett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G. Podlesak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Aleksandra Rizo,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bl>
    <w:p>
      <w:pPr>
        <w:pStyle w:val="TextBody"/>
        <w:bidi w:val="0"/>
        <w:jc w:val="left"/>
        <w:rPr>
          <w:rFonts w:ascii="Times New Roman" w:hAnsi="Times New Roman"/>
          <w:color w:val="000000"/>
          <w:sz w:val="20"/>
        </w:rPr>
      </w:pPr>
      <w:r>
        <w:rPr>
          <w:rFonts w:ascii="Times New Roman" w:hAnsi="Times New Roman"/>
          <w:color w:val="000000"/>
          <w:sz w:val="20"/>
        </w:rPr>
        <w:t>_____</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Ages as of April 30,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principal occupation, business experience and education of each nominee for election as director and each continuing and retiring director are set forth below. Unless otherwise indicated, principal occupations shown for each director have extended for five or more years.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Nominees for Election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Pierre Legault</w:t>
      </w:r>
      <w:r>
        <w:rPr>
          <w:rFonts w:ascii="Times New Roman" w:hAnsi="Times New Roman"/>
          <w:color w:val="000000"/>
          <w:sz w:val="20"/>
        </w:rPr>
        <w:t xml:space="preserve"> is a Class I director who has served as a member of our Board since January 2017. Mr. Legault is serving as Chairman of Sitryx Therapeutics a private company. He was previously Chairman at Bicycle Therapeutics, Amolyt Pharma, Artios Pharma, NephroGenex and Poxel Pharma and was lead director at Urovant Sciences. In the past, he also served as board director at Armo Biosciences, Clementia, Tobira Therapeutics, NPS Pharma, Forest Laboratories, Regado Biosciences, Iroko Pharma, Cyclacel Pharma, Eckerd Pharmaceutical, and others. Pierre was president and CEO of several companies including Eckerd Pharmacy, Prosidion Pharma, Aventis Pharma-North America. He also served as CFO &amp; Treasurer at OSI Pharma and CAO at Rite Aids Pharmacies. Between 1989 and 2005, he held various roles such as President, CEO and CFO at legacies company of the Sanofi group. Mr Legault hold various degrees including MBA, CPA, CA, BAA from Harvard Business School, McGill and HEC universities. We believe that Mr. Legault’s executive experience and his membership, including service as the chairman, on the board of directors of a number of biopharmaceutical companies qualify him to serve as a member of our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Michael A. Metzger</w:t>
      </w:r>
      <w:r>
        <w:rPr>
          <w:rFonts w:ascii="Times New Roman" w:hAnsi="Times New Roman"/>
          <w:color w:val="000000"/>
          <w:sz w:val="20"/>
        </w:rPr>
        <w:t xml:space="preserve"> is a Class I director who has served as our Chief Executive Officer since February 2022 and previously served as our President and Chief Operating Officer since May 2015 and has been a member of our Board since July 2019. Prior to joining us, Mr. Metzger was President and COO from December 2013 to October 2014 and President and Chief Executive Officer and a member of the board of directors of Regado Biosciences, Inc., a former publicly traded biotechnology company that merged with Tobira Therapeutics, Inc., from October 2014 to May 2015, where he oversaw the company’s successful merger with Tobira Therapeutics, Inc. in 2015. Previously, Mr. Metzger served as Executive Vice President and Chief Operating Officer at Mersana Therapeutics, Inc., a then privately held biopharmaceutical company developing novel immunoconjugate therapies for cancer, from March 2011 to November 2013, and in senior business development positions including leading mergers and acquisitions at Forest Laboratories, LLC, which was acquired by Allergan plc, a publicly traded company, from 2006 to February 2011. Prior to Forest, Mr. Metzger served as Vice President Corporate Development at Onconova Therapeutics, Inc. and was a Managing Director at MESA Partners, Inc., a venture capital firm. Mr. Metzger currently serves on the board of directors of Pyxis Oncology, a publicly traded biotechnology company. He previously served on the board of directors of CTI Biopharma Corp., a publicly traded biopharmaceutical company. Mr. Metzger received a B.A. from George Washington University and an M.B.A. in Finance from the New York University Stern School of Business. We believe that Mr. Metzger’s executive experience and his current and previous membership on the board of directors of other biotechnology companies qualify him to serve as a member of our Board.</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Continuing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Martin H. Huber, M.D.</w:t>
      </w:r>
      <w:r>
        <w:rPr>
          <w:rFonts w:ascii="Times New Roman" w:hAnsi="Times New Roman"/>
          <w:color w:val="000000"/>
          <w:sz w:val="20"/>
        </w:rPr>
        <w:t xml:space="preserve"> is a Class II director who has served as a member of our Board since September 2021. From September 2023 through its January 2026 acquisition by Day One Biopharmaceuticals, Dr. Huber served as President and Chief Executive Officer and as a member of the board of directors of Mersana Therapeutics, Inc. Previously, he served as the President of R&amp;D, and prior to that as Chief Medical Officer, of Xilio Therapeutics, Inc. from April 2020 to September 2023. Prior to joining Xilio in April 2020, Dr. Huber served as Senior Vice President, Chief Medical Officer at TESARO, Inc. from September 2015 until its January 2019 acquisition by GlaxoSmithKline plc, and once acquired, as Senior Vice President, Clinical, until April 2020. Prior to TESARO, Dr. Huber served as Vice President, Oncology Clinical Research at Merck Research Laboratories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2012 to 2015. Prior to Merck, he served in roles of increasing responsibility at Schering-Plough, Hoffmann-La Roche and Rhone-Poulenc Rorer, where he led teams in the areas of oncology clinical development, drug safety and pharmacovigilance. He was previously an Assistant Professor of Oncology at the University of Texas M.D. Anderson Cancer Center. Dr. Huber earned his M.D. from Baylor College of Medicine. We believe that Dr. Huber’s extensive experience and leadership, including in serving as head of research and development and as a chief medical officer in the biopharmaceutical industry, qualify him to serve as a member of our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Jennifer Jarrett</w:t>
      </w:r>
      <w:r>
        <w:rPr>
          <w:rFonts w:ascii="Times New Roman" w:hAnsi="Times New Roman"/>
          <w:color w:val="000000"/>
          <w:sz w:val="20"/>
        </w:rPr>
        <w:t xml:space="preserve"> is a Class II director who has served as a member of our Board since September 2018. Since March 2026, Ms. Jarrett has served as President and Chief Executive Officer of Damora Therapeutics, Inc. From October 2020 through March 2026, she served as Chief Operating Officer of Arcus Biosciences. From February 2019 through September 2020, Ms. Jarrett served as Vice President of Corporate Development and Capital Markets of Uber Technologies. From June 2018 to January 2019 served as Arcus Bioscience’s Chief Operating Officer and Chief Financial Officer and as its Chief Business Officer and Chief Financial Officer from March 2017 to June 2018. From April 2016 to September 2016, Ms. Jarrett was the Chief Financial Officer of Medivation, a commercial biopharmaceutical company, which was acquired by Pfizer. Before Medivation, Ms. Jarrett spent 20 years in investment banking, most recently at Citigroup where she ran the firm’s west coast life sciences investment banking practice, and prior to that at Credit Suisse and Donaldson, Lufkin &amp; Jenrette. Ms. Jarrett currently serves on the board of directors of Damora, Sagimet Biosciences and Zura Bio, each of which is a publicly traded company, and previously served on the board of directors of each of Arcus Biosciences, Arena Pharmaceuticals and Audentes Therapeutics. Ms. Jarrett received a B.A. in Economics from Dartmouth College and her M.B.A. from the Stanford Graduate School of Business. We believe that Ms. Jarrett’s extensive experience and leadership, including in investment banking and in serving as a chief financial officer and chief business officer in the biopharmaceutical industry, qualify her to serve as a member of our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Keith A. Katkin</w:t>
      </w:r>
      <w:r>
        <w:rPr>
          <w:rFonts w:ascii="Times New Roman" w:hAnsi="Times New Roman"/>
          <w:color w:val="000000"/>
          <w:sz w:val="20"/>
        </w:rPr>
        <w:t xml:space="preserve"> is a Class III director who has served as a member of our Board since March 2017. From September 2017 through March 2020, Mr. Katkin served as the Chief Executive Officer and a member of the board of directors of Urovant Sciences Ltd., a publicly traded biopharmaceutical company. From March 2007 through January 2016, he was President and Chief Executive Officer of Avanir Pharmaceuticals, Inc., a publicly traded biopharmaceutical company, where he led the execution of the company’s sale to Otsuka Pharmaceutical Co., Ltd. in 2015. Mr. Katkin joined Avanir in July 2005 as the Senior Vice President of Sales and Marketing and a member of Avanir’s executive management team. While at Avanir, Mr. Katkin was responsible for creating and executing the plan that led to the approval of Nuedexta and the company’s growth to commercial success. Prior to joining Avanir, Mr. Katkin served as the Vice President, Commercial Development for Peninsula Pharmaceuticals, Inc., a privately held biopharmaceutical company, playing a key role in the concurrent initial public offering and ultimate sale of the company to Johnson and Johnson. Additionally, Mr. Katkin’s employment experience includes leadership roles at InterMune, Amgen and Abbott Laboratories. Mr. Katkin currently serves as a director at Eledon Pharmaceuticals, Inc. (Chairman), and Emergent BioSolutions, Inc., each of which is a publicly traded company. Mr. Katkin has an M.B.A. from the Anderson School at UCLA and earned a B.S. in Business and Accounting from Indiana University. Mr. Katkin is also a licensed Certified Public Accountant. We believe that Mr. Katkin’s executive experience and his membership on the board of directors of several biotechnology companies qualify him to serve as a member of our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Dennis G. Podlesak</w:t>
      </w:r>
      <w:r>
        <w:rPr>
          <w:rFonts w:ascii="Times New Roman" w:hAnsi="Times New Roman"/>
          <w:color w:val="000000"/>
          <w:sz w:val="20"/>
        </w:rPr>
        <w:t xml:space="preserve"> is a Class III director who has served as chairman of our Board since December 2008. Mr. Podlesak is the Chairman and Chief Executive Officer of Transposon Therapeutics, the Chief Executive Officer and Managing Partner of Canaan Partners’ Axcelius LLC, and is an Advisory Partner of Domain Associates, LLC which he joined in November 2007, both of which are life science-focused venture capital firms. Mr. Podlesak previously served as the Chairman of the board of directors of Tobira Therapeutics, a publicly traded biopharmaceutical company that was acquired by Allergan plc. Mr. Podlesak also served on the board of directors of Avanir Pharmaceuticals, a publicly traded biopharmaceutical company, through its acquisition by Otsuka Pharmaceuticals, and was a founding board member of Rightcare Solutions, which was acquired by Cardinal Health. Mr. Podlesak was also the founder and the Chief Executive Officer of Calixa Therapeutics, Inc., a privately held biopharmaceutical company that was acquired by Cubist Pharmaceuticals, and Mr. Podlesak was the Executive Chairman of Corthera, Inc., a privately held biopharmaceutical company which was acquired by Novartis AG. Earlier in his career, Mr. Podlesak served as the Founder and Chief Executive Officer of Cerexa, Inc., a privately held biotechnology company, which became a wholly owned subsidiary of Forest Laboratories, Inc. after being acquired by Forest. Prior to Cerexa, Mr. Podlesak served as the Chief Executive Officer of Peninsula Pharmaceuticals Inc., a privately held pharmaceutical company, and led the sale of Peninsula to Johnson &amp; Johnson’s Ortho-McNeil Pharmaceutical subsidiary. Prior to joining Peninsula, Mr. Podlesak held various executive management positions at Novartis AG, a publicly traded healthcare company, Allergan, plc, a publicly traded healthcare company and Smith Kline Beecham (now GlaxoSmithKline plc, a publicly traded pharmaceutical company). Mr. Podlesak received a B.A. and an M.B.A. from Pepperdine University, and has completed postgraduate studies at the Wharton School, University of Pennsylvania. We believe that Mr. Podlesak’s experience in the venture capital industry, his experience as the Chief Executive Officer and Chairman of other successful companies in the biotechnology industry, his over twenty years of strategic, operational and commercial experience in the pharmaceutical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industry, and his service as a director of other publicly traded and privately held life science companies give him the qualifications, skills and financial expertise to serve as a member of our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Aleksandra Rizo, M.D., Ph.D.</w:t>
      </w:r>
      <w:r>
        <w:rPr>
          <w:rFonts w:ascii="Times New Roman" w:hAnsi="Times New Roman"/>
          <w:color w:val="000000"/>
          <w:sz w:val="20"/>
        </w:rPr>
        <w:t xml:space="preserve"> is a Class III director who has served as a member of our Board since May 2024. Dr. Rizo currently serves as President and Chief Executive Officer as well as a member of the board of directors of Vividion Therapeutics where she joined in 2023 as President, Head of Research and Development. Previously, she served as Executive Vice President and Chief Medical Officer of Geron Corporation from 2019 to 2022. Prior to joining Geron, Dr. Rizo was Strategy and Clinical Lead at Celgene Corporation from 2018 to 2019. From 2008 to 2018, Dr. Rizo served in a number of oncology drug development functions with increasing responsibilities at Janssen Research and Development, LLC, including Senior Director, Compound Development Team Leader for the myeloid portfolio, Senior Director, Global Clinical Leader. Dr. Rizo earned an M.D. degree from the University Ss Cyril and Methodius, Skopje, Macedonia, where she also completed a residency in internal medicine/hematology. Dr. Rizo obtained her Ph.D. degrees in Stem Cell Biology from the University of Groningen in the Netherlands, and the University of Tokyo in Japan. We believe that Dr. Rizo’s extensive experience and leadership, including in serving as head of research and development and as a chief medical officer in the biopharmaceutical industry, qualify her to serve as a member of our Board.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eo"/>
      <w:bookmarkEnd w:id="7"/>
      <w:r>
        <w:rPr>
          <w:rFonts w:ascii="Times New Roman" w:hAnsi="Times New Roman"/>
          <w:b/>
          <w:color w:val="000000"/>
          <w:sz w:val="20"/>
        </w:rPr>
        <w:t>EXECUTIVE OFFICERS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following table sets forth information regarding our current executive officers who are not directors, as of the date of this proxy statement:</w:t>
      </w:r>
    </w:p>
    <w:p>
      <w:pPr>
        <w:pStyle w:val="TextBody"/>
        <w:bidi w:val="0"/>
        <w:jc w:val="both"/>
        <w:rPr/>
      </w:pPr>
      <w:r>
        <w:rPr/>
        <w:t> </w:t>
      </w:r>
    </w:p>
    <w:tbl>
      <w:tblPr>
        <w:tblW w:w="8229" w:type="dxa"/>
        <w:jc w:val="left"/>
        <w:tblInd w:w="0" w:type="dxa"/>
        <w:tblLayout w:type="fixed"/>
        <w:tblCellMar>
          <w:top w:w="28" w:type="dxa"/>
          <w:left w:w="28" w:type="dxa"/>
          <w:bottom w:w="28" w:type="dxa"/>
          <w:right w:w="28" w:type="dxa"/>
        </w:tblCellMar>
      </w:tblPr>
      <w:tblGrid>
        <w:gridCol w:w="2131"/>
        <w:gridCol w:w="146"/>
        <w:gridCol w:w="146"/>
        <w:gridCol w:w="146"/>
        <w:gridCol w:w="316"/>
        <w:gridCol w:w="146"/>
        <w:gridCol w:w="146"/>
        <w:gridCol w:w="146"/>
        <w:gridCol w:w="490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Position(s)</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Botwood, M.B.B.S.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Head of Research and Development, Chief Medical Officer</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r>
    </w:tbl>
    <w:p>
      <w:pPr>
        <w:pStyle w:val="TextBody"/>
        <w:bidi w:val="0"/>
        <w:jc w:val="both"/>
        <w:rPr/>
      </w:pPr>
      <w:r>
        <w:rPr/>
        <w:t> </w:t>
      </w:r>
    </w:p>
    <w:p>
      <w:pPr>
        <w:pStyle w:val="TextBody"/>
        <w:bidi w:val="0"/>
        <w:spacing w:before="64" w:after="283"/>
        <w:jc w:val="both"/>
        <w:rPr>
          <w:rFonts w:ascii="Times New Roman" w:hAnsi="Times New Roman"/>
          <w:sz w:val="20"/>
        </w:rPr>
      </w:pPr>
      <w:r>
        <w:rPr>
          <w:rFonts w:ascii="Times New Roman" w:hAnsi="Times New Roman"/>
          <w:b/>
          <w:i/>
          <w:color w:val="000000"/>
          <w:sz w:val="20"/>
        </w:rPr>
        <w:t>Luke J. Albrecht</w:t>
      </w:r>
      <w:r>
        <w:rPr>
          <w:rFonts w:ascii="Times New Roman" w:hAnsi="Times New Roman"/>
          <w:color w:val="000000"/>
          <w:sz w:val="20"/>
        </w:rPr>
        <w:t xml:space="preserve"> has served as our General Counsel since August 2016 and as our Secretary since September 2016. Previously he was Vice President, General Counsel and Secretary, Chief Compliance Officer for Boston Heart Diagnostics Corporation. Prior to Boston Heart, Mr. Albrecht was in-house counsel for Advanced BioHealing, Inc. where he held senior legal positions and, following the company’s acquisition by Shire plc, with Shire Regenerative Medicine. He practiced corporate and transactional law at the international law firms McDermott Will &amp; Emery LLP and Cooley LLP. Mr. Albrecht received a B.A. from the University of New Hampshire and a J.D. from Suffolk University Law School.</w:t>
      </w:r>
    </w:p>
    <w:p>
      <w:pPr>
        <w:pStyle w:val="TextBody"/>
        <w:bidi w:val="0"/>
        <w:spacing w:before="264" w:after="283"/>
        <w:jc w:val="both"/>
        <w:rPr>
          <w:rFonts w:ascii="Times New Roman" w:hAnsi="Times New Roman"/>
          <w:sz w:val="20"/>
        </w:rPr>
      </w:pPr>
      <w:r>
        <w:rPr>
          <w:rFonts w:ascii="Times New Roman" w:hAnsi="Times New Roman"/>
          <w:b/>
          <w:i/>
          <w:color w:val="000000"/>
          <w:sz w:val="20"/>
        </w:rPr>
        <w:t>Nick Botwood, M.B.B.S.</w:t>
      </w:r>
      <w:r>
        <w:rPr>
          <w:rFonts w:ascii="Times New Roman" w:hAnsi="Times New Roman"/>
          <w:color w:val="000000"/>
          <w:sz w:val="20"/>
        </w:rPr>
        <w:t xml:space="preserve"> has served as our Head of Research &amp; Development and Chief Medical Officer since May 2025. Prior to joining Syndax, he held various senior leadership roles at the Bristol-Myers Squibb Company (“</w:t>
      </w:r>
      <w:r>
        <w:rPr>
          <w:rFonts w:ascii="Times New Roman" w:hAnsi="Times New Roman"/>
          <w:b/>
          <w:i/>
          <w:color w:val="000000"/>
          <w:sz w:val="20"/>
        </w:rPr>
        <w:t>BMS</w:t>
      </w:r>
      <w:r>
        <w:rPr>
          <w:rFonts w:ascii="Times New Roman" w:hAnsi="Times New Roman"/>
          <w:color w:val="000000"/>
          <w:sz w:val="20"/>
        </w:rPr>
        <w:t>”), most recently serving as the Head of Worldwide Medical Oncology, where he oversaw all medical activities in its oncology portfolio, including new asset launches, data generation, medical education and commercial strategy. From 2020 through 2022, as Senior Vice President, Head U.S. Medical, he was accountable for all medical planning in the United States across commercial and development, including hematology and oncology. From 2015 to 2020, he held senior clinical development roles across BMS’ oncology portfolio. Before BMS, Dr. Botwood spent nearly 15 years at AstraZeneca plc, where he held roles of increasing responsibility and ultimately served as Vice President, Head of Oncology Clinical and Head of Global Clinical Operations and had direct clinical accountability for a number of established oncology brands. Dr. Botwood holds a Bachelor of Medicine, Bachelor of Surgery (M.B.B.S.) from Imperial College London and a Bachelor of Science (B.S.c.) from University College London. He is a member of the Faculty of Pharmaceutical Medicine and an elected Fellow of the Royal College of Physicians UK.</w:t>
      </w:r>
    </w:p>
    <w:p>
      <w:pPr>
        <w:pStyle w:val="TextBody"/>
        <w:bidi w:val="0"/>
        <w:spacing w:before="264" w:after="283"/>
        <w:jc w:val="both"/>
        <w:rPr>
          <w:rFonts w:ascii="Times New Roman" w:hAnsi="Times New Roman"/>
          <w:sz w:val="20"/>
        </w:rPr>
      </w:pPr>
      <w:r>
        <w:rPr>
          <w:rFonts w:ascii="Times New Roman" w:hAnsi="Times New Roman"/>
          <w:b/>
          <w:i/>
          <w:color w:val="000000"/>
          <w:sz w:val="20"/>
        </w:rPr>
        <w:t xml:space="preserve">Steve Closter </w:t>
      </w:r>
      <w:r>
        <w:rPr>
          <w:rFonts w:ascii="Times New Roman" w:hAnsi="Times New Roman"/>
          <w:color w:val="000000"/>
          <w:sz w:val="20"/>
        </w:rPr>
        <w:t>has served as our Chief Commercial Officer since March 2024. Prior to joining the Company, Mr. Closter served in various roles at Sunovion Pharmaceuticals, Inc., which was consolidated into Sumitomo Pharma America, Inc. in 2023, ultimately serving as Vice President, Brand Strategy and Launch Excellence. At Sunovion, he was responsible for global pre-commercialization, launch, marketing, sales, and market access strategies for products across neurology, psychiatry, and primary care therapeutics. Before Sumitomo, he spent nearly 20 years in senior marketing and commercial roles at Forest Laboratories, LLC, then Allergan, most recently serving as Vice President, Marketing, where he held responsibility for marketing products covering oncology, hospital-based anti-infectives, CNS, cardiovascular and other therapeutic areas. Prior to Forest, he spent six years at Dura Pharmaceuticals, Inc. in sales management positions of increasing responsibility. Mr. Closter received a B.S. in Business from Cornell University and an M.B.A. from the New York University’s Stern School of Business.</w:t>
      </w:r>
    </w:p>
    <w:p>
      <w:pPr>
        <w:pStyle w:val="TextBody"/>
        <w:bidi w:val="0"/>
        <w:spacing w:before="264" w:after="283"/>
        <w:jc w:val="both"/>
        <w:rPr>
          <w:rFonts w:ascii="Times New Roman" w:hAnsi="Times New Roman"/>
          <w:sz w:val="20"/>
        </w:rPr>
      </w:pPr>
      <w:r>
        <w:rPr>
          <w:rFonts w:ascii="Times New Roman" w:hAnsi="Times New Roman"/>
          <w:b/>
          <w:i/>
          <w:color w:val="000000"/>
          <w:sz w:val="20"/>
        </w:rPr>
        <w:t>Keith A. Goldan</w:t>
      </w:r>
      <w:r>
        <w:rPr>
          <w:rFonts w:ascii="Times New Roman" w:hAnsi="Times New Roman"/>
          <w:color w:val="000000"/>
          <w:sz w:val="20"/>
        </w:rPr>
        <w:t xml:space="preserve"> has served as our Chief Financial Officer since June 2022. Prior to joining Syndax, he served as Chief Financial Officer of Optinose, a publicly traded specialty pharmaceutical company, since January 2017, where he helped build the infrastructure to support the launch of its lead product in the United States. Prior to Optinose, he served as Chief Financial Officer and Senior Vice President of Fibrocell, a publicly traded cell and gene therapy company. His experience also includes Chief Financial Officer roles at NuPathe, PuriCore plc and Biosyn as well as financial roles at ViroPharma and KPMG. In these positions, he led finance, accounting, IT, HR and corporate development teams and successfully raised capital through multiple IPOs, capital markets transactions and financing vehicles. He has served on the board of Abeona Therapeutics, Inc., a publicly traded company, since April 2026, where he is also the Chairman of Abeona’s Audit Committee. Mr. Goldan received a B.S. in Finance from the Robert H. Smith School of Business at the University of Maryland and an M.B.A. from the Wharton School at the University of Pennsylvania.</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6" w:after="283"/>
        <w:jc w:val="center"/>
        <w:rPr>
          <w:rFonts w:ascii="Times New Roman" w:hAnsi="Times New Roman"/>
          <w:b/>
          <w:color w:val="000000"/>
          <w:sz w:val="20"/>
        </w:rPr>
      </w:pPr>
      <w:bookmarkStart w:id="8" w:name="tbodaic"/>
      <w:bookmarkEnd w:id="8"/>
      <w:r>
        <w:rPr>
          <w:rFonts w:ascii="Times New Roman" w:hAnsi="Times New Roman"/>
          <w:b/>
          <w:color w:val="000000"/>
          <w:sz w:val="20"/>
        </w:rPr>
        <w:t>THE BOARD OF DIRECTORS AND ITS COMMITTEES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Corporate Governance Guidelines</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membership criteria and selection, board meetings and committees, risk oversight, management review and responsibility, including performance evaluation and succession planning. The Corporate Governance Guidelines are available in the “Investors–Corporate Governance” section of our website, </w:t>
      </w:r>
      <w:r>
        <w:rPr>
          <w:rFonts w:ascii="Times New Roman" w:hAnsi="Times New Roman"/>
          <w:sz w:val="20"/>
        </w:rPr>
        <w:t>www.syndax.com</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bookmarkStart w:id="9" w:name="boardindependence"/>
      <w:bookmarkEnd w:id="9"/>
      <w:r>
        <w:rPr>
          <w:rFonts w:ascii="Times New Roman" w:hAnsi="Times New Roman"/>
          <w:b/>
          <w:color w:val="000000"/>
          <w:sz w:val="20"/>
        </w:rPr>
        <w:t>Board Independence</w:t>
      </w:r>
    </w:p>
    <w:p>
      <w:pPr>
        <w:pStyle w:val="TextBody"/>
        <w:bidi w:val="0"/>
        <w:spacing w:before="132" w:after="283"/>
        <w:jc w:val="both"/>
        <w:rPr>
          <w:rFonts w:ascii="Times New Roman" w:hAnsi="Times New Roman"/>
          <w:sz w:val="20"/>
        </w:rPr>
      </w:pPr>
      <w:r>
        <w:rPr>
          <w:rFonts w:ascii="Times New Roman" w:hAnsi="Times New Roman"/>
          <w:color w:val="000000"/>
          <w:sz w:val="20"/>
        </w:rPr>
        <w:t>Rule 5605 of the Nasdaq Listing Rules requires that independent directors compose a majority of a listed company’s board of directors. In addition, the Nasdaq Listing Rules require that, subject to specified exceptions including certain phase-in rules, each member of a listed company’s audit, compensation, and nominating and corporate governance committees be independent and that audit committee members also satisfy independence criteria set forth in Rule 10A-3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Under Nasdaq Listing Rule 5605(a)(2), a director will only qualify as an “independent director” if, in the opinion of our Board,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company or any of its subsidiaries; or (ii) be an affiliated person of the company or any of its subsidiaries. In addition to satisfying general independence requirements under the Nasdaq Listing Rules, members of the compensation committee must also satisfy additional independence requirements set forth in Rule 10C-1 under the Exchange Act and Nasdaq Listing Rule 5605(d)(2). Pursuant to Rule 10C-1 under the Exchange Act and Nasdaq Listing Rule 5605(d)(2), in affirmatively determining the independence of a member of a compensation committee of a listed company, the board of directors must consider all factors specifically relevant to determining whether that member has a relationship with the company that is material to that member’s ability to be independent from management in connection with the duties of a compensation committee member, including: (a) the source of compensation of such member, including any consulting, advisory or other compensatory fee paid by the company to such member; and (b) whether such member is affiliated with the company, a subsidiary of the company or an affiliate of a subsidiary of the company.</w:t>
      </w:r>
    </w:p>
    <w:p>
      <w:pPr>
        <w:pStyle w:val="TextBody"/>
        <w:bidi w:val="0"/>
        <w:spacing w:before="132" w:after="283"/>
        <w:jc w:val="both"/>
        <w:rPr>
          <w:rFonts w:ascii="Times New Roman" w:hAnsi="Times New Roman"/>
          <w:sz w:val="20"/>
        </w:rPr>
      </w:pPr>
      <w:r>
        <w:rPr>
          <w:rFonts w:ascii="Times New Roman" w:hAnsi="Times New Roman"/>
          <w:color w:val="000000"/>
          <w:sz w:val="20"/>
        </w:rPr>
        <w:t>Consistent with these considerations, after review of all relevant identified transactions or relationships between each director, or any of his or her family members, and the Company, its senior management and its independent auditors, our Board has affirmatively determined that all our directors, except Michael A. Metzger, who serves as our Chief Executive Officer, are independent directors within the meaning of the applicable Nasdaq Listing Rules and SEC rules. In making this determination, our Board has determined, upon the recommendation of our Nominating and Corporate Governance Committee, that none of these directors has a relationship that would interfere with the exercise of independent judgment in carrying out the responsibilities of a director and is independent within the meaning of the director independence standards established by the SEC and the Nasdaq Listing Rules. The Board also determined that each member of the audit committee of our Board (the “</w:t>
      </w:r>
      <w:r>
        <w:rPr>
          <w:rFonts w:ascii="Times New Roman" w:hAnsi="Times New Roman"/>
          <w:b/>
          <w:i/>
          <w:color w:val="000000"/>
          <w:sz w:val="20"/>
        </w:rPr>
        <w:t>Audit Committee</w:t>
      </w:r>
      <w:r>
        <w:rPr>
          <w:rFonts w:ascii="Times New Roman" w:hAnsi="Times New Roman"/>
          <w:color w:val="000000"/>
          <w:sz w:val="20"/>
        </w:rPr>
        <w:t>”), the compensation committee of our Board (the “</w:t>
      </w:r>
      <w:r>
        <w:rPr>
          <w:rFonts w:ascii="Times New Roman" w:hAnsi="Times New Roman"/>
          <w:b/>
          <w:i/>
          <w:color w:val="000000"/>
          <w:sz w:val="20"/>
        </w:rPr>
        <w:t>Compensation Committee</w:t>
      </w:r>
      <w:r>
        <w:rPr>
          <w:rFonts w:ascii="Times New Roman" w:hAnsi="Times New Roman"/>
          <w:color w:val="000000"/>
          <w:sz w:val="20"/>
        </w:rPr>
        <w:t>”) and the Nominating and Corporate Governance Committee satisfies the independence standards for such committees established by the SEC and the Nasdaq Listing Rules, as applicable.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At least annually, our Board will evaluate all relationships between us and each director considering relevant facts and circumstances for the purposes of determining whether a material relationship exists that might signal a potential conflict of interest or otherwise interfere with such director’s ability to satisfy his or her responsibilities as an independent director. Based on this evaluation, our Board will make an annual determination of whether each director is independent within the meaning of Nasdaq and the SEC independence standards.</w:t>
      </w:r>
    </w:p>
    <w:p>
      <w:pPr>
        <w:pStyle w:val="TextBody"/>
        <w:bidi w:val="0"/>
        <w:spacing w:before="396" w:after="283"/>
        <w:jc w:val="both"/>
        <w:rPr>
          <w:rFonts w:ascii="Times New Roman" w:hAnsi="Times New Roman"/>
          <w:b/>
          <w:color w:val="000000"/>
          <w:sz w:val="20"/>
        </w:rPr>
      </w:pPr>
      <w:bookmarkStart w:id="10" w:name="bmaa"/>
      <w:bookmarkEnd w:id="10"/>
      <w:r>
        <w:rPr>
          <w:rFonts w:ascii="Times New Roman" w:hAnsi="Times New Roman"/>
          <w:b/>
          <w:color w:val="000000"/>
          <w:sz w:val="20"/>
        </w:rPr>
        <w:t>Board Meetings and Attendance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Our Corporate Governance Guidelines provide that all directors are expected to prepare for, attend and participate in all meetings of the Board and committees on which they serve. Our Board held five meetings during the fiscal year ended December 31, 2025.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 except as noted below. It is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policy to encourage our directors to attend the Annual Meeting. All of our directors attended our 2025 annual meeting of stockholders.</w:t>
      </w:r>
    </w:p>
    <w:p>
      <w:pPr>
        <w:pStyle w:val="TextBody"/>
        <w:bidi w:val="0"/>
        <w:spacing w:before="396" w:after="283"/>
        <w:jc w:val="both"/>
        <w:rPr>
          <w:rFonts w:ascii="Times New Roman" w:hAnsi="Times New Roman"/>
          <w:b/>
          <w:color w:val="000000"/>
          <w:sz w:val="20"/>
        </w:rPr>
      </w:pPr>
      <w:bookmarkStart w:id="11" w:name="bcmtes"/>
      <w:bookmarkEnd w:id="11"/>
      <w:r>
        <w:rPr>
          <w:rFonts w:ascii="Times New Roman" w:hAnsi="Times New Roman"/>
          <w:b/>
          <w:color w:val="000000"/>
          <w:sz w:val="20"/>
        </w:rPr>
        <w:t>Board Committees</w:t>
      </w:r>
    </w:p>
    <w:p>
      <w:pPr>
        <w:pStyle w:val="TextBody"/>
        <w:bidi w:val="0"/>
        <w:spacing w:before="132" w:after="283"/>
        <w:jc w:val="both"/>
        <w:rPr>
          <w:rFonts w:ascii="Times New Roman" w:hAnsi="Times New Roman"/>
          <w:sz w:val="20"/>
        </w:rPr>
      </w:pPr>
      <w:r>
        <w:rPr>
          <w:rFonts w:ascii="Times New Roman" w:hAnsi="Times New Roman"/>
          <w:color w:val="000000"/>
          <w:sz w:val="20"/>
        </w:rPr>
        <w:t xml:space="preserve">Our Board has established four standing committees: the Audit Committee, the Compensation Committee, the Nominating and Corporate Governance Committee and the Science and Technology Committee, each of which is described more fully below. Each committee operates pursuant to a written charter and each committee reviews and assesses the adequacy of its charter and submits its charter to the Board for approval. The charters for each committee are all available on the investor relations portion of our website, </w:t>
      </w:r>
      <w:r>
        <w:rPr>
          <w:rFonts w:ascii="Times New Roman" w:hAnsi="Times New Roman"/>
          <w:color w:val="000000"/>
          <w:sz w:val="20"/>
          <w:u w:val="single"/>
        </w:rPr>
        <w:t>www.syndax.com</w:t>
      </w:r>
      <w:r>
        <w:rPr>
          <w:rFonts w:ascii="Times New Roman" w:hAnsi="Times New Roman"/>
          <w:color w:val="000000"/>
          <w:sz w:val="20"/>
        </w:rPr>
        <w:t>. The inclusion of our website address here and elsewhere in this proxy statement does not include or incorporate by reference the information on our website into this proxy statement.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following table provides membership and meeting information for the year ended December 31, 2025 for each committee:</w:t>
      </w:r>
    </w:p>
    <w:tbl>
      <w:tblPr>
        <w:tblW w:w="9896" w:type="dxa"/>
        <w:jc w:val="left"/>
        <w:tblInd w:w="0" w:type="dxa"/>
        <w:tblLayout w:type="fixed"/>
        <w:tblCellMar>
          <w:top w:w="28" w:type="dxa"/>
          <w:left w:w="28" w:type="dxa"/>
          <w:bottom w:w="28" w:type="dxa"/>
          <w:right w:w="28" w:type="dxa"/>
        </w:tblCellMar>
      </w:tblPr>
      <w:tblGrid>
        <w:gridCol w:w="2537"/>
        <w:gridCol w:w="448"/>
        <w:gridCol w:w="146"/>
        <w:gridCol w:w="1036"/>
        <w:gridCol w:w="1321"/>
        <w:gridCol w:w="2071"/>
        <w:gridCol w:w="2146"/>
        <w:gridCol w:w="191"/>
      </w:tblGrid>
      <w:tr>
        <w:trPr/>
        <w:tc>
          <w:tcPr>
            <w:tcW w:w="253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Nominating and</w:t>
            </w:r>
          </w:p>
        </w:tc>
        <w:tc>
          <w:tcPr>
            <w:tcW w:w="214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Science and Technology</w:t>
            </w:r>
          </w:p>
        </w:tc>
        <w:tc>
          <w:tcPr>
            <w:tcW w:w="191" w:type="dxa"/>
            <w:tcBorders/>
          </w:tcPr>
          <w:p>
            <w:pPr>
              <w:pStyle w:val="TableContents"/>
              <w:bidi w:val="0"/>
              <w:spacing w:before="0" w:after="283"/>
              <w:jc w:val="left"/>
              <w:rPr>
                <w:sz w:val="4"/>
                <w:szCs w:val="4"/>
              </w:rPr>
            </w:pPr>
            <w:r>
              <w:rPr>
                <w:sz w:val="4"/>
                <w:szCs w:val="4"/>
              </w:rPr>
            </w:r>
          </w:p>
        </w:tc>
      </w:tr>
      <w:tr>
        <w:trPr/>
        <w:tc>
          <w:tcPr>
            <w:tcW w:w="2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Audit</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Compensation</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Corporate Governance</w:t>
            </w:r>
          </w:p>
        </w:tc>
        <w:tc>
          <w:tcPr>
            <w:tcW w:w="2146" w:type="dxa"/>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Committee</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Committee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Committee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Committee</w:t>
            </w:r>
          </w:p>
        </w:tc>
        <w:tc>
          <w:tcPr>
            <w:tcW w:w="191" w:type="dxa"/>
            <w:tcBorders/>
          </w:tcPr>
          <w:p>
            <w:pPr>
              <w:pStyle w:val="TableContents"/>
              <w:bidi w:val="0"/>
              <w:spacing w:before="0" w:after="283"/>
              <w:jc w:val="left"/>
              <w:rPr>
                <w:sz w:val="4"/>
                <w:szCs w:val="4"/>
              </w:rPr>
            </w:pPr>
            <w:r>
              <w:rPr>
                <w:sz w:val="4"/>
                <w:szCs w:val="4"/>
              </w:rPr>
            </w:r>
          </w:p>
        </w:tc>
      </w:tr>
      <w:tr>
        <w:trPr/>
        <w:tc>
          <w:tcPr>
            <w:tcW w:w="298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H. Huber,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975" cy="180975"/>
                          </a:xfrm>
                          <a:prstGeom prst="rect">
                            <a:avLst/>
                          </a:prstGeom>
                        </pic:spPr>
                      </pic:pic>
                    </a:graphicData>
                  </a:graphic>
                </wp:inline>
              </w:drawing>
            </w:r>
          </w:p>
        </w:tc>
        <w:tc>
          <w:tcPr>
            <w:tcW w:w="191" w:type="dxa"/>
            <w:tcBorders/>
            <w:shd w:fill="CFF0FC" w:val="clear"/>
          </w:tcPr>
          <w:p>
            <w:pPr>
              <w:pStyle w:val="TableContents"/>
              <w:bidi w:val="0"/>
              <w:spacing w:before="0" w:after="283"/>
              <w:jc w:val="left"/>
              <w:rPr>
                <w:sz w:val="4"/>
                <w:szCs w:val="4"/>
              </w:rPr>
            </w:pPr>
            <w:r>
              <w:rPr>
                <w:sz w:val="4"/>
                <w:szCs w:val="4"/>
              </w:rPr>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Jarrett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0975" cy="180975"/>
                          </a:xfrm>
                          <a:prstGeom prst="rect">
                            <a:avLst/>
                          </a:prstGeom>
                        </pic:spPr>
                      </pic:pic>
                    </a:graphicData>
                  </a:graphic>
                </wp:inline>
              </w:drawing>
            </w:r>
          </w:p>
        </w:tc>
        <w:tc>
          <w:tcPr>
            <w:tcW w:w="21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975" cy="180975"/>
                          </a:xfrm>
                          <a:prstGeom prst="rect">
                            <a:avLst/>
                          </a:prstGeom>
                        </pic:spPr>
                      </pic:pic>
                    </a:graphicData>
                  </a:graphic>
                </wp:inline>
              </w:drawing>
            </w:r>
          </w:p>
        </w:tc>
        <w:tc>
          <w:tcPr>
            <w:tcW w:w="191" w:type="dxa"/>
            <w:tcBorders/>
          </w:tcPr>
          <w:p>
            <w:pPr>
              <w:pStyle w:val="TableContents"/>
              <w:bidi w:val="0"/>
              <w:spacing w:before="0" w:after="283"/>
              <w:jc w:val="left"/>
              <w:rPr>
                <w:sz w:val="4"/>
                <w:szCs w:val="4"/>
              </w:rPr>
            </w:pPr>
            <w:r>
              <w:rPr>
                <w:sz w:val="4"/>
                <w:szCs w:val="4"/>
              </w:rPr>
            </w:r>
          </w:p>
        </w:tc>
      </w:tr>
      <w:tr>
        <w:trPr/>
        <w:tc>
          <w:tcPr>
            <w:tcW w:w="298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Keith A. Katkin </w:t>
            </w:r>
            <w:r>
              <w:rPr>
                <w:rFonts w:ascii="Times New Roman" w:hAnsi="Times New Roman"/>
                <w:sz w:val="20"/>
              </w:rPr>
              <w:drawing>
                <wp:inline distT="0" distB="0" distL="0" distR="0">
                  <wp:extent cx="1238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3825" cy="142875"/>
                          </a:xfrm>
                          <a:prstGeom prst="rect">
                            <a:avLst/>
                          </a:prstGeom>
                        </pic:spPr>
                      </pic:pic>
                    </a:graphicData>
                  </a:graphic>
                </wp:inline>
              </w:drawing>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0975" cy="180975"/>
                          </a:xfrm>
                          <a:prstGeom prst="rect">
                            <a:avLst/>
                          </a:prstGeom>
                        </pic:spPr>
                      </pic:pic>
                    </a:graphicData>
                  </a:graphic>
                </wp:inline>
              </w:drawing>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0975" cy="180975"/>
                          </a:xfrm>
                          <a:prstGeom prst="rect">
                            <a:avLst/>
                          </a:prstGeom>
                        </pic:spPr>
                      </pic:pic>
                    </a:graphicData>
                  </a:graphic>
                </wp:inline>
              </w:drawing>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80975" cy="180975"/>
                          </a:xfrm>
                          <a:prstGeom prst="rect">
                            <a:avLst/>
                          </a:prstGeom>
                        </pic:spPr>
                      </pic:pic>
                    </a:graphicData>
                  </a:graphic>
                </wp:inline>
              </w:drawing>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0975" cy="180975"/>
                          </a:xfrm>
                          <a:prstGeom prst="rect">
                            <a:avLst/>
                          </a:prstGeom>
                        </pic:spPr>
                      </pic:pic>
                    </a:graphicData>
                  </a:graphic>
                </wp:inline>
              </w:drawing>
            </w:r>
          </w:p>
        </w:tc>
        <w:tc>
          <w:tcPr>
            <w:tcW w:w="191" w:type="dxa"/>
            <w:tcBorders/>
            <w:shd w:fill="CFF0FC" w:val="clear"/>
          </w:tcPr>
          <w:p>
            <w:pPr>
              <w:pStyle w:val="TableContents"/>
              <w:bidi w:val="0"/>
              <w:spacing w:before="0" w:after="283"/>
              <w:jc w:val="left"/>
              <w:rPr>
                <w:sz w:val="4"/>
                <w:szCs w:val="4"/>
              </w:rPr>
            </w:pPr>
            <w:r>
              <w:rPr>
                <w:sz w:val="4"/>
                <w:szCs w:val="4"/>
              </w:rPr>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Pierre Legault </w:t>
            </w:r>
            <w:r>
              <w:rPr>
                <w:rFonts w:ascii="Times New Roman" w:hAnsi="Times New Roman"/>
                <w:sz w:val="20"/>
              </w:rPr>
              <w:drawing>
                <wp:inline distT="0" distB="0" distL="0" distR="0">
                  <wp:extent cx="12382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3825" cy="1428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80975" cy="180975"/>
                          </a:xfrm>
                          <a:prstGeom prst="rect">
                            <a:avLst/>
                          </a:prstGeom>
                        </pic:spPr>
                      </pic:pic>
                    </a:graphicData>
                  </a:graphic>
                </wp:inline>
              </w:drawing>
            </w:r>
          </w:p>
        </w:tc>
        <w:tc>
          <w:tcPr>
            <w:tcW w:w="13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80975" cy="180975"/>
                          </a:xfrm>
                          <a:prstGeom prst="rect">
                            <a:avLst/>
                          </a:prstGeom>
                        </pic:spPr>
                      </pic:pic>
                    </a:graphicData>
                  </a:graphic>
                </wp:inline>
              </w:drawing>
            </w:r>
          </w:p>
        </w:tc>
        <w:tc>
          <w:tcPr>
            <w:tcW w:w="20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80975" cy="180975"/>
                          </a:xfrm>
                          <a:prstGeom prst="rect">
                            <a:avLst/>
                          </a:prstGeom>
                        </pic:spPr>
                      </pic:pic>
                    </a:graphicData>
                  </a:graphic>
                </wp:inline>
              </w:drawing>
            </w:r>
          </w:p>
        </w:tc>
        <w:tc>
          <w:tcPr>
            <w:tcW w:w="2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98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G. Podlesak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1925" cy="161925"/>
                          </a:xfrm>
                          <a:prstGeom prst="rect">
                            <a:avLst/>
                          </a:prstGeom>
                        </pic:spPr>
                      </pic:pic>
                    </a:graphicData>
                  </a:graphic>
                </wp:inline>
              </w:drawing>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80975" cy="180975"/>
                          </a:xfrm>
                          <a:prstGeom prst="rect">
                            <a:avLst/>
                          </a:prstGeom>
                        </pic:spPr>
                      </pic:pic>
                    </a:graphicData>
                  </a:graphic>
                </wp:inline>
              </w:drawing>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80975" cy="180975"/>
                          </a:xfrm>
                          <a:prstGeom prst="rect">
                            <a:avLst/>
                          </a:prstGeom>
                        </pic:spPr>
                      </pic:pic>
                    </a:graphicData>
                  </a:graphic>
                </wp:inline>
              </w:drawing>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Pr>
          <w:p>
            <w:pPr>
              <w:pStyle w:val="TableContents"/>
              <w:bidi w:val="0"/>
              <w:spacing w:before="0" w:after="283"/>
              <w:jc w:val="left"/>
              <w:rPr>
                <w:sz w:val="4"/>
                <w:szCs w:val="4"/>
              </w:rPr>
            </w:pPr>
            <w:r>
              <w:rPr>
                <w:sz w:val="4"/>
                <w:szCs w:val="4"/>
              </w:rPr>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Aleksandra Rizo,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180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80975" cy="180975"/>
                          </a:xfrm>
                          <a:prstGeom prst="rect">
                            <a:avLst/>
                          </a:prstGeom>
                        </pic:spPr>
                      </pic:pic>
                    </a:graphicData>
                  </a:graphic>
                </wp:inline>
              </w:drawing>
            </w:r>
          </w:p>
        </w:tc>
        <w:tc>
          <w:tcPr>
            <w:tcW w:w="191" w:type="dxa"/>
            <w:tcBorders/>
          </w:tcPr>
          <w:p>
            <w:pPr>
              <w:pStyle w:val="TableContents"/>
              <w:bidi w:val="0"/>
              <w:spacing w:before="0" w:after="283"/>
              <w:jc w:val="left"/>
              <w:rPr>
                <w:sz w:val="4"/>
                <w:szCs w:val="4"/>
              </w:rPr>
            </w:pPr>
            <w:r>
              <w:rPr>
                <w:sz w:val="4"/>
                <w:szCs w:val="4"/>
              </w:rPr>
            </w:r>
          </w:p>
        </w:tc>
      </w:tr>
      <w:tr>
        <w:trPr/>
        <w:tc>
          <w:tcPr>
            <w:tcW w:w="298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committee meetings in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91" w:type="dxa"/>
            <w:tcBorders/>
            <w:shd w:fill="CFF0FC" w:val="clear"/>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both"/>
        <w:rPr/>
      </w:pPr>
      <w:r>
        <w:rPr/>
        <w:t> </w:t>
      </w:r>
    </w:p>
    <w:p>
      <w:pPr>
        <w:pStyle w:val="TextBody"/>
        <w:bidi w:val="0"/>
        <w:jc w:val="both"/>
        <w:rPr/>
      </w:pPr>
      <w:r>
        <w:rPr/>
        <w:drawing>
          <wp:inline distT="0" distB="0" distL="0" distR="0">
            <wp:extent cx="161925" cy="1619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1925" cy="161925"/>
                    </a:xfrm>
                    <a:prstGeom prst="rect">
                      <a:avLst/>
                    </a:prstGeom>
                  </pic:spPr>
                </pic:pic>
              </a:graphicData>
            </a:graphic>
          </wp:inline>
        </w:drawing>
      </w:r>
      <w:r>
        <w:rPr>
          <w:color w:val="000000"/>
        </w:rPr>
        <w:t xml:space="preserve"> </w:t>
      </w:r>
      <w:r>
        <w:rPr>
          <w:rFonts w:ascii="Times New Roman" w:hAnsi="Times New Roman"/>
          <w:color w:val="000000"/>
          <w:sz w:val="18"/>
        </w:rPr>
        <w:t xml:space="preserve">Chair </w:t>
      </w:r>
      <w:r>
        <w:rPr>
          <w:rFonts w:ascii="Times New Roman" w:hAnsi="Times New Roman"/>
          <w:sz w:val="20"/>
        </w:rPr>
        <w:drawing>
          <wp:inline distT="0" distB="0" distL="0" distR="0">
            <wp:extent cx="161925" cy="1619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1925" cy="161925"/>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18"/>
        </w:rPr>
        <w:t>Member</w:t>
      </w:r>
    </w:p>
    <w:p>
      <w:pPr>
        <w:pStyle w:val="TextBody"/>
        <w:bidi w:val="0"/>
        <w:jc w:val="left"/>
        <w:rPr/>
      </w:pPr>
      <w:r>
        <w:rPr/>
        <w:drawing>
          <wp:inline distT="0" distB="0" distL="0" distR="0">
            <wp:extent cx="1238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3825" cy="142875"/>
                    </a:xfrm>
                    <a:prstGeom prst="rect">
                      <a:avLst/>
                    </a:prstGeom>
                  </pic:spPr>
                </pic:pic>
              </a:graphicData>
            </a:graphic>
          </wp:inline>
        </w:drawing>
      </w:r>
      <w:r>
        <w:rPr>
          <w:color w:val="000000"/>
        </w:rPr>
        <w:t xml:space="preserve"> </w:t>
      </w:r>
      <w:r>
        <w:rPr>
          <w:rFonts w:ascii="Times New Roman" w:hAnsi="Times New Roman"/>
          <w:color w:val="000000"/>
          <w:sz w:val="18"/>
        </w:rPr>
        <w:t>Financial Expert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Below is a description of each committee of the Board.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Messrs. Katkin, Legault and Podlesak, served as members of the Audit Committee during 2025, with Mr. Legault serving as chair of the committee. Our Board has determined that each current member of the Audit Committee meets the independence requirements of Rule 10A-3 under the Exchange Act and the applicable listing standards of Nasdaq. Our Board determined that Messrs. Katkin and Legault are currently each an “audit committee financial expert,” both within the meaning of the SEC regulations and applicable listing standards of Nasdaq. The report of the Audit Committee is included in this proxy statement under “Report of the Audit Committee.” The functions of our Audit Committee include, among other things: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appointing, approving the compensation of, and assessing the independence of our independent registered public accounting firm;</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approving audit and permissible non-audit services, and the terms of such services, to be provided by our independent registered public accounting firm; </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the audit plan with the independent registered public accounting firm and members of management responsible for preparing our financial statements;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and discussing with management and the independent registered public accounting firm our annual and quarterly financial statements and related disclosures as well as critical accounting policies and practices used by us;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the adequacy of our internal control over financial reporting, including the adequacy and effectiveness of the Company’s information and cybersecurity policies;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establishing policies and procedures for the receipt and retention of accounting-related complaints and concerns;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recommending, based upon the Audit Committee’s review and discussions with management and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independent registered public accounting firm, whether our audited financial statements shall be included in our Annual Report on Form 10-K;</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monitoring the integrity of our financial statements and our compliance with legal and regulatory requirements as they relate to our financial statements and accounting matters;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preparing the Audit Committee report required by the rules of the SEC to be included in our annual proxy statement;</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overseeing and discussing with management, at least annually, the Company’s policies with respect to risk assessment and risk management; </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all related party transactions for potential conflict of interest situations and approving all such transactions;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monitoring compliance with our investment policy; and</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quarterly earnings releases.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Report of the Audit Committee</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audit committee has reviewed and discussed the audited financial statements for the fiscal year ended December 31, 2025 with management of the Company. The audit committee has discussed with our independent registered public accounting firm, Deloitte &amp; Touche LLP, the matters required to be discussed by the applicable requirements of the Public Company Accounting Oversight Board (“</w:t>
      </w:r>
      <w:r>
        <w:rPr>
          <w:rFonts w:ascii="Times New Roman" w:hAnsi="Times New Roman"/>
          <w:b/>
          <w:i/>
          <w:color w:val="000000"/>
          <w:sz w:val="20"/>
        </w:rPr>
        <w:t>PCAOB</w:t>
      </w:r>
      <w:r>
        <w:rPr>
          <w:rFonts w:ascii="Times New Roman" w:hAnsi="Times New Roman"/>
          <w:color w:val="000000"/>
          <w:sz w:val="20"/>
        </w:rPr>
        <w:t>”) and the SEC. The audit committee has also received the written disclosures and the letter from Deloitte &amp; Touche LLP required by applicable requirements of the PCAOB regarding Deloitte &amp; Touche LLP’s communications with the audit committee concerning independence, and has discussed with Deloitte &amp; Touche LLP the firm’s independence. Based on the foregoing, the audit committee recommended to the Board that our audited financial statements be included in our Annual Report on Form 10-K for the fiscal year ended December 31, 2025 for filing with the SEC.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Syndax Pharmaceuticals, Inc. </w:t>
      </w:r>
    </w:p>
    <w:p>
      <w:pPr>
        <w:pStyle w:val="TextBody"/>
        <w:bidi w:val="0"/>
        <w:jc w:val="both"/>
        <w:rPr>
          <w:rFonts w:ascii="Times New Roman" w:hAnsi="Times New Roman"/>
          <w:color w:val="000000"/>
          <w:sz w:val="20"/>
        </w:rPr>
      </w:pPr>
      <w:r>
        <w:rPr>
          <w:rFonts w:ascii="Times New Roman" w:hAnsi="Times New Roman"/>
          <w:color w:val="000000"/>
          <w:sz w:val="20"/>
        </w:rPr>
        <w:t>Audit Committee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Pierre Legault, Chair</w:t>
      </w:r>
    </w:p>
    <w:p>
      <w:pPr>
        <w:pStyle w:val="TextBody"/>
        <w:bidi w:val="0"/>
        <w:jc w:val="both"/>
        <w:rPr>
          <w:rFonts w:ascii="Times New Roman" w:hAnsi="Times New Roman"/>
          <w:color w:val="000000"/>
          <w:sz w:val="20"/>
        </w:rPr>
      </w:pPr>
      <w:r>
        <w:rPr>
          <w:rFonts w:ascii="Times New Roman" w:hAnsi="Times New Roman"/>
          <w:color w:val="000000"/>
          <w:sz w:val="20"/>
        </w:rPr>
        <w:t>Keith A. Katkin</w:t>
      </w:r>
    </w:p>
    <w:p>
      <w:pPr>
        <w:pStyle w:val="TextBody"/>
        <w:bidi w:val="0"/>
        <w:jc w:val="both"/>
        <w:rPr>
          <w:rFonts w:ascii="Times New Roman" w:hAnsi="Times New Roman"/>
          <w:color w:val="000000"/>
          <w:sz w:val="20"/>
        </w:rPr>
      </w:pPr>
      <w:r>
        <w:rPr>
          <w:rFonts w:ascii="Times New Roman" w:hAnsi="Times New Roman"/>
          <w:color w:val="000000"/>
          <w:sz w:val="20"/>
        </w:rPr>
        <w:t>Dennis G. Podlesak</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Messrs. Katkin, Legault and Podlesak served as members of the Compensation Committee during 2025, with Mr. Katkin serving as chair of the committee. Our Board has determined that each current member of the Compensation Committee is “independent” as defined under the applicable listing standards of Nasdaq. The functions of our Compensation Committee include, among other things: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overseeing our overall compensation practices and objectives, including considering the results of the stockholder advisory vote on executive compensation, and assessing whether our compensation practices establish appropriate incentives in light of our specific business objectives;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annually reviewing and approving corporate goals and objectives relevant to the compensation of our Chief Executive Officer;</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evaluating the performance of our Chief Executive Officer in light of such corporate goals and objectives and determining the compensation of our Chief Executive Officer based on this evaluation;</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and approving the corporate goals and objectives and determining the compensation of our other executive officers and such other employees of the Company as the Committee may determine;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appointing, compensating and overseeing the work of any compensation consultant, legal counsel or other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advisor retained by the Compensation Committee;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conducting the independence assessment outlined in Nasdaq rules with respect to any compensation consultant, legal counsel or other advisor retained by the Compensation Committee;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annually reviewing and reassessing the adequacy of the committee charter;</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establishing, modifying and administering our incentive and equity-based compensation plans;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and making recommendations to the Board with respect to the form and amount of director compensation;</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and discussing with management the Company’s Compensation Discussion and Analysis required to be included in any filing with the SEC;</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establishing, approving, modifying and overseeing the Company’s compensation clawback or similar policies;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reviewing and discussing, with the Board and the Company’s executive officers, the corporate succession plans for the Chief Executive Officer and other executive officers; and</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overseeing the Company’s policies and strategies relating to human capital management.</w:t>
      </w:r>
    </w:p>
    <w:p>
      <w:pPr>
        <w:pStyle w:val="TextBody"/>
        <w:bidi w:val="0"/>
        <w:spacing w:before="264" w:after="283"/>
        <w:jc w:val="both"/>
        <w:rPr>
          <w:rFonts w:ascii="Times New Roman" w:hAnsi="Times New Roman"/>
          <w:sz w:val="20"/>
        </w:rPr>
      </w:pPr>
      <w:r>
        <w:rPr>
          <w:rFonts w:ascii="Times New Roman" w:hAnsi="Times New Roman"/>
          <w:color w:val="000000"/>
          <w:sz w:val="20"/>
        </w:rPr>
        <w:t>In fulfilling its responsibilities, the Compensation Committee may delegate any or all its responsibilities to a subcommittee of the Compensation Committee, but only to the extent consistent with our Certificate of Incorporation, our amended and restated bylaws (“</w:t>
      </w:r>
      <w:r>
        <w:rPr>
          <w:rFonts w:ascii="Times New Roman" w:hAnsi="Times New Roman"/>
          <w:b/>
          <w:i/>
          <w:color w:val="000000"/>
          <w:sz w:val="20"/>
        </w:rPr>
        <w:t>Bylaws</w:t>
      </w:r>
      <w:r>
        <w:rPr>
          <w:rFonts w:ascii="Times New Roman" w:hAnsi="Times New Roman"/>
          <w:color w:val="000000"/>
          <w:sz w:val="20"/>
        </w:rPr>
        <w:t>”), our Corporate Governance Guidelines, Section 162(m) of the Internal Revenue Code of 1986, as amended (the “</w:t>
      </w:r>
      <w:r>
        <w:rPr>
          <w:rFonts w:ascii="Times New Roman" w:hAnsi="Times New Roman"/>
          <w:b/>
          <w:i/>
          <w:color w:val="000000"/>
          <w:sz w:val="20"/>
        </w:rPr>
        <w:t>Code</w:t>
      </w:r>
      <w:r>
        <w:rPr>
          <w:rFonts w:ascii="Times New Roman" w:hAnsi="Times New Roman"/>
          <w:color w:val="000000"/>
          <w:sz w:val="20"/>
        </w:rPr>
        <w:t>”) (as applicable), the Nasdaq Listing Rules and other applicable law. In addition, pursuant to its charter, the Compensation Committee has the sole authority, in its sole discretion, to retain compensation consultants to assist the Compensation Committee with its functions, including any studies or investigations. The Compensation Committee engaged the Human Capital Solutions practice of Aon plc (“</w:t>
      </w:r>
      <w:r>
        <w:rPr>
          <w:rFonts w:ascii="Times New Roman" w:hAnsi="Times New Roman"/>
          <w:b/>
          <w:i/>
          <w:color w:val="000000"/>
          <w:sz w:val="20"/>
        </w:rPr>
        <w:t>Aon</w:t>
      </w:r>
      <w:r>
        <w:rPr>
          <w:rFonts w:ascii="Times New Roman" w:hAnsi="Times New Roman"/>
          <w:color w:val="000000"/>
          <w:sz w:val="20"/>
        </w:rPr>
        <w:t>”) as a compensation consultant in 2025. At the request of the Compensation Committee, Aon evaluated and provided recommendations regarding our executive and Board equity compensation programs and peer equity trends, which is discussed in the Compensation Discussion and Analysis section of this proxy statement. The Compensation Committee has determined that there are no conflicts of interest with respect to the engagement of Aon, and that Aon is independent.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Under its charter, the Compensation Committee may form, and delegate authority to, subcommittees consisting of one or more members of the Board such of its power and authority as the Compensation Committee deems appropriate. The Compensation Committee may also delegate to one or more officers of the Company the authority to grant, amend and/or administer awards of cash or options or other equity securities to any employees or other service providers of the Company who, in either case, are not executive officers of the Company under the Company’s incentive-compensation or other equity-based plans, to the extent allowed under the terms of the relevant plan, our Bylaws, applicable law and stock exchange listing requirements. In 2025, the Compensation Committee formed a subcommittee, currently composed of Mr. Metzger, to which it delegated authority to grant, without any further action required by the Compensation Committee, stock options and restricted stock awards to employees who are not executive officers of the Company. The purpose of this delegation of authority is to enhance the flexibility of equity administration within the Company and to facilitate the timely grant of equity to non-executive employees within specified limits approved by the Compensation Committee. In particular, the subcommittee may not grant options to acquire more than 150,000 shares of common stock to an employee, as and when hired. As part of its oversight function, the Compensation Committee reviews, on a quarterly basis, the list of grants, if any, made by the subcommittee and reviews, on an annual basis, the adequacy of the subcommittee grant pool for potential future grants. In 2025, the Compensation Committee approved an increase in the aggregate number of shares available to the subcommittee, providing for an additional 2,282,757 shares available for grants.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Ms. Jarrett and Messrs. Katkin, Legault and Podlesak served as members of the Nominating and Corporate Governance Committee during 2025, with Mr. Podlesak serving as chair of the committee. Our Board has determined that each member of the Nominating and Corporate Governance Committee is “independent” as defined under the applicable listing standards of Nasdaq. The functions of our Nominating and Corporate Governance Committee include, among other things: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identifying individuals qualified to become members of the Board, including candidates recommended by stockholders, and recommending to the Board the nominees for appointment, election or reelection to the Board at each annual stockholders’ meeting and as necessary to fill vacancies and newly created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directorships;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developing and recommending to the Board a set of corporate governance guidelines and codes of conduct and overseeing and monitoring compliance with such guidelines and codes;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overseeing annual evaluations of the Board, its committees and members of the senior management team;</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identifying directors qualified to serve on the various committees of the Board and recommending to the Board qualified nominees for membership on each such committee;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overseeing succession planning for the Board and key leadership roles on the Board and its committees; and</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considering questions of independence and possible conflicts of interest of members of the Board and executive officers.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Science and Technology Committee</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Drs. Huber and Rizo, Ms. Jarrett and Mr. Katkin served as members of the Science and Technology Committee during 2025, with Dr. Huber serving as chair of the committee. The functions of our Science and Technology Committee include, among other things: </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providing recommendations to the Board and management on research and development portfolio structure and optimization;</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providing recommendations to the Board and management on path to clinic and path to market strategies for the Company’s programs;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providing recommendations to the Board and management on potential buy-side business development opportunities from a scientific, medical and regulatory perspective;</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assisting management in screening and technically evaluating buy-side business development opportunities from a scientific, medical and regulatory perspective; and</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supporting management in strategizing, messaging and networking with respect to sell-side business development opportunities from a scientific and technical perspective.</w:t>
      </w:r>
    </w:p>
    <w:p>
      <w:pPr>
        <w:pStyle w:val="TextBody"/>
        <w:bidi w:val="0"/>
        <w:spacing w:before="396" w:after="283"/>
        <w:jc w:val="left"/>
        <w:rPr>
          <w:rFonts w:ascii="Times New Roman" w:hAnsi="Times New Roman"/>
          <w:color w:val="000000"/>
          <w:sz w:val="20"/>
        </w:rPr>
      </w:pPr>
      <w:r>
        <w:rPr>
          <w:rFonts w:ascii="Times New Roman" w:hAnsi="Times New Roman"/>
          <w:color w:val="000000"/>
          <w:sz w:val="20"/>
        </w:rPr>
        <w:t>Our Board may establish other committees from time to time.</w:t>
      </w:r>
    </w:p>
    <w:p>
      <w:pPr>
        <w:pStyle w:val="TextBody"/>
        <w:bidi w:val="0"/>
        <w:spacing w:before="396" w:after="283"/>
        <w:jc w:val="left"/>
        <w:rPr>
          <w:rFonts w:ascii="Times New Roman" w:hAnsi="Times New Roman"/>
          <w:b/>
          <w:color w:val="000000"/>
          <w:sz w:val="20"/>
        </w:rPr>
      </w:pPr>
      <w:r>
        <w:rPr>
          <w:rFonts w:ascii="Times New Roman" w:hAnsi="Times New Roman"/>
          <w:b/>
          <w:color w:val="000000"/>
          <w:sz w:val="20"/>
        </w:rPr>
        <w:t>Executive Sessions</w:t>
      </w:r>
    </w:p>
    <w:p>
      <w:pPr>
        <w:pStyle w:val="TextBody"/>
        <w:bidi w:val="0"/>
        <w:spacing w:before="132" w:after="283"/>
        <w:jc w:val="both"/>
        <w:rPr>
          <w:rFonts w:ascii="Times New Roman" w:hAnsi="Times New Roman"/>
          <w:sz w:val="20"/>
        </w:rPr>
      </w:pPr>
      <w:r>
        <w:rPr>
          <w:rFonts w:ascii="Times New Roman" w:hAnsi="Times New Roman"/>
          <w:color w:val="000000"/>
          <w:sz w:val="20"/>
        </w:rPr>
        <w:t>Executive sessions, which are meetings at which only independent directors are present, are regularly scheduled throughout the year, typically at the time of each regular Board meeting and as frequently as such independent directors deem appropriate. In connection with the Board meetings, the independent directors met five times in regularly scheduled executive sessions during the fiscal year ended December 31, 2025. The Chairman of the Board (“</w:t>
      </w:r>
      <w:r>
        <w:rPr>
          <w:rFonts w:ascii="Times New Roman" w:hAnsi="Times New Roman"/>
          <w:b/>
          <w:i/>
          <w:color w:val="000000"/>
          <w:sz w:val="20"/>
        </w:rPr>
        <w:t>Board Chair</w:t>
      </w:r>
      <w:r>
        <w:rPr>
          <w:rFonts w:ascii="Times New Roman" w:hAnsi="Times New Roman"/>
          <w:color w:val="000000"/>
          <w:sz w:val="20"/>
        </w:rPr>
        <w:t>”) presides at these executive sessions. The Audit Committee and the Board have established a procedure whereby interested parties may make their concerns known to independent directors, which is described on our website.</w:t>
      </w:r>
    </w:p>
    <w:p>
      <w:pPr>
        <w:pStyle w:val="TextBody"/>
        <w:bidi w:val="0"/>
        <w:spacing w:before="396" w:after="283"/>
        <w:jc w:val="left"/>
        <w:rPr>
          <w:rFonts w:ascii="Times New Roman" w:hAnsi="Times New Roman"/>
          <w:b/>
          <w:color w:val="000000"/>
          <w:sz w:val="20"/>
        </w:rPr>
      </w:pPr>
      <w:r>
        <w:rPr>
          <w:rFonts w:ascii="Times New Roman" w:hAnsi="Times New Roman"/>
          <w:b/>
          <w:color w:val="000000"/>
          <w:sz w:val="20"/>
        </w:rPr>
        <w:t>Director Nomination Process and Qualifications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Our Board is responsible for selecting its own members. The Board delegates the selection and nomination process to the Nominating and Corporate Governance Committee, with the expectation that other members of the Board, and of management, will be requested to take part in the process as appropriate.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 xml:space="preserve">Once candidates have been identified, our Nominating and Corporate Governance Committee confirms that the candidates meet all the minimum qualifications for director nominees established by the Nominating and Corporate Governance Committee and our Corporate Governance Guidelines. 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of the Company’s stockholders. In the case of incumbent directors whose terms of office are set to expire, the Nominating and Corporate Governance Committee reviews these directors’ overall service to us during their tenure, including the number of meetings attended, level and quality of participation and any other relationships and transactions that might impair the directors’ independence. In assessing whether candidates or incumbent directors have sufficient time to devote to the Company’s affairs, the Nominating and Corporate Governance Committee, in accordance with our Corporate Governance Guidelines, reviews to ensure that all candidates serve on no more than a total of four other public company boards, without the approval of the Board. All incumbent directors are currently in compliance with this assessment.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Nominating and Corporate Governance Committee may gather information about the candidates through interviews, detailed questionnaires,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considering the overall composition and needs of our Board. Based on the results of the evaluation process, the Nominating and Corporate Governance Committee recommends candidates for the Board’s approval as director nominees for election to the Board.</w:t>
      </w:r>
    </w:p>
    <w:p>
      <w:pPr>
        <w:pStyle w:val="TextBody"/>
        <w:bidi w:val="0"/>
        <w:spacing w:before="396" w:after="283"/>
        <w:jc w:val="left"/>
        <w:rPr>
          <w:rFonts w:ascii="Times New Roman" w:hAnsi="Times New Roman"/>
          <w:b/>
          <w:color w:val="000000"/>
          <w:sz w:val="20"/>
        </w:rPr>
      </w:pPr>
      <w:r>
        <w:rPr>
          <w:rFonts w:ascii="Times New Roman" w:hAnsi="Times New Roman"/>
          <w:b/>
          <w:color w:val="000000"/>
          <w:sz w:val="20"/>
        </w:rPr>
        <w:t>Director Candidates Recommended by Stockholders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Our Nominating and Corporate Governance Committee will evaluate director candidates recommended by stockholders in the same manner in which the Nominating and Corporate Governance Committee evaluates any other director candidate.</w:t>
      </w:r>
    </w:p>
    <w:p>
      <w:pPr>
        <w:pStyle w:val="TextBody"/>
        <w:bidi w:val="0"/>
        <w:spacing w:before="132" w:after="283"/>
        <w:jc w:val="both"/>
        <w:rPr>
          <w:rFonts w:ascii="Times New Roman" w:hAnsi="Times New Roman"/>
          <w:sz w:val="20"/>
        </w:rPr>
      </w:pPr>
      <w:r>
        <w:rPr>
          <w:rFonts w:ascii="Times New Roman" w:hAnsi="Times New Roman"/>
          <w:color w:val="000000"/>
          <w:sz w:val="20"/>
        </w:rPr>
        <w:t>Any recommendation submitted to the Company should be in writing and should include any supporting material the stockholder considers appropriate in support of that recommendation but must include information that would be required under the “advance notice” provisions of our Bylaws and rules of the SEC to be included in a proxy statement soliciting proxies for the election of such candidate. Stockholders wishing to propose a candidate for consideration may do so by submitting the above information to the attention of the Secretary of the Company, c/o Syndax Pharmaceuticals, Inc., 730 Third Avenue, Floor 9, New York, New York 10017. Such director candidate recommendations will be presented to the Nominating and Corporate Governance Committee for its consideration. Stockholders must also satisfy the notification, timeliness, consent, and information requirements set forth in our Bylaws. These requirements are also described under the section entitled “</w:t>
      </w:r>
      <w:r>
        <w:rPr>
          <w:rFonts w:ascii="Times New Roman" w:hAnsi="Times New Roman"/>
          <w:i/>
          <w:color w:val="000000"/>
          <w:sz w:val="20"/>
        </w:rPr>
        <w:t>Stockholder Proposals for the 2026 Annual Meeting of Stockholders</w:t>
      </w:r>
      <w:r>
        <w:rPr>
          <w:rFonts w:ascii="Times New Roman" w:hAnsi="Times New Roman"/>
          <w:color w:val="000000"/>
          <w:sz w:val="20"/>
        </w:rPr>
        <w:t>.”</w:t>
      </w:r>
    </w:p>
    <w:p>
      <w:pPr>
        <w:pStyle w:val="TextBody"/>
        <w:bidi w:val="0"/>
        <w:spacing w:before="396" w:after="283"/>
        <w:jc w:val="left"/>
        <w:rPr>
          <w:rFonts w:ascii="Times New Roman" w:hAnsi="Times New Roman"/>
          <w:b/>
          <w:color w:val="000000"/>
          <w:sz w:val="20"/>
        </w:rPr>
      </w:pPr>
      <w:bookmarkStart w:id="12" w:name="interlocks"/>
      <w:bookmarkStart w:id="13" w:name="toc_page"/>
      <w:bookmarkEnd w:id="12"/>
      <w:bookmarkEnd w:id="13"/>
      <w:r>
        <w:rPr>
          <w:rFonts w:ascii="Times New Roman" w:hAnsi="Times New Roman"/>
          <w:b/>
          <w:color w:val="000000"/>
          <w:sz w:val="20"/>
        </w:rPr>
        <w:t>Compensation Committee Interlocks and Insider Participation</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Compensation Committee consists of the following members: Pierre Legault, Keith A. Katkin and Dennis G. Podlesak. No voting member of the Compensation Committee is an officer of the Company or has served as an officer of the Company, including its affiliates, at any time. None of our executive officers serve as a member of the Compensation Committee of any other company that has an executive officer serving as a member of the Board. None of our executive officers serve as a member of the board of directors of any other company that has an executive officer serving as a member of our Board’s Compensation Committee. None of our executive officers serve as a member of the compensation committee of any other company that has an executive officer serving as a member of our Board’s Compensation Committee.</w:t>
      </w:r>
    </w:p>
    <w:p>
      <w:pPr>
        <w:pStyle w:val="TextBody"/>
        <w:bidi w:val="0"/>
        <w:spacing w:before="396" w:after="283"/>
        <w:jc w:val="left"/>
        <w:rPr>
          <w:rFonts w:ascii="Times New Roman" w:hAnsi="Times New Roman"/>
          <w:b/>
          <w:color w:val="000000"/>
          <w:sz w:val="20"/>
        </w:rPr>
      </w:pPr>
      <w:bookmarkStart w:id="14" w:name="lsaro"/>
      <w:bookmarkEnd w:id="14"/>
      <w:r>
        <w:rPr>
          <w:rFonts w:ascii="Times New Roman" w:hAnsi="Times New Roman"/>
          <w:b/>
          <w:color w:val="000000"/>
          <w:sz w:val="20"/>
        </w:rPr>
        <w:t>Leadership Structure and Risk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positions of our Board Chair and Chief Executive Officer of the Company are separated, with Mr. Podlesak serving as Board Chair and Mr. Metzger as our Chief Executive Officer. As a general policy, our Board believes that separation of the positions of Board Chair and Chief Executive Officer reinforces the independence of the Board from management, creates an environment that encourages objective oversight of management’s performance and enhances the effectiveness of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recognizes that depending on the circumstances, other leadership models, such as combining the role of Board Chair with the role of Chief Executive Officer, might be appropriate. Accordingly, our Board may periodically review its leadership structure. Our Board believes its administration of its risk oversight function has not affected its leadership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oversees the management of risks inherent in the operation of our business and the implementation of our business strategies. Our Board performs this oversight role by using several different levels of review. 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Additionally, the Board reviews at least annually the Company’s business initiatives, capital projects and budget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of the committees of our Board also oversee the management of the Company’s risk that falls within such committee’s areas of responsibility. In performing this function, each committee has full access to management, as well as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engage advisors. Our Chief Financial Officer periodically provides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The Audit Committee, as part of its responsibilities, oversees the Company’s significant financial and operational risk exposures, including but not limited to accounting matters, liquidity and credit risks, corporate tax positions, insurance coverage, and cash investment strategy and results. The Audit Committee is also responsible for overseeing the management of risks relating to the performance of the Company’s internal audit function (if required) and its independent registered accounting firm, as well as the Company’s systems of internal controls and disclosure controls and procedures. Audit committee responsibilities also include oversight of cybersecurity risk management, and, to that end, the committee typically meets at least annually with both IT and business personnel responsible for cybersecurity risk management and receives periodic reports from the head of cybersecurity risk management, as well as incidental reports as matters arise. The Compensation Committee is responsible for overseeing the Company’s major compensation-related risk exposures, including risks related to executive compensation and overall compensation and benefit strategies, plans, arrangements, practices and policies. The Nominating and Corporate Governance Committee oversees the Company’s major legal compliance risk exposures, including the company’s procedures and any related policies with respect to risk assessment and risk management. The Science and Technology Committee assists and advises the Board with respect to regulatory, scientific research and development matters. These committees provide regular reports to the full Board.</w:t>
      </w:r>
    </w:p>
    <w:p>
      <w:pPr>
        <w:pStyle w:val="TextBody"/>
        <w:bidi w:val="0"/>
        <w:spacing w:before="132" w:after="283"/>
        <w:jc w:val="left"/>
        <w:rPr>
          <w:rFonts w:ascii="Times New Roman" w:hAnsi="Times New Roman"/>
          <w:b/>
          <w:color w:val="000000"/>
          <w:sz w:val="20"/>
        </w:rPr>
      </w:pPr>
      <w:bookmarkStart w:id="15" w:name="cobcae"/>
      <w:bookmarkEnd w:id="15"/>
      <w:r>
        <w:rPr>
          <w:rFonts w:ascii="Times New Roman" w:hAnsi="Times New Roman"/>
          <w:b/>
          <w:color w:val="000000"/>
          <w:sz w:val="20"/>
        </w:rPr>
        <w:t>Code of Business Conduct and Ethics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We have adopted a Code of Business Conduct and Ethics that applies to all of our officers, directors and employees. The Code of Business Conduct and Ethics provides a framework for sound ethical business decisions and sets forth our expectations on a number of topics, including conflicts of interest, compliance with laws, use of our assets and business ethics. The Code of Business Conduct and Ethics is available on our website at www.syndax.com. If we ever were to amend or waive any provision of our Code of Business Conduct and Ethics amendment that applies to our principal executive officer, principal financial officer, principal accounting officer or any person performing similar functions (other than technical, administrative or other non-substantive amendments), we intend to satisfy our disclosure obligations, if any, with respect to any such waiver or 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w:t>
      </w:r>
    </w:p>
    <w:p>
      <w:pPr>
        <w:pStyle w:val="TextBody"/>
        <w:bidi w:val="0"/>
        <w:spacing w:before="132" w:after="283"/>
        <w:jc w:val="both"/>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our intent to comply with applicable laws and regulations relating to insider trading.</w:t>
      </w:r>
    </w:p>
    <w:p>
      <w:pPr>
        <w:pStyle w:val="TextBody"/>
        <w:bidi w:val="0"/>
        <w:spacing w:before="240" w:after="283"/>
        <w:jc w:val="left"/>
        <w:rPr>
          <w:rFonts w:ascii="Times New Roman" w:hAnsi="Times New Roman"/>
          <w:b/>
          <w:color w:val="000000"/>
          <w:sz w:val="20"/>
        </w:rPr>
      </w:pPr>
      <w:bookmarkStart w:id="16" w:name="stockholder_communications_with_ourboard"/>
      <w:bookmarkEnd w:id="16"/>
      <w:r>
        <w:rPr>
          <w:rFonts w:ascii="Times New Roman" w:hAnsi="Times New Roman"/>
          <w:b/>
          <w:color w:val="000000"/>
          <w:sz w:val="20"/>
        </w:rPr>
        <w:t>Stockholder Communications with Our Board of Directors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Board has adopted a formal process by which stockholders may communicate with the Board or any of its directors. Stockholders wishing to communicate directly with our Board may send correspondence to our Secretary, c/o Syndax Pharmaceuticals, Inc., 730 Third Avenue, Floor 9, New York, New York 10017. Our Secretary will forward all comments directly to the Board. These communications will be reviewed by the Secretary of the Company designated by the Board who will determine whether the communication is appropriate for presentation to the Board or the relevant director. The purpose of this screening is to allow the Board to avoid having to consider irrelevant or inappropriate communications (such as advertisements, solicitations and hostile communications).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center"/>
        <w:rPr>
          <w:rFonts w:ascii="Times New Roman" w:hAnsi="Times New Roman"/>
          <w:b/>
          <w:color w:val="000000"/>
          <w:sz w:val="20"/>
        </w:rPr>
      </w:pPr>
      <w:bookmarkStart w:id="17" w:name="prop2"/>
      <w:bookmarkEnd w:id="17"/>
      <w:r>
        <w:rPr>
          <w:rFonts w:ascii="Times New Roman" w:hAnsi="Times New Roman"/>
          <w:b/>
          <w:color w:val="000000"/>
          <w:sz w:val="20"/>
        </w:rPr>
        <w:t>PROPOSAL 2: ADVISORY VOTE ON COMPENSATION OF OUR NAMED EXECUTIVE OFFICERS</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the 2022 Annual Meeting of Stockholders, the stockholders indicated their preference that we solicit a non-binding advisory vote on the compensation of the NEOs, commonly referred to as a “say-on-pay vote,” every year. The Board has adopted a policy that is consistent with that preference. In accordance with that policy, this year, we are again asking the stockholders to approve, on a non-binding advisory basis, the compensation of the NEOs as disclosed in this proxy statement in accordance with the requirements of Section 14A of the Exchange Act and the related SEC rules.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vote is not intended to address any specific item of compensation, but rather the overall compensation of our NEOs and the philosophy, policies and practices described in this proxy statement. The compensation of our NEOs subject to the vote is disclosed in the Compensation Discussion and Analysis, compensation tables and the related narrative disclosure contained in this proxy statement. As disclosed in those disclosures, we believe that our compensation policies and decisions are consistent with current market practices. Compensation of our NEOs is designed to enable the Company to attract and retain talented and experienced executives to lead us successfully in a competitive environment.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Accordingly, the Board is asking the stockholders to indicate their support for the compensation of the NEOs as described in this proxy statement by casting a non-binding advisory vote “FOR” the following resolution:</w:t>
      </w:r>
    </w:p>
    <w:p>
      <w:pPr>
        <w:pStyle w:val="TextBody"/>
        <w:bidi w:val="0"/>
        <w:spacing w:before="0" w:after="120"/>
        <w:jc w:val="both"/>
        <w:rPr/>
      </w:pPr>
      <w:r>
        <w:rPr>
          <w:color w:val="000000"/>
        </w:rPr>
        <w:t>“</w:t>
      </w:r>
      <w:r>
        <w:rPr>
          <w:rFonts w:ascii="Times New Roman" w:hAnsi="Times New Roman"/>
          <w:b/>
          <w:color w:val="000000"/>
          <w:sz w:val="20"/>
        </w:rPr>
        <w:t>RESOLVED</w:t>
      </w:r>
      <w:r>
        <w:rPr>
          <w:rFonts w:ascii="Times New Roman" w:hAnsi="Times New Roman"/>
          <w:color w:val="000000"/>
          <w:sz w:val="20"/>
        </w:rPr>
        <w:t xml:space="preserve">, that the compensation paid to the Company’s named executive officers, as disclosed pursuant to Item 402 of Regulation S-K, including the Compensation Discussion and Analysis, compensation tables and narrative discussion, is hereby APPROVED.” </w:t>
      </w:r>
    </w:p>
    <w:p>
      <w:pPr>
        <w:pStyle w:val="TextBody"/>
        <w:bidi w:val="0"/>
        <w:jc w:val="both"/>
        <w:rPr>
          <w:rFonts w:ascii="Times New Roman" w:hAnsi="Times New Roman"/>
          <w:color w:val="000000"/>
          <w:sz w:val="20"/>
        </w:rPr>
      </w:pPr>
      <w:r>
        <w:rPr>
          <w:rFonts w:ascii="Times New Roman" w:hAnsi="Times New Roman"/>
          <w:color w:val="000000"/>
          <w:sz w:val="20"/>
        </w:rPr>
        <w:t>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the Board decides to modify its policy regarding the frequency of soliciting say-on-pay votes on the compensation of the NEOs, the next scheduled say-on-pay vote will be at the 2027 Annual Meeting of Stockholders.</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Our Recommendation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BOARD UNANIMOUSLY RECOMMENDS THAT YOU VOTE FOR</w:t>
      </w:r>
    </w:p>
    <w:p>
      <w:pPr>
        <w:pStyle w:val="TextBody"/>
        <w:bidi w:val="0"/>
        <w:jc w:val="center"/>
        <w:rPr>
          <w:rFonts w:ascii="Times New Roman" w:hAnsi="Times New Roman"/>
          <w:b/>
          <w:color w:val="000000"/>
          <w:sz w:val="20"/>
        </w:rPr>
      </w:pPr>
      <w:r>
        <w:rPr>
          <w:rFonts w:ascii="Times New Roman" w:hAnsi="Times New Roman"/>
          <w:b/>
          <w:color w:val="000000"/>
          <w:sz w:val="20"/>
        </w:rPr>
        <w:t>THE COMPENSATION PAID TO OUR NAMED EXECUTIVE OFFICERS</w:t>
      </w:r>
    </w:p>
    <w:p>
      <w:pPr>
        <w:pStyle w:val="TextBody"/>
        <w:bidi w:val="0"/>
        <w:jc w:val="center"/>
        <w:rPr>
          <w:rFonts w:ascii="Times New Roman" w:hAnsi="Times New Roman"/>
          <w:b/>
          <w:color w:val="000000"/>
          <w:sz w:val="20"/>
        </w:rPr>
      </w:pPr>
      <w:r>
        <w:rPr>
          <w:rFonts w:ascii="Times New Roman" w:hAnsi="Times New Roman"/>
          <w:b/>
          <w:color w:val="000000"/>
          <w:sz w:val="20"/>
        </w:rPr>
        <w:t>(PROPOSAL 2 ON YOUR NOTICE OF INTERNET AVAILABILITY)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center"/>
        <w:rPr>
          <w:rFonts w:ascii="Times New Roman" w:hAnsi="Times New Roman"/>
          <w:b/>
          <w:color w:val="000000"/>
          <w:sz w:val="20"/>
        </w:rPr>
      </w:pPr>
      <w:bookmarkStart w:id="18" w:name="prop4"/>
      <w:bookmarkEnd w:id="18"/>
      <w:r>
        <w:rPr>
          <w:rFonts w:ascii="Times New Roman" w:hAnsi="Times New Roman"/>
          <w:b/>
          <w:color w:val="000000"/>
          <w:sz w:val="20"/>
        </w:rPr>
        <w:t>PROPOSAL 3: RATIFICATION OF SELECTION OF INDEPENDENT REGISTERED PUBLIC ACCOUNTING FIRM</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The firm of Deloitte &amp; Touche LLP, independent registered public accounting firm, has been selected by the Audit Committee as our auditors for the fiscal year ending December 31, 2026. Deloitte &amp; Touche LLP acted as the independent registered public accounting firm for Syndax since 2008. A representative of Deloitte &amp; Touche LLP is expected to be available at the Annual Meeting with the opportunity to make a statement if he or she desires and to respond to appropriate questions.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organizational documents do not require that the stockholders ratify the selection of Deloitte &amp; Touche LLP as the Company’s independent registered public accounting firm. The Company requests such ratification as a matter of good corporate practice. If the stockholders do not ratify the selection, the Audit Committee will reconsider whether to retain Deloitte &amp; Touche LLP but still may retain this firm. Even if the selection is ratified, the Audit Committee, in its discretion, may change the appointment at any time during the year if it determines that such a change would be in the best interests of Syndax and its stockholders.</w:t>
      </w:r>
    </w:p>
    <w:p>
      <w:pPr>
        <w:pStyle w:val="TextBody"/>
        <w:bidi w:val="0"/>
        <w:jc w:val="left"/>
        <w:rPr/>
      </w:pPr>
      <w:r>
        <w:rPr/>
        <w:t> </w:t>
      </w:r>
    </w:p>
    <w:p>
      <w:pPr>
        <w:pStyle w:val="TextBody"/>
        <w:bidi w:val="0"/>
        <w:jc w:val="left"/>
        <w:rPr>
          <w:rFonts w:ascii="Times New Roman" w:hAnsi="Times New Roman"/>
          <w:b/>
          <w:color w:val="000000"/>
          <w:sz w:val="20"/>
        </w:rPr>
      </w:pPr>
      <w:bookmarkStart w:id="19" w:name="preapproval"/>
      <w:bookmarkEnd w:id="19"/>
      <w:r>
        <w:rPr>
          <w:rFonts w:ascii="Times New Roman" w:hAnsi="Times New Roman"/>
          <w:b/>
          <w:color w:val="000000"/>
          <w:sz w:val="20"/>
        </w:rPr>
        <w:t>Pre-Approval Policies and Procedures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Our Audit Committee approves all audit and pre-approves all non-audit services provided by Deloitte &amp; Touche LLP before it is engaged by us to render non-audit services. These services may include audit-related services, tax services and other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pre-approval requirement set forth above does not apply with respect to non-audit services if: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such services do not, in the aggregate, amount to more than 5% of the total fees paid by us to Deloitte &amp; Touche LLP during the fiscal year in which the services are provided;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services were not recognized as non-audit services at the time of the relevant engagement;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services are promptly brought to the attention of and approved by the Audit Committee (or its delegate) prior to the completion of the annual audit.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The Audit Committee elected to delegate pre-approval authority to the chair of the Audit Committee to approve any one or more individual permitted non-audit services for which estimated fees do not exceed $100,000 as well as adjustments to any estimated pre-approval fee thresholds up to $50,000 for any individual service. Any services that would exceed such limits should be pre-approved by the full Audit Committee. The chair of the Audit Committee shall report any pre-approval granted at the next scheduled meeting of the Audit Committee.</w:t>
      </w:r>
    </w:p>
    <w:p>
      <w:pPr>
        <w:pStyle w:val="TextBody"/>
        <w:bidi w:val="0"/>
        <w:jc w:val="left"/>
        <w:rPr/>
      </w:pPr>
      <w:r>
        <w:rPr/>
        <w:t> </w:t>
      </w:r>
    </w:p>
    <w:p>
      <w:pPr>
        <w:pStyle w:val="TextBody"/>
        <w:bidi w:val="0"/>
        <w:jc w:val="left"/>
        <w:rPr>
          <w:rFonts w:ascii="Times New Roman" w:hAnsi="Times New Roman"/>
          <w:b/>
          <w:color w:val="000000"/>
          <w:sz w:val="20"/>
        </w:rPr>
      </w:pPr>
      <w:bookmarkStart w:id="20" w:name="irpaff"/>
      <w:bookmarkEnd w:id="20"/>
      <w:r>
        <w:rPr>
          <w:rFonts w:ascii="Times New Roman" w:hAnsi="Times New Roman"/>
          <w:b/>
          <w:color w:val="000000"/>
          <w:sz w:val="20"/>
        </w:rPr>
        <w:t>Independent Registered Public Accounting Firm Fees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following is a summary and description of fees incurred by Deloitte &amp; Touche LLP for the fiscal years ended December 31, 2025 and 2024. All fees described below were pre-approved by the Audit Committee.</w:t>
      </w:r>
    </w:p>
    <w:p>
      <w:pPr>
        <w:pStyle w:val="TextBody"/>
        <w:bidi w:val="0"/>
        <w:jc w:val="both"/>
        <w:rPr/>
      </w:pPr>
      <w:r>
        <w:rPr/>
        <w:t> </w:t>
      </w:r>
    </w:p>
    <w:tbl>
      <w:tblPr>
        <w:tblW w:w="4684" w:type="dxa"/>
        <w:jc w:val="left"/>
        <w:tblInd w:w="0" w:type="dxa"/>
        <w:tblLayout w:type="fixed"/>
        <w:tblCellMar>
          <w:top w:w="28" w:type="dxa"/>
          <w:left w:w="28" w:type="dxa"/>
          <w:bottom w:w="28" w:type="dxa"/>
          <w:right w:w="28" w:type="dxa"/>
        </w:tblCellMar>
      </w:tblPr>
      <w:tblGrid>
        <w:gridCol w:w="1771"/>
        <w:gridCol w:w="211"/>
        <w:gridCol w:w="931"/>
        <w:gridCol w:w="146"/>
        <w:gridCol w:w="146"/>
        <w:gridCol w:w="211"/>
        <w:gridCol w:w="931"/>
        <w:gridCol w:w="14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Audit fees include fees and out-of-pocket expenses billed or expected to be billed for the audit of the Company’s annual financial statements and reviews of the Company’s quarterly financial statements, the audit of the Company’s internal control over financial reporting and include fees related to services performed in connection with registration statements or other regulatory filings with the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Audit-related fees are fees related to comfort letters, and fees for accounting consultation.</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Our Recommendation</w:t>
      </w:r>
    </w:p>
    <w:p>
      <w:pPr>
        <w:pStyle w:val="TextBody"/>
        <w:bidi w:val="0"/>
        <w:spacing w:before="120" w:after="283"/>
        <w:jc w:val="center"/>
        <w:rPr>
          <w:rFonts w:ascii="Times New Roman" w:hAnsi="Times New Roman"/>
          <w:b/>
          <w:color w:val="000000"/>
          <w:sz w:val="20"/>
        </w:rPr>
      </w:pPr>
      <w:bookmarkStart w:id="21" w:name="recc2"/>
      <w:bookmarkEnd w:id="21"/>
      <w:r>
        <w:rPr>
          <w:rFonts w:ascii="Times New Roman" w:hAnsi="Times New Roman"/>
          <w:b/>
          <w:color w:val="000000"/>
          <w:sz w:val="20"/>
        </w:rPr>
        <w:t>THE BOARD UNANIMOUSLY RECOMMENDS THAT YOU VOTE FOR THE RATIFICATION OF THE SELECTION OF DELOITTE &amp; TOUCHE LLP AS THE COMPANY’S INDEPENDENT REGISTERED PUBLIC ACCOUNTING FIRM</w:t>
      </w:r>
    </w:p>
    <w:p>
      <w:pPr>
        <w:pStyle w:val="TextBody"/>
        <w:bidi w:val="0"/>
        <w:jc w:val="center"/>
        <w:rPr>
          <w:rFonts w:ascii="Times New Roman" w:hAnsi="Times New Roman"/>
          <w:b/>
          <w:color w:val="000000"/>
          <w:sz w:val="20"/>
        </w:rPr>
      </w:pPr>
      <w:r>
        <w:rPr>
          <w:rFonts w:ascii="Times New Roman" w:hAnsi="Times New Roman"/>
          <w:b/>
          <w:color w:val="000000"/>
          <w:sz w:val="20"/>
        </w:rPr>
        <w:t>(PROPOSAL 3 ON YOUR NOTICE OF INTERNET AVAILABILITY)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2" w:name="proposal4"/>
      <w:bookmarkEnd w:id="22"/>
      <w:r>
        <w:rPr>
          <w:rFonts w:ascii="Times New Roman" w:hAnsi="Times New Roman"/>
          <w:b/>
          <w:color w:val="000000"/>
          <w:sz w:val="20"/>
        </w:rPr>
        <w:t>PROPOSAL 4: APPROVAL OF THE SYNDAX PHARMACEUTICALS, INC. 2026 EQUITY INCENTIVE PLAN</w:t>
      </w:r>
    </w:p>
    <w:p>
      <w:pPr>
        <w:pStyle w:val="TextBody"/>
        <w:bidi w:val="0"/>
        <w:spacing w:before="264" w:after="283"/>
        <w:jc w:val="both"/>
        <w:rPr>
          <w:rFonts w:ascii="Times New Roman" w:hAnsi="Times New Roman"/>
          <w:sz w:val="20"/>
        </w:rPr>
      </w:pPr>
      <w:r>
        <w:rPr>
          <w:rFonts w:ascii="Times New Roman" w:hAnsi="Times New Roman"/>
          <w:color w:val="000000"/>
          <w:sz w:val="20"/>
        </w:rPr>
        <w:t>Our stockholders are being asked to consider and vote upon Proposal 4 to approve the Syndax Pharmaceuticals, Inc. 2026 Equity Incentive Plan. The Board initially approved the 2026 Plan on April 30, 2026, subject to stockholder approval. If stockholders approve the 2026 Plan, it will become effective on the date of stockholder approval at the Annual Meeting (the “</w:t>
      </w:r>
      <w:r>
        <w:rPr>
          <w:rFonts w:ascii="Times New Roman" w:hAnsi="Times New Roman"/>
          <w:b/>
          <w:i/>
          <w:color w:val="000000"/>
          <w:sz w:val="20"/>
        </w:rPr>
        <w:t>Effective Date</w:t>
      </w:r>
      <w:r>
        <w:rPr>
          <w:rFonts w:ascii="Times New Roman" w:hAnsi="Times New Roman"/>
          <w:color w:val="000000"/>
          <w:sz w:val="20"/>
        </w:rPr>
        <w:t>”). If the 2026 Plan is not approved by the stockholders, it will not become effective and no awards will be granted thereunder. The 2026 Plan is described in more detail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asking stockholders to approve 7,200,000 shares under the 2026 Plan. In sizing the proposal, our Compensation Committee considered the Company’s expected equity needs over the next two years, the elimination of the evergreen feature in the 2015 Plan, the cancelation of the remaining shares under the 2015 Plan in connection with its expiration, the Company’s historical burn rate, and the resulting dilution relative to market practice and investor expectations.</w:t>
      </w:r>
    </w:p>
    <w:p>
      <w:pPr>
        <w:pStyle w:val="TextBody"/>
        <w:bidi w:val="0"/>
        <w:spacing w:before="120" w:after="283"/>
        <w:jc w:val="both"/>
        <w:rPr>
          <w:rFonts w:ascii="Times New Roman" w:hAnsi="Times New Roman"/>
          <w:sz w:val="20"/>
        </w:rPr>
      </w:pPr>
      <w:r>
        <w:rPr>
          <w:rFonts w:ascii="Times New Roman" w:hAnsi="Times New Roman"/>
          <w:color w:val="000000"/>
          <w:sz w:val="20"/>
        </w:rPr>
        <w:t>The 2026 Plan will be the successor to and continuation of the Syndax Pharmaceuticals, Inc. 2015 Omnibus Incentive Plan (the “</w:t>
      </w:r>
      <w:r>
        <w:rPr>
          <w:rFonts w:ascii="Times New Roman" w:hAnsi="Times New Roman"/>
          <w:b/>
          <w:i/>
          <w:color w:val="000000"/>
          <w:sz w:val="20"/>
        </w:rPr>
        <w:t>2015 Plan</w:t>
      </w:r>
      <w:r>
        <w:rPr>
          <w:rFonts w:ascii="Times New Roman" w:hAnsi="Times New Roman"/>
          <w:color w:val="000000"/>
          <w:sz w:val="20"/>
        </w:rPr>
        <w:t>”). The 2015 Plan expired on March 8, 2026 and no further grants may be made under the 2015 Plan.</w:t>
      </w:r>
    </w:p>
    <w:p>
      <w:pPr>
        <w:pStyle w:val="TextBody"/>
        <w:bidi w:val="0"/>
        <w:jc w:val="both"/>
        <w:rPr/>
      </w:pPr>
      <w:r>
        <w:rPr/>
        <w:t> </w:t>
      </w:r>
    </w:p>
    <w:p>
      <w:pPr>
        <w:pStyle w:val="TextBody"/>
        <w:bidi w:val="0"/>
        <w:jc w:val="both"/>
        <w:rPr>
          <w:rFonts w:ascii="Times New Roman" w:hAnsi="Times New Roman"/>
          <w:b/>
          <w:color w:val="000000"/>
          <w:sz w:val="20"/>
        </w:rPr>
      </w:pPr>
      <w:bookmarkStart w:id="23" w:name="prop_wssstp"/>
      <w:bookmarkEnd w:id="23"/>
      <w:r>
        <w:rPr>
          <w:rFonts w:ascii="Times New Roman" w:hAnsi="Times New Roman"/>
          <w:b/>
          <w:color w:val="000000"/>
          <w:sz w:val="20"/>
        </w:rPr>
        <w:t>Why Stockholders Should Support This Proposal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Attract and Retain Top Talent Was Critical to Driving the Strong Launches of Revuforj and Niktimvo in 2025 and Remains Critical at this Moment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we exceeded our internal revenue projections for our menin inhibitor product, Revuforj, used in certain hard-to-treat blood cancers, including specific forms of leukemia, and for Niktimvo, used for chronic graft-versus-host disease, a serious long-term complication that can happen after a donor stem-cell transplant, and progressed our other programs; we drove payor coverage and rapid delivery time of products to patients; and we adhered to our budget. Our innovative therapies are driving meaningful revenue growth and improving patients’ lives. To continue to achieve goals like this, the Company must attract and retain top talent to support the continued commercialization of these products, and equity is critical to support this continued growth.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at a very specific point in our lifecycle: we have two recently-launched products, we are continuing to build the development and commercial capabilities needed to maximize those launches, and we are advancing multiple studies intended to expand both franchises. This combination creates a higher-than-normal need to attract and retain specialized commercial, medical, clinical, and technical talent. To fully realize the potential of our therapies, we must continue to hire and retain world-class scientific and commercial talent and align them with shareholders using equity compensation. We believe using equity remains the right tool to do that while preserving cash for growth and execution. The use of equity awards assists us and will continue to assist us in ensuring that our executives and employees are focused on long-term value creation for our stockholders.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Compensation Is Very Important in a Highly Competitive Biotechnology Talent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global life sciences industry, there is significant competition for experienced and educated individuals with the skills necessary to execute our strategy and advance our business. Our principal management, scientific and commercial personnel are based in highly competitive labor markets. Compensation levels in these markets remain relatively high and we must compete with large and well-resourced competitors. In the markets where we operate, we must compete for talent with some of the largest biotech and pharmaceutical companies in the world. In the biotechnology industry, equity compensation is used more broadly than other industries. Without the ability to offer competitive compensation packages that include equity and cash components to motivate and retain talent, we would not be competitive, and we might lose key executives and employees, which could impair our ability to execute on our business strategy and harm stockholder value.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Awards Are a Key Part of Our Compensation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compensation is a key element of the total compensation we provide because equity grants align our employees’ and directors’ interests with those of our other stockholders, effectuate a culture of ownership among our employees and other recipients and preserve our cash resources. Equity incentives link long-term performance and payouts through the value of our shares. We believe that employees and other recipients with a personal stake in the future success of the Company are motivated to achieve our objectives and increase shareholder value. These unique and valuable aspects of equity compensation have made it a key element of our compensation strategy, and thus we grant equity compensation to all levels of our organization to provide opportunities to participate in ownership of the Company.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Historically, we have granted equity awards to all full-time employees, believing that a culture of ownership is important to our ability to achieve our short- and long-term business objectives and that our success is dependent on our employees feeling invested in our future. In 2025, we granted equity awards to all eligible employees of the Company.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Compensation Is Important to Talent Acquisition and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compensation is important to our ability to attract, motivate and retain executives and employees and, as noted above, to be successful in the competitive market for highly skilled individuals. We use equity incentives as a key tool to motivate and reward recipients to execute our long-term strategy and, through their equity, share in the stockholder value they create. Long-term equity grants also promote retention because recipients usually must remain in service in order for their equity to vest. Equity compensation is an important part of our employment value proposition. We believe continued competitive equity grant practices will support the attraction and retention of key talent at an important time for the Company, which is a key aspect of our broader human capital management strategy.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Carefully Consider and Forecast Our Need for Shares; The Size of Our Share Reserve Request Is Reasonable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After carefully forecasting our anticipated growth rate for the next few years and considering our historical usage and forfeiture rates, we currently believe that the proposed 2026 Plan will be sufficient for attracting, motivating and retaining employees, directors and consultants with anticipated grants of equity incentive awards under our current compensation program for approximately two years. However, a change in business conditions, company strategy, forfeiture rates or equity market performance could alter this projection up or down.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Monitoring of Dilution, Burn Rate and Overhang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contemplating the number of shares to authorize for issuance under the 2026 Plan, the Compensation Committee considered the potential dilution to current stockholders, as measured by the burn rate and overhang, and projected future share usage, among other things. The Compensation Committee is cognizant that the Company’s equity compensation programs have a dilutive effect on our stockholders and continuously strives to balance this concern with our need to compete for talent using practices that are prevalent in the market, including equity grants.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Burn 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company’s burn rate shows how rapidly it is depleting its shares reserved for equity compensation awards. We believe that our historical burn rate is reasonable for a company of our size in our industry. We will continue to monitor our equity use in future years in an attempt to ensure that our burn rate is within competitive market norms. We continued to try to mitigate the burn rate by using RSUs and PRSUs and focus on performance/contribution in allocation.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define the burn rate as the number of shares subject to time-based equity awards granted and performance-based equity awards granted in a year divided by the weighted-average number of shares of Common Stock outstanding for that year, for each of the last three fiscal years. Our three-year average annual burn rate is approximately 5.8%, which is in line with industry practice and below the burn rate thresholds generally applied by a leading proxy advisory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believe that this request is disciplined because the 2026 Plan would replace the current evergreen structure with a fixed share pool, and the 5,060,185 shares that remained available under the 2015 Plan when it expired were canceled and not rolled forward into the new plan. As a result, stockholders, rather than an automatic replenishment feature, would determine whether future increases in available shares are warranted.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Overhang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company’s overhang reflects potential dilution of stockholders’ ownership by actual stock-based awards as well as shares available for grant. In determining the number of shares that would become available under our 2026 Plan, the Compensation Committee considered the resulting overhang as an additional metric to measure the cumulative effect of equity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the 2026 Plan is approved, potential dilution, as of January 1, 2026, from the 7,200,000 new shares proposed to be reserved for issuance (8.2%) plus any remaining inducement plan shares, totals 9.0% of shares outstanding. Our Compensation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Committee considered how our share request compares to those of comparable companies. Compared to the recent share requests of companies in our peer group, this dilution level of 9.0% is positioned between the median and the 75th percentile of the peer group. We believe that this level is reasonable in light of the Company’s stage of development, expected share needs over the next two years, the replacement of the prior evergreen structure with a fixed pool, and the cancellation of the remaining shares under the 2015 Plan when it expired .</w:t>
      </w:r>
    </w:p>
    <w:p>
      <w:pPr>
        <w:pStyle w:val="TextBody"/>
        <w:bidi w:val="0"/>
        <w:jc w:val="both"/>
        <w:rPr/>
      </w:pPr>
      <w:r>
        <w:rPr/>
        <w:t> </w:t>
      </w:r>
    </w:p>
    <w:p>
      <w:pPr>
        <w:pStyle w:val="TextBody"/>
        <w:bidi w:val="0"/>
        <w:jc w:val="both"/>
        <w:rPr>
          <w:rFonts w:ascii="Times New Roman" w:hAnsi="Times New Roman"/>
          <w:b/>
          <w:color w:val="000000"/>
          <w:sz w:val="20"/>
        </w:rPr>
      </w:pPr>
      <w:bookmarkStart w:id="24" w:name="proposal4_intention"/>
      <w:bookmarkEnd w:id="24"/>
      <w:r>
        <w:rPr>
          <w:rFonts w:ascii="Times New Roman" w:hAnsi="Times New Roman"/>
          <w:b/>
          <w:color w:val="000000"/>
          <w:sz w:val="20"/>
        </w:rPr>
        <w:t>The 2026 Plan Is Intended to Protect Stockholder Interests and Is Consistent with Good Corporate Governance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No automatic share replenishment or “evergreen” provision</w:t>
      </w:r>
      <w:r>
        <w:rPr>
          <w:rFonts w:ascii="Times New Roman" w:hAnsi="Times New Roman"/>
          <w:color w:val="000000"/>
          <w:sz w:val="20"/>
        </w:rPr>
        <w:t>. There is no evergreen feature pursuant to which the shares authorized for issuance under the 2026 Plan will be automatically replenished.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No repricing</w:t>
      </w:r>
      <w:r>
        <w:rPr>
          <w:rFonts w:ascii="Times New Roman" w:hAnsi="Times New Roman"/>
          <w:color w:val="000000"/>
          <w:sz w:val="20"/>
        </w:rPr>
        <w:t>. The 2026 Plan prohibits the repricing of awards or the repurchase and/or cancellation of underwater awards in exchange for cash or other awards without shareholder approval.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Clawback</w:t>
      </w:r>
      <w:r>
        <w:rPr>
          <w:rFonts w:ascii="Times New Roman" w:hAnsi="Times New Roman"/>
          <w:color w:val="000000"/>
          <w:sz w:val="20"/>
        </w:rPr>
        <w:t>. Awards granted under the 2026 Plan are subject to the Company’s clawback and/or recoupment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Limit on Non-Employee Director Compensation</w:t>
      </w:r>
      <w:r>
        <w:rPr>
          <w:rFonts w:ascii="Times New Roman" w:hAnsi="Times New Roman"/>
          <w:color w:val="000000"/>
          <w:sz w:val="20"/>
        </w:rPr>
        <w:t>: The 2026 Plan contains an annual limit on cash and equity-based compensation that may be paid or granted, whether under the 2026 Plan or otherwise, to our non-employee directors other than the chair of $1,000,000 (or $1,500,000 in the calendar year that the non-employee director first joins the Board or if the non-employee director is serving as chairman or lead director of the Board).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No discounted options or SARs</w:t>
      </w:r>
      <w:r>
        <w:rPr>
          <w:rFonts w:ascii="Times New Roman" w:hAnsi="Times New Roman"/>
          <w:color w:val="000000"/>
          <w:sz w:val="20"/>
        </w:rPr>
        <w:t>. Options and SARs may not be granted with an exercise or base price lower than the fair market value of the underlying shares on the date of grant (except in connection with substitute awards).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No single trigger “change-in control” vesting</w:t>
      </w:r>
      <w:r>
        <w:rPr>
          <w:rFonts w:ascii="Times New Roman" w:hAnsi="Times New Roman"/>
          <w:color w:val="000000"/>
          <w:sz w:val="20"/>
        </w:rPr>
        <w:t>. Grants under the 2026 Plan will vest only on the occurrence of a change in control that is accompanied by certain qualifying terminations of an individual’s employment or where the applicable award is not assumed, replaced or substituted.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No increase in shares available without shareholder approval</w:t>
      </w:r>
      <w:r>
        <w:rPr>
          <w:rFonts w:ascii="Times New Roman" w:hAnsi="Times New Roman"/>
          <w:color w:val="000000"/>
          <w:sz w:val="20"/>
        </w:rPr>
        <w:t>. The 2026 Plan prohibits any amendment that operates to increase the total number of shares that may be issued under the plan (other than customary adjustments in connection with certain corporate reorganizations or other events).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Limitation on amendments</w:t>
      </w:r>
      <w:r>
        <w:rPr>
          <w:rFonts w:ascii="Times New Roman" w:hAnsi="Times New Roman"/>
          <w:color w:val="000000"/>
          <w:sz w:val="20"/>
        </w:rPr>
        <w:t>. No amendments to the 2026 Plan can be made without shareholder approval if any such amendment would require shareholder approval pursuant to applicable law or the applicable rules of the national securities exchange on which the Company’s shares are principally listed.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Consequences if the Amendment is Not Approved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2026 Plan is not approved by our stockholders, we believe our ability to recruit, retain and incentivize top talent and to provide competitive equity incentives will be adversely affected. The 2026 Plan will be the only plan that allows us to grant equity awards to our current employees and other service providers. If we do not have sufficient shares reserved to grant equity awards under the 2026 Plan, we will be forced to increase the cash component of our compensation programs, which we believe will adversely impact our business and our ability to retain and motivate our employees.</w:t>
      </w:r>
    </w:p>
    <w:p>
      <w:pPr>
        <w:pStyle w:val="TextBody"/>
        <w:bidi w:val="0"/>
        <w:spacing w:before="264" w:after="283"/>
        <w:jc w:val="both"/>
        <w:rPr>
          <w:rFonts w:ascii="Times New Roman" w:hAnsi="Times New Roman"/>
          <w:b/>
          <w:color w:val="000000"/>
          <w:sz w:val="20"/>
        </w:rPr>
      </w:pPr>
      <w:bookmarkStart w:id="25" w:name="proposal4_t2026p"/>
      <w:bookmarkEnd w:id="25"/>
      <w:r>
        <w:rPr>
          <w:rFonts w:ascii="Times New Roman" w:hAnsi="Times New Roman"/>
          <w:b/>
          <w:color w:val="000000"/>
          <w:sz w:val="20"/>
        </w:rPr>
        <w:t>The 2026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summary below is qualified in its entirety by reference to the text of the 2026 Plan, a copy of which is attached as Annex A to this proxy statement. Stockholders should refer to the 2026 Plan for more complete and detailed information about the terms and conditions of the 2026 Plan.</w:t>
      </w:r>
    </w:p>
    <w:p>
      <w:pPr>
        <w:pStyle w:val="TextBody"/>
        <w:bidi w:val="0"/>
        <w:spacing w:before="120" w:after="283"/>
        <w:jc w:val="both"/>
        <w:rPr>
          <w:rFonts w:ascii="Times New Roman" w:hAnsi="Times New Roman"/>
          <w:sz w:val="20"/>
        </w:rPr>
      </w:pPr>
      <w:r>
        <w:rPr>
          <w:rFonts w:ascii="Times New Roman" w:hAnsi="Times New Roman"/>
          <w:color w:val="000000"/>
          <w:sz w:val="20"/>
        </w:rPr>
        <w:t>The 2026 Plan will be the successor to and continuation of the Syndax Pharmaceuticals, Inc. 2015 Omnibus Incentive Plan (the “</w:t>
      </w:r>
      <w:r>
        <w:rPr>
          <w:rFonts w:ascii="Times New Roman" w:hAnsi="Times New Roman"/>
          <w:b/>
          <w:i/>
          <w:color w:val="000000"/>
          <w:sz w:val="20"/>
        </w:rPr>
        <w:t>2015 Plan</w:t>
      </w:r>
      <w:r>
        <w:rPr>
          <w:rFonts w:ascii="Times New Roman" w:hAnsi="Times New Roman"/>
          <w:color w:val="000000"/>
          <w:sz w:val="20"/>
        </w:rPr>
        <w:t>”). The 2015 Plan expired on March 8, 2026 and no further grants may be made under the 2015 Plan.</w:t>
      </w:r>
    </w:p>
    <w:p>
      <w:pPr>
        <w:pStyle w:val="TextBody"/>
        <w:bidi w:val="0"/>
        <w:spacing w:before="120" w:after="283"/>
        <w:jc w:val="both"/>
        <w:rPr>
          <w:rFonts w:ascii="Times New Roman" w:hAnsi="Times New Roman"/>
          <w:sz w:val="20"/>
        </w:rPr>
      </w:pPr>
      <w:r>
        <w:rPr>
          <w:rFonts w:ascii="Times New Roman" w:hAnsi="Times New Roman"/>
          <w:b/>
          <w:color w:val="000000"/>
          <w:sz w:val="20"/>
        </w:rPr>
        <w:t>Types of Awards</w:t>
      </w:r>
      <w:r>
        <w:rPr>
          <w:rFonts w:ascii="Times New Roman" w:hAnsi="Times New Roman"/>
          <w:color w:val="000000"/>
          <w:sz w:val="20"/>
        </w:rPr>
        <w:t>. The 2026 Plan provides for the grant of incentive stock options (“</w:t>
      </w:r>
      <w:r>
        <w:rPr>
          <w:rFonts w:ascii="Times New Roman" w:hAnsi="Times New Roman"/>
          <w:b/>
          <w:i/>
          <w:color w:val="000000"/>
          <w:sz w:val="20"/>
        </w:rPr>
        <w:t>ISOs</w:t>
      </w:r>
      <w:r>
        <w:rPr>
          <w:rFonts w:ascii="Times New Roman" w:hAnsi="Times New Roman"/>
          <w:color w:val="000000"/>
          <w:sz w:val="20"/>
        </w:rPr>
        <w:t>”) to employees, including employees of any parent or subsidiary, and for the grant of nonstatutory stock options (“</w:t>
      </w:r>
      <w:r>
        <w:rPr>
          <w:rFonts w:ascii="Times New Roman" w:hAnsi="Times New Roman"/>
          <w:b/>
          <w:i/>
          <w:color w:val="000000"/>
          <w:sz w:val="20"/>
        </w:rPr>
        <w:t>NSOs</w:t>
      </w:r>
      <w:r>
        <w:rPr>
          <w:rFonts w:ascii="Times New Roman" w:hAnsi="Times New Roman"/>
          <w:color w:val="000000"/>
          <w:sz w:val="20"/>
        </w:rPr>
        <w:t>”), stock appreciation rights, restricted stock awards, restricted stock unit awards, performance awards and other forms of stock awards to employees, directors, and consultants, including employees and consultants of our affiliates.</w:t>
      </w:r>
    </w:p>
    <w:p>
      <w:pPr>
        <w:pStyle w:val="TextBody"/>
        <w:bidi w:val="0"/>
        <w:spacing w:before="120" w:after="283"/>
        <w:jc w:val="both"/>
        <w:rPr>
          <w:rFonts w:ascii="Times New Roman" w:hAnsi="Times New Roman"/>
          <w:sz w:val="20"/>
        </w:rPr>
      </w:pPr>
      <w:r>
        <w:rPr>
          <w:rFonts w:ascii="Times New Roman" w:hAnsi="Times New Roman"/>
          <w:b/>
          <w:color w:val="000000"/>
          <w:sz w:val="20"/>
        </w:rPr>
        <w:t>Authorized Shares</w:t>
      </w:r>
      <w:r>
        <w:rPr>
          <w:rFonts w:ascii="Times New Roman" w:hAnsi="Times New Roman"/>
          <w:color w:val="000000"/>
          <w:sz w:val="20"/>
        </w:rPr>
        <w:t xml:space="preserve">. Initially, the maximum number of shares of our common stock that may be issued under the 2026 Plan after it becomes effective will not exceed 17,134,916 shares, which is the sum of (i) 7,200,000 new shares, plus (ii) up to 9,934,916 shares of our common stock subject to outstanding stock awards granted under the 2015 Plan that, on or after the 2026 Plan becomes effective, expire or otherwise terminate prior to exercise or settlement; are not issued because the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award is settled in cash; are forfeited or repurchased because of the failure to vest; or are reacquired or withheld to satisfy a tax withholding obligation or the purchase or exercise price, if any, as such shares become available from time to time. The maximum number of shares of our common stock that may be issued on the exercise of ISOs under the 2026 Plan is 85,674,580.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subject to stock awards granted under the 2026 Plan that expire or terminate without being exercised in full, or that are paid out in cash rather than in shares, do not reduce the number of shares available for issuance under the 2026 Plan. Additionally, shares become available for future grant under the 2026 Plan if they were issued under stock awards under the 2026 Plan and we repurchase them or they are forfeited. This includes shares used to pay the exercise price of a stock award or to satisfy the tax withholding obligations related to a stock award.</w:t>
      </w:r>
    </w:p>
    <w:p>
      <w:pPr>
        <w:pStyle w:val="TextBody"/>
        <w:bidi w:val="0"/>
        <w:spacing w:before="120" w:after="283"/>
        <w:jc w:val="both"/>
        <w:rPr>
          <w:rFonts w:ascii="Times New Roman" w:hAnsi="Times New Roman"/>
          <w:sz w:val="20"/>
        </w:rPr>
      </w:pPr>
      <w:r>
        <w:rPr>
          <w:rFonts w:ascii="Times New Roman" w:hAnsi="Times New Roman"/>
          <w:b/>
          <w:color w:val="000000"/>
          <w:sz w:val="20"/>
        </w:rPr>
        <w:t>Plan Administration</w:t>
      </w:r>
      <w:r>
        <w:rPr>
          <w:rFonts w:ascii="Times New Roman" w:hAnsi="Times New Roman"/>
          <w:color w:val="000000"/>
          <w:sz w:val="20"/>
        </w:rPr>
        <w:t>. Our Board, or a duly authorized committee of our Board, will administer the 2026 Plan. Our Board may delegate concurrent authority to administer the 2026 Plan to our Compensation Committee under the terms of our Compensation Committee’s charter. We sometimes refer to our Board,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nor any committee may delegate authority to any person or body (who is not a member of our Board or such body that is not comprised solely of members of our Board) the authority to determine the fair market value of our common stock for purposes of the 2026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subject to the terms of the 2026 Plan, the administrator also has the power to modify outstanding awards under the 2026 Plan. However, without stockholder approval, the administrator may not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w:t>
      </w:r>
    </w:p>
    <w:p>
      <w:pPr>
        <w:pStyle w:val="TextBody"/>
        <w:bidi w:val="0"/>
        <w:spacing w:before="120" w:after="120"/>
        <w:jc w:val="both"/>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ISOs and NSOs are granted under stock option agreements adopted by the administrator. The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administrator.</w:t>
      </w:r>
    </w:p>
    <w:p>
      <w:pPr>
        <w:pStyle w:val="TextBody"/>
        <w:bidi w:val="0"/>
        <w:spacing w:before="0" w:after="120"/>
        <w:jc w:val="both"/>
        <w:rPr>
          <w:rFonts w:ascii="Times New Roman" w:hAnsi="Times New Roman"/>
          <w:sz w:val="20"/>
        </w:rPr>
      </w:pPr>
      <w:r>
        <w:rPr>
          <w:rFonts w:ascii="Times New Roman" w:hAnsi="Times New Roman"/>
          <w:b/>
          <w:color w:val="000000"/>
          <w:sz w:val="20"/>
        </w:rPr>
        <w:t>Tax Limitations on ISOs</w:t>
      </w:r>
      <w:r>
        <w:rPr>
          <w:rFonts w:ascii="Times New Roman" w:hAnsi="Times New Roman"/>
          <w:color w:val="000000"/>
          <w:sz w:val="20"/>
        </w:rPr>
        <w:t>. 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pStyle w:val="TextBody"/>
        <w:bidi w:val="0"/>
        <w:spacing w:before="0" w:after="120"/>
        <w:jc w:val="both"/>
        <w:rPr>
          <w:rFonts w:ascii="Times New Roman" w:hAnsi="Times New Roman"/>
          <w:sz w:val="20"/>
        </w:rPr>
      </w:pPr>
      <w:r>
        <w:rPr>
          <w:rFonts w:ascii="Times New Roman" w:hAnsi="Times New Roman"/>
          <w:b/>
          <w:color w:val="000000"/>
          <w:sz w:val="20"/>
        </w:rPr>
        <w:t>Restricted Stock Unit Awards</w:t>
      </w:r>
      <w:r>
        <w:rPr>
          <w:rFonts w:ascii="Times New Roman" w:hAnsi="Times New Roman"/>
          <w:color w:val="000000"/>
          <w:sz w:val="20"/>
        </w:rPr>
        <w:t>. Restricted stock units are granted under restricted stock unit award agreements adopted by the administrator. Restricted stock units may be granted in consideration for any form of legal consideration that may be acceptable to our Board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pStyle w:val="TextBody"/>
        <w:bidi w:val="0"/>
        <w:spacing w:before="0" w:after="120"/>
        <w:jc w:val="both"/>
        <w:rPr>
          <w:rFonts w:ascii="Times New Roman" w:hAnsi="Times New Roman"/>
          <w:sz w:val="20"/>
        </w:rPr>
      </w:pPr>
      <w:r>
        <w:rPr>
          <w:rFonts w:ascii="Times New Roman" w:hAnsi="Times New Roman"/>
          <w:b/>
          <w:color w:val="000000"/>
          <w:sz w:val="20"/>
        </w:rPr>
        <w:t>Restricted Stock Awards</w:t>
      </w:r>
      <w:r>
        <w:rPr>
          <w:rFonts w:ascii="Times New Roman" w:hAnsi="Times New Roman"/>
          <w:color w:val="000000"/>
          <w:sz w:val="20"/>
        </w:rPr>
        <w:t>. Restricted stock awards are granted under restricted stock award agreements adopted by the administrator. A restricted stock award may be awarded in consideration for cash, check, bank draft or money order, past services to us, or any other form of legal consideration that may be acceptable to our Board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pStyle w:val="TextBody"/>
        <w:bidi w:val="0"/>
        <w:spacing w:before="0" w:after="120"/>
        <w:jc w:val="both"/>
        <w:rPr>
          <w:rFonts w:ascii="Times New Roman" w:hAnsi="Times New Roman"/>
          <w:sz w:val="20"/>
        </w:rPr>
      </w:pPr>
      <w:r>
        <w:rPr>
          <w:rFonts w:ascii="Times New Roman" w:hAnsi="Times New Roman"/>
          <w:b/>
          <w:color w:val="000000"/>
          <w:sz w:val="20"/>
        </w:rPr>
        <w:t>Stock Appreciation Rights</w:t>
      </w:r>
      <w:r>
        <w:rPr>
          <w:rFonts w:ascii="Times New Roman" w:hAnsi="Times New Roman"/>
          <w:color w:val="000000"/>
          <w:sz w:val="20"/>
        </w:rPr>
        <w:t xml:space="preserve">. Stock appreciation rights are granted under stock appreciation right agreements adopted by the administrator. The administrator determines the purchase price or strike price for a stock appreciation right, which generally cannot be less than 100% of the fair market value of our common stock on the date of grant. A stock appreciation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right granted under the 2026 Plan vests at the rate specified in the stock appreciation right agreement as determined by the administrator.</w:t>
      </w:r>
    </w:p>
    <w:p>
      <w:pPr>
        <w:pStyle w:val="TextBody"/>
        <w:bidi w:val="0"/>
        <w:spacing w:before="0" w:after="120"/>
        <w:jc w:val="both"/>
        <w:rPr>
          <w:rFonts w:ascii="Times New Roman" w:hAnsi="Times New Roman"/>
          <w:sz w:val="20"/>
        </w:rPr>
      </w:pPr>
      <w:r>
        <w:rPr>
          <w:rFonts w:ascii="Times New Roman" w:hAnsi="Times New Roman"/>
          <w:b/>
          <w:color w:val="000000"/>
          <w:sz w:val="20"/>
        </w:rPr>
        <w:t>Performance Awards</w:t>
      </w:r>
      <w:r>
        <w:rPr>
          <w:rFonts w:ascii="Times New Roman" w:hAnsi="Times New Roman"/>
          <w:color w:val="000000"/>
          <w:sz w:val="20"/>
        </w:rPr>
        <w:t>. The 2026 Plan permits the grant of performance-based stock and cash awards. The 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pStyle w:val="TextBody"/>
        <w:bidi w:val="0"/>
        <w:spacing w:before="0" w:after="120"/>
        <w:jc w:val="both"/>
        <w:rPr>
          <w:rFonts w:ascii="Times New Roman" w:hAnsi="Times New Roman"/>
          <w:sz w:val="20"/>
        </w:rPr>
      </w:pPr>
      <w:r>
        <w:rPr>
          <w:rFonts w:ascii="Times New Roman" w:hAnsi="Times New Roman"/>
          <w:b/>
          <w:color w:val="000000"/>
          <w:sz w:val="20"/>
        </w:rPr>
        <w:t>Other Stock Awards</w:t>
      </w:r>
      <w:r>
        <w:rPr>
          <w:rFonts w:ascii="Times New Roman" w:hAnsi="Times New Roman"/>
          <w:color w:val="000000"/>
          <w:sz w:val="20"/>
        </w:rPr>
        <w:t>. The administrator may grant other awards based in whole or in part by reference to our common stock. The administrator will set the number of shares under the stock award and all other terms and conditions of such awards.</w:t>
      </w:r>
    </w:p>
    <w:p>
      <w:pPr>
        <w:pStyle w:val="TextBody"/>
        <w:bidi w:val="0"/>
        <w:spacing w:before="0" w:after="120"/>
        <w:jc w:val="both"/>
        <w:rPr>
          <w:rFonts w:ascii="Times New Roman" w:hAnsi="Times New Roman"/>
          <w:sz w:val="20"/>
        </w:rPr>
      </w:pPr>
      <w:r>
        <w:rPr>
          <w:rFonts w:ascii="Times New Roman" w:hAnsi="Times New Roman"/>
          <w:b/>
          <w:color w:val="000000"/>
          <w:sz w:val="20"/>
        </w:rPr>
        <w:t>Non-Employee Director Compensation Limit</w:t>
      </w:r>
      <w:r>
        <w:rPr>
          <w:rFonts w:ascii="Times New Roman" w:hAnsi="Times New Roman"/>
          <w:color w:val="000000"/>
          <w:sz w:val="20"/>
        </w:rPr>
        <w:t>. The aggregate value of all compensation granted or paid to any non-employee director with respect to any calendar year, including stock awards granted and cash fees paid by us to such non-employee director, will not exceed $1,000,000 in total value, or in the event such non-employee director is first appointed or elected to the Board during such calendar year or if the non-employee director is serving as chairman or lead director of the Board, $1,500,000 in total value (in each case, calculating the value of any such stock awards based on the grant date fair value of such stock awards for financial reporting purposes).</w:t>
      </w:r>
    </w:p>
    <w:p>
      <w:pPr>
        <w:pStyle w:val="TextBody"/>
        <w:bidi w:val="0"/>
        <w:spacing w:before="0" w:after="120"/>
        <w:jc w:val="both"/>
        <w:rPr>
          <w:rFonts w:ascii="Times New Roman" w:hAnsi="Times New Roman"/>
          <w:sz w:val="20"/>
        </w:rPr>
      </w:pPr>
      <w:r>
        <w:rPr>
          <w:rFonts w:ascii="Times New Roman" w:hAnsi="Times New Roman"/>
          <w:b/>
          <w:color w:val="000000"/>
          <w:sz w:val="20"/>
        </w:rPr>
        <w:t>Changes to Capital Structure</w:t>
      </w:r>
      <w:r>
        <w:rPr>
          <w:rFonts w:ascii="Times New Roman" w:hAnsi="Times New Roman"/>
          <w:color w:val="000000"/>
          <w:sz w:val="20"/>
        </w:rPr>
        <w:t>.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that may be issued on the exercise of ISOs, and (iii) the class and number of shares and exercise price, strike price, or purchase price, if applicable, of all outstanding stock awards.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b/>
          <w:color w:val="000000"/>
          <w:sz w:val="20"/>
        </w:rPr>
        <w:t>Corporate Transactions</w:t>
      </w:r>
      <w:r>
        <w:rPr>
          <w:rFonts w:ascii="Times New Roman" w:hAnsi="Times New Roman"/>
          <w:color w:val="000000"/>
          <w:sz w:val="20"/>
        </w:rPr>
        <w:t>. The following applies to stock awards under the 2026 Plan in the event of a corporate transaction, unless otherwise provided in a participant’s stock award agreement or other written agreement with us or one of our affiliates or unless otherwise expressly provided by the administrator at the time of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of a corporate transaction,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2026 Plan, a corporate transaction is generally defined to include the consummation, in a single transaction or in a series of related transactions, of any one or more of the following events: (i) a sale or disposition of all or substantially all of our assets; (ii) a sale or disposition of at least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pStyle w:val="TextBody"/>
        <w:bidi w:val="0"/>
        <w:spacing w:before="0" w:after="120"/>
        <w:jc w:val="both"/>
        <w:rPr>
          <w:rFonts w:ascii="Times New Roman" w:hAnsi="Times New Roman"/>
          <w:sz w:val="20"/>
        </w:rPr>
      </w:pPr>
      <w:r>
        <w:rPr>
          <w:rFonts w:ascii="Times New Roman" w:hAnsi="Times New Roman"/>
          <w:b/>
          <w:color w:val="000000"/>
          <w:sz w:val="20"/>
        </w:rPr>
        <w:t>Change in Control</w:t>
      </w:r>
      <w:r>
        <w:rPr>
          <w:rFonts w:ascii="Times New Roman" w:hAnsi="Times New Roman"/>
          <w:color w:val="000000"/>
          <w:sz w:val="20"/>
        </w:rPr>
        <w:t>. In the event of a change in control, as defined under the 2026 Plan, awards granted under the 2026 Plan will not receive automatic acceleration of vesting and exercisability, although this treatment may be provided for in an award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2026 Plan, a change in control is generally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pStyle w:val="TextBody"/>
        <w:bidi w:val="0"/>
        <w:spacing w:before="0" w:after="120"/>
        <w:jc w:val="both"/>
        <w:rPr>
          <w:rFonts w:ascii="Times New Roman" w:hAnsi="Times New Roman"/>
          <w:sz w:val="20"/>
        </w:rPr>
      </w:pPr>
      <w:r>
        <w:rPr>
          <w:rFonts w:ascii="Times New Roman" w:hAnsi="Times New Roman"/>
          <w:b/>
          <w:color w:val="000000"/>
          <w:sz w:val="20"/>
        </w:rPr>
        <w:t>Transferability</w:t>
      </w:r>
      <w:r>
        <w:rPr>
          <w:rFonts w:ascii="Times New Roman" w:hAnsi="Times New Roman"/>
          <w:color w:val="000000"/>
          <w:sz w:val="20"/>
        </w:rPr>
        <w:t>. A participant may not transfer stock awards under the 2026 Plan other than by will, the laws of descent and distribution, or as otherwise provided under the 2026 Plan.</w:t>
      </w:r>
    </w:p>
    <w:p>
      <w:pPr>
        <w:pStyle w:val="TextBody"/>
        <w:bidi w:val="0"/>
        <w:spacing w:before="0" w:after="120"/>
        <w:jc w:val="both"/>
        <w:rPr>
          <w:rFonts w:ascii="Times New Roman" w:hAnsi="Times New Roman"/>
          <w:sz w:val="20"/>
        </w:rPr>
      </w:pPr>
      <w:r>
        <w:rPr>
          <w:rFonts w:ascii="Times New Roman" w:hAnsi="Times New Roman"/>
          <w:b/>
          <w:color w:val="000000"/>
          <w:sz w:val="20"/>
        </w:rPr>
        <w:t>Plan Amendment or Termination</w:t>
      </w:r>
      <w:r>
        <w:rPr>
          <w:rFonts w:ascii="Times New Roman" w:hAnsi="Times New Roman"/>
          <w:color w:val="000000"/>
          <w:sz w:val="20"/>
        </w:rPr>
        <w:t>. Our Board has the authority to amend, suspend, or terminate the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adopted the 2026 Plan. No stock awards may be granted under the 2026 Plan while it is suspended or after it is terminated.</w:t>
      </w:r>
    </w:p>
    <w:p>
      <w:pPr>
        <w:pStyle w:val="TextBody"/>
        <w:bidi w:val="0"/>
        <w:jc w:val="both"/>
        <w:rPr>
          <w:rFonts w:ascii="Times New Roman" w:hAnsi="Times New Roman"/>
          <w:b/>
          <w:color w:val="000000"/>
          <w:sz w:val="20"/>
        </w:rPr>
      </w:pPr>
      <w:bookmarkStart w:id="26" w:name="proposal4_taxes"/>
      <w:bookmarkEnd w:id="26"/>
      <w:r>
        <w:rPr>
          <w:rFonts w:ascii="Times New Roman" w:hAnsi="Times New Roman"/>
          <w:b/>
          <w:color w:val="000000"/>
          <w:sz w:val="20"/>
        </w:rPr>
        <w:t>U.S. Federal Income Tax Consequences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summary of the principal U.S. federal income tax consequences to participants and the Company with respect to participation in the 2026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federal, state, local and other tax consequences of the grant or exercise of an award or the disposition of stock acquired under the 2026 Plan. The 2026 Plan is not qualified under the provisions of Section 401(a) of the Code and is not subject to any of the provisions of the Employee Retirement Income Security Act of 1974, as amended. The Company’s ability to realize the benefit of any tax deductions described below depends on the Company’s generation of taxable income as well as the requirement of reasonableness and the satisfaction of the Company’s tax reporting obligations.</w:t>
      </w:r>
    </w:p>
    <w:p>
      <w:pPr>
        <w:pStyle w:val="TextBody"/>
        <w:bidi w:val="0"/>
        <w:spacing w:before="0" w:after="120"/>
        <w:jc w:val="both"/>
        <w:rPr>
          <w:rFonts w:ascii="Times New Roman" w:hAnsi="Times New Roman"/>
          <w:sz w:val="20"/>
        </w:rPr>
      </w:pPr>
      <w:r>
        <w:rPr>
          <w:rFonts w:ascii="Times New Roman" w:hAnsi="Times New Roman"/>
          <w:b/>
          <w:color w:val="000000"/>
          <w:sz w:val="20"/>
        </w:rPr>
        <w:t>Nonstatutory Stock Options</w:t>
      </w:r>
      <w:r>
        <w:rPr>
          <w:rFonts w:ascii="Times New Roman" w:hAnsi="Times New Roman"/>
          <w:color w:val="000000"/>
          <w:sz w:val="20"/>
        </w:rPr>
        <w:t>. Generally, there is no taxation upon the grant of a nonstatutory stock option. Upon exercise, a participant will recognize ordinary income equal to the excess, if any, of the fair market value of the underlying stock on the date of exercise of the stock option over the exercise price. If the participant is employed by the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Company will generally be entitled to a tax deduction equal to the taxable ordinary income realized by the participant.</w:t>
      </w:r>
    </w:p>
    <w:p>
      <w:pPr>
        <w:pStyle w:val="TextBody"/>
        <w:bidi w:val="0"/>
        <w:spacing w:before="0" w:after="120"/>
        <w:jc w:val="both"/>
        <w:rPr>
          <w:rFonts w:ascii="Times New Roman" w:hAnsi="Times New Roman"/>
          <w:sz w:val="20"/>
        </w:rPr>
      </w:pPr>
      <w:r>
        <w:rPr>
          <w:rFonts w:ascii="Times New Roman" w:hAnsi="Times New Roman"/>
          <w:b/>
          <w:color w:val="000000"/>
          <w:sz w:val="20"/>
        </w:rPr>
        <w:t>Incentive Stock Options</w:t>
      </w:r>
      <w:r>
        <w:rPr>
          <w:rFonts w:ascii="Times New Roman" w:hAnsi="Times New Roman"/>
          <w:color w:val="000000"/>
          <w:sz w:val="20"/>
        </w:rPr>
        <w:t>. The 2026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Company is not allowed a tax deduction with respect to the grant or exercise of an ISO or the disposition of a share acquired upon exercise of an ISO after the required holding period. If there is a disqualifying disposition of a share, however, the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Company timely satisfies its reporting requirements with respect to that amount.</w:t>
      </w:r>
    </w:p>
    <w:p>
      <w:pPr>
        <w:pStyle w:val="TextBody"/>
        <w:bidi w:val="0"/>
        <w:spacing w:before="0" w:after="120"/>
        <w:jc w:val="both"/>
        <w:rPr>
          <w:rFonts w:ascii="Times New Roman" w:hAnsi="Times New Roman"/>
          <w:sz w:val="20"/>
        </w:rPr>
      </w:pPr>
      <w:r>
        <w:rPr>
          <w:rFonts w:ascii="Times New Roman" w:hAnsi="Times New Roman"/>
          <w:b/>
          <w:color w:val="000000"/>
          <w:sz w:val="20"/>
        </w:rPr>
        <w:t>Restricted Stock Awards</w:t>
      </w:r>
      <w:r>
        <w:rPr>
          <w:rFonts w:ascii="Times New Roman" w:hAnsi="Times New Roman"/>
          <w:color w:val="000000"/>
          <w:sz w:val="20"/>
        </w:rPr>
        <w:t>.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Company will generally be entitled to a tax deduction equal to the taxable ordinary income realized by the recipient of the restricted stock award.</w:t>
      </w:r>
    </w:p>
    <w:p>
      <w:pPr>
        <w:pStyle w:val="TextBody"/>
        <w:bidi w:val="0"/>
        <w:spacing w:before="0" w:after="120"/>
        <w:jc w:val="both"/>
        <w:rPr>
          <w:rFonts w:ascii="Times New Roman" w:hAnsi="Times New Roman"/>
          <w:sz w:val="20"/>
        </w:rPr>
      </w:pPr>
      <w:r>
        <w:rPr>
          <w:rFonts w:ascii="Times New Roman" w:hAnsi="Times New Roman"/>
          <w:b/>
          <w:color w:val="000000"/>
          <w:sz w:val="20"/>
        </w:rPr>
        <w:t>Restricted Stock Unit Awards</w:t>
      </w:r>
      <w:r>
        <w:rPr>
          <w:rFonts w:ascii="Times New Roman" w:hAnsi="Times New Roman"/>
          <w:color w:val="000000"/>
          <w:sz w:val="20"/>
        </w:rPr>
        <w:t xml:space="preserve">. Generally, the recipient of a restricted stock unit award will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Company will generally be entitled to a tax deduction equal to the taxable ordinary income realized by the recipient of the restricted stock unit award.</w:t>
      </w:r>
    </w:p>
    <w:p>
      <w:pPr>
        <w:pStyle w:val="TextBody"/>
        <w:bidi w:val="0"/>
        <w:spacing w:before="0" w:after="120"/>
        <w:jc w:val="both"/>
        <w:rPr>
          <w:rFonts w:ascii="Times New Roman" w:hAnsi="Times New Roman"/>
          <w:sz w:val="20"/>
        </w:rPr>
      </w:pPr>
      <w:r>
        <w:rPr>
          <w:rFonts w:ascii="Times New Roman" w:hAnsi="Times New Roman"/>
          <w:b/>
          <w:color w:val="000000"/>
          <w:sz w:val="20"/>
        </w:rPr>
        <w:t>Stock Appreciation Rights</w:t>
      </w:r>
      <w:r>
        <w:rPr>
          <w:rFonts w:ascii="Times New Roman" w:hAnsi="Times New Roman"/>
          <w:color w:val="000000"/>
          <w:sz w:val="20"/>
        </w:rPr>
        <w:t>. 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Company will generally be entitled to a tax deduction equal to the taxable ordinary income realized by the recipient of the stock appreciation right.</w:t>
      </w:r>
    </w:p>
    <w:p>
      <w:pPr>
        <w:pStyle w:val="TextBody"/>
        <w:bidi w:val="0"/>
        <w:jc w:val="both"/>
        <w:rPr>
          <w:rFonts w:ascii="Times New Roman" w:hAnsi="Times New Roman"/>
          <w:b/>
          <w:color w:val="000000"/>
          <w:sz w:val="20"/>
        </w:rPr>
      </w:pPr>
      <w:bookmarkStart w:id="27" w:name="proposal4_taxconseq"/>
      <w:bookmarkEnd w:id="27"/>
      <w:r>
        <w:rPr>
          <w:rFonts w:ascii="Times New Roman" w:hAnsi="Times New Roman"/>
          <w:b/>
          <w:color w:val="000000"/>
          <w:sz w:val="20"/>
        </w:rPr>
        <w:t>Tax Consequences to the Company</w:t>
      </w:r>
    </w:p>
    <w:p>
      <w:pPr>
        <w:pStyle w:val="TextBody"/>
        <w:bidi w:val="0"/>
        <w:spacing w:before="120" w:after="120"/>
        <w:jc w:val="both"/>
        <w:rPr>
          <w:rFonts w:ascii="Times New Roman" w:hAnsi="Times New Roman"/>
          <w:sz w:val="20"/>
        </w:rPr>
      </w:pPr>
      <w:r>
        <w:rPr>
          <w:rFonts w:ascii="Times New Roman" w:hAnsi="Times New Roman"/>
          <w:b/>
          <w:color w:val="000000"/>
          <w:sz w:val="20"/>
        </w:rPr>
        <w:t>Compensation of Covered Employees</w:t>
      </w:r>
      <w:r>
        <w:rPr>
          <w:rFonts w:ascii="Times New Roman" w:hAnsi="Times New Roman"/>
          <w:color w:val="000000"/>
          <w:sz w:val="20"/>
        </w:rPr>
        <w:t>. The ability of the Company to obtain a deduction for amounts paid under the 2026 Plan could be limited by Section 162(m) of the Code. Section 162(m) of the Code limits the Company’s ability to deduct compensation, for U.S. federal income tax purposes, paid during any year to a “covered employee” (within the meaning of Section 162(m) of the Code) in excess of $1 million.</w:t>
      </w:r>
    </w:p>
    <w:p>
      <w:pPr>
        <w:pStyle w:val="TextBody"/>
        <w:bidi w:val="0"/>
        <w:spacing w:before="0" w:after="120"/>
        <w:jc w:val="both"/>
        <w:rPr>
          <w:rFonts w:ascii="Times New Roman" w:hAnsi="Times New Roman"/>
          <w:sz w:val="20"/>
        </w:rPr>
      </w:pPr>
      <w:r>
        <w:rPr>
          <w:rFonts w:ascii="Times New Roman" w:hAnsi="Times New Roman"/>
          <w:b/>
          <w:color w:val="000000"/>
          <w:sz w:val="20"/>
        </w:rPr>
        <w:t>Golden Parachute Payments</w:t>
      </w:r>
      <w:r>
        <w:rPr>
          <w:rFonts w:ascii="Times New Roman" w:hAnsi="Times New Roman"/>
          <w:color w:val="000000"/>
          <w:sz w:val="20"/>
        </w:rPr>
        <w:t>. The ability of the Company (or the ability of one of its subsidiaries) to obtain a deduction for future payments under the 2026 Plan could also be limited by the golden parachute rules of Section 280G of the Code, which prevent the deductibility of certain “excess parachute payments” made in connection with a change in control of an employer-corporation.</w:t>
      </w:r>
    </w:p>
    <w:p>
      <w:pPr>
        <w:pStyle w:val="TextBody"/>
        <w:bidi w:val="0"/>
        <w:jc w:val="both"/>
        <w:rPr>
          <w:rFonts w:ascii="Times New Roman" w:hAnsi="Times New Roman"/>
          <w:b/>
          <w:color w:val="000000"/>
          <w:sz w:val="20"/>
        </w:rPr>
      </w:pPr>
      <w:bookmarkStart w:id="28" w:name="proposal4_benefits"/>
      <w:bookmarkEnd w:id="28"/>
      <w:r>
        <w:rPr>
          <w:rFonts w:ascii="Times New Roman" w:hAnsi="Times New Roman"/>
          <w:b/>
          <w:color w:val="000000"/>
          <w:sz w:val="20"/>
        </w:rPr>
        <w:t>New Plan Benefits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awards, if any, that will be made to eligible persons under the 2026 Plan are subject to the discretion of the Board. Therefore, we cannot currently determine the benefits or number of shares subject to awards that may be granted in the future nor may we determine the amounts that would have been granted in the last completed fiscal year if the 2026 Plan had been in effect.</w:t>
      </w:r>
    </w:p>
    <w:p>
      <w:pPr>
        <w:pStyle w:val="TextBody"/>
        <w:bidi w:val="0"/>
        <w:jc w:val="both"/>
        <w:rPr>
          <w:rFonts w:ascii="Times New Roman" w:hAnsi="Times New Roman"/>
          <w:b/>
          <w:color w:val="000000"/>
          <w:sz w:val="20"/>
        </w:rPr>
      </w:pPr>
      <w:bookmarkStart w:id="29" w:name="proposal4_registration"/>
      <w:bookmarkEnd w:id="29"/>
      <w:r>
        <w:rPr>
          <w:rFonts w:ascii="Times New Roman" w:hAnsi="Times New Roman"/>
          <w:b/>
          <w:color w:val="000000"/>
          <w:sz w:val="20"/>
        </w:rPr>
        <w:t>Registration with the SEC</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the 2026 Plan is approved by our stockholders and becomes effective, we intend to file a registration statement on Form S-8 registering the shares reserved for issuance under the 2026 Plan as soon as reasonably practicable after we become eligible to use such form.</w:t>
      </w:r>
    </w:p>
    <w:p>
      <w:pPr>
        <w:pStyle w:val="TextBody"/>
        <w:bidi w:val="0"/>
        <w:spacing w:before="140" w:after="283"/>
        <w:jc w:val="left"/>
        <w:rPr>
          <w:rFonts w:ascii="Times New Roman" w:hAnsi="Times New Roman"/>
          <w:b/>
          <w:color w:val="000000"/>
          <w:sz w:val="20"/>
        </w:rPr>
      </w:pPr>
      <w:bookmarkStart w:id="30" w:name="proposal4_recc"/>
      <w:bookmarkEnd w:id="30"/>
      <w:r>
        <w:rPr>
          <w:rFonts w:ascii="Times New Roman" w:hAnsi="Times New Roman"/>
          <w:b/>
          <w:color w:val="000000"/>
          <w:sz w:val="20"/>
        </w:rPr>
        <w:t>Our Recommendation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BOARD UNANIMOUSLY RECOMMENDS THAT YOU VOTE “FOR” THE APPROVAL OF THE 2026 PLAN (PROPOSAL 4 ON YOUR NOTICE OF INTERNET AVAILABILITY)</w:t>
      </w:r>
    </w:p>
    <w:p>
      <w:pPr>
        <w:pStyle w:val="TextBody"/>
        <w:bidi w:val="0"/>
        <w:jc w:val="center"/>
        <w:rPr/>
      </w:pPr>
      <w:r>
        <w:rPr/>
        <w:t> </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proposal5"/>
      <w:bookmarkEnd w:id="31"/>
      <w:r>
        <w:rPr>
          <w:rFonts w:ascii="Times New Roman" w:hAnsi="Times New Roman"/>
          <w:b/>
          <w:color w:val="000000"/>
          <w:sz w:val="20"/>
        </w:rPr>
        <w:t>PROPOSAL 5: APPROVAL OF THE SYNDAX PHARMACEUTICALS, INC. 2026 EMPLOYEE STOCK PURCHASE PLAN</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Our stockholders are being asked to consider and vote upon the ESPP Proposal to approve the Syndax Pharmaceuticals, Inc. 2026 Employee Stock Purchase Plan. The Board approved the ESPP on April 30, 2026, subject to stockholder approval. If stockholders approve the ESPP Proposal, the ESPP will become effective on the date of stockholder approval at the Annual Meeting. If the ESPP is not approved by the stockholders, it will not become effective. The ESPP is described in more detail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summary is qualified in its entirety by reference to the text of the ESPP, a copy of which is attached as Annex B to this proxy statement. Stockholders should refer to the ESPP for more complete and detailed information about the terms and conditions of the ESPP.</w:t>
      </w:r>
    </w:p>
    <w:p>
      <w:pPr>
        <w:pStyle w:val="TextBody"/>
        <w:bidi w:val="0"/>
        <w:spacing w:before="120" w:after="283"/>
        <w:jc w:val="both"/>
        <w:rPr>
          <w:rFonts w:ascii="Times New Roman" w:hAnsi="Times New Roman"/>
          <w:b/>
          <w:color w:val="000000"/>
          <w:sz w:val="20"/>
        </w:rPr>
      </w:pPr>
      <w:bookmarkStart w:id="32" w:name="proposal5_theespp"/>
      <w:bookmarkEnd w:id="32"/>
      <w:r>
        <w:rPr>
          <w:rFonts w:ascii="Times New Roman" w:hAnsi="Times New Roman"/>
          <w:b/>
          <w:color w:val="000000"/>
          <w:sz w:val="20"/>
        </w:rPr>
        <w:t>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The ESPP will serve as the go-forward employee stock purchase plan for the Company, and we expect to commence offerings under the ESPP following the Effective Date.</w:t>
      </w:r>
    </w:p>
    <w:p>
      <w:pPr>
        <w:pStyle w:val="TextBody"/>
        <w:bidi w:val="0"/>
        <w:spacing w:before="120" w:after="283"/>
        <w:jc w:val="both"/>
        <w:rPr>
          <w:rFonts w:ascii="Times New Roman" w:hAnsi="Times New Roman"/>
          <w:sz w:val="20"/>
        </w:rPr>
      </w:pPr>
      <w:r>
        <w:rPr>
          <w:rFonts w:ascii="Times New Roman" w:hAnsi="Times New Roman"/>
          <w:b/>
          <w:color w:val="000000"/>
          <w:sz w:val="20"/>
        </w:rPr>
        <w:t>Share Reserve</w:t>
      </w:r>
      <w:r>
        <w:rPr>
          <w:rFonts w:ascii="Times New Roman" w:hAnsi="Times New Roman"/>
          <w:color w:val="000000"/>
          <w:sz w:val="20"/>
        </w:rPr>
        <w:t>. The ESPP authorizes the issuance of shares of our common stock under purchase rights granted to our employees or to employees of any of our designated affiliates. The maximum number of shares of our common stock that may be issued under the ESPP is 500,000 shares. If any purchase right granted under the ESPP terminates without having been exercised in full, the shares of our common stock not purchased under such purchase right will again become available for issuance under the ESPP.</w:t>
      </w:r>
    </w:p>
    <w:p>
      <w:pPr>
        <w:pStyle w:val="TextBody"/>
        <w:bidi w:val="0"/>
        <w:spacing w:before="120" w:after="283"/>
        <w:jc w:val="both"/>
        <w:rPr>
          <w:rFonts w:ascii="Times New Roman" w:hAnsi="Times New Roman"/>
          <w:sz w:val="20"/>
        </w:rPr>
      </w:pPr>
      <w:r>
        <w:rPr>
          <w:rFonts w:ascii="Times New Roman" w:hAnsi="Times New Roman"/>
          <w:b/>
          <w:color w:val="000000"/>
          <w:sz w:val="20"/>
        </w:rPr>
        <w:t>Administration</w:t>
      </w:r>
      <w:r>
        <w:rPr>
          <w:rFonts w:ascii="Times New Roman" w:hAnsi="Times New Roman"/>
          <w:color w:val="000000"/>
          <w:sz w:val="20"/>
        </w:rPr>
        <w:t>. Our Board will administer the ESPP unless and until the Board delegates administration of the ESPP to a Committee or Committees. The Board may delegate some or all of the administration of the ESPP to a Committee or Committees. If administration is delegated to a Committee, the Committee will have, in connection with the administration of the ESPP, the powers theretofore possessed by the Board that have been delegated to the Committee, including the power to delegate to a subcommittee any of the administrative powers the Committee is authorized to exercise. The Board may retain the authority to concurrently administer the ESPP with the Committee and may, at any time, revest in the Board some or all of the powers previously delegated.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pStyle w:val="TextBody"/>
        <w:bidi w:val="0"/>
        <w:spacing w:before="120" w:after="283"/>
        <w:jc w:val="both"/>
        <w:rPr>
          <w:rFonts w:ascii="Times New Roman" w:hAnsi="Times New Roman"/>
          <w:sz w:val="20"/>
        </w:rPr>
      </w:pPr>
      <w:r>
        <w:rPr>
          <w:rFonts w:ascii="Times New Roman" w:hAnsi="Times New Roman"/>
          <w:b/>
          <w:color w:val="000000"/>
          <w:sz w:val="20"/>
        </w:rPr>
        <w:t>Payroll Deductions</w:t>
      </w:r>
      <w:r>
        <w:rPr>
          <w:rFonts w:ascii="Times New Roman" w:hAnsi="Times New Roman"/>
          <w:color w:val="000000"/>
          <w:sz w:val="20"/>
        </w:rPr>
        <w:t>. Generally, all regular employees, including executive officers, employed by us or by any of our designated affiliates, will be eligible to participate in the ESPP and to contribute, normally through payroll deductions, up to a maximum percentage of their earnings (as defined in the ESPP) or up to a set dollar amount for the purchase of our common stock under the ESPP. Unless otherwise determined by our Board, common stock will be purchased for the accounts of employees participating in the ESPP at a price per share that is at least the lesser of (i) 85% of the fair market value of a share of our common stock on the first date of an offering; or (ii) 85% of the fair market value of a share of our common stock on the date of purchase.</w:t>
      </w:r>
    </w:p>
    <w:p>
      <w:pPr>
        <w:pStyle w:val="TextBody"/>
        <w:bidi w:val="0"/>
        <w:spacing w:before="120" w:after="283"/>
        <w:jc w:val="both"/>
        <w:rPr>
          <w:rFonts w:ascii="Times New Roman" w:hAnsi="Times New Roman"/>
          <w:sz w:val="20"/>
        </w:rPr>
      </w:pPr>
      <w:r>
        <w:rPr>
          <w:rFonts w:ascii="Times New Roman" w:hAnsi="Times New Roman"/>
          <w:b/>
          <w:color w:val="000000"/>
          <w:sz w:val="20"/>
        </w:rPr>
        <w:t>Limitations</w:t>
      </w:r>
      <w:r>
        <w:rPr>
          <w:rFonts w:ascii="Times New Roman" w:hAnsi="Times New Roman"/>
          <w:color w:val="000000"/>
          <w:sz w:val="20"/>
        </w:rPr>
        <w:t>. Employees may have to satisfy one or more of the following service requirements before participating in the ESPP, as determined by our Board,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pStyle w:val="TextBody"/>
        <w:bidi w:val="0"/>
        <w:spacing w:before="120" w:after="283"/>
        <w:jc w:val="both"/>
        <w:rPr>
          <w:rFonts w:ascii="Times New Roman" w:hAnsi="Times New Roman"/>
          <w:sz w:val="20"/>
        </w:rPr>
      </w:pPr>
      <w:r>
        <w:rPr>
          <w:rFonts w:ascii="Times New Roman" w:hAnsi="Times New Roman"/>
          <w:b/>
          <w:color w:val="000000"/>
          <w:sz w:val="20"/>
        </w:rPr>
        <w:t>Changes to Capital Structure</w:t>
      </w:r>
      <w:r>
        <w:rPr>
          <w:rFonts w:ascii="Times New Roman" w:hAnsi="Times New Roman"/>
          <w:color w:val="000000"/>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corporate structure, or similar transaction, the Board will make appropriate adjustments to: (i) the number of shares reserved under the ESPP; (ii) the number of shares and purchase price of all outstanding purchase rights; and (iii) the number of shares that are subject to purchase limits under ongoing offerings.</w:t>
      </w:r>
    </w:p>
    <w:p>
      <w:pPr>
        <w:pStyle w:val="TextBody"/>
        <w:bidi w:val="0"/>
        <w:spacing w:before="120" w:after="283"/>
        <w:jc w:val="both"/>
        <w:rPr>
          <w:rFonts w:ascii="Times New Roman" w:hAnsi="Times New Roman"/>
          <w:sz w:val="20"/>
        </w:rPr>
      </w:pPr>
      <w:r>
        <w:rPr>
          <w:rFonts w:ascii="Times New Roman" w:hAnsi="Times New Roman"/>
          <w:b/>
          <w:color w:val="000000"/>
          <w:sz w:val="20"/>
        </w:rPr>
        <w:t>Corporate Transactions</w:t>
      </w:r>
      <w:r>
        <w:rPr>
          <w:rFonts w:ascii="Times New Roman" w:hAnsi="Times New Roman"/>
          <w:color w:val="000000"/>
          <w:sz w:val="20"/>
        </w:rPr>
        <w:t>. 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pStyle w:val="TextBody"/>
        <w:bidi w:val="0"/>
        <w:spacing w:before="120" w:after="283"/>
        <w:jc w:val="both"/>
        <w:rPr>
          <w:rFonts w:ascii="Times New Roman" w:hAnsi="Times New Roman"/>
          <w:sz w:val="20"/>
        </w:rPr>
      </w:pPr>
      <w:r>
        <w:rPr>
          <w:rFonts w:ascii="Times New Roman" w:hAnsi="Times New Roman"/>
          <w:b/>
          <w:color w:val="000000"/>
          <w:sz w:val="20"/>
        </w:rPr>
        <w:t>ESPP Amendment or Termination</w:t>
      </w:r>
      <w:r>
        <w:rPr>
          <w:rFonts w:ascii="Times New Roman" w:hAnsi="Times New Roman"/>
          <w:color w:val="000000"/>
          <w:sz w:val="20"/>
        </w:rPr>
        <w:t>. Our Board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pStyle w:val="TextBody"/>
        <w:bidi w:val="0"/>
        <w:spacing w:before="120" w:after="283"/>
        <w:jc w:val="both"/>
        <w:rPr>
          <w:rFonts w:ascii="Times New Roman" w:hAnsi="Times New Roman"/>
          <w:b/>
          <w:color w:val="000000"/>
          <w:sz w:val="20"/>
        </w:rPr>
      </w:pPr>
      <w:bookmarkStart w:id="33" w:name="proposal5_taxes"/>
      <w:bookmarkEnd w:id="33"/>
      <w:r>
        <w:rPr>
          <w:rFonts w:ascii="Times New Roman" w:hAnsi="Times New Roman"/>
          <w:b/>
          <w:color w:val="000000"/>
          <w:sz w:val="20"/>
        </w:rPr>
        <w:t>U.S. Federal Income Tax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U.S. federal income tax consequences to participants and the Company with respect to participation in the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our common stock acquired under the ESPP. The ESPP is not qualified under the provisions of Section 401(a) of the Code and is not subject to any of the provisions of the Employee Retirement Income Security Act of 1974, as amended.</w:t>
      </w:r>
    </w:p>
    <w:p>
      <w:pPr>
        <w:pStyle w:val="TextBody"/>
        <w:bidi w:val="0"/>
        <w:spacing w:before="120" w:after="283"/>
        <w:jc w:val="both"/>
        <w:rPr>
          <w:rFonts w:ascii="Times New Roman" w:hAnsi="Times New Roman"/>
          <w:sz w:val="20"/>
        </w:rPr>
      </w:pPr>
      <w:r>
        <w:rPr>
          <w:rFonts w:ascii="Times New Roman" w:hAnsi="Times New Roman"/>
          <w:b/>
          <w:color w:val="000000"/>
          <w:sz w:val="20"/>
        </w:rPr>
        <w:t>423 Component of the ESPP</w:t>
      </w:r>
      <w:r>
        <w:rPr>
          <w:rFonts w:ascii="Times New Roman" w:hAnsi="Times New Roman"/>
          <w:color w:val="000000"/>
          <w:sz w:val="20"/>
        </w:rPr>
        <w:t>. Rights granted under the 423 Component of the ESPP are intended to qualify for favorable U.S. federal income tax treatment associated with rights granted under an employee stock purchase plan which qualifies under the provisions of Section 423 of the Code.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participant will be taxed on amounts withheld for the purchase of shares of our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pStyle w:val="TextBody"/>
        <w:bidi w:val="0"/>
        <w:spacing w:before="120" w:after="283"/>
        <w:jc w:val="both"/>
        <w:rPr>
          <w:rFonts w:ascii="Times New Roman" w:hAnsi="Times New Roman"/>
          <w:sz w:val="20"/>
        </w:rPr>
      </w:pPr>
      <w:r>
        <w:rPr>
          <w:rFonts w:ascii="Times New Roman" w:hAnsi="Times New Roman"/>
          <w:b/>
          <w:color w:val="000000"/>
          <w:sz w:val="20"/>
        </w:rPr>
        <w:t>Non-423 Component</w:t>
      </w:r>
      <w:r>
        <w:rPr>
          <w:rFonts w:ascii="Times New Roman" w:hAnsi="Times New Roman"/>
          <w:color w:val="000000"/>
          <w:sz w:val="20"/>
        </w:rPr>
        <w:t>. A participant will be taxed on amounts withheld for the purchase of shares of our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U.S. federal income tax consequences to the Company by reason of the grant or exercise of rights under the ESPP. The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w:t>
      </w:r>
    </w:p>
    <w:p>
      <w:pPr>
        <w:pStyle w:val="TextBody"/>
        <w:bidi w:val="0"/>
        <w:spacing w:before="120" w:after="283"/>
        <w:jc w:val="both"/>
        <w:rPr>
          <w:rFonts w:ascii="Times New Roman" w:hAnsi="Times New Roman"/>
          <w:b/>
          <w:color w:val="000000"/>
          <w:sz w:val="20"/>
        </w:rPr>
      </w:pPr>
      <w:bookmarkStart w:id="34" w:name="proposal5_benefits"/>
      <w:bookmarkEnd w:id="34"/>
      <w:r>
        <w:rPr>
          <w:rFonts w:ascii="Times New Roman" w:hAnsi="Times New Roman"/>
          <w:b/>
          <w:color w:val="000000"/>
          <w:sz w:val="20"/>
        </w:rPr>
        <w:t>New Plan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Participation in the ESPP is voluntary and each eligible employee will make his or her own decision regarding whether and to what extent to participate in the ESPP. Therefore, we cannot currently determine the benefits or number of shares subject to purchase rights and a new plan benefits table is thus not provided. In addition, we cannot determine the benefits or number of shares subject to awards that would have been received by any service provider if the ESPP had been in effect.</w:t>
      </w:r>
    </w:p>
    <w:p>
      <w:pPr>
        <w:pStyle w:val="TextBody"/>
        <w:bidi w:val="0"/>
        <w:spacing w:before="120" w:after="283"/>
        <w:jc w:val="both"/>
        <w:rPr>
          <w:rFonts w:ascii="Times New Roman" w:hAnsi="Times New Roman"/>
          <w:b/>
          <w:color w:val="000000"/>
          <w:sz w:val="20"/>
        </w:rPr>
      </w:pPr>
      <w:bookmarkStart w:id="35" w:name="proposal5_registration"/>
      <w:bookmarkEnd w:id="35"/>
      <w:r>
        <w:rPr>
          <w:rFonts w:ascii="Times New Roman" w:hAnsi="Times New Roman"/>
          <w:b/>
          <w:color w:val="000000"/>
          <w:sz w:val="20"/>
        </w:rPr>
        <w:t>Registration with the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ESPP is approved by our stockholders and becomes effective, we intend to file a registration statement on Form S-8 registering the shares reserved for issuance under the ESPP as soon as reasonably practicable after we become eligible to use such form.</w:t>
      </w:r>
    </w:p>
    <w:p>
      <w:pPr>
        <w:pStyle w:val="TextBody"/>
        <w:bidi w:val="0"/>
        <w:spacing w:before="260" w:after="283"/>
        <w:jc w:val="left"/>
        <w:rPr>
          <w:rFonts w:ascii="Times New Roman" w:hAnsi="Times New Roman"/>
          <w:b/>
          <w:color w:val="000000"/>
          <w:sz w:val="20"/>
        </w:rPr>
      </w:pPr>
      <w:bookmarkStart w:id="36" w:name="proposal5_recc"/>
      <w:bookmarkEnd w:id="36"/>
      <w:r>
        <w:rPr>
          <w:rFonts w:ascii="Times New Roman" w:hAnsi="Times New Roman"/>
          <w:b/>
          <w:color w:val="000000"/>
          <w:sz w:val="20"/>
        </w:rPr>
        <w:t>Our Recommendation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BOARD UNANIMOUSLY RECOMMENDS THAT YOU VOTE “FOR” THE APPROVAL OF THE ESPP PROPOSAL (PROPOSAL 5 ON YOUR NOTICE OF INTERNET AVAILABILITY).</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cda"/>
      <w:bookmarkEnd w:id="37"/>
      <w:r>
        <w:rPr>
          <w:rFonts w:ascii="Times New Roman" w:hAnsi="Times New Roman"/>
          <w:b/>
          <w:color w:val="000000"/>
          <w:sz w:val="20"/>
        </w:rPr>
        <w:t>COMPENSATION DISCUSSION AND ANALYSIS</w:t>
      </w:r>
      <w:r>
        <w:rPr>
          <w:rFonts w:ascii="Times New Roman" w:hAnsi="Times New Roman"/>
          <w:color w:val="000000"/>
          <w:sz w:val="20"/>
        </w:rPr>
        <w:t xml:space="preserve"> </w:t>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This Compensation Discussion and Analysis (“</w:t>
      </w:r>
      <w:r>
        <w:rPr>
          <w:rFonts w:ascii="Times New Roman" w:hAnsi="Times New Roman"/>
          <w:b/>
          <w:i/>
          <w:color w:val="000000"/>
          <w:sz w:val="20"/>
        </w:rPr>
        <w:t>CD&amp;A</w:t>
      </w:r>
      <w:r>
        <w:rPr>
          <w:rFonts w:ascii="Times New Roman" w:hAnsi="Times New Roman"/>
          <w:color w:val="000000"/>
          <w:sz w:val="20"/>
        </w:rPr>
        <w:t>”) discusses the principles and objectives underlying our policies and decisions with respect to the 2025 compensation of our NEOs and other material factors relevant to an analysis of these policies and decisions. This CD&amp;A is intended to be read in conjunction with the tables that immediately follow this section.</w:t>
      </w:r>
    </w:p>
    <w:p>
      <w:pPr>
        <w:pStyle w:val="TextBody"/>
        <w:bidi w:val="0"/>
        <w:spacing w:before="180" w:after="283"/>
        <w:jc w:val="both"/>
        <w:rPr/>
      </w:pPr>
      <w:r>
        <w:rPr/>
        <w:t> </w:t>
      </w:r>
    </w:p>
    <w:tbl>
      <w:tblPr>
        <w:tblW w:w="7307" w:type="dxa"/>
        <w:jc w:val="left"/>
        <w:tblInd w:w="0" w:type="dxa"/>
        <w:tblLayout w:type="fixed"/>
        <w:tblCellMar>
          <w:top w:w="28" w:type="dxa"/>
          <w:left w:w="28" w:type="dxa"/>
          <w:bottom w:w="28" w:type="dxa"/>
          <w:right w:w="28" w:type="dxa"/>
        </w:tblCellMar>
      </w:tblPr>
      <w:tblGrid>
        <w:gridCol w:w="2341"/>
        <w:gridCol w:w="4966"/>
      </w:tblGrid>
      <w:tr>
        <w:trPr/>
        <w:tc>
          <w:tcPr>
            <w:tcW w:w="234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Counsel and Secretary</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Nick Botwood, M.B.B.S. </w:t>
            </w:r>
            <w:r>
              <w:rPr>
                <w:rFonts w:ascii="Times New Roman" w:hAnsi="Times New Roman"/>
                <w:color w:val="000000"/>
                <w:sz w:val="13"/>
              </w:rPr>
              <w:t>(1)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Head of Research and Development, Chief Medical Officer</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Commercial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Dr. Botwood was appointed as Head of Research and Development, Chief Medical Officer effective May 12, 2025.</w:t>
      </w:r>
    </w:p>
    <w:p>
      <w:pPr>
        <w:pStyle w:val="TextBody"/>
        <w:bidi w:val="0"/>
        <w:spacing w:before="180" w:after="283"/>
        <w:jc w:val="left"/>
        <w:rPr>
          <w:rFonts w:ascii="Times New Roman" w:hAnsi="Times New Roman"/>
          <w:b/>
          <w:color w:val="000000"/>
          <w:sz w:val="20"/>
        </w:rPr>
      </w:pPr>
      <w:bookmarkStart w:id="38" w:name="company_overview"/>
      <w:bookmarkEnd w:id="38"/>
      <w:r>
        <w:rPr>
          <w:rFonts w:ascii="Times New Roman" w:hAnsi="Times New Roman"/>
          <w:b/>
          <w:color w:val="000000"/>
          <w:sz w:val="20"/>
        </w:rPr>
        <w:t>Company 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a commercial-stage biopharmaceutical company developing an innovative pipeline of cancer therapies. Highlights of our pipeline include Revuforj® (revumenib), an FDA-approved menin inhibitor, and Niktimvo (axatilimab-csfr), an FDA-approved monoclonal antibody that blocks the colony stimulating factor 1 (CSF-1) receptor. Fueled by our commitment to reimagining cancer care, we are working to unlock the full potential of our pipeline and are conducting several clinical trials across the continuum of treatment.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Select Business Highlights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2025, we solidified our leadership position and proved the strength of our research and development and commercial capabilities, achieving our third FDA approval and successfully launching two first- and best-in-class medicines. Revuforj and Niktimvo generated over $275 million in 2025 sales, rapidly advancing the Company towards profitability. Select 2025 and early 2026 highlights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Revuforj net revenue for the full year 2025 totaled $124.8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Observed continued acceleration in demand following the FDA’s approval on October 24, 2025, of Revuforj for the treatment of relapsed or refractory acute myeloid leukemia with a susceptible nucleophosmin 1 mutation in adult and pediatric patients one year and older who have no satisfactory alternative treatment options. Total Revuforj prescriptions in the fourth quarter of 2025 were approximately 1,150, an approximate 35% increase over the third quarter of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Commenced enrollment in EVOLVE-2, a pivotal, Phase 3, randomized, double-blind, placebo-controlled trial of revumenib in combination with venetoclax and azacitidine in newly diagnosed NPM1m (primary efficacy analysis population) and KMT2Ar AML patients who are unfit for intensive chemotherapy. The trial is being conducted in collaboration with the HOVON network, a leading cooperative clinical trial group with extensive experience studying novel therapies for hematologic malignancies.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Initiated REVEAL-ND, a Phase 3, randomized, double-blind, placebo-controlled trial of revumenib in combination with intensive chemotherapy in newly diagnosed patients with NPM1m AML in November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Niktimvo net revenue for the full year 2025 totaled $151.6 million. Syndax and Incyte are co-commercializing Niktimvo. Syndax records 50% of the Niktimvo net commercial profit, defined as net product revenue minus the cost of sales and commercial expenses. Syndax’s share of the Niktimvo product contribution, reported as collaboration revenue, was $42.4 million in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Completed enrollment in MAXPIRe, a Phase 2, 26-week randomized, double-blinded, placebo-controlled trial of axatilimab on top of standard of care in patients with idiopathic pulmonary fibrosis in the first quarter of 2026.</w:t>
      </w:r>
    </w:p>
    <w:p>
      <w:pPr>
        <w:pStyle w:val="TextBody"/>
        <w:bidi w:val="0"/>
        <w:spacing w:before="180" w:after="283"/>
        <w:jc w:val="left"/>
        <w:rPr>
          <w:rFonts w:ascii="Times New Roman" w:hAnsi="Times New Roman"/>
          <w:b/>
          <w:color w:val="000000"/>
          <w:sz w:val="20"/>
        </w:rPr>
      </w:pPr>
      <w:bookmarkStart w:id="39" w:name="leadership_transistions"/>
      <w:bookmarkEnd w:id="39"/>
      <w:r>
        <w:rPr>
          <w:rFonts w:ascii="Times New Roman" w:hAnsi="Times New Roman"/>
          <w:b/>
          <w:color w:val="000000"/>
          <w:sz w:val="20"/>
        </w:rPr>
        <w:t>Leadership Transition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12, 2025, the Board appointed Dr. Botwood to serve as the Company’s Head of Research and Development, Chief Medical Officer, effective as of the same date. In connection with Dr. Botwood’s appointment, the Compensation Committee recommended, and the Board approved, his salary, target annual incentive opportunity and equity awards.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Please see the “Compensation Related to Leadership Transition” section of this CD&amp;A for additional information.</w:t>
      </w:r>
    </w:p>
    <w:p>
      <w:pPr>
        <w:pStyle w:val="TextBody"/>
        <w:bidi w:val="0"/>
        <w:spacing w:before="180" w:after="283"/>
        <w:jc w:val="left"/>
        <w:rPr>
          <w:rFonts w:ascii="Times New Roman" w:hAnsi="Times New Roman"/>
          <w:b/>
          <w:color w:val="000000"/>
          <w:sz w:val="20"/>
        </w:rPr>
      </w:pPr>
      <w:bookmarkStart w:id="40" w:name="ec_philosophy_objectives"/>
      <w:bookmarkEnd w:id="40"/>
      <w:r>
        <w:rPr>
          <w:rFonts w:ascii="Times New Roman" w:hAnsi="Times New Roman"/>
          <w:b/>
          <w:color w:val="000000"/>
          <w:sz w:val="20"/>
        </w:rPr>
        <w:t>Executive Compensation Philosophy and Objectives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philosophy is to provide a competitive total compensation package with significant emphasis on pay for performance in order to recruit and retain an outstanding leadership team to execute our strategy and create stockholder value. The core elements of the Company’s executive compensation philosophy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retain and motivate superior individuals to serve as our executive officers using market competitive compensation that is variable and “at risk”;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incentives that reward the achievement of performance goals that directly correlate to the execution of our strategy and the enhancement of stockholder value, as well as to facilitate executive retention;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align executives’ interests with those of the stockholders through long-term incentives linked to achievement of multiyear strategic goals.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our executive compensation program, as developed and implemented, as presented in this CD&amp;A, achieves these objectives and is appropriate for a company in our industry and at our stage of growth. </w:t>
      </w:r>
    </w:p>
    <w:p>
      <w:pPr>
        <w:pStyle w:val="TextBody"/>
        <w:bidi w:val="0"/>
        <w:spacing w:before="180" w:after="283"/>
        <w:jc w:val="left"/>
        <w:rPr>
          <w:rFonts w:ascii="Times New Roman" w:hAnsi="Times New Roman"/>
          <w:b/>
          <w:color w:val="000000"/>
          <w:sz w:val="20"/>
        </w:rPr>
      </w:pPr>
      <w:bookmarkStart w:id="41" w:name="pay_program_overview"/>
      <w:bookmarkEnd w:id="41"/>
      <w:r>
        <w:rPr>
          <w:rFonts w:ascii="Times New Roman" w:hAnsi="Times New Roman"/>
          <w:b/>
          <w:color w:val="000000"/>
          <w:sz w:val="20"/>
        </w:rPr>
        <w:t>Pay Program 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primary elements of our executive compensation program for 2025 were base salary, annual performance-based cash compensation, and long-term equity incentives.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base salary payable to each NEO is intended to provide a fixed component of compensation reflecting the executive’s skill set, experience, role and responsibilities. Base salaries may be adjusted based on numerous factors, including a change in an executive officer’s responsibilities, demonstrated performance or relevant market data.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annual performance-based cash compensation program is intended to motivate and reward our executives for the achievement of certain short-term goals of the Company. Our annual incentives for 2025 were based on performance relative to the Company’s 2025 operating and organizational goals.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Long-term equity awards provide our executives with a strong link to our long-term performance, create an ownership culture and help to align the interests of our executives and our stockholders. Historically, we have used stock option grants, restricted stock unit awards and performance-based equity awards, because we believe that each is an effective means by which to align the long-term interests of our executive officers with those of our stockholders. </w:t>
      </w:r>
    </w:p>
    <w:p>
      <w:pPr>
        <w:pStyle w:val="TextBody"/>
        <w:bidi w:val="0"/>
        <w:spacing w:before="180" w:after="283"/>
        <w:jc w:val="left"/>
        <w:rPr>
          <w:rFonts w:ascii="Times New Roman" w:hAnsi="Times New Roman"/>
          <w:b/>
          <w:color w:val="000000"/>
          <w:sz w:val="20"/>
        </w:rPr>
      </w:pPr>
      <w:bookmarkStart w:id="42" w:name="ceo_paymix"/>
      <w:bookmarkEnd w:id="42"/>
      <w:r>
        <w:rPr>
          <w:rFonts w:ascii="Times New Roman" w:hAnsi="Times New Roman"/>
          <w:b/>
          <w:color w:val="000000"/>
          <w:sz w:val="20"/>
        </w:rPr>
        <w:t>CEO and Other NEO Pay Mix</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Executive compensation is linked strongly to the performance of the business, with a majority of annual target compensation being variable and at-risk. In 2025, 89% of the total target compensation for the CEO was at-risk and an average of 80% of the total target compensation for all other NEOs was at-risk, each as shown in the graphics below. The Compensation Committee considers compensation to be at risk if it is subject to operating performance, or if its value depends on stock price appreciation.</w:t>
      </w:r>
    </w:p>
    <w:p>
      <w:pPr>
        <w:pStyle w:val="TextBody"/>
        <w:bidi w:val="0"/>
        <w:spacing w:before="180" w:after="283"/>
        <w:jc w:val="center"/>
        <w:rPr/>
      </w:pPr>
      <w:r>
        <w:rPr/>
        <w:drawing>
          <wp:inline distT="0" distB="0" distL="0" distR="0">
            <wp:extent cx="2962275" cy="2019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62275" cy="2019300"/>
                    </a:xfrm>
                    <a:prstGeom prst="rect">
                      <a:avLst/>
                    </a:prstGeom>
                  </pic:spPr>
                </pic:pic>
              </a:graphicData>
            </a:graphic>
          </wp:inline>
        </w:drawing>
      </w:r>
      <w:r>
        <w:rPr/>
        <w:drawing>
          <wp:inline distT="0" distB="0" distL="0" distR="0">
            <wp:extent cx="3000375" cy="2028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000375" cy="202882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43" w:name="compprogram_governance"/>
      <w:bookmarkEnd w:id="43"/>
      <w:r>
        <w:rPr>
          <w:rFonts w:ascii="Times New Roman" w:hAnsi="Times New Roman"/>
          <w:b/>
          <w:color w:val="000000"/>
          <w:sz w:val="20"/>
        </w:rPr>
        <w:t>Compensation Program Governance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assesses the effectiveness of our executive compensation program from time to time and reviews risk mitigation and governance matters, which includes maintaining the following best practices:</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2383"/>
        <w:gridCol w:w="7491"/>
      </w:tblGrid>
      <w:tr>
        <w:trPr/>
        <w:tc>
          <w:tcPr>
            <w:tcW w:w="33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7491" w:type="dxa"/>
            <w:tcBorders/>
            <w:vAlign w:val="center"/>
          </w:tcPr>
          <w:p>
            <w:pPr>
              <w:pStyle w:val="TableContents"/>
              <w:bidi w:val="0"/>
              <w:spacing w:before="0" w:after="283"/>
              <w:jc w:val="left"/>
              <w:rPr>
                <w:sz w:val="4"/>
                <w:szCs w:val="4"/>
              </w:rPr>
            </w:pPr>
            <w:r>
              <w:rPr>
                <w:sz w:val="4"/>
                <w:szCs w:val="4"/>
              </w:rPr>
            </w:r>
          </w:p>
        </w:tc>
      </w:tr>
      <w:tr>
        <w:trPr/>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What We Do</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 for Performance</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majority of total executive compensation is variable and at-risk.</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Short- and Long-Term Incentives</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allocation of incentives among the annual incentive plan and the long-term incentive plan does not over-emphasize short-term performance at the expense of achieving long-term goals.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Combination of Balanced Performance Metrics</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use a diverse set of milestone performance metrics in our annual incentive plan to ensure that no single measure affects compensation disproportionately.</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Compensation Consultant</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Compensation Committee has engaged an independent compensation consultant to provide information and advice for use in Compensation Committee decision-making.</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Peer Data</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develop a peer group of companies based on industry, development stage, market capitalization, R&amp;D expense and employee headcount to reference for compensation decisions.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 Bonus Payments; Fixed Equity Grants</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annual incentive plan has an upper limit on the amount of cash that may be earned. We grant a fixed number of options and RSUs. We grant PRSUs with an upper limit on the number that may be earned.</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Clawback Policy</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adopted a clawback policy to allow us to recover incentive compensation from our executive officers, on a non-fault basis, in the event of an accounting restatement resulting from material noncompliance with financial reporting requirements.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Double Trigger Change-in-Control Provisions</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If there is a change in control, outstanding time-based equity awards will vest only if there is both a change-in-control and termination of employment (a “</w:t>
            </w:r>
            <w:r>
              <w:rPr>
                <w:rFonts w:ascii="Times New Roman" w:hAnsi="Times New Roman"/>
                <w:b/>
                <w:i/>
                <w:color w:val="000000"/>
                <w:sz w:val="20"/>
              </w:rPr>
              <w:t>double trigger</w:t>
            </w:r>
            <w:r>
              <w:rPr>
                <w:rFonts w:ascii="Times New Roman" w:hAnsi="Times New Roman"/>
                <w:color w:val="000000"/>
                <w:sz w:val="20"/>
              </w:rPr>
              <w:t>”). A change-in-control alone will not trigger vesting.</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What We Don’t Do</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Hedging or Pledging of Company Securities</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prohibit officers and non-employee directors from engaging in hedging, pledging or short-sale transactions in Company securities.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Perks</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perquisites to executive officers.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Excise Tax Gross-ups</w:t>
            </w:r>
          </w:p>
        </w:tc>
        <w:tc>
          <w:tcPr>
            <w:tcW w:w="7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excise tax gross-ups.</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Stock Options Below Fair Market Value</w:t>
            </w:r>
          </w:p>
        </w:tc>
        <w:tc>
          <w:tcPr>
            <w:tcW w:w="7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grant stock options below fair market value.</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44" w:name="comp_determination_process"/>
      <w:bookmarkEnd w:id="44"/>
      <w:r>
        <w:rPr>
          <w:rFonts w:ascii="Times New Roman" w:hAnsi="Times New Roman"/>
          <w:b/>
          <w:color w:val="000000"/>
          <w:sz w:val="20"/>
        </w:rPr>
        <w:t>Compensation Determination Process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Say-on-Pay Results &amp; Stockholder Outreach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part of the Compensation Committee’s annual review of our executive compensation program, the committee considers the outcome of the annual non-binding advisory vote of stockholders, commonly known as the “say-on-pay” vote, on the compensation of our NEOs. At the Company’s Annual Meeting in May 2025, approximately 95% of shares that were voted, excluding broker non-votes and abstaining votes, were cast in favor of the compensation of the Company’s NEOs in 2024. Even with this strong outcome, the Compensation Committee determined to use stockholder engagement as an additional way to understand our stockholders’ perspectives on our executive compensation program and hear feedback directly from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engage in regular outreach with our stockholders throughout each year. As part of these stockholder engagement efforts, in 2025 and early 2026, we held discussions with stockholders representing approximately 62% of our outstanding common stock. During the course of the conversations we held with stockholders in 2025 and early 2026, either in response to an inquiry from us or otherwise, no stockholders offered any feedback on, or expressed any issues with, our executive compensation practices. Nevertheless, as the Company has continued to evolve and mature, the Compensation Committee has correspondingly sought to evolve the executive compensation program as appropriate for a company of Syndax’s stage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development and size. In particular, based on past feedback of, and awareness of the preferences of, stockholders, the Compensation Committee has been growing the performance nature of long-term incentive equity grants by utilizing grants of performance based restricted stock units (“</w:t>
      </w:r>
      <w:r>
        <w:rPr>
          <w:rFonts w:ascii="Times New Roman" w:hAnsi="Times New Roman"/>
          <w:b/>
          <w:i/>
          <w:color w:val="000000"/>
          <w:sz w:val="20"/>
        </w:rPr>
        <w:t>PRSUs</w:t>
      </w:r>
      <w:r>
        <w:rPr>
          <w:rFonts w:ascii="Times New Roman" w:hAnsi="Times New Roman"/>
          <w:color w:val="000000"/>
          <w:sz w:val="20"/>
        </w:rPr>
        <w:t>”) to all of our named executive officers since 2024, which grants were disclosed in filings. Please see “Elements of our Executive Compensation Program-Equity-Based Incentive Awards” below. The Compensation Committee continued its practice of issuing PRSUs to all of our named executive officers in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value the opinions of our stockholders and our Compensation Committee and Board will continue to consider stockholder input and monitor our executive compensation program to ensure it aligns the interests of our named executive officers with the interests of our stockholders and adequately addresses any stockholder concerns that may be expressed in future votes or in engagement meetings. Consistent with the recommendation of our Board and the preference of our stockholders as reflected in the non-binding advisory vote on the frequency of future “say-on-pay” votes conducted at our 2025 annual meeting of stockholders, our stockholders will continue to have an opportunity annually to cast a non-binding advisory vote in connection with the compensation of our named executive officers.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Role of Compensation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Compensation Committee establishes our compensation philosophy and objectives; determines the structure, components and other elements of executive compensation, or recommends them to the Board for approval; and reviews and approves the compensation of the NEOs or recommends it for approval by the Board. The Compensation Committee structures the executive compensation program to accomplish its articulated compensation objectives in light of the compensation philosophy described above.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annually reviews compensation policies and procedures to determine if any updates are needed. The Compensation Committee also makes recommendations to the Board with respect to the corporate objectives associated with our annual performance-based cash compensation program, as well as assessing our performance against those corporate objectives after the end of the year or making a recommendation to the Board as to the extent to which we have met those corporate objectives. Additionally, the Compensation Committee reviews performance relative to the vesting criteria of PRSUs.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Role of the CEO</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Compensation Committee generally seeks input of our CEO when discussing the performance of, and compensation for, our executive officers, including the NEOs other than the CEO. In addition, other members of management may attend Compensation Committee meetings to provide background information or advice, or to answer Compensation Committee member questions, including with respect to the financial, accounting, tax and retention implications of various compensation discussions.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CEO reviews the performance of the other executive officers, including the other NEOs, annually and presents to the Compensation Committee his conclusions and other input as to their compensation, including base salary adjustments, annual performance-based cash compensation targets and payouts, and equity awards. The Compensation Committee considers the CEO’s input as one factor in its deliberations to determine the compensation of our executive officers, including for the other NEOs. The Compensation Committee gives significant weight to the CEO’s recommendations in light of his greater familiarity with the day-to-day performance of his direct reports and the importance of incentive compensation in driving the execution of managerial initiatives developed and led by the CEO.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the CEO and other NEOs may attend Compensation Committee meetings, the CEO and other NEOs may not be present during voting or deliberations on their compensation.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Role of the Compensation Consultant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Compensation Committee recognizes that there is a value in procuring independent, objective expertise in connection with fulfilling its duties, and pursuant to its charter, the Compensation Committee has the authority to select and retain independent advisors to assist it with carrying out its duties and responsibilities.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Compensation Committee has engaged the services of an independent compensation consultant, Aon, to assist it in connection with making executive compensation decisions. The Compensation Committee has the authority, under its charter, to retain, terminate and set the terms of the Company’s relationship with Aon or any other outside advisors that assist the Compensation Committee in carrying out its responsibilities.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has worked with Aon to develop a peer group, to provide a competitive market analysis of the base salary, annual performance-based cash incentive awards and long-term incentive compensation of our executive officers compared against the compensation peer group, and to review other market practices and trends.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annually assesses the independence of Aon pursuant to SEC and Nasdaq rules to determine whether Aon is independent and that no conflict of interest exists that would prevent Aon from serving as an independent advisor to the Compensation Committee. The Compensation Committee assessed the independence of Aon consistent with Nasdaq listing standards, concluded that the engagement of Aon does not raise any conflict of interest and that Aon is independent.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the Compensation Committee took into consideration the review and recommendations of Aon when making decisions about our executive compensation program, ultimately, the Compensation Committee made its own independent decisions in determining our executives’ compensation.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Consideration of Comparative Market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Relevant market data provide a solid reference point for making decisions and very helpful context, even though, relative to other companies, there are differences and unique aspects of the Company.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Aon’s assistance and input, the Compensation Committee annually adopts a peer group of companies that it uses as a reference group to provide a broad perspective on competitive pay levels and practices.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reviews and approves the peer group companies that are used to evaluate competitive market compensation. In doing so, the Compensation Committee seeks to approve a peer group that is representative of the sector in which we operate and includes companies within an appropriate defined range in terms of revenue and market capitalization.</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2025 Executive Compensation Peer Group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September 2024, the Compensation Committee determined that our peer group for purposes of determining the compensation of our NEOs in fiscal year 2025 would consist of commercial stage public biopharmaceutical companies, with a preference toward companies focused on oncology. In general, the selection criteria consisted of companies with market capitalizations between $500 million and $7.5 billion, fewer than 850 employees, and more than $50 million in research and development expenses. Below is a list of the 22 companies that the Compensation Committee identified as our peer group for fiscal year 2025:</w:t>
      </w:r>
    </w:p>
    <w:p>
      <w:pPr>
        <w:pStyle w:val="TextBody"/>
        <w:bidi w:val="0"/>
        <w:jc w:val="both"/>
        <w:rPr/>
      </w:pPr>
      <w:r>
        <w:rPr/>
        <w:t> </w:t>
      </w:r>
    </w:p>
    <w:tbl>
      <w:tblPr>
        <w:tblW w:w="10188" w:type="dxa"/>
        <w:jc w:val="left"/>
        <w:tblInd w:w="0" w:type="dxa"/>
        <w:tblLayout w:type="fixed"/>
        <w:tblCellMar>
          <w:top w:w="28" w:type="dxa"/>
          <w:left w:w="28" w:type="dxa"/>
          <w:bottom w:w="28" w:type="dxa"/>
          <w:right w:w="28" w:type="dxa"/>
        </w:tblCellMar>
      </w:tblPr>
      <w:tblGrid>
        <w:gridCol w:w="3556"/>
        <w:gridCol w:w="3226"/>
        <w:gridCol w:w="3406"/>
      </w:tblGrid>
      <w:tr>
        <w:trPr/>
        <w:tc>
          <w:tcPr>
            <w:tcW w:w="355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Agios Pharmaceuticals, Inc. (AGIO)</w:t>
            </w:r>
          </w:p>
        </w:tc>
        <w:tc>
          <w:tcPr>
            <w:tcW w:w="3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Deciphera Pharmaceuticals (DCPH)</w:t>
            </w:r>
          </w:p>
        </w:tc>
        <w:tc>
          <w:tcPr>
            <w:tcW w:w="3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Madrigal Pharmaceuticals, Inc. (MDGL)</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Amicus Therapeutics (FOLD)</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Exelixis, Inc. (EXEL)</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Mirum Pharmaceuticals, Inc. (MIRM)</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Apellis Pharmaceuticals, Inc. (APLS)</w:t>
            </w:r>
          </w:p>
        </w:tc>
        <w:tc>
          <w:tcPr>
            <w:tcW w:w="3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Geron Corporation (GERN)</w:t>
            </w:r>
          </w:p>
        </w:tc>
        <w:tc>
          <w:tcPr>
            <w:tcW w:w="3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Rhythm Pharmaceuticals, Inc. (RYTM)</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Arcus Biosciences, Inc. (RCUS)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Halozyme Therapeutics, Inc. (HALO)</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SpringWorks Therapeutics, Inc. (SWTX)</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Bicycle Therapeutics plc (BCYC)</w:t>
            </w:r>
          </w:p>
        </w:tc>
        <w:tc>
          <w:tcPr>
            <w:tcW w:w="3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ImmunityBio, Inc. (IBRX)</w:t>
            </w:r>
          </w:p>
        </w:tc>
        <w:tc>
          <w:tcPr>
            <w:tcW w:w="3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Tarsus Pharmaceuticals, Inc. (TARS)</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Blueprint Medicines Corporation (BPMC)</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Iovance Biotherapeutics, Inc. (IOVA)</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TG Therapeutics, Inc. (TGTX)</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Catalyst Pharmaceuticals, Inc. (CPRX)</w:t>
            </w:r>
          </w:p>
        </w:tc>
        <w:tc>
          <w:tcPr>
            <w:tcW w:w="3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Lexicon Pharmaceuticals, Inc. (LXRX)</w:t>
            </w:r>
          </w:p>
        </w:tc>
        <w:tc>
          <w:tcPr>
            <w:tcW w:w="3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Vericel Corporation (VCEL)</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Day One Biopharmaceuticals (DAWN)</w:t>
            </w:r>
          </w:p>
        </w:tc>
        <w:tc>
          <w:tcPr>
            <w:tcW w:w="3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focused on selecting companies that in whole had similar attributes as the Company, while the companies may differ across some of the attributes. In determining companies to remove from the prior year’s peer group, the Compensation Committee determined to remove companies that were either acquired before filing their annual proxy statement or that were at an earlier stage of development than the Company. To maintain a similar number of companies in the peer group, the Compensation Committee added Apellis Pharmaceuticals, Bicycle Therapeutics, Catalyst Pharmaceuticals, ImmunityBio, Iovance Biotherapeutics, Lexicon Pharmaceuticals, Madrigal Pharmaceuticals, Mirum Pharmaceuticals, Rhythm Pharmaceuticals and Tarsus Pharmaceuticals, all of which are commercial stage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evaluates the peer group for suitability at least annually and modifies the peer group as needed. Our Compensation Committee utilizes the compensation of executive officers of the companies in this peer group data as one reference point along with various other factors, such as the individual’s performance, experience, and competitive market conditions. In addition to the Compensation Committee-approved peer group, the Compensation Committee also considers compensation survey data reflecting broader, size-appropriate comparisons in the biotechnology industry.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the compensation practices of our peer group provided us with appropriate compensation reference points for evaluating and determining the compensation of our NEOs during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Compensation Positioning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fiscal year 2025, the Compensation Committee and Board sought to competitively position our executive pay programs, in the aggregate, with variances by executive. However, the amount of compensation delivered for target total cash compensation and long-term incentives are based on performance, and therefore the amount of compensation actually earned may be different – either higher or lower – than the targeted amount. In addition, the individual pay levels may vary based on the experience of each executive officer, including the scope of the officer’s position and performance, as well as internal equity and other factors. </w:t>
      </w:r>
    </w:p>
    <w:p>
      <w:pPr>
        <w:pStyle w:val="TextBody"/>
        <w:bidi w:val="0"/>
        <w:spacing w:before="180" w:after="283"/>
        <w:jc w:val="left"/>
        <w:rPr>
          <w:rFonts w:ascii="Times New Roman" w:hAnsi="Times New Roman"/>
          <w:sz w:val="20"/>
        </w:rPr>
      </w:pPr>
      <w:bookmarkStart w:id="45" w:name="components_ec_compprogram"/>
      <w:bookmarkEnd w:id="45"/>
      <w:r>
        <w:rPr>
          <w:rFonts w:ascii="Times New Roman" w:hAnsi="Times New Roman"/>
          <w:b/>
          <w:color w:val="000000"/>
          <w:sz w:val="20"/>
        </w:rPr>
        <w:t>Elements</w:t>
      </w:r>
      <w:r>
        <w:rPr>
          <w:rFonts w:ascii="Times New Roman" w:hAnsi="Times New Roman"/>
          <w:color w:val="000000"/>
          <w:sz w:val="20"/>
        </w:rPr>
        <w:t xml:space="preserve"> </w:t>
      </w:r>
      <w:r>
        <w:rPr>
          <w:rFonts w:ascii="Times New Roman" w:hAnsi="Times New Roman"/>
          <w:b/>
          <w:color w:val="000000"/>
          <w:sz w:val="20"/>
        </w:rPr>
        <w:t>of Our Executive Compensation Program</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our NEOs with base salaries to compensate them for their day-to-day responsibilities. Generally, the initial base salaries of our executive officers are established through arm’s-length negotiation at the time the individual executive officer is hired, taking into account the executive’s qualifications, experience and comparable market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Thereafter, the Compensation Committee, in consultation with our CEO and in consideration of the market data that Aon provides, reviews and recommends to the Board adjustments, as necessary or appropriate, to the base salaries of our executive officers on an annual basis. Consistent with such practice, the Compensation Committee recommended, and the Board approved, base salaries of the NEOs for 2025 that were within a range that is competitive with salaries paid to executives at companies in our peer group. None of our NEOs is currently party to an employment agreement or other agreement or arrangement that provides for automatic or scheduled increases in base salary.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establishing base salaries, the Compensation Committee exercises its judgment and discretion and considers several factors, including the performance of the individual executive officer, the officer’s potential to contribute to our long-term strategic goals, the officer’s role and scope of responsibilities within our Company, individual experience and skills, the officer’s compensation as compared to similarly situated executives at comparable companies in our peer group, competitive market dynamics for the position and the input of our CEO. No specific formula is applied to determine the weight of each criterion.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Annual base salaries for our NEOs for the positions they held as of December 31, 2025, as compared with the compensation for the positions held with us as of December 31, 2024, were as follows:</w:t>
      </w:r>
    </w:p>
    <w:p>
      <w:pPr>
        <w:pStyle w:val="TextBody"/>
        <w:bidi w:val="0"/>
        <w:jc w:val="both"/>
        <w:rPr/>
      </w:pPr>
      <w:r>
        <w:rPr/>
        <w:t> </w:t>
      </w:r>
    </w:p>
    <w:tbl>
      <w:tblPr>
        <w:tblW w:w="8559" w:type="dxa"/>
        <w:jc w:val="left"/>
        <w:tblInd w:w="0" w:type="dxa"/>
        <w:tblLayout w:type="fixed"/>
        <w:tblCellMar>
          <w:top w:w="28" w:type="dxa"/>
          <w:left w:w="28" w:type="dxa"/>
          <w:bottom w:w="28" w:type="dxa"/>
          <w:right w:w="28" w:type="dxa"/>
        </w:tblCellMar>
      </w:tblPr>
      <w:tblGrid>
        <w:gridCol w:w="2341"/>
        <w:gridCol w:w="293"/>
        <w:gridCol w:w="1567"/>
        <w:gridCol w:w="146"/>
        <w:gridCol w:w="293"/>
        <w:gridCol w:w="1567"/>
        <w:gridCol w:w="146"/>
        <w:gridCol w:w="2206"/>
      </w:tblGrid>
      <w:tr>
        <w:trPr/>
        <w:tc>
          <w:tcPr>
            <w:tcW w:w="23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NEO</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 Change</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Nick Botwood, M.B.B.S. </w:t>
            </w:r>
            <w:r>
              <w:rPr>
                <w:rFonts w:ascii="Times New Roman" w:hAnsi="Times New Roman"/>
                <w:color w:val="000000"/>
                <w:sz w:val="13"/>
              </w:rPr>
              <w:t>(1)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Dr. Botwood’s hire date was May 12, 2025. The actual amount paid to Dr. Botwood for his partial year of service is reflected in the Summary Compensation Table below.</w:t>
      </w:r>
    </w:p>
    <w:p>
      <w:pPr>
        <w:pStyle w:val="TextBody"/>
        <w:bidi w:val="0"/>
        <w:jc w:val="both"/>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Annual Performance-Based Cash Compensation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annual incentive plan for executive officers is a cash-based plan that rewards NEOs for the achievement of key short-term objectives. The structure of the annual cash plan incentivizes NEOs to achieve annual financial and operational results that the Compensation Committee views as critical to the execution of our business strategy.</w:t>
      </w:r>
    </w:p>
    <w:p>
      <w:pPr>
        <w:pStyle w:val="TextBody"/>
        <w:bidi w:val="0"/>
        <w:spacing w:before="180" w:after="283"/>
        <w:jc w:val="both"/>
        <w:rPr>
          <w:rFonts w:ascii="Times New Roman" w:hAnsi="Times New Roman"/>
          <w:sz w:val="20"/>
        </w:rPr>
      </w:pPr>
      <w:r>
        <w:rPr>
          <w:rFonts w:ascii="Times New Roman" w:hAnsi="Times New Roman"/>
          <w:i/>
          <w:color w:val="000000"/>
          <w:sz w:val="20"/>
        </w:rPr>
        <w:t>Target Opportunities</w:t>
      </w:r>
      <w:r>
        <w:rPr>
          <w:rFonts w:ascii="Times New Roman" w:hAnsi="Times New Roman"/>
          <w:color w:val="000000"/>
          <w:sz w:val="20"/>
        </w:rPr>
        <w:t>. The Compensation Committee determines the target cash incentive opportunity available to each NEO by taking the individual’s annual base salary in effect at year end and multiplying it by the individual’s target incentive percentage. The target cash incentive opportunity for a newly hired NEO is typically prorated based on the salary earned during the year of hire unless otherwise negotiated as part of the new hire package or the Compensation Committee later determines not to prorate the NEO’s incentive payment. Among other factors, the target incentive percentages are determined with reference to the peer group company percentages of salary and the proportion of total direct compensation represented by the annual incentive.</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37" w:type="dxa"/>
        <w:jc w:val="left"/>
        <w:tblInd w:w="0" w:type="dxa"/>
        <w:tblLayout w:type="fixed"/>
        <w:tblCellMar>
          <w:top w:w="28" w:type="dxa"/>
          <w:left w:w="28" w:type="dxa"/>
          <w:bottom w:w="28" w:type="dxa"/>
          <w:right w:w="28" w:type="dxa"/>
        </w:tblCellMar>
      </w:tblPr>
      <w:tblGrid>
        <w:gridCol w:w="2131"/>
        <w:gridCol w:w="6106"/>
      </w:tblGrid>
      <w:tr>
        <w:trPr/>
        <w:tc>
          <w:tcPr>
            <w:tcW w:w="2131"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6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 Annual Incentive Plan Opportunity as a % of Base Salary</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61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61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Botwood, M.B.B.S.</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61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Allocation of Annual Incentive Opportunity Between Corporate and Individual Performance</w:t>
      </w:r>
      <w:r>
        <w:rPr>
          <w:rFonts w:ascii="Times New Roman" w:hAnsi="Times New Roman"/>
          <w:color w:val="000000"/>
          <w:sz w:val="20"/>
        </w:rPr>
        <w:t>. The total annual incentive opportunity for each NEO is allocated between corporate performance and individual performance as follows:</w:t>
      </w:r>
    </w:p>
    <w:p>
      <w:pPr>
        <w:pStyle w:val="TextBody"/>
        <w:bidi w:val="0"/>
        <w:jc w:val="both"/>
        <w:rPr/>
      </w:pPr>
      <w:r>
        <w:rPr/>
        <w:t> </w:t>
      </w:r>
    </w:p>
    <w:tbl>
      <w:tblPr>
        <w:tblW w:w="6468" w:type="dxa"/>
        <w:jc w:val="left"/>
        <w:tblInd w:w="0" w:type="dxa"/>
        <w:tblLayout w:type="fixed"/>
        <w:tblCellMar>
          <w:top w:w="28" w:type="dxa"/>
          <w:left w:w="28" w:type="dxa"/>
          <w:bottom w:w="28" w:type="dxa"/>
          <w:right w:w="28" w:type="dxa"/>
        </w:tblCellMar>
      </w:tblPr>
      <w:tblGrid>
        <w:gridCol w:w="2131"/>
        <w:gridCol w:w="2146"/>
        <w:gridCol w:w="2191"/>
      </w:tblGrid>
      <w:tr>
        <w:trPr/>
        <w:tc>
          <w:tcPr>
            <w:tcW w:w="21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Performance</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Individual Performance</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Botwood, M.B.B.S.</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Corporate Performance Measures</w:t>
      </w:r>
      <w:r>
        <w:rPr>
          <w:rFonts w:ascii="Times New Roman" w:hAnsi="Times New Roman"/>
          <w:color w:val="000000"/>
          <w:sz w:val="20"/>
        </w:rPr>
        <w:t>. To establish the corporate goals for the year, the Compensation Committee, with the input of the executive leadership team, considered our results for 2024, the business objectives and plans for 2025, and the related risks associated with those plans. Based on this information, the Compensation Committee established the performance-based metrics and targets for the annual incentive plan at levels that it considered rigorous and challenging and that took into account the relevant risks and opportunities. In doing so, the Compensation Committee placed a larger weighting on objectives related to the Company’s menin inhibitor program. Unlike the Company’s axatilimab program, the Company does not have an external collaboration partner for the menin inhibitor program. Therefore, the Company’s achievement of these performance measures are solely dependent on the Company’s activities. The amount of the corporate performance payout, if any, under the annual incentive plan is based on achievement against corporate performance measures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milestones related to revumenib as well as Revuforj commercial milestones (62.5%);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milestones related to axatilimab as well as Niktimvo commercial milestones (22.5%);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organizational development milestones to support growth (15%).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each identified research, commercial or organizational development milestone, the Compensation Committee set applicable performance levels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that would meet the minimum threshold level;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target performance necessary to meet the objective;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that would exceed the objective.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established three payout tiers based on performance level. For performance meeting the minimum threshold, the payout is set at 50% of the target incentive amount. For performance meeting the target objective, the payout is set at 100% of the target incentive amount. For performance exceeding the target objective, the maximum payout is capped at 200% of the target incentive amount for commercial objectives relating to Revuforj and Niktimvo, and at 150% of the target incentive amount for all other non-commercial objectives.</w:t>
      </w:r>
    </w:p>
    <w:p>
      <w:pPr>
        <w:pStyle w:val="TextBody"/>
        <w:bidi w:val="0"/>
        <w:spacing w:before="180" w:after="283"/>
        <w:jc w:val="both"/>
        <w:rPr>
          <w:rFonts w:ascii="Times New Roman" w:hAnsi="Times New Roman"/>
          <w:sz w:val="20"/>
        </w:rPr>
      </w:pPr>
      <w:r>
        <w:rPr>
          <w:rFonts w:ascii="Times New Roman" w:hAnsi="Times New Roman"/>
          <w:i/>
          <w:color w:val="000000"/>
          <w:sz w:val="20"/>
        </w:rPr>
        <w:t>Individual Performance</w:t>
      </w:r>
      <w:r>
        <w:rPr>
          <w:rFonts w:ascii="Times New Roman" w:hAnsi="Times New Roman"/>
          <w:color w:val="000000"/>
          <w:sz w:val="20"/>
        </w:rPr>
        <w:t>. For the NEOs who have a portion of their annual incentive tied to individual performance, the NEOs’ 2025 individual measures target allocation and performance with respect thereto are set forth below, with maximum individual performance capped at 200%:</w:t>
      </w:r>
    </w:p>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2131"/>
        <w:gridCol w:w="1531"/>
        <w:gridCol w:w="2131"/>
        <w:gridCol w:w="2101"/>
      </w:tblGrid>
      <w:tr>
        <w:trPr/>
        <w:tc>
          <w:tcPr>
            <w:tcW w:w="21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Individual Goals</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Individual Achievement</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Achievement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Botwood, M.B.B.S.</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150%</w:t>
            </w:r>
            <w:r>
              <w:rPr>
                <w:rFonts w:ascii="Times New Roman" w:hAnsi="Times New Roman"/>
                <w:color w:val="000000"/>
                <w:sz w:val="13"/>
              </w:rPr>
              <w:t>(1)</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Dr. Botwood’s hire date was May 12, 2025 and, due to his strong individual performance, the Board determined not to pro rate his annual cash incentive award.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Mr. Goldan, key performance highlights included leading our finance operations to scale commercially and improve operationally, managing our P&amp;L and SEC reporting obligations with improved efficiency, strategic leadership of our investor relations team and increasing investor engagement with key accounts, and continuing to strengthen the capabilities and infrastructure of our information technology team.</w:t>
      </w:r>
    </w:p>
    <w:p>
      <w:pPr>
        <w:pStyle w:val="TextBody"/>
        <w:bidi w:val="0"/>
        <w:spacing w:before="180" w:after="283"/>
        <w:jc w:val="both"/>
        <w:rPr>
          <w:rFonts w:ascii="Times New Roman" w:hAnsi="Times New Roman"/>
          <w:sz w:val="20"/>
        </w:rPr>
      </w:pPr>
      <w:r>
        <w:rPr>
          <w:rFonts w:ascii="Times New Roman" w:hAnsi="Times New Roman"/>
          <w:color w:val="000000"/>
          <w:sz w:val="20"/>
        </w:rPr>
        <w:t>With respect to Dr. Botwood, key performance highlights included serving as a key member of our investor relations team, reorganizing key R&amp;D functions and bringing key talent into the organization, leading R&amp;D efforts for the Revuforj Supplemental NDA (“</w:t>
      </w:r>
      <w:r>
        <w:rPr>
          <w:rFonts w:ascii="Times New Roman" w:hAnsi="Times New Roman"/>
          <w:b/>
          <w:i/>
          <w:color w:val="000000"/>
          <w:sz w:val="20"/>
        </w:rPr>
        <w:t>sNDA</w:t>
      </w:r>
      <w:r>
        <w:rPr>
          <w:rFonts w:ascii="Times New Roman" w:hAnsi="Times New Roman"/>
          <w:color w:val="000000"/>
          <w:sz w:val="20"/>
        </w:rPr>
        <w:t>”) approval, and leadership of key front line trial design and initiation.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Mr. Closter, key performance highlights included his leadership of the Revuforj and Niktimvo commercial launches with first year performance surpassing all analogs, successful execution of Revuforj’s 2025 brand plan, helping to drive payor coverage and rapid delivery time of products to patients, and his external contributions engaging with investors and key stakeholders.</w:t>
      </w:r>
    </w:p>
    <w:p>
      <w:pPr>
        <w:pStyle w:val="TextBody"/>
        <w:bidi w:val="0"/>
        <w:spacing w:before="180" w:after="283"/>
        <w:jc w:val="both"/>
        <w:rPr>
          <w:rFonts w:ascii="Times New Roman" w:hAnsi="Times New Roman"/>
          <w:sz w:val="20"/>
        </w:rPr>
      </w:pPr>
      <w:r>
        <w:rPr>
          <w:rFonts w:ascii="Times New Roman" w:hAnsi="Times New Roman"/>
          <w:i/>
          <w:color w:val="000000"/>
          <w:sz w:val="20"/>
        </w:rPr>
        <w:t>Payout Levels</w:t>
      </w:r>
      <w:r>
        <w:rPr>
          <w:rFonts w:ascii="Times New Roman" w:hAnsi="Times New Roman"/>
          <w:color w:val="000000"/>
          <w:sz w:val="20"/>
        </w:rPr>
        <w:t xml:space="preserve">. The Compensation Committee defined payout levels representing the amount to be paid to NEOs based on the level of actual performance relative to the objectives. If achievement is below the target level of performance, but above a base threshold, the Compensation Committee set the payout at 50% in order to motivate performance and underscore the importance of achieving, or closely approaching, the objectives at this critical time in our development. If we achieve the objective, the Compensation Committee will authorize a payout of up to 100% of the portion of the overall opportunity allocated to that element; if we exceed the objective, the Compensation Committee may, in its discretion, authorize a higher payout for that objective, but the payout will not exceed 200% of the target for objectives relating to Revuforj and Niktimvo commercial performance and 150% of the target for non-commercial objectives.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February 2026, the Compensation Committee met to consider how we had performed against the pre-established corporate performance goals. While the Compensation Committee considered management’s views regarding their 2025 achievements, the Compensation Committee made an independent determination regarding the corporate performance, and established that the 2025 corporate performance was 150%, based on the overachievement of our goals related to our: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menin inhibitor program, including (i) Revuforj’s exceeding internal commercial revenue projections for fiscal year 2025; (ii) approval of the Revuforj sNDA prior to the PDUFA date; and (iii) meeting internal site initiation objectives in key clinical trials prior to year-end;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axatilimab program, including (i) Niktimvo’s exceeding internal commercial revenue projections for fiscal year 2025; and (ii) enrollment progress in the ongoing MAXPIRe trial in idiopathic pulmonary fibrosis;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operating cash usage within the Board’s established budget.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recommended its determination regarding the 2025 corporation performance to the Board for approval, prior to approving the compensation implications for each of the executive officers. The Compensation Committee then considered the achievement of pre-established individual goals described above of the three NEOs who have a portion of their annual cash incentive for 2025 determined by individual performance. The Compensation Committee determined that Mr. Closter achieved 150% of his individual objectives, Mr. Goldan achieved 110% of his individual objectives and Dr. Botwood achieved 150% of his individual objectives on an unprorated basis.</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Having determined the 2025 corporate and individual performance levels for each NEO, the Compensation Committee then translated those performance levels to a payout level based on the payout curve described above. The dollar amount of the annual incentive award targets and payout ranges for 2025, as well as the actual annual </w:t>
      </w:r>
      <w:r>
        <w:rPr>
          <w:rFonts w:ascii="Times New Roman" w:hAnsi="Times New Roman"/>
          <w:color w:val="231F20"/>
          <w:sz w:val="20"/>
        </w:rPr>
        <w:t xml:space="preserve">incentive award </w:t>
      </w:r>
      <w:r>
        <w:rPr>
          <w:rFonts w:ascii="Times New Roman" w:hAnsi="Times New Roman"/>
          <w:color w:val="000000"/>
          <w:sz w:val="20"/>
        </w:rPr>
        <w:t>payouts</w:t>
      </w:r>
      <w:r>
        <w:rPr>
          <w:rFonts w:ascii="Times New Roman" w:hAnsi="Times New Roman"/>
          <w:color w:val="231F20"/>
          <w:sz w:val="20"/>
        </w:rPr>
        <w:t xml:space="preserve"> that the Board approved for each of the NEOs for 2025, are:</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6"/>
        <w:gridCol w:w="216"/>
        <w:gridCol w:w="802"/>
        <w:gridCol w:w="146"/>
        <w:gridCol w:w="1296"/>
        <w:gridCol w:w="1246"/>
        <w:gridCol w:w="272"/>
        <w:gridCol w:w="1012"/>
        <w:gridCol w:w="146"/>
        <w:gridCol w:w="383"/>
        <w:gridCol w:w="912"/>
        <w:gridCol w:w="146"/>
        <w:gridCol w:w="305"/>
        <w:gridCol w:w="979"/>
        <w:gridCol w:w="146"/>
        <w:gridCol w:w="224"/>
        <w:gridCol w:w="830"/>
        <w:gridCol w:w="198"/>
      </w:tblGrid>
      <w:tr>
        <w:trPr/>
        <w:tc>
          <w:tcPr>
            <w:tcW w:w="9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 Incentive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Performance Measures: % of Target Incentive</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Final Corporate Performance</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Performance Measures: Payout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Individual Performance Measures: % of Target Incentive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Individual Performance Measures: Payout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2025 Annual Incentive Payout Amount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848,588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Nick Botwood, M.B.B.S. </w:t>
            </w:r>
            <w:r>
              <w:rPr>
                <w:rFonts w:ascii="Times New Roman" w:hAnsi="Times New Roman"/>
                <w:color w:val="000000"/>
                <w:sz w:val="13"/>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As noted above, on an unprorated basis, Dr. Botwood’s individual performance was 150%.</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Equity-Based Incentive Awards</w:t>
      </w:r>
    </w:p>
    <w:p>
      <w:pPr>
        <w:pStyle w:val="TextBody"/>
        <w:bidi w:val="0"/>
        <w:spacing w:before="180" w:after="283"/>
        <w:jc w:val="both"/>
        <w:rPr>
          <w:rFonts w:ascii="Times New Roman" w:hAnsi="Times New Roman"/>
          <w:sz w:val="20"/>
        </w:rPr>
      </w:pPr>
      <w:r>
        <w:rPr>
          <w:rFonts w:ascii="Times New Roman" w:hAnsi="Times New Roman"/>
          <w:color w:val="000000"/>
          <w:sz w:val="22"/>
        </w:rPr>
        <w:t>T</w:t>
      </w:r>
      <w:r>
        <w:rPr>
          <w:rFonts w:ascii="Times New Roman" w:hAnsi="Times New Roman"/>
          <w:color w:val="000000"/>
          <w:sz w:val="20"/>
        </w:rPr>
        <w:t>he third and largest component of the executive compensation program is long-term equity incentives. The Compensation Committee designed the long-term incentive opportunity for the NEOs to motivate and reward executive officers to achieve multiyear strategic goals and deliver sustained long-term value to stockholders.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equity awards provide our executives with a strong link to our long-term performance, create an ownership culture and help to align the interests of our executives and our stockholders. Long-term equity incentives also promote retention, because executive officers will only receive value if they remain employed by us over the required term.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Grants to our NEOs and other employees are made at the discretion of the Compensation Committee and Board and are generally made upon commencement of employment, promotion or annually during the first quarter of each year based upon performance during the prior year. We believe that our equity awards are an important retention tool for our executive officers, as well as for our other employees.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Equity Vehicles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has structured the mix of equity vehicles and the relative weight assigned to each type to motivate performance against long-term targets and stock price appreciation over the long term and to encourage ownership and retention while aligning executive officers’ interests with those of our shareholders. Stockholder feedback has been a key driver of the evolution of our compensation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Beginning in 2024, the Compensation Committee, with the assistance of its independent compensation consultant, began increasing the performance nature of long-term incentive equity grants by introducing grants of PRSUs to all members of our executive team, including all of our NEOs. The Compensation Committee continued to include PRSUs as part of the long-term incentive equity grants to the NEOs in 2025. The PRSUs have a performance aspect that aligns the interests of the NEOs with the core long-term interest of stockholders, which is to increase the value of the enterprise, by incentivizing achievement relative to key performance goals of the Company. The performance-based metric, in conjunction with the proportion of total compensation that was variable and at-risk, further enhances the link between pay and performance for the NEOs, as well as strengthens the alignment of the interests of the executive officers with those of our stockholders. The actual number of PRSUs earned will be based on the Company’s performance relative to target.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Historically, we have used stock option grants as our primary equity vehicle because we believe that they are an effective means by which to align the long-term interests of our executive officers with those of our stockholders. Consistent with what we believe to be the prevailing market practice for companies in our industry at our stage of development, we have used stock options to motivate stock price appreciation over the long term because they deliver value only if the stock price increases. Stock options are inherently performance-based, requiring stock price appreciation before there is any value earned, and are therefore a direct and straightforward means of incentivizing NEOs. The use of stock options also can provide tax and other advantages to our executive officers relative to other forms of equity compensation.</w:t>
      </w:r>
    </w:p>
    <w:p>
      <w:pPr>
        <w:pStyle w:val="TextBody"/>
        <w:bidi w:val="0"/>
        <w:spacing w:before="180" w:after="283"/>
        <w:jc w:val="both"/>
        <w:rPr>
          <w:rFonts w:ascii="Times New Roman" w:hAnsi="Times New Roman"/>
          <w:sz w:val="20"/>
        </w:rPr>
      </w:pPr>
      <w:r>
        <w:rPr>
          <w:rFonts w:ascii="Times New Roman" w:hAnsi="Times New Roman"/>
          <w:color w:val="000000"/>
          <w:sz w:val="20"/>
        </w:rPr>
        <w:t>Beginning in 2024, we also began company-wide grants of restricted stock units (“</w:t>
      </w:r>
      <w:r>
        <w:rPr>
          <w:rFonts w:ascii="Times New Roman" w:hAnsi="Times New Roman"/>
          <w:b/>
          <w:i/>
          <w:color w:val="000000"/>
          <w:sz w:val="20"/>
        </w:rPr>
        <w:t>RSUs</w:t>
      </w:r>
      <w:r>
        <w:rPr>
          <w:rFonts w:ascii="Times New Roman" w:hAnsi="Times New Roman"/>
          <w:color w:val="000000"/>
          <w:sz w:val="20"/>
        </w:rPr>
        <w:t>”), which we had historically issued as special incentive awards, such as in connection with a new hire, or in connection with the completion of a project or research milestone. The RSUs are complementary to the PRSUs and the stock options because they have upside potential but deliver some value even during periods of market or stock price underperformance, providing a retention incentive and reinforcing an ownership culture and commitment to the Company.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Annual Grants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determining the number of stock options, RSUs or PRSUs to be granted to an NEO, the Compensation Committee takes into account equally both the range of long-term incentive award values granted to executive officers at the companies in the peer group and the range of grant size as a percent of the company in the peer group in determining the appropriate number of options for an NEO.</w:t>
      </w:r>
    </w:p>
    <w:p>
      <w:pPr>
        <w:pStyle w:val="TextBody"/>
        <w:bidi w:val="0"/>
        <w:spacing w:before="180" w:after="283"/>
        <w:jc w:val="both"/>
        <w:rPr>
          <w:rFonts w:ascii="Times New Roman" w:hAnsi="Times New Roman"/>
          <w:sz w:val="20"/>
        </w:rPr>
      </w:pPr>
      <w:r>
        <w:rPr>
          <w:rFonts w:ascii="Times New Roman" w:hAnsi="Times New Roman"/>
          <w:color w:val="000000"/>
          <w:sz w:val="20"/>
        </w:rPr>
        <w:t>The 2025 PRSUs have three distinct performance metrics related to (i) revenue from Revuforj in fiscal year 2025; (ii) Revuforj’s sNDA filing; and (iii) the Company’s three-year total shareholder return (“</w:t>
      </w:r>
      <w:r>
        <w:rPr>
          <w:rFonts w:ascii="Times New Roman" w:hAnsi="Times New Roman"/>
          <w:b/>
          <w:i/>
          <w:color w:val="000000"/>
          <w:sz w:val="20"/>
        </w:rPr>
        <w:t>TSR</w:t>
      </w:r>
      <w:r>
        <w:rPr>
          <w:rFonts w:ascii="Times New Roman" w:hAnsi="Times New Roman"/>
          <w:color w:val="000000"/>
          <w:sz w:val="20"/>
        </w:rPr>
        <w:t xml:space="preserve">”) as measured against the Nasdaq Biotechnology Index components’ TSRs over the same period. Each of these measures bears equal one-third weighting such that a recipient may receive anywhere between the full award and none of the award based on the Company’s performance against each of the three performance objectives. The Compensation Committee believes that it set performance goals at rigorous and challenging levels so as to require significant effort and achievement by our executive officers to be attained, and that such goals have been established in light of our internal forecast as well as the macroeconomic and industry environments. In 2025, the Company achieved the first two performance metrics by (i) achieving 2025 full-year net revenue of Revuforj exceeding $75 million and (ii) receiving approval of the mNPM1 sNDA from the United States Food and Drug Administration before year-end 2025. Vesting of the awards remains, in each case, subject to the recipient’s continuous service through the February 2028 vesting date.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exercise price of all stock options granted to NEOs is equal to the closing price of our stock on the date of the grant, and all of our stock options granted in 2025 have a ten-year term until expiration.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connection with our annual grant process, on February 5, 2025, our Compensation Committee recommended, and our Board approved, grants to each of Messrs. Metzger, Albrecht, Closter and Goldan of PRSUs, RSUs and options to purchase shares of our common stock. Each stock option vests in equal monthly installments on the last day of each month over a four-year period, subject to the executive’s continuous service to us through each vesting date. The RSUs vest in equal one third tranches annually over three years from the grant date.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February 2025 grants made by the Compensation Committee are shown in the following table:</w:t>
      </w:r>
    </w:p>
    <w:tbl>
      <w:tblPr>
        <w:tblW w:w="6601" w:type="dxa"/>
        <w:jc w:val="left"/>
        <w:tblInd w:w="0" w:type="dxa"/>
        <w:tblLayout w:type="fixed"/>
        <w:tblCellMar>
          <w:top w:w="28" w:type="dxa"/>
          <w:left w:w="28" w:type="dxa"/>
          <w:bottom w:w="28" w:type="dxa"/>
          <w:right w:w="28" w:type="dxa"/>
        </w:tblCellMar>
      </w:tblPr>
      <w:tblGrid>
        <w:gridCol w:w="1741"/>
        <w:gridCol w:w="168"/>
        <w:gridCol w:w="777"/>
        <w:gridCol w:w="146"/>
        <w:gridCol w:w="146"/>
        <w:gridCol w:w="676"/>
        <w:gridCol w:w="146"/>
        <w:gridCol w:w="410"/>
        <w:gridCol w:w="2200"/>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PRSUs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 Stock Options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February 2024, each then NEO received a PRSU grant with a performance metric related to revenue from Revuforj meeting or exceeding $45M in the first twelve months of commercial sales. One third of each award vests upon the achievement of that goal, and the remainder vest in equal one third tranches on the first and second anniversary of the goal achievement, respectively, in each case subject to continuous service through each vesting date. The Compensation Committee reviewed and determined the achievement of that performance metric in May 2025 and the first one third of each award vested on May 31,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expect to continue to evaluate our equity compensation strategy across the organization to manage our equity utilization during 2026 and beyond. In 2026, the Compensation Committee again granted PRSUs with TSR, commercial as well as research and development-related metrics to each of the NEOs.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Compensation Related to Leadership Transition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has also granted equity-based incentives in connection with the hire of new executives, either in the form of stock options, RSUs or both.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connection with Dr. Botwood’s hire as our Head of Research and Development and Chief Medical Officer in May 2025, he was awarded 215,000 stock options. The Compensation Committee determined that this grant would promote immediate alignment between his interests and those of our stockholders and encourage his long-term service and performance. One-quarter of the options vest on the first anniversary of the grant date, and the remainder vest in equal monthly installments on the last day of each month over a three-year period thereafter, subject to Dr. Botwood’s continuous service through each vesting date. Additionally, Dr. Botwood was awarded a grant of 23,400 PRSUs, one-third of which vests upon the achievement of each one of three specified performance goals, which are identical to the goals for the PRSUs that members of the Company’s executive team received in February 2025. Please see “Compensation Discussion and Analysis—Equity-Based Incentive Awards.”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Additional Elements of Compensation</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Employee Benefits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NEOs are eligible to participate in all our employee benefit plans, such as medical, dental, vision, group life, short and long-term disability and our 401(k) plan, in each case on the same basis as other employees, subject to applicable laws. Under our 401(k) plan, we currently make matching contributions of 200% of an employee’s contributions to the plan, up to a maximum of $10,000 per year. We believe these benefits are important to attracting and retaining experienced employees, including our executives.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Perquisites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do not currently provide any perquisites to our executive officers.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Severance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entered into employment agreements with all of our NEOs that provide for at-will employment without any specific term. Each of the agreements sets forth the NEO’s severance benefits payable upon a qualifying termination of employment or change in control of our Company. The “Potential Payments Upon Termination or Change in Control” section located in the “Executive Officer and Director Compensation” section below describes and quantifies the severance and other benefits potentially payable to the NEOs in further detail.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offer severance benefits because we compete for executive talent in a highly competitive market in which companies routinely offer similar benefits to their officers. These severance benefits may consist of a payment equal to a specified number of months of base salary continuation, payment of premiums for continued health insurance coverage for a specified period of time, an amount determined by reference to the executive’s annual performance-based cash incentive and accelerated vesting of equity or an extension of time in which to exercise stock options.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severance benefits outside of the change in control context if our NEOs’ employment is terminated without cause, or if the executive terminates employment for good reason, as each of those terms are defined in the employment agreements, subject to the executive officer’s execution of an effective release of claims. The Company believes that it is appropriate to provide severance in this instance to bridge executives to new employment, particularly in view of the Developments, Non-Disclosure and Non-Solicitation agreements that our executives have signed with the Company.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enhanced severance benefits in the change in control context because we believe that the occurrence or potential occurrence of a change in control transaction will create uncertainty regarding the continued employment of our executive officers. The Company believes it serves the best interest of the Company and its stockholders to have executives focus on the business merits of mergers and acquisitions without undue concern for their personal financial outcome. As such, we provide severance protections in connection with a change in control, subject to each executive officer’s execution of an effective release of claims, to help ensure that executive officers can objectively evaluate change in control transactions that may be in the best interest of our stockholders, despite the potential negative consequences such transactions may have on them personally.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the severance benefits provided to our executive officers under their Employment Agreements are an important component of each executive officer’s overall compensation as they help us to attract and retain our key executives who could have other job alternatives that may appear to them to be more attractive absent these protections.</w:t>
      </w:r>
    </w:p>
    <w:p>
      <w:pPr>
        <w:pStyle w:val="TextBody"/>
        <w:bidi w:val="0"/>
        <w:spacing w:before="180" w:after="180"/>
        <w:jc w:val="left"/>
        <w:rPr>
          <w:rFonts w:ascii="Times New Roman" w:hAnsi="Times New Roman"/>
          <w:b/>
          <w:color w:val="000000"/>
          <w:sz w:val="20"/>
        </w:rPr>
      </w:pPr>
      <w:bookmarkStart w:id="46" w:name="addelements_of_comp"/>
      <w:bookmarkEnd w:id="46"/>
      <w:r>
        <w:rPr>
          <w:rFonts w:ascii="Times New Roman" w:hAnsi="Times New Roman"/>
          <w:b/>
          <w:color w:val="000000"/>
          <w:sz w:val="20"/>
        </w:rPr>
        <w:t>Additional Compensation Policies and Practices</w:t>
      </w:r>
    </w:p>
    <w:p>
      <w:pPr>
        <w:pStyle w:val="TextBody"/>
        <w:bidi w:val="0"/>
        <w:jc w:val="both"/>
        <w:rPr>
          <w:rFonts w:ascii="Times New Roman" w:hAnsi="Times New Roman"/>
          <w:b/>
          <w:i/>
          <w:color w:val="000000"/>
          <w:sz w:val="20"/>
        </w:rPr>
      </w:pPr>
      <w:r>
        <w:rPr>
          <w:rFonts w:ascii="Times New Roman" w:hAnsi="Times New Roman"/>
          <w:b/>
          <w:i/>
          <w:color w:val="000000"/>
          <w:sz w:val="20"/>
        </w:rPr>
        <w:t>Policies and Practices Related to the Grant of Equity Awards Close in Time to the Release of Material Nonpublic Information</w:t>
      </w:r>
    </w:p>
    <w:p>
      <w:pPr>
        <w:pStyle w:val="TextBody"/>
        <w:bidi w:val="0"/>
        <w:spacing w:before="180" w:after="283"/>
        <w:jc w:val="both"/>
        <w:rPr>
          <w:rFonts w:ascii="Times New Roman" w:hAnsi="Times New Roman"/>
          <w:sz w:val="20"/>
        </w:rPr>
      </w:pPr>
      <w:r>
        <w:rPr>
          <w:rFonts w:ascii="Times New Roman" w:hAnsi="Times New Roman"/>
          <w:color w:val="000000"/>
          <w:sz w:val="20"/>
        </w:rPr>
        <w:t>From time to time, we grant equity awards to our employees, including our NEOs. Historically, we have granted new-hire option awards on the first day of the month following a new hire’s employment start date. We have also historically granted annual refresh employee and executive equity awards in February of each fiscal year at the first regularly scheduled meeting of the Compensation Committee or the Board, respectively. Non-employee directors receive an initial grant of stock option awards at the time of appointment to our Board and thereafter receive deferred settlement restricted stock units granted at the same time as the annual refresh grants, respectively, pursuant to the Non-Employee Director Compensation Policy, as further described under the heading, “Director Compensation—Cash and Equity Compensation” below. We do not otherwise maintain any written policies on the timing of equity awards. The Compensation Committee considers whether there is any material nonpublic information (“</w:t>
      </w:r>
      <w:r>
        <w:rPr>
          <w:rFonts w:ascii="Times New Roman" w:hAnsi="Times New Roman"/>
          <w:b/>
          <w:i/>
          <w:color w:val="000000"/>
          <w:sz w:val="20"/>
        </w:rPr>
        <w:t>MNPI</w:t>
      </w:r>
      <w:r>
        <w:rPr>
          <w:rFonts w:ascii="Times New Roman" w:hAnsi="Times New Roman"/>
          <w:color w:val="000000"/>
          <w:sz w:val="20"/>
        </w:rPr>
        <w:t xml:space="preserve">”) about the Company when determining the timing of equity awards and does not seek to time the award of equity grants in relation to the Company’s public disclosure of MNPI. Because the Compensation Committee has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practice of generally granting stock options on the first day of the month and annually at its first meeting of each new year, the Compensation Committee generally does not take MNPI into account when determining the timing of awards and it does not seek to time the award of equity grants in relation to our public disclosure of MNPI. We have not timed the release of MNPI for the purpose of affecting the value of executive compensation.</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Prohibition on Hedging, Pledging and Short Sales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our insider trading policy, our officers, directors, employees and consultants (including their immediate family members and other persons with whom they share a household, and economic dependents) are prohibited from engaging in transactions in publicly traded options, such as puts and calls, and other derivative securities with respect to our common stock at any time. This prohibition extends to (i) engaging in any forms of hedging or short-selling transactions involving our securities, (ii) pledging our securities as collateral for loans, (iii) purchasing our stock on margin or holding our securities in a margin account, or (iv) similar transaction designed to decrease the risks associated with holding our securities.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Tax Considerations: Section 162(m)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When reviewing compensation matters, the Compensation Committee considers the anticipated tax consequences to us (and, when relevant, to our executive officers) of the various payments under our compensation programs. Section 162(m) of the Code generally disallows a tax deduction for any publicly held corporation for individual compensation of more than $1.0 million in any taxable year to certain executive officers. The Compensation Committee, after considering the potential impact of the application of Section 162(m) of the Code, may provide compensation to executive officers that may not be tax deductible if it believes that providing that compensation is in the best interests of the Company and its stockholders.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180" w:after="283"/>
        <w:jc w:val="both"/>
        <w:rPr>
          <w:rFonts w:ascii="Times New Roman" w:hAnsi="Times New Roman"/>
          <w:sz w:val="20"/>
        </w:rPr>
      </w:pPr>
      <w:r>
        <w:rPr>
          <w:rFonts w:ascii="Times New Roman" w:hAnsi="Times New Roman"/>
          <w:color w:val="000000"/>
          <w:sz w:val="20"/>
        </w:rPr>
        <w:t>In October 2023, the Compensation Committee adopted our Incentive Compensation Recoupment Policy (the “</w:t>
      </w:r>
      <w:r>
        <w:rPr>
          <w:rFonts w:ascii="Times New Roman" w:hAnsi="Times New Roman"/>
          <w:b/>
          <w:i/>
          <w:color w:val="000000"/>
          <w:sz w:val="20"/>
        </w:rPr>
        <w:t>Clawback Policy</w:t>
      </w:r>
      <w:r>
        <w:rPr>
          <w:rFonts w:ascii="Times New Roman" w:hAnsi="Times New Roman"/>
          <w:color w:val="000000"/>
          <w:sz w:val="20"/>
        </w:rPr>
        <w:t>”), designed to comply with Rule 10D-1 of the Exchange Act and Nasdaq Listing Rule 5608, which provides for recoupment of performance-based incentive compensation in the event of an accounting restatement resulting from material noncompliance with financial reporting requirements under the relevant securities laws. The policy applies to our current and former executive officers. Compensation that is granted, earned or vested based wholly or in part upon attainment of a Financial Reporting Measure (as defined in the Clawback Policy) is subject to recoupment. The 2015 Plan and the 2026 Plan also provide for clawback of time-based equity.</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Compensation Committee is responsible for evaluating, recommending and approving executive officer compensation arrangements, plans, policies and programs and performs an annual assessment of the risk they impose. In consultation with management, our Compensation Committee assessed our executive officer compensation arrangements, plans, policies and programs and concluded that they do not create risks that are reasonably likely to have a material adverse effect on our company. This risk assessment included, among other things, a review of the extent to which the Company’s compensation policies and practices could lead to excessive risk-taking behavior, the manner in which any risks arising out of the Company’s compensation policies and practices are monitored and mitigated and any adjustments that may be necessary to address changes in the Company’s risk profile. </w:t>
      </w:r>
    </w:p>
    <w:p>
      <w:pPr>
        <w:pStyle w:val="TextBody"/>
        <w:bidi w:val="0"/>
        <w:spacing w:before="180" w:after="283"/>
        <w:jc w:val="both"/>
        <w:rPr>
          <w:rFonts w:ascii="Times New Roman" w:hAnsi="Times New Roman"/>
          <w:b/>
          <w:color w:val="000000"/>
          <w:sz w:val="20"/>
        </w:rPr>
      </w:pPr>
      <w:bookmarkStart w:id="47" w:name="report_of_compcommittee"/>
      <w:bookmarkEnd w:id="47"/>
      <w:r>
        <w:rPr>
          <w:rFonts w:ascii="Times New Roman" w:hAnsi="Times New Roman"/>
          <w:b/>
          <w:color w:val="000000"/>
          <w:sz w:val="20"/>
        </w:rPr>
        <w:t>Report of the Compensation Committee on Executive Compensation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Compensation Committee Report shall not be deemed to be incorporated by reference into any filing made by the Company under the Securities Act of 1933, as amended, or the Exchange Act, notwithstanding any general statement contained in any such filing incorporating this proxy statement by reference, except to the extent the Company incorporates such Report by specific reference.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the Company’s Annual Report on Form 10-K and the Company’s proxy statement.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preceding report has been furnished by the following members of the Compensation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Keith A. Katkin, Chair</w:t>
      </w:r>
    </w:p>
    <w:p>
      <w:pPr>
        <w:pStyle w:val="TextBody"/>
        <w:bidi w:val="0"/>
        <w:jc w:val="both"/>
        <w:rPr>
          <w:rFonts w:ascii="Times New Roman" w:hAnsi="Times New Roman"/>
          <w:color w:val="000000"/>
          <w:sz w:val="20"/>
        </w:rPr>
      </w:pPr>
      <w:r>
        <w:rPr>
          <w:rFonts w:ascii="Times New Roman" w:hAnsi="Times New Roman"/>
          <w:color w:val="000000"/>
          <w:sz w:val="20"/>
        </w:rPr>
        <w:t>Pierre Legault</w:t>
      </w:r>
    </w:p>
    <w:p>
      <w:pPr>
        <w:pStyle w:val="TextBody"/>
        <w:bidi w:val="0"/>
        <w:jc w:val="both"/>
        <w:rPr>
          <w:rFonts w:ascii="Times New Roman" w:hAnsi="Times New Roman"/>
          <w:color w:val="000000"/>
          <w:sz w:val="20"/>
        </w:rPr>
      </w:pPr>
      <w:r>
        <w:rPr>
          <w:rFonts w:ascii="Times New Roman" w:hAnsi="Times New Roman"/>
          <w:color w:val="000000"/>
          <w:sz w:val="20"/>
        </w:rPr>
        <w:t>Dennis G. Podlesak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8" w:name="eoadc"/>
      <w:bookmarkEnd w:id="48"/>
      <w:r>
        <w:rPr>
          <w:rFonts w:ascii="Times New Roman" w:hAnsi="Times New Roman"/>
          <w:b/>
          <w:color w:val="000000"/>
          <w:sz w:val="20"/>
        </w:rPr>
        <w:t>EXECUTIVE OFFICER AND DIRECTOR COMPENSATION</w:t>
      </w:r>
    </w:p>
    <w:p>
      <w:pPr>
        <w:pStyle w:val="TextBody"/>
        <w:bidi w:val="0"/>
        <w:spacing w:before="180" w:after="283"/>
        <w:jc w:val="left"/>
        <w:rPr>
          <w:rFonts w:ascii="Times New Roman" w:hAnsi="Times New Roman"/>
          <w:b/>
          <w:color w:val="000000"/>
          <w:sz w:val="20"/>
        </w:rPr>
      </w:pPr>
      <w:bookmarkStart w:id="49" w:name="eoc"/>
      <w:bookmarkEnd w:id="49"/>
      <w:r>
        <w:rPr>
          <w:rFonts w:ascii="Times New Roman" w:hAnsi="Times New Roman"/>
          <w:b/>
          <w:color w:val="000000"/>
          <w:sz w:val="20"/>
        </w:rPr>
        <w:t>Executive Officer Compensation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Summary Compensation Table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information regarding compensation awarded to or earned by our NEOs during the fiscal years indicated.</w:t>
      </w:r>
    </w:p>
    <w:p>
      <w:pPr>
        <w:pStyle w:val="TextBody"/>
        <w:bidi w:val="0"/>
        <w:jc w:val="both"/>
        <w:rPr/>
      </w:pPr>
      <w:r>
        <w:rPr/>
        <w:t> </w:t>
      </w:r>
    </w:p>
    <w:tbl>
      <w:tblPr>
        <w:tblW w:w="11355" w:type="dxa"/>
        <w:jc w:val="left"/>
        <w:tblInd w:w="0" w:type="dxa"/>
        <w:tblLayout w:type="fixed"/>
        <w:tblCellMar>
          <w:top w:w="28" w:type="dxa"/>
          <w:left w:w="28" w:type="dxa"/>
          <w:bottom w:w="28" w:type="dxa"/>
          <w:right w:w="28" w:type="dxa"/>
        </w:tblCellMar>
      </w:tblPr>
      <w:tblGrid>
        <w:gridCol w:w="1626"/>
        <w:gridCol w:w="146"/>
        <w:gridCol w:w="526"/>
        <w:gridCol w:w="146"/>
        <w:gridCol w:w="211"/>
        <w:gridCol w:w="781"/>
        <w:gridCol w:w="146"/>
        <w:gridCol w:w="146"/>
        <w:gridCol w:w="211"/>
        <w:gridCol w:w="931"/>
        <w:gridCol w:w="146"/>
        <w:gridCol w:w="146"/>
        <w:gridCol w:w="211"/>
        <w:gridCol w:w="931"/>
        <w:gridCol w:w="146"/>
        <w:gridCol w:w="146"/>
        <w:gridCol w:w="280"/>
        <w:gridCol w:w="1041"/>
        <w:gridCol w:w="146"/>
        <w:gridCol w:w="146"/>
        <w:gridCol w:w="314"/>
        <w:gridCol w:w="1007"/>
        <w:gridCol w:w="146"/>
        <w:gridCol w:w="146"/>
        <w:gridCol w:w="211"/>
        <w:gridCol w:w="931"/>
        <w:gridCol w:w="391"/>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Stock Awards</w:t>
              <w:br/>
              <w:t>($)</w:t>
            </w:r>
            <w:r>
              <w:rPr>
                <w:rFonts w:ascii="Times New Roman" w:hAnsi="Times New Roman"/>
                <w:b/>
                <w:color w:val="000000"/>
                <w:sz w:val="13"/>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Option Awards </w:t>
              <w:br/>
              <w:t>($)</w:t>
            </w:r>
            <w:r>
              <w:rPr>
                <w:rFonts w:ascii="Times New Roman" w:hAnsi="Times New Roman"/>
                <w:b/>
                <w:color w:val="000000"/>
                <w:sz w:val="13"/>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Non-Equity Incentive Plan Compensation ($)</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All Other Compensation ($)</w:t>
            </w:r>
            <w:r>
              <w:rPr>
                <w:rFonts w:ascii="Times New Roman" w:hAnsi="Times New Roman"/>
                <w:b/>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7,089,213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7,707,176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9,127,419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2,824,133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2,331,617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General Counsel and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Nick Botwood, M.B.B.S.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Head of Research &amp; Development, 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Steve Closter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Commercial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3,557,137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___________</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amounts reported in these columns represent the aggregate grant date fair value of equity awards granted to our NEOs, in each case as computed in accordance with ASC 718. The assumptions used in calculating the grant date fair value of the equity awards reported in these columns are set forth in note 15 to our audited consolidated financial statements included in our Annual Report on Form 10-K for the year ended December 31, 2025 filed with the SEC on February 26, 2026. The amounts reported in this column do not reflect the actual economic value that may be realized by the NEOs upon the vesting of the stock units or exercise of the stock options, as applicable, or the sale of any common stock underlying such stock units or stock options.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Refer to the section titled “Compensation Discussion and Analysis—Equity-Based Incentive Awards” for a description of the material terms of the program pursuant to which this compensation was awarded.</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amounts reported in this column represent annual performance-based bonuses earned based on the achievement of Company and individual performance goals and other factors deemed relevant by our Board and Compensation Committee. For additional information, see the section titled “Compensation Discussion and Analysis—Annual Performance-Based Cash Compensation Program.”</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Amounts reported in this column represent employer matching contributions to the NEO’s account under the Company’s 401(k) plan and pet insurance.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Dr. Botwood was hired as our Head of Research and Development and Chief Medical Officer effective May 12, 2025, and as such was not an NEO for fiscal years 2023 and 2024.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jc w:val="both"/>
        <w:rPr>
          <w:rFonts w:ascii="Times New Roman" w:hAnsi="Times New Roman"/>
          <w:color w:val="000000"/>
          <w:sz w:val="18"/>
        </w:rPr>
      </w:pPr>
      <w:r>
        <w:rPr>
          <w:rFonts w:ascii="Times New Roman" w:hAnsi="Times New Roman"/>
          <w:color w:val="000000"/>
          <w:sz w:val="18"/>
        </w:rPr>
        <w:t>Mr. Closter was hired as our Chief Commercial Officer effective March 18, 2024, and as such was not an NEO for fiscal year 2023.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i/>
          <w:color w:val="000000"/>
          <w:sz w:val="20"/>
        </w:rPr>
      </w:pPr>
      <w:bookmarkStart w:id="50" w:name="grants_planbased_awards"/>
      <w:bookmarkEnd w:id="50"/>
      <w:r>
        <w:rPr>
          <w:rFonts w:ascii="Times New Roman" w:hAnsi="Times New Roman"/>
          <w:b/>
          <w:i/>
          <w:color w:val="000000"/>
          <w:sz w:val="20"/>
        </w:rPr>
        <w:t>Grants of Plan-Based Awards Table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certain information regarding grants of plan-based awards to the NEOs during the year ended December 31, 2025:</w:t>
      </w:r>
    </w:p>
    <w:tbl>
      <w:tblPr>
        <w:tblW w:w="11483" w:type="dxa"/>
        <w:jc w:val="left"/>
        <w:tblInd w:w="0" w:type="dxa"/>
        <w:tblLayout w:type="fixed"/>
        <w:tblCellMar>
          <w:top w:w="28" w:type="dxa"/>
          <w:left w:w="28" w:type="dxa"/>
          <w:bottom w:w="28" w:type="dxa"/>
          <w:right w:w="28" w:type="dxa"/>
        </w:tblCellMar>
      </w:tblPr>
      <w:tblGrid>
        <w:gridCol w:w="1006"/>
        <w:gridCol w:w="556"/>
        <w:gridCol w:w="360"/>
        <w:gridCol w:w="466"/>
        <w:gridCol w:w="146"/>
        <w:gridCol w:w="146"/>
        <w:gridCol w:w="691"/>
        <w:gridCol w:w="146"/>
        <w:gridCol w:w="360"/>
        <w:gridCol w:w="481"/>
        <w:gridCol w:w="146"/>
        <w:gridCol w:w="159"/>
        <w:gridCol w:w="757"/>
        <w:gridCol w:w="146"/>
        <w:gridCol w:w="160"/>
        <w:gridCol w:w="561"/>
        <w:gridCol w:w="146"/>
        <w:gridCol w:w="146"/>
        <w:gridCol w:w="826"/>
        <w:gridCol w:w="146"/>
        <w:gridCol w:w="146"/>
        <w:gridCol w:w="601"/>
        <w:gridCol w:w="146"/>
        <w:gridCol w:w="146"/>
        <w:gridCol w:w="691"/>
        <w:gridCol w:w="146"/>
        <w:gridCol w:w="146"/>
        <w:gridCol w:w="601"/>
        <w:gridCol w:w="146"/>
        <w:gridCol w:w="146"/>
        <w:gridCol w:w="826"/>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Estimated Future Payouts Under Non-Equity Incentive Plan Awards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Options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of Option Awards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Date Fair Value of Stock and Option 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Units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Date Fair Value of Stock 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Units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Grant Date Fair Value of Stock Awards </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A. Metzger</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Cash Bonus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Option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Performance 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Keith A. Goldan</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Cash Bonus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Option Grant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Stock Grant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Performance Stock Grant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Luke J. Albrecht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Cash Bonus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Option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Performance 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Nick Botwood, M.B.B.S.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Cash Bonus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Option Grant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Performance Stock Grant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285,792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 Closter</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Cash Bonus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Option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Performance Stock Grant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2/5/2025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The target amounts reflect the dollar amount of each NEO’s target annual performance-based bonus for 2025, each of which represented a percentage of such NEO’s 2025 annual base salary as specified under the NEO’s employment agreement, as subsequently increased by the Compensation Committee, if applicable. Threshold amounts reflect the dollar amount that would be payable if each performance goal were achieved at the threshold (i.e., 100%) level.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This column represents the aggregate grant date fair value of equity awards in 2025 and calculated in accordance with ASC 718, excluding the effect of estimated forfeitures. The assumptions used in calculating the fair value of the stock option can be found under Note 15 to our audited consolidated financial statements included in our Annual Report on Form 10-K for the year ended December 31, 2025 filed with the SEC on February 26, 2026. The grant date fair value of each RSU award is measured based on the closing price of our common stock on the date of grant.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Because one third of the February 5, 2025 award of performance-based stock awards are subject to a market condition the grant date fair value of each award disclosed was based on upon the probable outcome of such performance conditions using a Monte-Carlo simulation model.</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bookmarkStart w:id="51" w:name="oea_fiscalyrend"/>
      <w:bookmarkEnd w:id="51"/>
      <w:r>
        <w:rPr>
          <w:rFonts w:ascii="Times New Roman" w:hAnsi="Times New Roman"/>
          <w:b/>
          <w:i/>
          <w:color w:val="000000"/>
          <w:sz w:val="20"/>
        </w:rPr>
        <w:t>Outstanding Equity Awards at Fiscal Year-End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provides information regarding equity awards held by the NEOs that were outstanding as of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957" w:type="dxa"/>
        <w:jc w:val="left"/>
        <w:tblInd w:w="0" w:type="dxa"/>
        <w:tblLayout w:type="fixed"/>
        <w:tblCellMar>
          <w:top w:w="28" w:type="dxa"/>
          <w:left w:w="28" w:type="dxa"/>
          <w:bottom w:w="28" w:type="dxa"/>
          <w:right w:w="28" w:type="dxa"/>
        </w:tblCellMar>
      </w:tblPr>
      <w:tblGrid>
        <w:gridCol w:w="796"/>
        <w:gridCol w:w="556"/>
        <w:gridCol w:w="162"/>
        <w:gridCol w:w="769"/>
        <w:gridCol w:w="146"/>
        <w:gridCol w:w="286"/>
        <w:gridCol w:w="193"/>
        <w:gridCol w:w="918"/>
        <w:gridCol w:w="146"/>
        <w:gridCol w:w="286"/>
        <w:gridCol w:w="359"/>
        <w:gridCol w:w="617"/>
        <w:gridCol w:w="146"/>
        <w:gridCol w:w="256"/>
        <w:gridCol w:w="156"/>
        <w:gridCol w:w="550"/>
        <w:gridCol w:w="146"/>
        <w:gridCol w:w="886"/>
        <w:gridCol w:w="146"/>
        <w:gridCol w:w="601"/>
        <w:gridCol w:w="146"/>
        <w:gridCol w:w="196"/>
        <w:gridCol w:w="146"/>
        <w:gridCol w:w="826"/>
        <w:gridCol w:w="146"/>
        <w:gridCol w:w="158"/>
        <w:gridCol w:w="653"/>
        <w:gridCol w:w="146"/>
        <w:gridCol w:w="256"/>
        <w:gridCol w:w="146"/>
        <w:gridCol w:w="82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2"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439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 Unexercised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Unearned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of Shares or Units of Stock That Have Not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Unearned Shares or Units 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of Unearned Shares or Units of Stock</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Grant Date</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A. Metzger</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2/5/2035</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1,869,890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2/7/2034</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2/2/2033</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2/2/2032</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2/2/2032</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2/3/2021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2/3/2031</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2/12/2020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2/12/2030</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7/4/2019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7/4/2029</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2/6/2029</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2/6/2029</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3/1/2018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3/1/2028</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Keith A. Goldan</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2/5/2035</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2/7/2034</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2/2/2033</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6/13/2022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(3) (9)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(3) (9)</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6/13/2032</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Luke J. Albrecht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2/5/2035</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2/7/2034</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2/2/2033</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2/2/2022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2/2/2032</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2/3/2021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2/3/2031</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2/12/2020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2/12/2030</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2/6/2029</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2/6/2029</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2/8/2018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2/8/2028</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9/21/2016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9/21/2026</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Nick Botwood, M.B.B.S.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5/1/2025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5/1/2035</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5/1/2025</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 Closter</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2/5/2035</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3/18/2024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3/18/2034</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3/18/2024</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3"/>
        </w:rPr>
      </w:pPr>
      <w:r>
        <w:rPr>
          <w:rFonts w:ascii="Times New Roman" w:hAnsi="Times New Roman"/>
          <w:color w:val="000000"/>
          <w:sz w:val="13"/>
        </w:rPr>
        <w:t>_________________</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Each stock option was granted with an exercise price equal to the fair market value of our common stock on the grant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Market values are calculated based on the closing market price of our common stock as reported on the Nasdaq Global Select Market on December 31, 2025, the last trading day of the year, which was $21.01 per share.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25% of this option vests on the one-year anniversary of the grant date and thereafter, the remainder of the shares vest in equal monthly installments on the last day of each month over a three-year period, in each case, subject to the NEO’s continuous service through each vesting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These options vest in equal monthly installments on the last day of each month over a four-year period of continuous service following the grant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These options vest periodically upon the Company achieving certain milestones and, following achievement of any such milestone, one-third of the option conditioned upon achievement of such milestone shall vest immediately, with the remaining two-thirds of the option vesting annually upon the one- and two-year anniversaries following such achievement, in each case, subject to the NEO’s continuous service through each vesting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These performance-based restricted stock units vest upon achievement of revenue goals based on sales of Revuforj following twelve months from its initial launch date. Revenue achievement between 90% - 100% pays out at corresponding percentage of PRSU target. Shares will vest one third upon achievement of the goal, one third on the first anniversary of the goal achievement, and one third on the second anniversary of the goal achievement.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37.5% of this option vests on the one-year anniversary of the grant date and thereafter, the remainder of the shares vest in equal monthly installments on the last day of each month over a three-year period, in each case, subject to the NEO’s continuous service through each vesting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These options vest in equal annual installments over a three-year period of continuous service following the grant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All of the equity awards listed in this table were granted under the 2015 Plan with the exception of the initial award for Mr. Goldan, which we granted as inducement award in connection with the commencement of employment pursuant to Nasdaq Listing Rule 5635(c)(4) pursuant to our 2023 Inducement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rFonts w:ascii="Times New Roman" w:hAnsi="Times New Roman"/>
          <w:color w:val="000000"/>
          <w:sz w:val="18"/>
        </w:rPr>
      </w:pPr>
      <w:r>
        <w:rPr>
          <w:rFonts w:ascii="Times New Roman" w:hAnsi="Times New Roman"/>
          <w:color w:val="000000"/>
          <w:sz w:val="18"/>
        </w:rPr>
        <w:t>These performance-based restricted stock units vest subject to achievement of (i) revenue goals based on sales of Revuforj in fiscal year 2025, (ii) Revuforj’s sNDA filing; and (iii) the Company’s three-year total shareholder return (TSR) as measured against the Nasdaq Biotechnology Index components’ TSRs over the same period. Each of these measures bears equal one-third weighting such that a recipient may receive anywhere between the full award and none of the award based on the Company’s performance against each of the three performance goals.</w:t>
      </w:r>
    </w:p>
    <w:p>
      <w:pPr>
        <w:pStyle w:val="TextBody"/>
        <w:bidi w:val="0"/>
        <w:jc w:val="both"/>
        <w:rPr/>
      </w:pPr>
      <w:r>
        <w:rPr/>
        <w:t> </w:t>
      </w:r>
    </w:p>
    <w:tbl>
      <w:tblPr>
        <w:tblW w:w="790" w:type="dxa"/>
        <w:jc w:val="left"/>
        <w:tblInd w:w="0" w:type="dxa"/>
        <w:tblLayout w:type="fixed"/>
        <w:tblCellMar>
          <w:top w:w="28" w:type="dxa"/>
          <w:left w:w="28" w:type="dxa"/>
          <w:bottom w:w="28" w:type="dxa"/>
          <w:right w:w="28" w:type="dxa"/>
        </w:tblCellMar>
      </w:tblPr>
      <w:tblGrid>
        <w:gridCol w:w="161"/>
        <w:gridCol w:w="146"/>
        <w:gridCol w:w="146"/>
        <w:gridCol w:w="146"/>
        <w:gridCol w:w="191"/>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bookmarkStart w:id="52" w:name="oesv"/>
      <w:bookmarkEnd w:id="52"/>
      <w:r>
        <w:rPr>
          <w:rFonts w:ascii="Times New Roman" w:hAnsi="Times New Roman"/>
          <w:b/>
          <w:i/>
          <w:color w:val="000000"/>
          <w:sz w:val="20"/>
        </w:rPr>
        <w:t>Option Exercises and Stock-Vested</w:t>
      </w:r>
      <w:r>
        <w:rPr>
          <w:rFonts w:ascii="Times New Roman" w:hAnsi="Times New Roman"/>
          <w:color w:val="000000"/>
          <w:sz w:val="20"/>
        </w:rPr>
        <w:t xml:space="preserve"> </w:t>
      </w:r>
      <w:r>
        <w:rPr>
          <w:rFonts w:ascii="Times New Roman" w:hAnsi="Times New Roman"/>
          <w:b/>
          <w:i/>
          <w:color w:val="000000"/>
          <w:sz w:val="20"/>
        </w:rPr>
        <w:t>Table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information concerning option exercises and stock vested for each of our NEOs during the fiscal year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8"/>
        <w:gridCol w:w="346"/>
        <w:gridCol w:w="1853"/>
        <w:gridCol w:w="146"/>
        <w:gridCol w:w="285"/>
        <w:gridCol w:w="1528"/>
        <w:gridCol w:w="146"/>
        <w:gridCol w:w="146"/>
        <w:gridCol w:w="383"/>
        <w:gridCol w:w="1780"/>
        <w:gridCol w:w="146"/>
        <w:gridCol w:w="246"/>
        <w:gridCol w:w="278"/>
        <w:gridCol w:w="1488"/>
        <w:gridCol w:w="196"/>
      </w:tblGrid>
      <w:tr>
        <w:trPr/>
        <w:tc>
          <w:tcPr>
            <w:tcW w:w="12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2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Acquired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Value Realized on Exercise ($)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Numbers of Shares Acquired on 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Value Realized on Vesting ($)</w:t>
            </w:r>
            <w:r>
              <w:rPr>
                <w:rFonts w:ascii="Times New Roman" w:hAnsi="Times New Roman"/>
                <w:color w:val="000000"/>
                <w:sz w:val="20"/>
              </w:rPr>
              <w:t> </w:t>
            </w:r>
            <w:r>
              <w:rPr>
                <w:rFonts w:ascii="Times New Roman" w:hAnsi="Times New Roman"/>
                <w:b/>
                <w:color w:val="000000"/>
                <w:sz w:val="13"/>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Value realized is based on the fair market value of our common stock on the date of exercise minus the exercise price and does not necessarily reflect proceeds actually received by the individual.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Value realized is based on the fair market value of our common stock on the vesting date and does not necessarily reflect proceeds actually received by the individual.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Represents 48,750 shares received upon vesting of RSUs and performance shares, of which 20,822 shares were automatically withheld to cover tax withholding obligations.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Represents 15,567 shares received upon vesting of RSUs and performance shares, of which 5,073 shares were automatically withheld to cover tax withholding obligations.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Represents 13,000 shares received upon vesting of RSUs and performance shares, of which 4,690 shares were automatically withheld to cover tax withholding obligations.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18"/>
        </w:rPr>
      </w:pPr>
      <w:r>
        <w:rPr>
          <w:rFonts w:ascii="Times New Roman" w:hAnsi="Times New Roman"/>
          <w:color w:val="000000"/>
          <w:sz w:val="18"/>
        </w:rPr>
        <w:t>Represents 11,333 shares received upon vesting of RSUs and performance shares, of which 4,440 shares were automatically withheld to cover tax withholding obligations.</w:t>
      </w:r>
    </w:p>
    <w:p>
      <w:pPr>
        <w:pStyle w:val="TextBody"/>
        <w:bidi w:val="0"/>
        <w:spacing w:before="180" w:after="283"/>
        <w:jc w:val="left"/>
        <w:rPr>
          <w:rFonts w:ascii="Times New Roman" w:hAnsi="Times New Roman"/>
          <w:b/>
          <w:color w:val="000000"/>
          <w:sz w:val="20"/>
        </w:rPr>
      </w:pPr>
      <w:bookmarkStart w:id="53" w:name="equity_plans"/>
      <w:bookmarkEnd w:id="53"/>
      <w:r>
        <w:rPr>
          <w:rFonts w:ascii="Times New Roman" w:hAnsi="Times New Roman"/>
          <w:b/>
          <w:color w:val="000000"/>
          <w:sz w:val="20"/>
        </w:rPr>
        <w:t>Equity Plans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2015 Omnibus Incentive Plan and 2007 Stock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In September 2015, our Board adopted and in February 2016, our stockholders approved the 2015 Plan for the purpose of attracting and retaining non-employee directors, executive officers and other key employees and service providers, including officers, employees and service providers of our affiliates, and to stimulate their efforts toward our continued success, long-term growth and profitability. The 2015 Plan provides for the grant of stock options, stock appreciation rights, restricted stock, unrestricted stock, stock units, dividend equivalent rights, other equity-based awards and cash bonus awards. We also maintain the 2007 Stock Plan (the “</w:t>
      </w:r>
      <w:r>
        <w:rPr>
          <w:rFonts w:ascii="Times New Roman" w:hAnsi="Times New Roman"/>
          <w:b/>
          <w:i/>
          <w:color w:val="000000"/>
          <w:sz w:val="20"/>
        </w:rPr>
        <w:t>2007 Plan</w:t>
      </w:r>
      <w:r>
        <w:rPr>
          <w:rFonts w:ascii="Times New Roman" w:hAnsi="Times New Roman"/>
          <w:color w:val="000000"/>
          <w:sz w:val="20"/>
        </w:rPr>
        <w:t>”), which has been terminated and under which no future awards will be granted, but under which outstanding options have been granted. These options will continue to be governed by the terms of the 2007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 in Control</w:t>
      </w:r>
      <w:r>
        <w:rPr>
          <w:rFonts w:ascii="Times New Roman" w:hAnsi="Times New Roman"/>
          <w:color w:val="000000"/>
          <w:sz w:val="20"/>
        </w:rPr>
        <w:t>. If we experience a change in control, as defined in the 2015 Plan, in which outstanding equity-based awards will not be assumed or continued by the surviving entity, unless otherwise provided in an award agreement, all restricted shares, stock units and dividend equivalent rights will vest, and the underlying shares will be delivered immediately before the change in control. In addition, all options and stock appreciation rights will become exercisable 15 days before the change in control and terminate upon the consummation of the change in control, and/or, in the discretion of our Board, all options, stock appreciation rights, restricted shares, stock units and dividend equivalent rights may be canceled before the change in control in exchange for payment of any amount in cash or securities having a value (as determined by our Board), in the case of restricted shares, stock units and dividend equivalent rights equal to the formula or fixed price per share paid to our stockholders and, in the case of options and stock appreciation rights equal to the product of the number of shares subject to the options or stock appreciation rights multiplied by the amount by which the formula or fixed price paid to our stockholders exceeds the exercise price of each option or the stock appreciation right. In the case of performance awards denominated in shares or units, if more than half of the performance period has lapsed, the awards will be converted into shares or units based upon actual performance achieved to date. If less than half of the performance period has lapsed, or if we cannot determine actual performance, the awards will be converted into shares or units assuming target performance has been achieved.</w:t>
      </w:r>
    </w:p>
    <w:p>
      <w:pPr>
        <w:pStyle w:val="TextBody"/>
        <w:bidi w:val="0"/>
        <w:spacing w:before="180" w:after="283"/>
        <w:jc w:val="left"/>
        <w:rPr>
          <w:rFonts w:ascii="Times New Roman" w:hAnsi="Times New Roman"/>
          <w:b/>
          <w:color w:val="000000"/>
          <w:sz w:val="20"/>
        </w:rPr>
      </w:pPr>
      <w:bookmarkStart w:id="54" w:name="emplagreements_neos"/>
      <w:bookmarkEnd w:id="54"/>
      <w:r>
        <w:rPr>
          <w:rFonts w:ascii="Times New Roman" w:hAnsi="Times New Roman"/>
          <w:b/>
          <w:color w:val="000000"/>
          <w:sz w:val="20"/>
        </w:rPr>
        <w:t>Employment Agreements with Named Executive Officers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are descriptions of the key terms of our employment agreements with our NEOs. The agreements generally provide for at-will employment without any specific term and set forth the NEO’s initial base salary, annual target bonus and severance benefits upon a qualifying termination of employment or change in control of our company. Each NEO is also eligible to participate in all employee benefit plans that are generally available to our employees. Each employment agreement also entitles each NEO to reimbursement for all necessary and reasonable business expenses incurred in connection with their duties in accordance with our generally applicable policies. Furthermore, each of our NEOs has executed our standard form of proprietary information and inventions assignment agreement.</w:t>
      </w:r>
    </w:p>
    <w:p>
      <w:pPr>
        <w:pStyle w:val="TextBody"/>
        <w:bidi w:val="0"/>
        <w:spacing w:before="180" w:after="283"/>
        <w:jc w:val="both"/>
        <w:rPr>
          <w:rFonts w:ascii="Times New Roman" w:hAnsi="Times New Roman"/>
          <w:sz w:val="20"/>
        </w:rPr>
      </w:pPr>
      <w:r>
        <w:rPr>
          <w:rFonts w:ascii="Times New Roman" w:hAnsi="Times New Roman"/>
          <w:b/>
          <w:color w:val="000000"/>
          <w:sz w:val="20"/>
        </w:rPr>
        <w:t>Michael A. Metzger</w:t>
      </w:r>
      <w:r>
        <w:rPr>
          <w:rFonts w:ascii="Times New Roman" w:hAnsi="Times New Roman"/>
          <w:color w:val="000000"/>
          <w:sz w:val="20"/>
        </w:rPr>
        <w:t>. Our employment agreement, as amended from time to time, with Mr. Metzger provides for his at-will employment as our Chief Executive Officer. Mr. Metzger’s employment agreement established his base salary and annual target performance bonus at the time it was executed, which our Compensation Committee may increase from time to time. Mr. Metzger’s employment agreement further provides that he is eligible to earn an annual target performance bonus upon attainment of objectives to be determined by our Board or our Compensation Committee. Effective as of January 1, 2026, our Board approved the Compensation Committee’s recommendations to increase Mr. Metzger’s base salary to $800,000, with an annual target performance bonus of up to 75% of his annual base salary.</w:t>
      </w:r>
    </w:p>
    <w:p>
      <w:pPr>
        <w:pStyle w:val="TextBody"/>
        <w:bidi w:val="0"/>
        <w:spacing w:before="180" w:after="283"/>
        <w:jc w:val="both"/>
        <w:rPr>
          <w:rFonts w:ascii="Times New Roman" w:hAnsi="Times New Roman"/>
          <w:sz w:val="20"/>
        </w:rPr>
      </w:pPr>
      <w:r>
        <w:rPr>
          <w:rFonts w:ascii="Times New Roman" w:hAnsi="Times New Roman"/>
          <w:b/>
          <w:color w:val="000000"/>
          <w:sz w:val="20"/>
        </w:rPr>
        <w:t>Keith A. Goldan</w:t>
      </w:r>
      <w:r>
        <w:rPr>
          <w:rFonts w:ascii="Times New Roman" w:hAnsi="Times New Roman"/>
          <w:color w:val="000000"/>
          <w:sz w:val="20"/>
        </w:rPr>
        <w:t>. Our employment agreement, as amended, with Mr. Goldan provides for his at-will employment as our Chief Financial Officer. Mr. Goldan’s employment agreement established his base salary and annual target performance bonus at the time it was executed, which our Compensation Committee may increase from time to time. Mr. Goldan’s employment agreement further provides that he is eligible to earn an annual target performance bonus upon attainment of objectives to be determined by our Board or our Compensation Committee. Effective as of January 1, 2026, our Board approved the Compensation Committee’s recommendations to increase Mr. Goldan’s base salary to $535,000, with an annual target performance bonus of up to 45% of his annual base salary.</w:t>
      </w:r>
    </w:p>
    <w:p>
      <w:pPr>
        <w:pStyle w:val="TextBody"/>
        <w:bidi w:val="0"/>
        <w:spacing w:before="180" w:after="283"/>
        <w:jc w:val="both"/>
        <w:rPr>
          <w:rFonts w:ascii="Times New Roman" w:hAnsi="Times New Roman"/>
          <w:sz w:val="20"/>
        </w:rPr>
      </w:pPr>
      <w:r>
        <w:rPr>
          <w:rFonts w:ascii="Times New Roman" w:hAnsi="Times New Roman"/>
          <w:b/>
          <w:color w:val="000000"/>
          <w:sz w:val="20"/>
        </w:rPr>
        <w:t>Luke J. Albrecht</w:t>
      </w:r>
      <w:r>
        <w:rPr>
          <w:rFonts w:ascii="Times New Roman" w:hAnsi="Times New Roman"/>
          <w:color w:val="000000"/>
          <w:sz w:val="20"/>
        </w:rPr>
        <w:t>. Our employment agreement, as amended from time to time, with Mr. Albrecht provides for his at-will employment as our General Counsel. Mr. Albrecht’s employment agreement established his base salary and annual target performance bonus at the time it was executed, which our Compensation Committee may increase from time to time. Mr. Albrecht’s employment agreement further provides that he is eligible to earn an annual target performance bonus upon attainment of objectives to be determined by our Board or our Compensation Committee. Effective as of January 1, 2026, our Board approved the Compensation Committee’s recommendations to increase Mr. Albrecht’s base salary to $516,800, with an annual target performance bonus of up to 45% of his annual base salary.</w:t>
      </w:r>
    </w:p>
    <w:p>
      <w:pPr>
        <w:pStyle w:val="TextBody"/>
        <w:bidi w:val="0"/>
        <w:spacing w:before="180" w:after="283"/>
        <w:jc w:val="both"/>
        <w:rPr>
          <w:rFonts w:ascii="Times New Roman" w:hAnsi="Times New Roman"/>
          <w:sz w:val="20"/>
        </w:rPr>
      </w:pPr>
      <w:r>
        <w:rPr>
          <w:rFonts w:ascii="Times New Roman" w:hAnsi="Times New Roman"/>
          <w:b/>
          <w:color w:val="000000"/>
          <w:sz w:val="20"/>
        </w:rPr>
        <w:t>Nick Botwood, M.B.B.S.</w:t>
      </w:r>
      <w:r>
        <w:rPr>
          <w:rFonts w:ascii="Times New Roman" w:hAnsi="Times New Roman"/>
          <w:color w:val="000000"/>
          <w:sz w:val="20"/>
        </w:rPr>
        <w:t xml:space="preserve">. Our employment agreement, as amended, with Dr. Botwood provides for his at-will employment as our Head of Research and Development and Chief Medical Officer. Dr. Botwood’s employment agreement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established his base salary and annual target performance bonus at the time it was executed, which our Compensation Committee may increase from time to time. Dr. Botwood’s employment agreement further provides that he is eligible to earn an annual target performance bonus upon attainment of objectives to be determined by our Board or our Compensation Committee. Effective as of January 1, 2026, our Board approved the Compensation Committee’s recommendations to increase Dr. Botwood’s base salary to $567,000, with an annual target performance bonus of up to 45% of his annual base salary.</w:t>
      </w:r>
    </w:p>
    <w:p>
      <w:pPr>
        <w:pStyle w:val="TextBody"/>
        <w:bidi w:val="0"/>
        <w:spacing w:before="180" w:after="283"/>
        <w:jc w:val="both"/>
        <w:rPr>
          <w:rFonts w:ascii="Times New Roman" w:hAnsi="Times New Roman"/>
          <w:sz w:val="20"/>
        </w:rPr>
      </w:pPr>
      <w:r>
        <w:rPr>
          <w:rFonts w:ascii="Times New Roman" w:hAnsi="Times New Roman"/>
          <w:b/>
          <w:color w:val="000000"/>
          <w:sz w:val="20"/>
        </w:rPr>
        <w:t>Steve Closter</w:t>
      </w:r>
      <w:r>
        <w:rPr>
          <w:rFonts w:ascii="Times New Roman" w:hAnsi="Times New Roman"/>
          <w:color w:val="000000"/>
          <w:sz w:val="20"/>
        </w:rPr>
        <w:t>. Our employment agreement with Mr. Closter provides for his at-will employment as our Chief Commercial Officer. Mr. Closter’s employment agreement established his base salary and annual target performance bonus at the time it was executed, which our Compensation Committee may increase from time to time. Mr. Closter’s employment agreement further provides that he is eligible to earn an annual target performance bonus upon attainment of objectives to be determined by our Board or our Compensation Committee. Effective as of January 1, 2026, our Board approved the Compensation Committee’s recommendations to increase Mr. Closter’s base salary to $525,000, with an annual target performance bonus of up to 45% of his annual base salary.</w:t>
      </w:r>
    </w:p>
    <w:p>
      <w:pPr>
        <w:pStyle w:val="TextBody"/>
        <w:bidi w:val="0"/>
        <w:spacing w:before="180" w:after="283"/>
        <w:jc w:val="left"/>
        <w:rPr>
          <w:rFonts w:ascii="Times New Roman" w:hAnsi="Times New Roman"/>
          <w:b/>
          <w:color w:val="000000"/>
          <w:sz w:val="20"/>
        </w:rPr>
      </w:pPr>
      <w:bookmarkStart w:id="55" w:name="pot_payments_upon_termin_change_control"/>
      <w:bookmarkEnd w:id="55"/>
      <w:r>
        <w:rPr>
          <w:rFonts w:ascii="Times New Roman" w:hAnsi="Times New Roman"/>
          <w:b/>
          <w:color w:val="000000"/>
          <w:sz w:val="20"/>
        </w:rPr>
        <w:t>Potential Payments Upon Termination or Change in Control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described in the Compensation Discussion and Analysis section above, a Change-in-Control alone will not trigger accelerated vesting. The benefits shown below are subject to the NEO’s signing and not revoking a separation agreement and general release of claims as well as continued adherence to the NEO’s Assignment of Developments, Non-Disclosure, and Non-Solicitation Agreement with the Company (or any successor agreement thereto).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termination benefits under the employment agreements between the Company and certain NEOs.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79"/>
        <w:gridCol w:w="4526"/>
      </w:tblGrid>
      <w:tr>
        <w:trPr/>
        <w:tc>
          <w:tcPr>
            <w:tcW w:w="5679" w:type="dxa"/>
            <w:tcBorders/>
            <w:vAlign w:val="center"/>
          </w:tcPr>
          <w:p>
            <w:pPr>
              <w:pStyle w:val="TableContents"/>
              <w:bidi w:val="0"/>
              <w:spacing w:before="0" w:after="283"/>
              <w:jc w:val="left"/>
              <w:rPr>
                <w:sz w:val="4"/>
                <w:szCs w:val="4"/>
              </w:rPr>
            </w:pPr>
            <w:r>
              <w:rPr>
                <w:sz w:val="4"/>
                <w:szCs w:val="4"/>
              </w:rPr>
            </w:r>
          </w:p>
        </w:tc>
        <w:tc>
          <w:tcPr>
            <w:tcW w:w="4526" w:type="dxa"/>
            <w:tcBorders/>
            <w:vAlign w:val="center"/>
          </w:tcPr>
          <w:p>
            <w:pPr>
              <w:pStyle w:val="TableContents"/>
              <w:bidi w:val="0"/>
              <w:spacing w:before="0" w:after="283"/>
              <w:jc w:val="left"/>
              <w:rPr>
                <w:sz w:val="4"/>
                <w:szCs w:val="4"/>
              </w:rPr>
            </w:pPr>
            <w:r>
              <w:rPr>
                <w:sz w:val="4"/>
                <w:szCs w:val="4"/>
              </w:rPr>
            </w:r>
          </w:p>
        </w:tc>
      </w:tr>
      <w:tr>
        <w:trPr/>
        <w:tc>
          <w:tcPr>
            <w:tcW w:w="5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Termination Event</w:t>
            </w:r>
          </w:p>
        </w:tc>
        <w:tc>
          <w:tcPr>
            <w:tcW w:w="4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Terms Applicable to Mr. Metzger</w:t>
            </w:r>
          </w:p>
        </w:tc>
      </w:tr>
      <w:tr>
        <w:trPr/>
        <w:tc>
          <w:tcPr>
            <w:tcW w:w="5679"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Involuntary Termination Without Cause or Resignation for Good Reason within three (3) months prior to, or within twelve (12) months following, a Change in Control</w:t>
            </w:r>
          </w:p>
        </w:tc>
        <w:tc>
          <w:tcPr>
            <w:tcW w:w="452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24 months of base salary,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24 months of the target annual incentive award,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Continuation of health benefits for 24 months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Accelerated vesting of all outstanding equity</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Outstanding stock options remain exercisable for the shorter of (a) 12 months after the termination date or (b) the remaining term of the outstanding options</w:t>
            </w:r>
          </w:p>
        </w:tc>
      </w:tr>
      <w:tr>
        <w:trPr/>
        <w:tc>
          <w:tcPr>
            <w:tcW w:w="5679"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Involuntary Termination Without Cause or Resignation for Good Reason</w:t>
            </w:r>
          </w:p>
        </w:tc>
        <w:tc>
          <w:tcPr>
            <w:tcW w:w="452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12 months of base salary,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 pro rata amount equal to the number of days worked in the termination year of the target annual incentive award,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Continuation of health benefits for 18 months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Accelerated vesting of options that would have otherwise vested during the 12 months following the termination date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Outstanding stock options remain exercisable for the shorter of (a) 12 months after the termination date or (b) the remaining term of the outstanding options</w:t>
            </w:r>
          </w:p>
        </w:tc>
      </w:tr>
      <w:tr>
        <w:trPr/>
        <w:tc>
          <w:tcPr>
            <w:tcW w:w="5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Termination Event</w:t>
            </w:r>
          </w:p>
        </w:tc>
        <w:tc>
          <w:tcPr>
            <w:tcW w:w="4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Terms Applicable to Messrs. Albrecht, Closter, Goldan and Dr. Botwood</w:t>
            </w:r>
          </w:p>
        </w:tc>
      </w:tr>
      <w:tr>
        <w:trPr/>
        <w:tc>
          <w:tcPr>
            <w:tcW w:w="5679"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Involuntary Termination Without Cause or Resignation for Good Reason within three (3) months prior to, or within twelve (12) months following, a Change in Control</w:t>
            </w:r>
          </w:p>
        </w:tc>
        <w:tc>
          <w:tcPr>
            <w:tcW w:w="452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18 months of base salary, payable in a lump sum</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1"/>
        <w:gridCol w:w="6044"/>
      </w:tblGrid>
      <w:tr>
        <w:trPr/>
        <w:tc>
          <w:tcPr>
            <w:tcW w:w="4161" w:type="dxa"/>
            <w:tcBorders/>
            <w:vAlign w:val="center"/>
          </w:tcPr>
          <w:p>
            <w:pPr>
              <w:pStyle w:val="TableContents"/>
              <w:bidi w:val="0"/>
              <w:spacing w:before="0" w:after="283"/>
              <w:jc w:val="left"/>
              <w:rPr>
                <w:sz w:val="4"/>
                <w:szCs w:val="4"/>
              </w:rPr>
            </w:pPr>
            <w:r>
              <w:rPr>
                <w:sz w:val="4"/>
                <w:szCs w:val="4"/>
              </w:rPr>
            </w:r>
          </w:p>
        </w:tc>
        <w:tc>
          <w:tcPr>
            <w:tcW w:w="6044" w:type="dxa"/>
            <w:tcBorders/>
            <w:vAlign w:val="center"/>
          </w:tcPr>
          <w:p>
            <w:pPr>
              <w:pStyle w:val="TableContents"/>
              <w:bidi w:val="0"/>
              <w:spacing w:before="0" w:after="283"/>
              <w:jc w:val="left"/>
              <w:rPr>
                <w:sz w:val="4"/>
                <w:szCs w:val="4"/>
              </w:rPr>
            </w:pPr>
            <w:r>
              <w:rPr>
                <w:sz w:val="4"/>
                <w:szCs w:val="4"/>
              </w:rPr>
            </w:r>
          </w:p>
        </w:tc>
      </w:tr>
      <w:tr>
        <w:trPr/>
        <w:tc>
          <w:tcPr>
            <w:tcW w:w="4161"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604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18 months of the target annual incentive award,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Continuation of health benefits for 18 months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Accelerated vesting of all outstanding equity</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Outstanding stock options remain exercisable for the shorter of (a) 12 months after the termination date or (b) the remaining term of the outstanding options</w:t>
            </w:r>
          </w:p>
        </w:tc>
      </w:tr>
      <w:tr>
        <w:trPr/>
        <w:tc>
          <w:tcPr>
            <w:tcW w:w="4161"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Involuntary Termination Without Cause or Resignation for Good Reason</w:t>
            </w:r>
          </w:p>
        </w:tc>
        <w:tc>
          <w:tcPr>
            <w:tcW w:w="6044"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 amount equal to 9 months of base salary, payable in a lump sum</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Continuation of health benefits for 9 months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Accelerated vesting of options that would have otherwise vested during the 12 months following the termination date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Outstanding stock options remain exercisable for the shorter of (a) 12 months after the termination date or (b) the remaining term of the outstanding options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table below provides the potential payments and benefits to which our NEOs would be entitled, assuming their employment was terminated as of December 31, 2025, including in connection with a change in control, based on the termination benefits in effect as of December 31, 2025.</w:t>
      </w:r>
    </w:p>
    <w:p>
      <w:pPr>
        <w:pStyle w:val="TextBody"/>
        <w:bidi w:val="0"/>
        <w:spacing w:before="18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4"/>
        <w:gridCol w:w="146"/>
        <w:gridCol w:w="1630"/>
        <w:gridCol w:w="146"/>
        <w:gridCol w:w="465"/>
        <w:gridCol w:w="3315"/>
        <w:gridCol w:w="146"/>
        <w:gridCol w:w="146"/>
        <w:gridCol w:w="369"/>
        <w:gridCol w:w="2366"/>
        <w:gridCol w:w="192"/>
      </w:tblGrid>
      <w:tr>
        <w:trPr/>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Component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Involuntary Termination Without Cause or Resignation for Good Reason In Connection With a Change in Control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Involuntary Termination Without Cause or Resignation for Good Reason</w:t>
              <w:b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1,282,310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4,786,601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Continuation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6,121,849</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387,675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1,709,049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2,123,283</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Luke J. Albrecht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372,675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1,238,384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Continuation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1,637,528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Botwood, M.B.B.S.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478,731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910,200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Closter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363,975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889,417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Continuation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1,269,289</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used in the tables above, the following terms are generally defined as follows:</w:t>
      </w:r>
    </w:p>
    <w:p>
      <w:pPr>
        <w:pStyle w:val="TextBody"/>
        <w:bidi w:val="0"/>
        <w:spacing w:before="180" w:after="283"/>
        <w:jc w:val="both"/>
        <w:rPr>
          <w:rFonts w:ascii="Times New Roman" w:hAnsi="Times New Roman"/>
          <w:sz w:val="20"/>
        </w:rPr>
      </w:pPr>
      <w:r>
        <w:rPr>
          <w:rFonts w:ascii="Times New Roman" w:hAnsi="Times New Roman"/>
          <w:b/>
          <w:color w:val="000000"/>
          <w:sz w:val="20"/>
        </w:rPr>
        <w:t>Change in Control</w:t>
      </w:r>
      <w:r>
        <w:rPr>
          <w:rFonts w:ascii="Times New Roman" w:hAnsi="Times New Roman"/>
          <w:color w:val="000000"/>
          <w:sz w:val="20"/>
        </w:rPr>
        <w:t xml:space="preserve">: Generally, the acquisition of 50% or more of our common stock, a merger, sale of substantially all of the assets or acquisition, or complete dissolution or liquidation of the Company. </w:t>
      </w:r>
    </w:p>
    <w:p>
      <w:pPr>
        <w:pStyle w:val="TextBody"/>
        <w:bidi w:val="0"/>
        <w:spacing w:before="180" w:after="283"/>
        <w:jc w:val="both"/>
        <w:rPr>
          <w:rFonts w:ascii="Times New Roman" w:hAnsi="Times New Roman"/>
          <w:sz w:val="20"/>
        </w:rPr>
      </w:pPr>
      <w:r>
        <w:rPr>
          <w:rFonts w:ascii="Times New Roman" w:hAnsi="Times New Roman"/>
          <w:b/>
          <w:color w:val="000000"/>
          <w:sz w:val="20"/>
        </w:rPr>
        <w:t>Good Reason</w:t>
      </w:r>
      <w:r>
        <w:rPr>
          <w:rFonts w:ascii="Times New Roman" w:hAnsi="Times New Roman"/>
          <w:color w:val="000000"/>
          <w:sz w:val="20"/>
        </w:rPr>
        <w:t>: Occurrence of any of the following (1) a decrease in executive’s total target cash compensation (base and bonus) of more than 10%, (2) executive’s duties, authority or responsibilities are materially diminished; (3) a material breach by the Company of the terms of the employment agreement; or (4) Company relocation of 50 miles or more.</w:t>
      </w:r>
    </w:p>
    <w:p>
      <w:pPr>
        <w:pStyle w:val="TextBody"/>
        <w:bidi w:val="0"/>
        <w:spacing w:before="180" w:after="283"/>
        <w:jc w:val="both"/>
        <w:rPr>
          <w:rFonts w:ascii="Times New Roman" w:hAnsi="Times New Roman"/>
          <w:sz w:val="20"/>
        </w:rPr>
      </w:pPr>
      <w:r>
        <w:rPr>
          <w:rFonts w:ascii="Times New Roman" w:hAnsi="Times New Roman"/>
          <w:b/>
          <w:color w:val="000000"/>
          <w:sz w:val="20"/>
        </w:rPr>
        <w:t>Cause</w:t>
      </w:r>
      <w:r>
        <w:rPr>
          <w:rFonts w:ascii="Times New Roman" w:hAnsi="Times New Roman"/>
          <w:color w:val="000000"/>
          <w:sz w:val="20"/>
        </w:rPr>
        <w:t>: Generally means a reasonable determination by the Company of an executive’s (1) dishonest statements or acts with respect to the Company which has the effect of materially injuring the business or reputation of the Company; (2) conviction of or indictment for (a) a felony or (b) any misdemeanor (excluding minor traffic violations) involving moral turpitude, deceit, dishonesty or fraud; (3) gross negligence, willful misconduct or insubordination with respect to the Company; or (4) material breach of any agreement between the executive and the Company.</w:t>
      </w:r>
    </w:p>
    <w:p>
      <w:pPr>
        <w:pStyle w:val="TextBody"/>
        <w:bidi w:val="0"/>
        <w:spacing w:before="180" w:after="283"/>
        <w:jc w:val="left"/>
        <w:rPr>
          <w:rFonts w:ascii="Times New Roman" w:hAnsi="Times New Roman"/>
          <w:b/>
          <w:i/>
          <w:color w:val="000000"/>
          <w:sz w:val="20"/>
        </w:rPr>
      </w:pPr>
      <w:bookmarkStart w:id="56" w:name="pay_ratio"/>
      <w:bookmarkEnd w:id="56"/>
      <w:r>
        <w:rPr>
          <w:rFonts w:ascii="Times New Roman" w:hAnsi="Times New Roman"/>
          <w:b/>
          <w:i/>
          <w:color w:val="000000"/>
          <w:sz w:val="20"/>
        </w:rPr>
        <w:t>Pay Ratio Disclosure</w:t>
      </w:r>
    </w:p>
    <w:p>
      <w:pPr>
        <w:pStyle w:val="TextBody"/>
        <w:bidi w:val="0"/>
        <w:spacing w:before="180" w:after="283"/>
        <w:jc w:val="both"/>
        <w:rPr>
          <w:rFonts w:ascii="Times New Roman" w:hAnsi="Times New Roman"/>
          <w:sz w:val="20"/>
        </w:rPr>
      </w:pPr>
      <w:r>
        <w:rPr>
          <w:rFonts w:ascii="Times New Roman" w:hAnsi="Times New Roman"/>
          <w:color w:val="000000"/>
          <w:sz w:val="20"/>
        </w:rPr>
        <w:t>As required by Section 953(b) of the Dodd-Frank Wall Street Reform and Consumer Protection Act of 2010 (the “</w:t>
      </w:r>
      <w:r>
        <w:rPr>
          <w:rFonts w:ascii="Times New Roman" w:hAnsi="Times New Roman"/>
          <w:b/>
          <w:i/>
          <w:color w:val="000000"/>
          <w:sz w:val="20"/>
        </w:rPr>
        <w:t>Dodd-Frank Act</w:t>
      </w:r>
      <w:r>
        <w:rPr>
          <w:rFonts w:ascii="Times New Roman" w:hAnsi="Times New Roman"/>
          <w:color w:val="000000"/>
          <w:sz w:val="20"/>
        </w:rPr>
        <w:t>”) and Item 402(u) of Regulation S-K, we are required to disclose the ratio of the annual total compensation of the individual identified as our paid median employee to the annual total compensation of our principal executive officer, our Chief Executive Officer. The paragraphs that follow describe our methodology and the resulting pay ratio.</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identified our median employee using our employee population as of December 31, 2025 by (i) aggregating for each applicable employee (A) annual base salary for salaried employees (or hourly rate multiplied by expected annual work schedule, for hourly employees), (B) actual bonus for 2025 and (C) the grant date fair value of any annual or new hire equity awards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granted during the fiscal year ended December 31, 2025 and (ii) ranking this aggregated compensation measure for our employees (excluding our Chief Executive Officer) from highest to lowest. Salaries or wages for those employees hired during 2025 were annualized. Once the median employee was identified, we calculated the median employee’s annual total compensation in accordance with the rules applicable to the Summary Compensation Table.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total compensation for 2025 for our median employee, identified as discussed above, was $383,252. Our Chief Executive Officer’s compensation as reported in the Summary Compensation Table was $7,089,213. Therefore, our pay ratio is approximately 19 to 1.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spacing w:before="180" w:after="283"/>
        <w:jc w:val="left"/>
        <w:rPr>
          <w:rFonts w:ascii="Times New Roman" w:hAnsi="Times New Roman"/>
          <w:b/>
          <w:color w:val="000000"/>
          <w:sz w:val="20"/>
        </w:rPr>
      </w:pPr>
      <w:bookmarkStart w:id="57" w:name="dircomp"/>
      <w:bookmarkEnd w:id="57"/>
      <w:r>
        <w:rPr>
          <w:rFonts w:ascii="Times New Roman" w:hAnsi="Times New Roman"/>
          <w:b/>
          <w:color w:val="000000"/>
          <w:sz w:val="20"/>
        </w:rPr>
        <w:t>Director Compensation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and Equity Compensation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maintain a non-employee director compensation policy, pursuant to which each non-employee director receives an annual base retainer of $50,000 ($52,000 beginning in 2026). Our non-employee directors also receive the following cash compensation for board services, as applicable: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Chair receives an additional annual retainer of $85,000 ($89,250 in 2026);</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each member of our Audit, Compensation, Science and Technology and Nominating and Corporate Governance Committees, other than the chair, receives an additional annual retainer of $12,500, $10,000, $10,000 and $7,500, respectively ($13,125, $10,500, $10,500 and $7,875, respectively, in 2026); and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chair of our Audit, Compensation, Science and Technology and Nominating and Corporate Governance Committees receives an additional annual retainer of $25,000, $20,000, $17,500 and $12,000, respectively ($26,250, $21,000, $18,375 and $12,600, respectively, in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pay all amounts in quarterly installments. We also reimburse each of our directors for their travel expenses incurred relating to their attendance at Board and committee meetings. </w:t>
      </w:r>
    </w:p>
    <w:p>
      <w:pPr>
        <w:pStyle w:val="TextBody"/>
        <w:bidi w:val="0"/>
        <w:spacing w:before="180" w:after="283"/>
        <w:jc w:val="both"/>
        <w:rPr>
          <w:rFonts w:ascii="Times New Roman" w:hAnsi="Times New Roman"/>
          <w:sz w:val="20"/>
        </w:rPr>
      </w:pPr>
      <w:r>
        <w:rPr>
          <w:rFonts w:ascii="Times New Roman" w:hAnsi="Times New Roman"/>
          <w:color w:val="000000"/>
          <w:sz w:val="20"/>
        </w:rPr>
        <w:t>Each non-employee director other than the Board Chair receives an annual award in the form of 25,000 deferred settlement restricted stock units (“</w:t>
      </w:r>
      <w:r>
        <w:rPr>
          <w:rFonts w:ascii="Times New Roman" w:hAnsi="Times New Roman"/>
          <w:b/>
          <w:i/>
          <w:color w:val="000000"/>
          <w:sz w:val="20"/>
        </w:rPr>
        <w:t>Deferred RSUs</w:t>
      </w:r>
      <w:r>
        <w:rPr>
          <w:rFonts w:ascii="Times New Roman" w:hAnsi="Times New Roman"/>
          <w:color w:val="000000"/>
          <w:sz w:val="20"/>
        </w:rPr>
        <w:t>”) (24,000 Deferred RSUs in 2026) and the Board Chair receives an annual award of 50,000 Deferred RSUs (48,000 Deferred RSUs in 2026). For each non-employee director, the shares underlying such Deferred RSUs will not be delivered to the non-employee director and may not be transferred or sold until the earlier of a separation from service, death, disability or change in control. Our practice is to grant the annual equity awards for all non-employee directors on the same date that the Board awards annual equity grants to the Company’s executive officers. Each annual equity award vests on the one-year anniversary of the date of grant, subject to the director’s continued service on the Board. At the time of their appointment to the Board, newly appointed non-employee directors receive a one-time initial award of options to purchase 35,000 shares of our common stock. Each newly appointed non-employee director grant vests monthly over a three-year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Director Compensation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information concerning compensation accrued or paid to our independent, non-employee directors during the year ended December 31, 2025 for their service on our Board. Directors who are also our employees receive no additional compensation for their service as directors and are not set forth in the table below:</w:t>
      </w:r>
    </w:p>
    <w:p>
      <w:pPr>
        <w:pStyle w:val="TextBody"/>
        <w:bidi w:val="0"/>
        <w:jc w:val="both"/>
        <w:rPr/>
      </w:pPr>
      <w:r>
        <w:rPr/>
        <w:t> </w:t>
      </w:r>
    </w:p>
    <w:tbl>
      <w:tblPr>
        <w:tblW w:w="6376" w:type="dxa"/>
        <w:jc w:val="left"/>
        <w:tblInd w:w="0" w:type="dxa"/>
        <w:tblLayout w:type="fixed"/>
        <w:tblCellMar>
          <w:top w:w="28" w:type="dxa"/>
          <w:left w:w="28" w:type="dxa"/>
          <w:bottom w:w="28" w:type="dxa"/>
          <w:right w:w="28" w:type="dxa"/>
        </w:tblCellMar>
      </w:tblPr>
      <w:tblGrid>
        <w:gridCol w:w="2491"/>
        <w:gridCol w:w="146"/>
        <w:gridCol w:w="174"/>
        <w:gridCol w:w="936"/>
        <w:gridCol w:w="146"/>
        <w:gridCol w:w="146"/>
        <w:gridCol w:w="146"/>
        <w:gridCol w:w="781"/>
        <w:gridCol w:w="146"/>
        <w:gridCol w:w="146"/>
        <w:gridCol w:w="146"/>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color w:val="000000"/>
                <w:sz w:val="13"/>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G. Podlesak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H. 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Jarrett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Pierre Legault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Meury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Aleksandra Rizo,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___________</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amounts reported in this column represent the aggregate grant date fair value of Deferred RSUs granted to our non-employee directors during 2025 as computed in accordance with ASC 718, not including any estimates of forfeitures related to service-based vesting conditions. The assumptions used in calculating the grant date fair value of the Deferred RSUs reported in this column are set forth in note 15 to our audited consolidated financial statements included in our Annual Report on Form 10-K for the year ended December 31, 2025 filed with the SEC on February 26, 2026. The amounts reported in this column do not reflect the actual economic value that may be realized by the non-employee directors. None of our non-employee directors received stock options in 2025.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following table provides information regarding the aggregate number of equity awards granted to our non-employee directors that were outstanding as of December 31, 2025:</w:t>
      </w:r>
    </w:p>
    <w:p>
      <w:pPr>
        <w:pStyle w:val="TextBody"/>
        <w:bidi w:val="0"/>
        <w:jc w:val="both"/>
        <w:rPr/>
      </w:pPr>
      <w:r>
        <w:rPr/>
        <w:t> </w:t>
      </w:r>
    </w:p>
    <w:tbl>
      <w:tblPr>
        <w:tblW w:w="5760" w:type="dxa"/>
        <w:jc w:val="left"/>
        <w:tblInd w:w="0" w:type="dxa"/>
        <w:tblLayout w:type="fixed"/>
        <w:tblCellMar>
          <w:top w:w="28" w:type="dxa"/>
          <w:left w:w="28" w:type="dxa"/>
          <w:bottom w:w="28" w:type="dxa"/>
          <w:right w:w="28" w:type="dxa"/>
        </w:tblCellMar>
      </w:tblPr>
      <w:tblGrid>
        <w:gridCol w:w="2491"/>
        <w:gridCol w:w="146"/>
        <w:gridCol w:w="217"/>
        <w:gridCol w:w="1163"/>
        <w:gridCol w:w="146"/>
        <w:gridCol w:w="146"/>
        <w:gridCol w:w="198"/>
        <w:gridCol w:w="1062"/>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Year-End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Year-End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G. Podlesak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H. 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Jarrett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Pierre Legault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Meury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Aleksandra Rizo,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bookmarkStart w:id="58" w:name="indemn"/>
      <w:bookmarkEnd w:id="58"/>
      <w:r>
        <w:rPr>
          <w:rFonts w:ascii="Times New Roman" w:hAnsi="Times New Roman"/>
          <w:b/>
          <w:color w:val="000000"/>
          <w:sz w:val="20"/>
        </w:rPr>
        <w:t>Limitation on Liability and Indemnification</w:t>
      </w:r>
      <w:r>
        <w:rPr>
          <w:rFonts w:ascii="Times New Roman" w:hAnsi="Times New Roman"/>
          <w:color w:val="000000"/>
          <w:sz w:val="20"/>
        </w:rPr>
        <w:t xml:space="preserve"> </w:t>
      </w:r>
      <w:r>
        <w:rPr>
          <w:rFonts w:ascii="Times New Roman" w:hAnsi="Times New Roman"/>
          <w:b/>
          <w:color w:val="000000"/>
          <w:sz w:val="20"/>
        </w:rPr>
        <w:t>Agreements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Certificate of Incorporation and Bylaws contain provisions limiting the liability of directors and provide that we will indemnify each of our directors to the fullest extent permitted under Delaware law. Our Certificate of Incorporation and Bylaws also provide our Board with discretion to indemnify our officers and employees when determined appropriate by the Board. In addition, we have entered into indemnification agreements with each of our directors and executive officers. These agreements provide for the indemnification of such persons for all reasonable expenses and liabilities incurred in connection with any action or proceeding brought against them by reason of the fact that they are or were serving in such capacity. We have also obtained director and officer liability insurance to cover liabilities our directors and officers may incur in connection with their services to us.</w:t>
      </w:r>
    </w:p>
    <w:p>
      <w:pPr>
        <w:pStyle w:val="TextBody"/>
        <w:bidi w:val="0"/>
        <w:spacing w:before="120" w:after="283"/>
        <w:jc w:val="left"/>
        <w:rPr>
          <w:rFonts w:ascii="Times New Roman" w:hAnsi="Times New Roman"/>
          <w:b/>
          <w:color w:val="000000"/>
          <w:sz w:val="20"/>
        </w:rPr>
      </w:pPr>
      <w:bookmarkStart w:id="59" w:name="rule_10b51_salesplans"/>
      <w:bookmarkEnd w:id="59"/>
      <w:r>
        <w:rPr>
          <w:rFonts w:ascii="Times New Roman" w:hAnsi="Times New Roman"/>
          <w:b/>
          <w:color w:val="000000"/>
          <w:sz w:val="20"/>
        </w:rPr>
        <w:t>Rule 10b5-1 Sales Plans</w:t>
      </w:r>
    </w:p>
    <w:p>
      <w:pPr>
        <w:pStyle w:val="TextBody"/>
        <w:bidi w:val="0"/>
        <w:spacing w:before="120" w:after="283"/>
        <w:jc w:val="both"/>
        <w:rPr>
          <w:rFonts w:ascii="Times New Roman" w:hAnsi="Times New Roman"/>
          <w:color w:val="000000"/>
          <w:sz w:val="20"/>
        </w:rPr>
      </w:pPr>
      <w:bookmarkStart w:id="60" w:name="rpt"/>
      <w:bookmarkEnd w:id="60"/>
      <w:r>
        <w:rPr>
          <w:rFonts w:ascii="Times New Roman" w:hAnsi="Times New Roman"/>
          <w:color w:val="000000"/>
          <w:sz w:val="20"/>
        </w:rPr>
        <w:t>Our directors and officers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material nonpublic information, subject to compliance with the terms of our insider trading policy.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1" w:name="payvsperformance"/>
      <w:bookmarkEnd w:id="61"/>
      <w:r>
        <w:rPr>
          <w:rFonts w:ascii="Times New Roman" w:hAnsi="Times New Roman"/>
          <w:b/>
          <w:color w:val="000000"/>
          <w:sz w:val="20"/>
        </w:rPr>
        <w:t>PAY VERSUS PERFORMANCE</w:t>
      </w:r>
    </w:p>
    <w:p>
      <w:pPr>
        <w:pStyle w:val="TextBody"/>
        <w:bidi w:val="0"/>
        <w:spacing w:before="180" w:after="283"/>
        <w:jc w:val="both"/>
        <w:rPr>
          <w:rFonts w:ascii="Times New Roman" w:hAnsi="Times New Roman"/>
          <w:sz w:val="20"/>
        </w:rPr>
      </w:pPr>
      <w:r>
        <w:rPr>
          <w:rFonts w:ascii="Times New Roman" w:hAnsi="Times New Roman"/>
          <w:color w:val="000000"/>
          <w:sz w:val="20"/>
        </w:rPr>
        <w:t>In accordance with Item 402(v) of Regulation S-K, we are providing the following disclosure regarding the relationship between “compensation actually paid” (“</w:t>
      </w:r>
      <w:r>
        <w:rPr>
          <w:rFonts w:ascii="Times New Roman" w:hAnsi="Times New Roman"/>
          <w:b/>
          <w:i/>
          <w:color w:val="000000"/>
          <w:sz w:val="20"/>
        </w:rPr>
        <w:t>CAP</w:t>
      </w:r>
      <w:r>
        <w:rPr>
          <w:rFonts w:ascii="Times New Roman" w:hAnsi="Times New Roman"/>
          <w:color w:val="000000"/>
          <w:sz w:val="20"/>
        </w:rPr>
        <w:t>”) to our principal executive officers (“</w:t>
      </w:r>
      <w:r>
        <w:rPr>
          <w:rFonts w:ascii="Times New Roman" w:hAnsi="Times New Roman"/>
          <w:b/>
          <w:i/>
          <w:color w:val="000000"/>
          <w:sz w:val="20"/>
        </w:rPr>
        <w:t>PEOs</w:t>
      </w:r>
      <w:r>
        <w:rPr>
          <w:rFonts w:ascii="Times New Roman" w:hAnsi="Times New Roman"/>
          <w:color w:val="000000"/>
          <w:sz w:val="20"/>
        </w:rPr>
        <w:t>”) and our non-PEO NEOs (“</w:t>
      </w:r>
      <w:r>
        <w:rPr>
          <w:rFonts w:ascii="Times New Roman" w:hAnsi="Times New Roman"/>
          <w:b/>
          <w:i/>
          <w:color w:val="000000"/>
          <w:sz w:val="20"/>
        </w:rPr>
        <w:t>Non-PEO NEOs</w:t>
      </w:r>
      <w:r>
        <w:rPr>
          <w:rFonts w:ascii="Times New Roman" w:hAnsi="Times New Roman"/>
          <w:color w:val="000000"/>
          <w:sz w:val="20"/>
        </w:rPr>
        <w:t>”) and certain financial performance of the Company for the fiscal years listed below. The Compensation Committee did not consider the pay versus performance information presented in this section in making its pay decisions for any of the years shown. For further information concerning our pay for performance philosophy and how our executive compensation aligns with our performance, please refer to “Executive Compensation – Compensation Discussion and Analysis.”</w:t>
      </w:r>
    </w:p>
    <w:p>
      <w:pPr>
        <w:pStyle w:val="TextBody"/>
        <w:bidi w:val="0"/>
        <w:jc w:val="both"/>
        <w:rPr/>
      </w:pPr>
      <w:r>
        <w:rPr/>
        <w:t> </w:t>
      </w:r>
    </w:p>
    <w:tbl>
      <w:tblPr>
        <w:tblW w:w="13052" w:type="dxa"/>
        <w:jc w:val="left"/>
        <w:tblInd w:w="0" w:type="dxa"/>
        <w:tblLayout w:type="fixed"/>
        <w:tblCellMar>
          <w:top w:w="28" w:type="dxa"/>
          <w:left w:w="28" w:type="dxa"/>
          <w:bottom w:w="28" w:type="dxa"/>
          <w:right w:w="28" w:type="dxa"/>
        </w:tblCellMar>
      </w:tblPr>
      <w:tblGrid>
        <w:gridCol w:w="496"/>
        <w:gridCol w:w="184"/>
        <w:gridCol w:w="1047"/>
        <w:gridCol w:w="146"/>
        <w:gridCol w:w="184"/>
        <w:gridCol w:w="1047"/>
        <w:gridCol w:w="146"/>
        <w:gridCol w:w="184"/>
        <w:gridCol w:w="1047"/>
        <w:gridCol w:w="146"/>
        <w:gridCol w:w="169"/>
        <w:gridCol w:w="1062"/>
        <w:gridCol w:w="146"/>
        <w:gridCol w:w="184"/>
        <w:gridCol w:w="1047"/>
        <w:gridCol w:w="146"/>
        <w:gridCol w:w="184"/>
        <w:gridCol w:w="1047"/>
        <w:gridCol w:w="146"/>
        <w:gridCol w:w="360"/>
        <w:gridCol w:w="676"/>
        <w:gridCol w:w="146"/>
        <w:gridCol w:w="360"/>
        <w:gridCol w:w="676"/>
        <w:gridCol w:w="146"/>
        <w:gridCol w:w="186"/>
        <w:gridCol w:w="730"/>
        <w:gridCol w:w="166"/>
        <w:gridCol w:w="146"/>
        <w:gridCol w:w="511"/>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Summary Compensation Table Total for First PEO </w:t>
            </w:r>
            <w:r>
              <w:rPr>
                <w:rFonts w:ascii="Times New Roman" w:hAnsi="Times New Roman"/>
                <w:b/>
                <w:color w:val="000000"/>
                <w:sz w:val="12"/>
              </w:rPr>
              <w:t>(1)</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Summary Compensation Table Total for Second PEO </w:t>
            </w:r>
            <w:r>
              <w:rPr>
                <w:rFonts w:ascii="Times New Roman" w:hAnsi="Times New Roman"/>
                <w:b/>
                <w:color w:val="000000"/>
                <w:sz w:val="12"/>
              </w:rPr>
              <w:t>(1)</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Compensation Actually Paid to</w:t>
              <w:br/>
              <w:t xml:space="preserve">First PEO </w:t>
            </w:r>
            <w:r>
              <w:rPr>
                <w:rFonts w:ascii="Times New Roman" w:hAnsi="Times New Roman"/>
                <w:b/>
                <w:color w:val="000000"/>
                <w:sz w:val="12"/>
              </w:rPr>
              <w:t>(1)(2)(3)</w:t>
            </w:r>
            <w:r>
              <w:rPr>
                <w:rFonts w:ascii="Times New Roman" w:hAnsi="Times New Roman"/>
                <w:b/>
                <w:color w:val="000000"/>
                <w:sz w:val="18"/>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Compensation Actually Paid to</w:t>
              <w:br/>
              <w:t xml:space="preserve">Second PEO </w:t>
            </w:r>
            <w:r>
              <w:rPr>
                <w:rFonts w:ascii="Times New Roman" w:hAnsi="Times New Roman"/>
                <w:b/>
                <w:color w:val="000000"/>
                <w:sz w:val="12"/>
              </w:rPr>
              <w:t>(1)(2)(3)</w:t>
            </w:r>
            <w:r>
              <w:rPr>
                <w:rFonts w:ascii="Times New Roman" w:hAnsi="Times New Roman"/>
                <w:b/>
                <w:color w:val="000000"/>
                <w:sz w:val="18"/>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Summary Compensation Table Total for Non-PEO NEOs </w:t>
            </w:r>
            <w:r>
              <w:rPr>
                <w:rFonts w:ascii="Times New Roman" w:hAnsi="Times New Roman"/>
                <w:b/>
                <w:color w:val="000000"/>
                <w:sz w:val="12"/>
              </w:rPr>
              <w:t>(1)</w:t>
            </w:r>
            <w:r>
              <w:rPr>
                <w:rFonts w:ascii="Times New Roman" w:hAnsi="Times New Roman"/>
                <w:color w:val="000000"/>
                <w:sz w:val="18"/>
              </w:rPr>
              <w:t> </w:t>
            </w:r>
            <w:r>
              <w:rPr>
                <w:rFonts w:ascii="Times New Roman" w:hAnsi="Times New Roman"/>
                <w:b/>
                <w:color w:val="000000"/>
                <w:sz w:val="18"/>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Compensation Actually Paid to </w:t>
              <w:br/>
              <w:t xml:space="preserve">Non-PEO NEOs </w:t>
            </w:r>
            <w:r>
              <w:rPr>
                <w:rFonts w:ascii="Times New Roman" w:hAnsi="Times New Roman"/>
                <w:b/>
                <w:color w:val="000000"/>
                <w:sz w:val="12"/>
              </w:rPr>
              <w:t>(1)(2)(3)</w:t>
            </w:r>
            <w:r>
              <w:rPr>
                <w:rFonts w:ascii="Times New Roman" w:hAnsi="Times New Roman"/>
                <w:color w:val="000000"/>
                <w:sz w:val="18"/>
              </w:rPr>
              <w:t> </w:t>
            </w:r>
            <w:r>
              <w:rPr>
                <w:rFonts w:ascii="Times New Roman" w:hAnsi="Times New Roman"/>
                <w:b/>
                <w:color w:val="000000"/>
                <w:sz w:val="18"/>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Value of Initial Fixed $100 Investment Based on</w:t>
            </w:r>
            <w:r>
              <w:rPr>
                <w:rFonts w:ascii="Times New Roman" w:hAnsi="Times New Roman"/>
                <w:color w:val="000000"/>
                <w:sz w:val="18"/>
              </w:rPr>
              <w:t> </w:t>
            </w:r>
            <w:r>
              <w:rPr>
                <w:rFonts w:ascii="Times New Roman" w:hAnsi="Times New Roman"/>
                <w:b/>
                <w:color w:val="000000"/>
                <w:sz w:val="12"/>
              </w:rPr>
              <w:t>(4)</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Net Income </w:t>
              <w:br/>
              <w:t>($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Stock Price</w:t>
            </w:r>
            <w:r>
              <w:rPr>
                <w:rFonts w:ascii="Times New Roman" w:hAnsi="Times New Roman"/>
                <w:color w:val="000000"/>
                <w:sz w:val="18"/>
              </w:rPr>
              <w:t xml:space="preserve"> </w:t>
            </w:r>
            <w:r>
              <w:rPr>
                <w:rFonts w:ascii="Times New Roman" w:hAnsi="Times New Roman"/>
                <w:b/>
                <w:color w:val="000000"/>
                <w:sz w:val="12"/>
              </w:rPr>
              <w:t>(5)</w:t>
            </w:r>
            <w:r>
              <w:rPr>
                <w:rFonts w:ascii="Times New Roman" w:hAnsi="Times New Roman"/>
                <w:b/>
                <w:color w:val="000000"/>
                <w:sz w:val="18"/>
              </w:rPr>
              <w:b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 Return</w:t>
              <w:b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Peer Group Total Stockholder Return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7,089,213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11,125,923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7,707,176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9,127,419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5,206,486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4,113,476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6,278,969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sz w:val="20"/>
        </w:rPr>
      </w:pPr>
      <w:r>
        <w:rPr>
          <w:rFonts w:ascii="Times New Roman" w:hAnsi="Times New Roman"/>
          <w:color w:val="000000"/>
          <w:sz w:val="18"/>
        </w:rPr>
        <w:t>Briggs W. Morrison</w:t>
      </w:r>
      <w:r>
        <w:rPr>
          <w:rFonts w:ascii="Times New Roman" w:hAnsi="Times New Roman"/>
          <w:color w:val="000000"/>
          <w:sz w:val="20"/>
        </w:rPr>
        <w:t xml:space="preserve"> </w:t>
      </w:r>
      <w:r>
        <w:rPr>
          <w:rFonts w:ascii="Times New Roman" w:hAnsi="Times New Roman"/>
          <w:color w:val="000000"/>
          <w:sz w:val="18"/>
        </w:rPr>
        <w:t>(referred to in these tables as the “</w:t>
      </w:r>
      <w:r>
        <w:rPr>
          <w:rFonts w:ascii="Times New Roman" w:hAnsi="Times New Roman"/>
          <w:b/>
          <w:i/>
          <w:color w:val="000000"/>
          <w:sz w:val="18"/>
        </w:rPr>
        <w:t>First PEO</w:t>
      </w:r>
      <w:r>
        <w:rPr>
          <w:rFonts w:ascii="Times New Roman" w:hAnsi="Times New Roman"/>
          <w:color w:val="000000"/>
          <w:sz w:val="20"/>
        </w:rPr>
        <w:t>”</w:t>
      </w:r>
      <w:r>
        <w:rPr>
          <w:rFonts w:ascii="Times New Roman" w:hAnsi="Times New Roman"/>
          <w:color w:val="000000"/>
          <w:sz w:val="18"/>
        </w:rPr>
        <w:t>) was our PEO in from June 2015 to February 2022, and Michael A. Metzger</w:t>
      </w:r>
      <w:r>
        <w:rPr>
          <w:rFonts w:ascii="Times New Roman" w:hAnsi="Times New Roman"/>
          <w:color w:val="000000"/>
          <w:sz w:val="20"/>
        </w:rPr>
        <w:t xml:space="preserve"> </w:t>
      </w:r>
      <w:r>
        <w:rPr>
          <w:rFonts w:ascii="Times New Roman" w:hAnsi="Times New Roman"/>
          <w:color w:val="000000"/>
          <w:sz w:val="18"/>
        </w:rPr>
        <w:t>(referred to in these tables as the “</w:t>
      </w:r>
      <w:r>
        <w:rPr>
          <w:rFonts w:ascii="Times New Roman" w:hAnsi="Times New Roman"/>
          <w:b/>
          <w:i/>
          <w:color w:val="000000"/>
          <w:sz w:val="18"/>
        </w:rPr>
        <w:t>Second PEO</w:t>
      </w:r>
      <w:r>
        <w:rPr>
          <w:rFonts w:ascii="Times New Roman" w:hAnsi="Times New Roman"/>
          <w:color w:val="000000"/>
          <w:sz w:val="20"/>
        </w:rPr>
        <w:t>”</w:t>
      </w:r>
      <w:r>
        <w:rPr>
          <w:rFonts w:ascii="Times New Roman" w:hAnsi="Times New Roman"/>
          <w:color w:val="000000"/>
          <w:sz w:val="18"/>
        </w:rPr>
        <w:t>) has been our PEO since February 2022. The individuals comprising the Non-PEO NEOs for each year presented are listed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4"/>
        <w:gridCol w:w="2076"/>
        <w:gridCol w:w="2200"/>
        <w:gridCol w:w="2200"/>
        <w:gridCol w:w="2065"/>
      </w:tblGrid>
      <w:tr>
        <w:trPr/>
        <w:tc>
          <w:tcPr>
            <w:tcW w:w="1664"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Metzger</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Luke J. Albrecht</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Luke J. Albrecht</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Luke J. Albrecht</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Luke J. Albrecht</w:t>
            </w:r>
          </w:p>
        </w:tc>
      </w:tr>
      <w:tr>
        <w:trPr/>
        <w:tc>
          <w:tcPr>
            <w:tcW w:w="16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Anjali Ganguli</w:t>
            </w:r>
          </w:p>
        </w:tc>
        <w:tc>
          <w:tcPr>
            <w:tcW w:w="2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A. Goldan</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Neil Gallagher, M.D., Ph.D.</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 Closter</w:t>
            </w:r>
          </w:p>
        </w:tc>
        <w:tc>
          <w:tcPr>
            <w:tcW w:w="20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 Closter</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Daphne Karydas</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Madigan, M.D.</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A. Goldan</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Neil Gallagher, M.D., Ph.D.</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A. Goldan</w:t>
            </w:r>
          </w:p>
        </w:tc>
      </w:tr>
      <w:tr>
        <w:trPr/>
        <w:tc>
          <w:tcPr>
            <w:tcW w:w="16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Alexander Nolte</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Madigan, M.D.</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A. Goldan</w:t>
            </w:r>
          </w:p>
        </w:tc>
        <w:tc>
          <w:tcPr>
            <w:tcW w:w="20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Nick Botwood, M.B.B.S.</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 M. Sabus</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The amounts shown for CAP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 xml:space="preserve">CAP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of the Summary Compensation Table. </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350"/>
        <w:gridCol w:w="2239"/>
        <w:gridCol w:w="146"/>
        <w:gridCol w:w="336"/>
        <w:gridCol w:w="2285"/>
        <w:gridCol w:w="166"/>
        <w:gridCol w:w="286"/>
        <w:gridCol w:w="1826"/>
        <w:gridCol w:w="146"/>
        <w:gridCol w:w="208"/>
        <w:gridCol w:w="1481"/>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2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Summary Compensation Table Total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Exclusion of Stock Awards and Option Awards for Second PEO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Inclusion of Equity Values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 to Second PEO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11,125,923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2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Summary of Compensation Table Total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Exclusion of Stock Awards and Options Awards for Non-PEO NEOs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Inclusion of Equity Values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CAP to Non-PEO NEOs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3,607,589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in the Inclusion of Equity Values in the tables above are derived from the amounts set forth in the following tables: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249"/>
        <w:gridCol w:w="1590"/>
        <w:gridCol w:w="146"/>
        <w:gridCol w:w="240"/>
        <w:gridCol w:w="1533"/>
        <w:gridCol w:w="146"/>
        <w:gridCol w:w="285"/>
        <w:gridCol w:w="1535"/>
        <w:gridCol w:w="146"/>
        <w:gridCol w:w="276"/>
        <w:gridCol w:w="1477"/>
        <w:gridCol w:w="146"/>
        <w:gridCol w:w="230"/>
        <w:gridCol w:w="1470"/>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 Fair Value of Equity Awards Granted During Year That Remained Unvested as of Last Day of Year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Changes in Fair Value from Last Day of Prior Year to Last Day of Year of Unvested Equity Awards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Vesting-Date Fair Value of Equity Awards Granted During Year that Vested During Year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Fair Value from Last Day of Prior Year to Vesting Date of Unvested Equity Awards that Vested During Year for Second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Total-Inclusion of Equity Values for Second PEO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9,513,035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Year-End Fair Value of Equity Awards Granted During Year That Remained Unvested as of Last Day of Year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Change in Fair Value from Last Day of Prior Year to Last Day of Year of Unvested Equity Awards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Vesting-Date Fair Value of Equity Awards Granted During Year that Vested During Year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Change in Fair Value from Last Day of Prior Year to Vesting Date of Unvested Equity Awards that Vested During Year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Total-Average Inclusion of Equity Values for Non-PEO NEOs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2,807,750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values of equity awards in the above tables, the values of the February 2, 2022 performance-based stock option award uses an assumption or methodology that differs materially from those disclosed as of the grant date. That award was originally valued using a Black-Scholes model and are valued for purposes of this table using a Monte Carlo model for the stock price hurdle position of the award.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jc w:val="both"/>
        <w:rPr>
          <w:rFonts w:ascii="Times New Roman" w:hAnsi="Times New Roman"/>
          <w:color w:val="000000"/>
          <w:sz w:val="18"/>
        </w:rPr>
      </w:pPr>
      <w:r>
        <w:rPr>
          <w:rFonts w:ascii="Times New Roman" w:hAnsi="Times New Roman"/>
          <w:color w:val="000000"/>
          <w:sz w:val="18"/>
        </w:rPr>
        <w:t xml:space="preserve">We determined the Stock Price to be the most important financial performance measure used to link Company performance to CAP to the Second PEO in 2025. The amounts in the column represents the closing price of our stock on the last trading date of the listed year. The Board made an award of performance-based stock options to the First PEO and Second PEO,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half of those stock options vest upon our stock closing at or above $30 per share. We may determine a different financial performance measure to be the most important financial performance measure in future years. For purposes of this disclosure, there was no financial performance measure used to link Company performance to CAP to our Non-PEO NEOs in 2024.</w:t>
      </w:r>
    </w:p>
    <w:p>
      <w:pPr>
        <w:pStyle w:val="TextBody"/>
        <w:bidi w:val="0"/>
        <w:spacing w:before="180" w:after="283"/>
        <w:jc w:val="left"/>
        <w:rPr>
          <w:rFonts w:ascii="Times New Roman" w:hAnsi="Times New Roman"/>
          <w:b/>
          <w:color w:val="000000"/>
          <w:sz w:val="20"/>
        </w:rPr>
      </w:pPr>
      <w:bookmarkStart w:id="62" w:name="peo_neo_tsr"/>
      <w:bookmarkEnd w:id="62"/>
      <w:r>
        <w:rPr>
          <w:rFonts w:ascii="Times New Roman" w:hAnsi="Times New Roman"/>
          <w:b/>
          <w:color w:val="000000"/>
          <w:sz w:val="20"/>
        </w:rPr>
        <w:t>Relationship Between PEO and Non-PEO NEO CAP, Company TSR and Peer Group TSR</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chart sets forth the relationship between CAP to our PEOs, the average of CAP to our non-PEO NEOs, and the Company’s cumulative TSR over the four most recently completed fiscal years, and the Nasdaq Biotechnology Index TSR over the same period.</w:t>
      </w:r>
    </w:p>
    <w:p>
      <w:pPr>
        <w:pStyle w:val="TextBody"/>
        <w:bidi w:val="0"/>
        <w:jc w:val="both"/>
        <w:rPr/>
      </w:pPr>
      <w:r>
        <w:rPr/>
        <w:drawing>
          <wp:inline distT="0" distB="0" distL="0" distR="0">
            <wp:extent cx="8229600" cy="45148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229600" cy="4514850"/>
                    </a:xfrm>
                    <a:prstGeom prst="rect">
                      <a:avLst/>
                    </a:prstGeom>
                  </pic:spPr>
                </pic:pic>
              </a:graphicData>
            </a:graphic>
          </wp:inline>
        </w:drawing>
      </w:r>
    </w:p>
    <w:p>
      <w:pPr>
        <w:pStyle w:val="TextBody"/>
        <w:bidi w:val="0"/>
        <w:jc w:val="both"/>
        <w:rPr/>
      </w:pPr>
      <w:r>
        <w:rPr/>
        <w:t> </w:t>
      </w:r>
    </w:p>
    <w:p>
      <w:pPr>
        <w:pStyle w:val="TextBody"/>
        <w:bidi w:val="0"/>
        <w:jc w:val="left"/>
        <w:rPr>
          <w:rFonts w:ascii="Times New Roman" w:hAnsi="Times New Roman"/>
          <w:b/>
          <w:color w:val="000000"/>
          <w:sz w:val="20"/>
        </w:rPr>
      </w:pPr>
      <w:bookmarkStart w:id="63" w:name="peo_neo_ni"/>
      <w:bookmarkEnd w:id="63"/>
      <w:r>
        <w:rPr>
          <w:rFonts w:ascii="Times New Roman" w:hAnsi="Times New Roman"/>
          <w:b/>
          <w:color w:val="000000"/>
          <w:sz w:val="20"/>
        </w:rPr>
        <w:t>Relationship Between PEO and Non-PEO NEO CAP and Net Income</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chart sets forth the relationship between Compensation Actually Paid to our PEOs, the average of CAP to our Non-PEO NEOs, and our net income during the five most recently completed fiscal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drawing>
          <wp:inline distT="0" distB="0" distL="0" distR="0">
            <wp:extent cx="8229600" cy="4591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229600" cy="4591050"/>
                    </a:xfrm>
                    <a:prstGeom prst="rect">
                      <a:avLst/>
                    </a:prstGeom>
                  </pic:spPr>
                </pic:pic>
              </a:graphicData>
            </a:graphic>
          </wp:inline>
        </w:drawing>
      </w:r>
    </w:p>
    <w:p>
      <w:pPr>
        <w:pStyle w:val="TextBody"/>
        <w:bidi w:val="0"/>
        <w:jc w:val="both"/>
        <w:rPr/>
      </w:pPr>
      <w:r>
        <w:rPr/>
        <w:t> </w:t>
      </w:r>
    </w:p>
    <w:p>
      <w:pPr>
        <w:pStyle w:val="TextBody"/>
        <w:bidi w:val="0"/>
        <w:jc w:val="left"/>
        <w:rPr>
          <w:rFonts w:ascii="Times New Roman" w:hAnsi="Times New Roman"/>
          <w:b/>
          <w:color w:val="000000"/>
          <w:sz w:val="20"/>
        </w:rPr>
      </w:pPr>
      <w:bookmarkStart w:id="64" w:name="peo_neo_stockprice"/>
      <w:bookmarkEnd w:id="64"/>
      <w:r>
        <w:rPr>
          <w:rFonts w:ascii="Times New Roman" w:hAnsi="Times New Roman"/>
          <w:b/>
          <w:color w:val="000000"/>
          <w:sz w:val="20"/>
        </w:rPr>
        <w:t>Relationship Between PEO and Non-PEO NEO CAP and Stock Price</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chart sets forth the relationship between CAP to our PEOs, the average of CAP to our Non-PEO NEOs, and our stock price (closing price of our stock on the last trading date of each listed year) for the five most recently completed fiscal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drawing>
          <wp:inline distT="0" distB="0" distL="0" distR="0">
            <wp:extent cx="8239125" cy="4438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239125" cy="44386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Tabular List of Most Important Financial Performance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list of financial performance measures represent the financial performance measures that the Company considers to have been the most important in linking CAP to our PEO and Non-PEO NEOs for 2025 to Company performance. As described above, in 2022, our PEO received a performance-based stock option award and half of those stock options vest upon our stock closing at or above $30 per share. Additionally, in 2024 our PEO and Non-PEO NEOs received PRSU awards with vesting contingent upon first year sales of Revuforj. In 2025 our PEO and Non-PEO NEOs received PRSU awards with vesting contingent upon (i) revenue from Revuforj in fiscal year 2025; (ii) Revuforj’s sNDA filing; and (iii) the Company’s three-year TSR as measured against the Nasdaq Biotechnology Index components’ TSRs over the same period . These measures are not ranked.</w:t>
      </w:r>
    </w:p>
    <w:p>
      <w:pPr>
        <w:pStyle w:val="TextBody"/>
        <w:bidi w:val="0"/>
        <w:jc w:val="both"/>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Stock Price</w:t>
            </w:r>
          </w:p>
        </w:tc>
      </w:tr>
      <w:tr>
        <w:trPr/>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Sales of Revuforj</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Relative TSR</w:t>
            </w:r>
          </w:p>
        </w:tc>
      </w:tr>
    </w:tbl>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5" w:name="certain_relationships_and_related_party"/>
      <w:bookmarkEnd w:id="65"/>
      <w:r>
        <w:rPr>
          <w:rFonts w:ascii="Times New Roman" w:hAnsi="Times New Roman"/>
          <w:b/>
          <w:color w:val="000000"/>
          <w:sz w:val="20"/>
        </w:rPr>
        <w:t>CERTAIN RELATIONSHIPS AND RELATED PARTY TRANSACTIONS</w:t>
      </w:r>
    </w:p>
    <w:p>
      <w:pPr>
        <w:pStyle w:val="TextBody"/>
        <w:bidi w:val="0"/>
        <w:spacing w:before="180" w:after="283"/>
        <w:jc w:val="both"/>
        <w:rPr>
          <w:rFonts w:ascii="Times New Roman" w:hAnsi="Times New Roman"/>
          <w:b/>
          <w:color w:val="000000"/>
          <w:sz w:val="20"/>
        </w:rPr>
      </w:pPr>
      <w:bookmarkStart w:id="66" w:name="paprtwrp"/>
      <w:bookmarkEnd w:id="66"/>
      <w:r>
        <w:rPr>
          <w:rFonts w:ascii="Times New Roman" w:hAnsi="Times New Roman"/>
          <w:b/>
          <w:color w:val="000000"/>
          <w:sz w:val="20"/>
        </w:rPr>
        <w:t>Policies and Procedures Regarding Transactions with Related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have adopted a written related party transaction policy in which all proposed related party transactions must be approved by either (i) our full Board in the case of executive officers and directors or (ii) with respect to all other related parties, our Nominating and Corporate Governance Committee. This review covers any transaction, arrangement or relationship, or any series of similar transactions, arrangements or relationships, in which we and any “related person” were or are participants involving an amount that exceeds or will exceed $120,000 and in which any related person had or will have a direct or indirect material interest. Transactions involving compensation for services provided to us as an employee, director, consultant or similar capacity by a related person are not covered by this policy. A “related party” is any person who is or was one of our executive officers, directors or director nominees or is a holder of more than 5% of our common stock, or their immediate family members or any entity owned or controlled by any of the foregoing persons. </w:t>
      </w:r>
    </w:p>
    <w:p>
      <w:pPr>
        <w:pStyle w:val="TextBody"/>
        <w:bidi w:val="0"/>
        <w:spacing w:before="180" w:after="283"/>
        <w:jc w:val="left"/>
        <w:rPr>
          <w:rFonts w:ascii="Times New Roman" w:hAnsi="Times New Roman"/>
          <w:b/>
          <w:color w:val="000000"/>
          <w:sz w:val="20"/>
        </w:rPr>
      </w:pPr>
      <w:bookmarkStart w:id="67" w:name="crpt"/>
      <w:bookmarkEnd w:id="67"/>
      <w:r>
        <w:rPr>
          <w:rFonts w:ascii="Times New Roman" w:hAnsi="Times New Roman"/>
          <w:b/>
          <w:color w:val="000000"/>
          <w:sz w:val="20"/>
        </w:rPr>
        <w:t>Certain Related-Party Transactions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are no related party transactions since January 1, 2025, to which we have been a party or will be a party, other than compensation, termination, change in control and other arrangements, which are described in the section titled “Executive Officer and Director Compensation.”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Indemnification of Directors and Officers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entered into indemnification agreements with each of our current directors and executive officers. See the section titled “Executive Officer and Director Compensation—Limitation on Liability and Indemnification Agreements.”</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8" w:name="security_ownership_of_certain_beneficial"/>
      <w:bookmarkEnd w:id="68"/>
      <w:r>
        <w:rPr>
          <w:rFonts w:ascii="Times New Roman" w:hAnsi="Times New Roman"/>
          <w:b/>
          <w:color w:val="000000"/>
          <w:sz w:val="20"/>
        </w:rPr>
        <w:t>SECURITY OWNERSHIP OF CERTAIN BENEFICIAL</w:t>
      </w:r>
      <w:r>
        <w:rPr>
          <w:rFonts w:ascii="Times New Roman" w:hAnsi="Times New Roman"/>
          <w:color w:val="000000"/>
          <w:sz w:val="20"/>
        </w:rPr>
        <w:t xml:space="preserve"> </w:t>
      </w:r>
      <w:r>
        <w:rPr>
          <w:rFonts w:ascii="Times New Roman" w:hAnsi="Times New Roman"/>
          <w:b/>
          <w:color w:val="000000"/>
          <w:sz w:val="20"/>
        </w:rPr>
        <w:t>OWNERS AND MANAGEMENT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RELATED STOCKHOLDER MATTERS</w:t>
      </w:r>
    </w:p>
    <w:p>
      <w:pPr>
        <w:pStyle w:val="TextBody"/>
        <w:bidi w:val="0"/>
        <w:spacing w:before="240" w:after="283"/>
        <w:jc w:val="both"/>
        <w:rPr>
          <w:rFonts w:ascii="Times New Roman" w:hAnsi="Times New Roman"/>
          <w:b/>
          <w:color w:val="000000"/>
          <w:sz w:val="20"/>
        </w:rPr>
      </w:pPr>
      <w:bookmarkStart w:id="69" w:name="so"/>
      <w:bookmarkEnd w:id="69"/>
      <w:r>
        <w:rPr>
          <w:rFonts w:ascii="Times New Roman" w:hAnsi="Times New Roman"/>
          <w:b/>
          <w:color w:val="000000"/>
          <w:sz w:val="20"/>
        </w:rPr>
        <w:t>Security Ownership of Certain Beneficial Owners and Management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known to us regarding the beneficial ownership of our common stock as of March 30, 2026, by: (i) each of our NEOs; (ii) each of our directors; (iii) all our executive officers and directors as a group; and (iv) each person, or group of affiliated persons, known by us to beneficially own more than 5% of any class of our voting securities.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Information with respect to beneficial ownership is based on information furnished to us by each director, executive officer or stockholder who holds more than 5% of our outstanding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March 30, 2026. Options to purchase shares of our common stock that are exercisable within 60 days of March 30, 2026,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based our calculation of beneficial ownership on 88,829,595 shares of our common stock outstanding and pre-funded warrants as of March 30, 2026. Unless otherwise indicated, the address for each of the stockholders in the table below is c/o Syndax Pharmaceuticals, Inc., 730 Third Avenue, Floor 9, New York, New York 10017.</w:t>
      </w:r>
    </w:p>
    <w:p>
      <w:pPr>
        <w:pStyle w:val="TextBody"/>
        <w:bidi w:val="0"/>
        <w:jc w:val="both"/>
        <w:rPr/>
      </w:pPr>
      <w:r>
        <w:rPr/>
        <w:t> </w:t>
      </w:r>
    </w:p>
    <w:tbl>
      <w:tblPr>
        <w:tblW w:w="7743" w:type="dxa"/>
        <w:jc w:val="left"/>
        <w:tblInd w:w="0" w:type="dxa"/>
        <w:tblLayout w:type="fixed"/>
        <w:tblCellMar>
          <w:top w:w="28" w:type="dxa"/>
          <w:left w:w="28" w:type="dxa"/>
          <w:bottom w:w="28" w:type="dxa"/>
          <w:right w:w="28" w:type="dxa"/>
        </w:tblCellMar>
      </w:tblPr>
      <w:tblGrid>
        <w:gridCol w:w="4876"/>
        <w:gridCol w:w="146"/>
        <w:gridCol w:w="152"/>
        <w:gridCol w:w="974"/>
        <w:gridCol w:w="146"/>
        <w:gridCol w:w="146"/>
        <w:gridCol w:w="170"/>
        <w:gridCol w:w="170"/>
        <w:gridCol w:w="422"/>
        <w:gridCol w:w="316"/>
        <w:gridCol w:w="225"/>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w:t>
              <w:br/>
              <w:t>Common</w:t>
              <w:br/>
              <w:t>Stock</w:t>
              <w:br/>
              <w:t>Beneficially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Stock</w:t>
              <w:br/>
              <w:t>Beneficially</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Michael A. Metzger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Keith A. Goldan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Luke J. Albrecht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Nick Botwood, M.B.B.S.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Steve Closter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Martin H. Huber, M.D.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Jennifer Jarrett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Keith A. Katkin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Pierre Legault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Dennis G. Podlesak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Aleksandra Rizo, M.D., Ph.D.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executive officers and directors as a group (11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Kynam Capital Management LP </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BlackRock, Inc.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The Goldman Sachs Group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Street Corporation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 Represents beneficial ownership of less than 1% of our outstanding common stock.</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491,690 shares of common stock and 1,477,884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140,429 shares of common stock and 364,468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 xml:space="preserve">Consists of 129,130 shares of common stock and 608,498 shares of common stock issuable upon the exercise of stock options within 60 days of March 30,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Consists of 95,165 shares of common stock and 3,014 shares of common stock issuable upon the exercise of stock options within 60 days of March 30, 2026.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123,689 shares of common stock and 97,395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74,000 shares of common stock and 35,000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90,000 shares of common stock and 83,000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(8)</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90,000 shares of common stock and 73,000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(9)</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177,333 shares of common stock and 135,000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(10)</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25,000 shares of common stock and 21,389 shares of common stock issuable upon the exercise of stock options within 60 days of March 30,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8,520,000 shares of our common stock held by Kynam Capital Management, LP, or Kynam. Each of Kynam Capital Management, LP, Kynam Capital Management GP, LLC, and Yue Tang may be deemed to beneficially own the shares owned by Kynam. Kynam’s address is 221 Elm Road. Princeton, NJ 08540. The information set forth above is based on our review of Schedule 13G filed with the SEC by each of the Kynam entities on February 14, 2025 regarding their beneficial ownership of our common stock as of December 31, 2024.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6,744,049 shares of our common stock held by the following subsidiaries of BlackRock, Inc, or BlackRock: BlackRock Advisors, LLC, Aperio Group, LLC, BlackRock Institutional Trust Company, National Association, BlackRock Asset Management Ireland Limited, BlackRock Financial Management, Inc., BlackRock Japan Co., Ltd., BlackRock Asset Management Schweiz AG, BlackRock Investment Management, LLC, BlackRock Investment Management (UK) Limited, SpiderRock Advisors, LLC, BlackRock Asset Management Canada Limited, BlackRock (Luxembourg) S.A., BlackRock Investment Management (Australia) Limited, BlackRock Fund Advisors, and BlackRock Fund Managers Ltd. Blackrock’s address is 50 Hudson Yards New York, NY 10001. The information set forth above is based on our review of Schedule 13G/A filed with the SEC by each of the Blackrock entities on April 17, 2025, regarding their beneficial ownership of our common stock as of March 31, 2025.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5,581,828 shares of our common stock held by The Goldman Sachs Group, Inc., or Goldman Sachs. Each of The Goldman Sachs Group, Inc. and Goldman Sachs &amp; Co. LLC may be deemed to beneficially own the shares owned by Goldman Sachs. Goldman Sachs’ address is 200 West Street New York, NY 10282. The information set forth above is based on our review of Schedule 13G filed with the SEC by each of the Goldman Sachs entities on July 17, 2025, regarding their beneficial ownership of our common stock as of June 30, 2025.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(14)</w:t>
      </w:r>
    </w:p>
    <w:p>
      <w:pPr>
        <w:pStyle w:val="TextBody"/>
        <w:bidi w:val="0"/>
        <w:jc w:val="both"/>
        <w:rPr>
          <w:rFonts w:ascii="Times New Roman" w:hAnsi="Times New Roman"/>
          <w:color w:val="000000"/>
          <w:sz w:val="18"/>
        </w:rPr>
      </w:pPr>
      <w:r>
        <w:rPr>
          <w:rFonts w:ascii="Times New Roman" w:hAnsi="Times New Roman"/>
          <w:color w:val="000000"/>
          <w:sz w:val="18"/>
        </w:rPr>
        <w:t>Consists of 4,596,552 shares of our common stock held by State Street Corporation. State Street Corporation’s address is One Congress Street, Suite 1, Boston MA 02114. The information set forth above is based on our review of Schedule 13G filed with the SEC by State Street Corporation on February 9, 2026, regarding their beneficial ownership of our common stock as of December 31, 2025.</w:t>
      </w:r>
    </w:p>
    <w:p>
      <w:pPr>
        <w:pStyle w:val="TextBody"/>
        <w:bidi w:val="0"/>
        <w:jc w:val="both"/>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70" w:name="secauth"/>
      <w:bookmarkEnd w:id="70"/>
      <w:r>
        <w:rPr>
          <w:rFonts w:ascii="Times New Roman" w:hAnsi="Times New Roman"/>
          <w:b/>
          <w:color w:val="000000"/>
          <w:sz w:val="20"/>
        </w:rPr>
        <w:t>SECURITIES AUTHORIZED FOR ISSUANCE UNDER EQUITY COMPENSATION PLANS</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aggregate information of our equity compensation plans in effect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2"/>
        <w:gridCol w:w="146"/>
        <w:gridCol w:w="155"/>
        <w:gridCol w:w="1105"/>
        <w:gridCol w:w="146"/>
        <w:gridCol w:w="146"/>
        <w:gridCol w:w="400"/>
        <w:gridCol w:w="1026"/>
        <w:gridCol w:w="146"/>
        <w:gridCol w:w="146"/>
        <w:gridCol w:w="257"/>
        <w:gridCol w:w="1553"/>
        <w:gridCol w:w="146"/>
        <w:gridCol w:w="511"/>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Column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Column (C)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 be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upon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available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future issuance 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plans (excluding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 reflected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2007 Stock Plan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2015 Omnibus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3"/>
              </w:rPr>
            </w:pPr>
            <w:r>
              <w:rPr>
                <w:rFonts w:ascii="Times New Roman" w:hAnsi="Times New Roman"/>
                <w:color w:val="000000"/>
                <w:sz w:val="13"/>
              </w:rPr>
              <w:t>(2)</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2015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2023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The 2007 Plan was terminated in 2015, and any shares becoming available under the 2007 Plan by expiration, forfeiture, cancellation or otherwise have been and will be added to, and included in, the 2015 Plan.</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number of shares of common stock reserved for issuance under the 2015 Plan will automatically increase on January 1 of each year, commencing on January 1, 2017 and continuing through the expiration of the 2015 Plan, in an amount equal to (a) 4% of the total number of shares of common stock outstanding on December 31 of the preceding calendar year, or (b) a lesser number of shares of common stock determined by the Board prior to the date of the increase (which may be zero). Pursuant to the terms of the 2015 Plan, 3,496,239 shares were added to the reserve on January 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number of shares of common stock reserved for issuance under the ESPP will automatically increase on January 1 of each year, commencing on January 1, 2017 and continuing through the expiration of the ESPP, by the lesser of (a) 1% of the total number of shares of common stock outstanding on December 31 of the preceding calendar year, (b) 250,000 shares, or (c) such lesser number of shares of common stock as determined by the Board (which may be zero). Pursuant to the terms of the ESPP, 250,000 shares were added to the reserve on January 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jc w:val="both"/>
        <w:rPr>
          <w:rFonts w:ascii="Times New Roman" w:hAnsi="Times New Roman"/>
          <w:color w:val="000000"/>
          <w:sz w:val="18"/>
        </w:rPr>
      </w:pPr>
      <w:r>
        <w:rPr>
          <w:rFonts w:ascii="Times New Roman" w:hAnsi="Times New Roman"/>
          <w:color w:val="000000"/>
          <w:sz w:val="18"/>
        </w:rPr>
        <w:t>The 2023 Inducement Plan was adopted by the Board on February 2, 2023, pursuant to which we reserved 1,900,000 shares of common stock for issuance. On (a) December 6, 2023, the Board increased the number of shares of common stock reserved for issuance under the 2023 Inducement Plan by 1,100,000 shares; (b) July 22, 2024 the Board increased the number of shares of common stock reserved for issuance under the 2023 Inducement Plan by 500,000 shares; and (c) December 19, 2024, the Board increased the number of shares of common stock reserved for issuance under the 2023 Inducement Plan by 1,200,000 shares. The Inducement Plan was adopted without stockholder approval pursuant to Rule 5635(c)(4) and Rule 5635(c)(3) of the Nasdaq Listing Standards. The 2023 Inducement Plan provides for the grant of equity-based awards, and its terms are substantially similar to our stockholder-approved 2015 Plan. In accordance with Rule 5635(c)(4) and Rule 5635(c)(3) of the Nasdaq Listing Standards, awards under the 2023 Inducement Plan may only be made to individuals not previously employees or non-employee directors of the Company (or following such individual’s bona fide period of non-employment with the Company), as an inducement material to the individual’s entry into employment with the Company. The 2023 Inducement Plan does not provide for automatic annual share increases.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center"/>
        <w:rPr>
          <w:rFonts w:ascii="Times New Roman" w:hAnsi="Times New Roman"/>
          <w:b/>
          <w:color w:val="000000"/>
          <w:sz w:val="20"/>
        </w:rPr>
      </w:pPr>
      <w:bookmarkStart w:id="71" w:name="householding_of_proxy_materials"/>
      <w:bookmarkStart w:id="72" w:name="otherinfo"/>
      <w:bookmarkEnd w:id="71"/>
      <w:bookmarkEnd w:id="72"/>
      <w:r>
        <w:rPr>
          <w:rFonts w:ascii="Times New Roman" w:hAnsi="Times New Roman"/>
          <w:b/>
          <w:color w:val="000000"/>
          <w:sz w:val="20"/>
        </w:rPr>
        <w:t>OTHER INFORMATION FOR STOCKHOLDERS</w:t>
      </w:r>
    </w:p>
    <w:p>
      <w:pPr>
        <w:pStyle w:val="TextBody"/>
        <w:bidi w:val="0"/>
        <w:jc w:val="center"/>
        <w:rPr/>
      </w:pPr>
      <w:r>
        <w:rPr/>
        <w:t> </w:t>
      </w:r>
    </w:p>
    <w:p>
      <w:pPr>
        <w:pStyle w:val="TextBody"/>
        <w:bidi w:val="0"/>
        <w:jc w:val="left"/>
        <w:rPr>
          <w:rFonts w:ascii="Times New Roman" w:hAnsi="Times New Roman"/>
          <w:b/>
          <w:color w:val="000000"/>
          <w:sz w:val="20"/>
        </w:rPr>
      </w:pPr>
      <w:bookmarkStart w:id="73" w:name="otherinfo_sp"/>
      <w:bookmarkEnd w:id="73"/>
      <w:r>
        <w:rPr>
          <w:rFonts w:ascii="Times New Roman" w:hAnsi="Times New Roman"/>
          <w:b/>
          <w:color w:val="000000"/>
          <w:sz w:val="20"/>
        </w:rPr>
        <w:t>Stockholder Proposals for the 2027 Annual Meeting of Stockholders</w:t>
      </w:r>
    </w:p>
    <w:p>
      <w:pPr>
        <w:pStyle w:val="TextBody"/>
        <w:bidi w:val="0"/>
        <w:spacing w:before="132" w:after="283"/>
        <w:jc w:val="both"/>
        <w:rPr>
          <w:rFonts w:ascii="Times New Roman" w:hAnsi="Times New Roman"/>
          <w:sz w:val="20"/>
        </w:rPr>
      </w:pPr>
      <w:r>
        <w:rPr>
          <w:rFonts w:ascii="Times New Roman" w:hAnsi="Times New Roman"/>
          <w:color w:val="000000"/>
          <w:sz w:val="20"/>
        </w:rPr>
        <w:t>If you wish to submit proposals for inclusion in our proxy statement for the 2027 annual meeting of stockholders (the “</w:t>
      </w:r>
      <w:r>
        <w:rPr>
          <w:rFonts w:ascii="Times New Roman" w:hAnsi="Times New Roman"/>
          <w:b/>
          <w:i/>
          <w:color w:val="000000"/>
          <w:sz w:val="20"/>
        </w:rPr>
        <w:t>2027 Annual Meeting</w:t>
      </w:r>
      <w:r>
        <w:rPr>
          <w:rFonts w:ascii="Times New Roman" w:hAnsi="Times New Roman"/>
          <w:color w:val="000000"/>
          <w:sz w:val="20"/>
        </w:rPr>
        <w:t>”) we must receive them on or before January 1, 2027. Nothing in this paragraph shall require us to include in our proxy statement and proxy card for the 2027 Annual Meeting any stockholder proposal that does not meet the requirements of the SEC in effect at the time. Any such proposal will be subject to Rule 14a-8 of the Exchange Act.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If you wish to nominate a director or submit a proposal for presentation at the 2027 Annual Meeting, without including such proposal in next year’s proxy statement, you must be a stockholder of record and provide timely notice in writing to our Secretary at c/o Syndax Pharmaceuticals, Inc., 730 Third Avenue, Floor 9, New York, New York 10017. To be timely, we must receive the notice not less than 90 days nor more than 120 days prior to the anniversary of the Annual Meeting; provided, however, that in the event that the date of the 2027 Annual Meeting is more than 30 days before or more than 60 days after such anniversary date, we must receive your notice (a) no earlier than the close of business on the 120th day prior to the currently proposed 2027 Annual Meeting and (b) no later than the close of business on the later of the 90th day prior to the 2027 Annual Meeting or the 10th day following the day on which we first make a public announcement of the date of the 2027 Annual Meeting. Your written notice must contain the specific information required pursuant to Section 2.13 of our Bylaws. In addition, stockholders who intend to solicit proxies in support of director nominees other than our nominees must also comply with the additional requirements of Rule 14a-19(b). For additional information about our director nomination requirements, please see our Bylaws.</w:t>
      </w:r>
    </w:p>
    <w:p>
      <w:pPr>
        <w:pStyle w:val="TextBody"/>
        <w:bidi w:val="0"/>
        <w:spacing w:before="132" w:after="283"/>
        <w:jc w:val="both"/>
        <w:rPr>
          <w:rFonts w:ascii="Times New Roman" w:hAnsi="Times New Roman"/>
          <w:b/>
          <w:color w:val="000000"/>
          <w:sz w:val="20"/>
        </w:rPr>
      </w:pPr>
      <w:bookmarkStart w:id="74" w:name="otherinfo_householding"/>
      <w:bookmarkEnd w:id="74"/>
      <w:r>
        <w:rPr>
          <w:rFonts w:ascii="Times New Roman" w:hAnsi="Times New Roman"/>
          <w:b/>
          <w:color w:val="000000"/>
          <w:sz w:val="20"/>
        </w:rPr>
        <w:t>Householding of Proxy Materials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year, several brokers with account holders who are our stockholders will be “householding” our Proxy Materials. A single Notice of Internet Availability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please notify your broker or Syndax. Direct your written request to: Syndax Pharmaceuticals, Inc., 730 Third Avenue, Floor 9, New York, New York 10017, Attn: Luke J. Albrecht, General Counsel and Secretary, or contact Mr. Albrecht at (781) 419-1400.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Stockholders who currently receive multiple copies of the Notice of Internet Availability at their addresses and would like to request “householding” of their communications should contact their brokers.</w:t>
      </w:r>
    </w:p>
    <w:p>
      <w:pPr>
        <w:pStyle w:val="TextBody"/>
        <w:bidi w:val="0"/>
        <w:spacing w:before="132" w:after="283"/>
        <w:jc w:val="both"/>
        <w:rPr>
          <w:rFonts w:ascii="Times New Roman" w:hAnsi="Times New Roman"/>
          <w:b/>
          <w:color w:val="000000"/>
          <w:sz w:val="20"/>
        </w:rPr>
      </w:pPr>
      <w:bookmarkStart w:id="75" w:name="otherinfo_other"/>
      <w:bookmarkEnd w:id="75"/>
      <w:r>
        <w:rPr>
          <w:rFonts w:ascii="Times New Roman" w:hAnsi="Times New Roman"/>
          <w:b/>
          <w:color w:val="000000"/>
          <w:sz w:val="20"/>
        </w:rPr>
        <w:t>Other Matters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Board knows of no business to be brought before the Annual Meeting which is not referred to in the accompanying Notice of Annual Meeting. Should any such matters be presented, the persons named in the proxy shall have the authority to take such action regarding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pStyle w:val="TextBody"/>
        <w:bidi w:val="0"/>
        <w:spacing w:before="132" w:after="283"/>
        <w:jc w:val="both"/>
        <w:rPr>
          <w:rFonts w:ascii="Times New Roman" w:hAnsi="Times New Roman"/>
          <w:b/>
          <w:color w:val="000000"/>
          <w:sz w:val="20"/>
        </w:rPr>
      </w:pPr>
      <w:r>
        <w:rPr>
          <w:rFonts w:ascii="Times New Roman" w:hAnsi="Times New Roman"/>
          <w:b/>
          <w:color w:val="000000"/>
          <w:sz w:val="20"/>
        </w:rPr>
        <w:t>A copy of the Company’s Annual Report on Form 10-K for the fiscal year ended December 31, 2025 is available without charge upon written request to: Syndax Pharmaceuticals, Inc., 730 Third Avenue, Floor 9, New York, New York 10017, Attn: Luke J. Albrecht, General Counsel and Secretary.</w:t>
      </w:r>
    </w:p>
    <w:p>
      <w:pPr>
        <w:pStyle w:val="TextBody"/>
        <w:bidi w:val="0"/>
        <w:spacing w:before="132"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Annex A</w:t>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SYNDAX PHARMACEUTICALS, Inc.</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2026 Equity Incentive Plan</w:t>
      </w:r>
    </w:p>
    <w:p>
      <w:pPr>
        <w:pStyle w:val="TextBody"/>
        <w:bidi w:val="0"/>
        <w:jc w:val="center"/>
        <w:rPr>
          <w:rFonts w:ascii="Times New Roman" w:hAnsi="Times New Roman"/>
          <w:sz w:val="20"/>
        </w:rPr>
      </w:pPr>
      <w:r>
        <w:rPr>
          <w:rFonts w:ascii="Times New Roman" w:hAnsi="Times New Roman"/>
          <w:b/>
          <w:smallCaps/>
          <w:color w:val="000000"/>
          <w:sz w:val="20"/>
        </w:rPr>
        <w:t>Adopted by the Board of Directors: April 30</w:t>
      </w:r>
      <w:r>
        <w:rPr>
          <w:rFonts w:ascii="Times New Roman" w:hAnsi="Times New Roman"/>
          <w:b/>
          <w:color w:val="000000"/>
          <w:sz w:val="20"/>
        </w:rPr>
        <w:t>, 2026</w:t>
      </w:r>
      <w:r>
        <w:rPr>
          <w:rFonts w:ascii="Times New Roman" w:hAnsi="Times New Roman"/>
          <w:b/>
          <w:smallCaps/>
          <w:color w:val="000000"/>
          <w:sz w:val="20"/>
        </w:rPr>
        <w:br/>
        <w:t>Approved by the Stockholders: [____]</w:t>
      </w:r>
      <w:r>
        <w:rPr>
          <w:rFonts w:ascii="Times New Roman" w:hAnsi="Times New Roman"/>
          <w:b/>
          <w:color w:val="000000"/>
          <w:sz w:val="20"/>
        </w:rPr>
        <w:t>, 2026</w:t>
      </w:r>
    </w:p>
    <w:p>
      <w:pPr>
        <w:pStyle w:val="TextBody"/>
        <w:bidi w:val="0"/>
        <w:jc w:val="center"/>
        <w:rPr/>
      </w:pPr>
      <w:r>
        <w:rPr/>
        <w:t> </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1.</w:t>
      </w:r>
    </w:p>
    <w:p>
      <w:pPr>
        <w:pStyle w:val="TextBody"/>
        <w:bidi w:val="0"/>
        <w:spacing w:before="0" w:after="240"/>
        <w:jc w:val="left"/>
        <w:rPr>
          <w:rFonts w:ascii="Times New Roman" w:hAnsi="Times New Roman"/>
          <w:b/>
          <w:smallCaps/>
          <w:color w:val="000000"/>
          <w:sz w:val="20"/>
        </w:rPr>
      </w:pPr>
      <w:r>
        <w:rPr>
          <w:rFonts w:ascii="Times New Roman" w:hAnsi="Times New Roman"/>
          <w:b/>
          <w:smallCaps/>
          <w:color w:val="000000"/>
          <w:sz w:val="20"/>
        </w:rPr>
        <w:t>General.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Successor to and Continuation of Prior Plan</w:t>
      </w:r>
      <w:r>
        <w:rPr>
          <w:rFonts w:ascii="Times New Roman" w:hAnsi="Times New Roman"/>
          <w:color w:val="000000"/>
          <w:sz w:val="20"/>
        </w:rPr>
        <w:t>. The Plan is the successor to and continuation of the Prior Plan. As of the Adoption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Plan Purpose.</w:t>
      </w:r>
      <w:r>
        <w:rPr>
          <w:color w:val="000000"/>
        </w:rPr>
        <w:t xml:space="preserve"> </w:t>
      </w:r>
      <w:r>
        <w:rPr>
          <w:rFonts w:ascii="Times New Roman" w:hAnsi="Times New Roman"/>
          <w:color w:val="000000"/>
          <w:sz w:val="20"/>
        </w:rPr>
        <w:t>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Available Awards.</w:t>
      </w:r>
      <w:r>
        <w:rPr>
          <w:color w:val="000000"/>
        </w:rPr>
        <w:t xml:space="preserve"> </w:t>
      </w:r>
      <w:r>
        <w:rPr>
          <w:rFonts w:ascii="Times New Roman" w:hAnsi="Times New Roman"/>
          <w:color w:val="000000"/>
          <w:sz w:val="20"/>
        </w:rPr>
        <w:t>The Plan provides for the grant of the following Awards: (i) Incentive Stock Options; (ii) Nonstatutory Stock Options; (iii) SARs; (iv) Restricted Stock Awards; (v) RSU Awards; (vi) Performance Awards; and (vii) Other Awards.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 xml:space="preserve">Adoption Date; Effective Date. </w:t>
      </w:r>
      <w:r>
        <w:rPr>
          <w:rFonts w:ascii="Times New Roman" w:hAnsi="Times New Roman"/>
          <w:color w:val="000000"/>
          <w:sz w:val="20"/>
        </w:rPr>
        <w:t>The Plan will come into existence on the Adoption Date, but no Award may be granted prior to the Effective Date.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(b)</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Shares Subject to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 xml:space="preserve">Share Reserve. </w:t>
      </w:r>
      <w:r>
        <w:rPr>
          <w:rFonts w:ascii="Times New Roman" w:hAnsi="Times New Roman"/>
          <w:color w:val="000000"/>
          <w:sz w:val="20"/>
        </w:rPr>
        <w:t>Subject to adjustment in accordance with Section 2(c) and any adjustments as necessary to implement any Capitalization Adjustments, the aggregate number of shares of Common Stock that may be issued pursuant to Awards will not exceed 17,134,916 shares (the “</w:t>
      </w:r>
      <w:r>
        <w:rPr>
          <w:rFonts w:ascii="Times New Roman" w:hAnsi="Times New Roman"/>
          <w:b/>
          <w:i/>
          <w:color w:val="000000"/>
          <w:sz w:val="20"/>
        </w:rPr>
        <w:t>Share Reserve</w:t>
      </w:r>
      <w:r>
        <w:rPr>
          <w:color w:val="000000"/>
        </w:rPr>
        <w:t>”</w:t>
      </w:r>
      <w:r>
        <w:rPr>
          <w:rFonts w:ascii="Times New Roman" w:hAnsi="Times New Roman"/>
          <w:color w:val="000000"/>
          <w:sz w:val="20"/>
        </w:rPr>
        <w:t>), which is the sum of: (i) 7,200,000 new shares, plus (ii) up to 9,934,916 Returning Shares, as such shares become available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Aggregate Incentive Stock Option Limit.</w:t>
      </w:r>
      <w:r>
        <w:rPr>
          <w:color w:val="000000"/>
        </w:rPr>
        <w:t xml:space="preserve"> </w:t>
      </w:r>
      <w:r>
        <w:rPr>
          <w:rFonts w:ascii="Times New Roman" w:hAnsi="Times New Roman"/>
          <w:color w:val="000000"/>
          <w:sz w:val="20"/>
        </w:rPr>
        <w:t>Notwithstanding anything to the contrary in Section 2(a) and subject to any adjustments as necessary to implement any Capitalization Adjustments, the aggregate maximum number of shares of Common Stock that may be issued pursuant to the exercise of Incentive Stock Options shall not exceed 85,674,580 shares of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Share Reserve Operation.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 xml:space="preserve">Limit Applies to Common Stock Issued Pursuant to Awards. </w:t>
      </w:r>
      <w:r>
        <w:rPr>
          <w:rFonts w:ascii="Times New Roman" w:hAnsi="Times New Roman"/>
          <w:color w:val="000000"/>
          <w:sz w:val="20"/>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or other applicable rule, and such issuance will not reduce the number of shares available for issuance under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Actions that Do Not Constitute Issuance of Common Stock and Do Not Reduce Share Reserve.</w:t>
      </w:r>
      <w:r>
        <w:rPr>
          <w:color w:val="000000"/>
        </w:rPr>
        <w:t xml:space="preserve"> </w:t>
      </w:r>
      <w:r>
        <w:rPr>
          <w:rFonts w:ascii="Times New Roman" w:hAnsi="Times New Roman"/>
          <w:color w:val="000000"/>
          <w:sz w:val="20"/>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color w:val="000000"/>
          <w:sz w:val="20"/>
        </w:rPr>
        <w:t>i.e.</w:t>
      </w:r>
      <w:r>
        <w:rPr>
          <w:rFonts w:ascii="Times New Roman" w:hAnsi="Times New Roman"/>
          <w:color w:val="000000"/>
          <w:sz w:val="20"/>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rFonts w:ascii="Times New Roman" w:hAnsi="Times New Roman"/>
          <w:b/>
          <w:color w:val="000000"/>
          <w:sz w:val="20"/>
        </w:rPr>
        <w:t>Reversion of Previously Issued Shares of Common Stock to Share Reserve.</w:t>
      </w:r>
      <w:r>
        <w:rPr>
          <w:color w:val="000000"/>
        </w:rPr>
        <w:t xml:space="preserve"> </w:t>
      </w:r>
      <w:r>
        <w:rPr>
          <w:rFonts w:ascii="Times New Roman" w:hAnsi="Times New Roman"/>
          <w:color w:val="000000"/>
          <w:sz w:val="20"/>
        </w:rPr>
        <w:t>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(c)</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Eligibility and Limitations.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Eligible Award Recipients.</w:t>
      </w:r>
      <w:r>
        <w:rPr>
          <w:color w:val="000000"/>
        </w:rPr>
        <w:t xml:space="preserve"> </w:t>
      </w:r>
      <w:r>
        <w:rPr>
          <w:rFonts w:ascii="Times New Roman" w:hAnsi="Times New Roman"/>
          <w:color w:val="000000"/>
          <w:sz w:val="20"/>
        </w:rPr>
        <w:t>Subject to the terms of the Plan, Employees, Directors and Consultants are eligible to receive Awards.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Specific Award Limitations.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Limitations on Incentive Stock Option Recipients.</w:t>
      </w:r>
      <w:r>
        <w:rPr>
          <w:color w:val="000000"/>
        </w:rPr>
        <w:t xml:space="preserve"> </w:t>
      </w:r>
      <w:r>
        <w:rPr>
          <w:rFonts w:ascii="Times New Roman" w:hAnsi="Times New Roman"/>
          <w:color w:val="000000"/>
          <w:sz w:val="20"/>
        </w:rPr>
        <w:t>Incentive Stock Options may be granted only to Employees of the Company or a “parent corporation” or “subsidiary corporation” thereof (as such terms are defined in Sections 424(e) and (f)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Incentive Stock Option $100,000 Limitation.</w:t>
      </w:r>
      <w:r>
        <w:rPr>
          <w:color w:val="000000"/>
        </w:rPr>
        <w:t xml:space="preserve"> </w:t>
      </w:r>
      <w:r>
        <w:rPr>
          <w:rFonts w:ascii="Times New Roman" w:hAnsi="Times New Roman"/>
          <w:color w:val="000000"/>
          <w:sz w:val="20"/>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rFonts w:ascii="Times New Roman" w:hAnsi="Times New Roman"/>
          <w:b/>
          <w:color w:val="000000"/>
          <w:sz w:val="20"/>
        </w:rPr>
        <w:t>Limitations on Incentive Stock Options Granted to Ten Percent Stockholders.</w:t>
      </w:r>
      <w:r>
        <w:rPr>
          <w:color w:val="000000"/>
        </w:rPr>
        <w:t xml:space="preserve"> </w:t>
      </w:r>
      <w:r>
        <w:rPr>
          <w:rFonts w:ascii="Times New Roman" w:hAnsi="Times New Roman"/>
          <w:color w:val="000000"/>
          <w:sz w:val="20"/>
        </w:rPr>
        <w:t>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pPr>
      <w:r>
        <w:rPr>
          <w:rFonts w:ascii="Times New Roman" w:hAnsi="Times New Roman"/>
          <w:b/>
          <w:color w:val="000000"/>
          <w:sz w:val="20"/>
        </w:rPr>
        <w:t>Limitations on Nonstatutory Stock Options and SARs.</w:t>
      </w:r>
      <w:r>
        <w:rPr>
          <w:color w:val="000000"/>
        </w:rPr>
        <w:t xml:space="preserve"> </w:t>
      </w:r>
      <w:r>
        <w:rPr>
          <w:rFonts w:ascii="Times New Roman" w:hAnsi="Times New Roman"/>
          <w:color w:val="000000"/>
          <w:sz w:val="20"/>
        </w:rPr>
        <w:t>Nonstatutory Stock Options and SARs may not be granted to Employees, Directors and Consultants unless the stock underlying such Awards is treated as “service recipient stock” under Section 409A or unless such Awards otherwise comply with the requirements of Section 409A.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Aggregate Incentive Stock Option Limit.</w:t>
      </w:r>
      <w:r>
        <w:rPr>
          <w:color w:val="000000"/>
        </w:rPr>
        <w:t xml:space="preserve"> </w:t>
      </w:r>
      <w:r>
        <w:rPr>
          <w:rFonts w:ascii="Times New Roman" w:hAnsi="Times New Roman"/>
          <w:color w:val="000000"/>
          <w:sz w:val="20"/>
        </w:rPr>
        <w:t>The aggregate maximum number of shares of Common Stock that may be issued pursuant to the exercise of Incentive Stock Options is the number of shares specified in Section 2(b).</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 xml:space="preserve">Non-Employee Director Compensation Limit. </w:t>
      </w:r>
      <w:r>
        <w:rPr>
          <w:rFonts w:ascii="Times New Roman" w:hAnsi="Times New Roman"/>
          <w:color w:val="000000"/>
          <w:sz w:val="20"/>
        </w:rPr>
        <w:t>The aggregate value of all compensation granted or paid, as applicable, to any individual for service as a Non-Employee Director with respect to any calendar year, including Awards granted and cash fees paid by the Company to such Non-Employee Director, will not exceed (1) $1,000,000 in total value for Non-Employee Directors other than the Board Chair and $1,500,000 in total value for the Non-Employee Director Board Chair or (2) in the event such Non-Employee Director is first appointed or elected to the Board during such calendar year, $1,500,000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Options and Stock Appreciation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Term.</w:t>
      </w:r>
      <w:r>
        <w:rPr>
          <w:color w:val="000000"/>
        </w:rPr>
        <w:t xml:space="preserve"> </w:t>
      </w:r>
      <w:r>
        <w:rPr>
          <w:rFonts w:ascii="Times New Roman" w:hAnsi="Times New Roman"/>
          <w:color w:val="000000"/>
          <w:sz w:val="20"/>
        </w:rPr>
        <w:t>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Exercise or Strike Price.</w:t>
      </w:r>
      <w:r>
        <w:rPr>
          <w:color w:val="000000"/>
        </w:rPr>
        <w:t xml:space="preserve"> </w:t>
      </w:r>
      <w:r>
        <w:rPr>
          <w:rFonts w:ascii="Times New Roman" w:hAnsi="Times New Roman"/>
          <w:color w:val="000000"/>
          <w:sz w:val="20"/>
        </w:rPr>
        <w:t xml:space="preserve">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Exercise Procedure and Payment of Exercise Price for Options.</w:t>
      </w:r>
      <w:r>
        <w:rPr>
          <w:color w:val="000000"/>
        </w:rPr>
        <w:t xml:space="preserve"> </w:t>
      </w:r>
      <w:r>
        <w:rPr>
          <w:rFonts w:ascii="Times New Roman" w:hAnsi="Times New Roman"/>
          <w:color w:val="000000"/>
          <w:sz w:val="20"/>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cash or check, bank draft or money order payable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any other form of consideration that may be acceptable to the Board and permissible under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Exercise Procedure and Payment of Appreciation Distribution for SARs.</w:t>
      </w:r>
      <w:r>
        <w:rPr>
          <w:color w:val="000000"/>
        </w:rPr>
        <w:t xml:space="preserve"> </w:t>
      </w:r>
      <w:r>
        <w:rPr>
          <w:rFonts w:ascii="Times New Roman" w:hAnsi="Times New Roman"/>
          <w:color w:val="000000"/>
          <w:sz w:val="20"/>
        </w:rPr>
        <w:t>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b/>
          <w:color w:val="000000"/>
          <w:sz w:val="20"/>
        </w:rPr>
        <w:t>Transferability.</w:t>
      </w:r>
      <w:r>
        <w:rPr>
          <w:color w:val="000000"/>
        </w:rPr>
        <w:t xml:space="preserve"> </w:t>
      </w:r>
      <w:r>
        <w:rPr>
          <w:rFonts w:ascii="Times New Roman" w:hAnsi="Times New Roman"/>
          <w:color w:val="000000"/>
          <w:sz w:val="20"/>
        </w:rPr>
        <w:t xml:space="preserve">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color w:val="000000"/>
          <w:sz w:val="20"/>
        </w:rPr>
        <w:t>provided, further</w:t>
      </w:r>
      <w:r>
        <w:rPr>
          <w:rFonts w:ascii="Times New Roman" w:hAnsi="Times New Roman"/>
          <w:color w:val="000000"/>
          <w:sz w:val="20"/>
        </w:rPr>
        <w:t>, that if an Option is an Incentive Stock Option, such Option may be deemed to be a Nonstatutory Stock Option as a result of such transfer:</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Restrictions on Transfer.</w:t>
      </w:r>
      <w:r>
        <w:rPr>
          <w:color w:val="000000"/>
        </w:rPr>
        <w:t xml:space="preserve"> </w:t>
      </w:r>
      <w:r>
        <w:rPr>
          <w:rFonts w:ascii="Times New Roman" w:hAnsi="Times New Roman"/>
          <w:color w:val="000000"/>
          <w:sz w:val="20"/>
        </w:rPr>
        <w:t>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Domestic Relations Orders.</w:t>
      </w:r>
      <w:r>
        <w:rPr>
          <w:color w:val="000000"/>
        </w:rPr>
        <w:t xml:space="preserve"> </w:t>
      </w:r>
      <w:r>
        <w:rPr>
          <w:rFonts w:ascii="Times New Roman" w:hAnsi="Times New Roman"/>
          <w:color w:val="000000"/>
          <w:sz w:val="20"/>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pPr>
      <w:r>
        <w:rPr>
          <w:rFonts w:ascii="Times New Roman" w:hAnsi="Times New Roman"/>
          <w:b/>
          <w:color w:val="000000"/>
          <w:sz w:val="20"/>
        </w:rPr>
        <w:t>Vesting.</w:t>
      </w:r>
      <w:r>
        <w:rPr>
          <w:color w:val="000000"/>
        </w:rPr>
        <w:t xml:space="preserve"> </w:t>
      </w:r>
      <w:r>
        <w:rPr>
          <w:rFonts w:ascii="Times New Roman" w:hAnsi="Times New Roman"/>
          <w:color w:val="000000"/>
          <w:sz w:val="20"/>
        </w:rPr>
        <w:t>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w:t>
      </w:r>
    </w:p>
    <w:p>
      <w:pPr>
        <w:pStyle w:val="TextBody"/>
        <w:bidi w:val="0"/>
        <w:spacing w:before="0" w:after="240"/>
        <w:jc w:val="both"/>
        <w:rPr/>
      </w:pPr>
      <w:r>
        <w:rPr>
          <w:rFonts w:ascii="Times New Roman" w:hAnsi="Times New Roman"/>
          <w:b/>
          <w:color w:val="000000"/>
          <w:sz w:val="20"/>
        </w:rPr>
        <w:t>Termination of Continuous Service for Cause.</w:t>
      </w:r>
      <w:r>
        <w:rPr>
          <w:color w:val="000000"/>
        </w:rPr>
        <w:t xml:space="preserve"> </w:t>
      </w:r>
      <w:r>
        <w:rPr>
          <w:rFonts w:ascii="Times New Roman" w:hAnsi="Times New Roman"/>
          <w:color w:val="000000"/>
          <w:sz w:val="20"/>
        </w:rPr>
        <w:t>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w:t>
      </w:r>
    </w:p>
    <w:p>
      <w:pPr>
        <w:pStyle w:val="TextBody"/>
        <w:bidi w:val="0"/>
        <w:spacing w:before="0" w:after="240"/>
        <w:jc w:val="both"/>
        <w:rPr/>
      </w:pPr>
      <w:r>
        <w:rPr>
          <w:rFonts w:ascii="Times New Roman" w:hAnsi="Times New Roman"/>
          <w:b/>
          <w:color w:val="000000"/>
          <w:sz w:val="20"/>
        </w:rPr>
        <w:t>Post-Termination Exercise Period Following Termination of Continuous Service for Reasons Other than Cause.</w:t>
      </w:r>
      <w:r>
        <w:rPr>
          <w:color w:val="000000"/>
        </w:rPr>
        <w:t xml:space="preserve"> </w:t>
      </w:r>
      <w:r>
        <w:rPr>
          <w:rFonts w:ascii="Times New Roman" w:hAnsi="Times New Roman"/>
          <w:color w:val="000000"/>
          <w:sz w:val="20"/>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three months following the date of such termination if such termination is a termination without Cause (other than any termination due to the Participant’s Disability or death);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months following the date of such termination if such termination is due to the Participant’s Disability;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months following the date of such termination if such termination is due to the Participant’s death;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months following the date of the Participant’s death if such death occurs following the date of such termination but during the period such Award is otherwise exercisable (as provided in (i) or (ii)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 xml:space="preserve">Restrictions on Exercise; Extension of Exercisability. </w:t>
      </w:r>
      <w:r>
        <w:rPr>
          <w:rFonts w:ascii="Times New Roman" w:hAnsi="Times New Roman"/>
          <w:color w:val="000000"/>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w:t>
      </w:r>
    </w:p>
    <w:p>
      <w:pPr>
        <w:pStyle w:val="TextBody"/>
        <w:bidi w:val="0"/>
        <w:jc w:val="center"/>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to the maximum permitted number of extensions;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w:t>
      </w:r>
    </w:p>
    <w:p>
      <w:pPr>
        <w:pStyle w:val="TextBody"/>
        <w:bidi w:val="0"/>
        <w:spacing w:before="0" w:after="240"/>
        <w:jc w:val="both"/>
        <w:rPr/>
      </w:pPr>
      <w:r>
        <w:rPr>
          <w:rFonts w:ascii="Times New Roman" w:hAnsi="Times New Roman"/>
          <w:b/>
          <w:color w:val="000000"/>
          <w:sz w:val="20"/>
        </w:rPr>
        <w:t>Non-Exempt Employees.</w:t>
      </w:r>
      <w:r>
        <w:rPr>
          <w:color w:val="000000"/>
        </w:rPr>
        <w:t xml:space="preserve"> </w:t>
      </w:r>
      <w:r>
        <w:rPr>
          <w:rFonts w:ascii="Times New Roman" w:hAnsi="Times New Roman"/>
          <w:color w:val="000000"/>
          <w:sz w:val="20"/>
        </w:rPr>
        <w:t>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w:t>
      </w:r>
    </w:p>
    <w:p>
      <w:pPr>
        <w:pStyle w:val="TextBody"/>
        <w:bidi w:val="0"/>
        <w:spacing w:before="0" w:after="240"/>
        <w:jc w:val="both"/>
        <w:rPr/>
      </w:pPr>
      <w:r>
        <w:rPr>
          <w:rFonts w:ascii="Times New Roman" w:hAnsi="Times New Roman"/>
          <w:b/>
          <w:color w:val="000000"/>
          <w:sz w:val="20"/>
        </w:rPr>
        <w:t>Whole Shares.</w:t>
      </w:r>
      <w:r>
        <w:rPr>
          <w:color w:val="000000"/>
        </w:rPr>
        <w:t xml:space="preserve"> </w:t>
      </w:r>
      <w:r>
        <w:rPr>
          <w:rFonts w:ascii="Times New Roman" w:hAnsi="Times New Roman"/>
          <w:color w:val="000000"/>
          <w:sz w:val="20"/>
        </w:rPr>
        <w:t>Options and SARs may be exercised only with respect to whole shares of Common Stock or their equivalents.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Awards Other Than Options and Stock Appreciation Rights.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Restricted Stock Awards and RSU Awards.</w:t>
      </w:r>
      <w:r>
        <w:rPr>
          <w:color w:val="000000"/>
        </w:rPr>
        <w:t xml:space="preserve"> </w:t>
      </w:r>
      <w:r>
        <w:rPr>
          <w:rFonts w:ascii="Times New Roman" w:hAnsi="Times New Roman"/>
          <w:color w:val="000000"/>
          <w:sz w:val="20"/>
        </w:rPr>
        <w:t xml:space="preserve">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Form of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Consideration.</w:t>
      </w:r>
      <w:r>
        <w:rPr>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rFonts w:ascii="Times New Roman" w:hAnsi="Times New Roman"/>
          <w:b/>
          <w:color w:val="000000"/>
          <w:sz w:val="20"/>
        </w:rPr>
        <w:t xml:space="preserve">Vesting. </w:t>
      </w:r>
      <w:r>
        <w:rPr>
          <w:rFonts w:ascii="Times New Roman" w:hAnsi="Times New Roman"/>
          <w:color w:val="000000"/>
          <w:sz w:val="20"/>
        </w:rPr>
        <w:t xml:space="preserve">The Board may impose such restrictions on or conditions to the vesting of a Restricted Stock Award or RSU Award as determined by the Board. Except as otherwise provided in the Award Agreement or other </w:t>
      </w:r>
    </w:p>
    <w:p>
      <w:pPr>
        <w:pStyle w:val="TextBody"/>
        <w:bidi w:val="0"/>
        <w:jc w:val="center"/>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written agreement between a Participant and the Company, vesting of Restricted Stock Awards and RSU Awards will cease upon termination of the Participant’s Continuous Service.</w:t>
      </w:r>
      <w:r>
        <w:rPr>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pPr>
      <w:r>
        <w:rPr>
          <w:rFonts w:ascii="Times New Roman" w:hAnsi="Times New Roman"/>
          <w:b/>
          <w:color w:val="000000"/>
          <w:sz w:val="20"/>
        </w:rPr>
        <w:t>Termination of Continuous Service.</w:t>
      </w:r>
      <w:r>
        <w:rPr>
          <w:color w:val="000000"/>
        </w:rPr>
        <w:t xml:space="preserve"> </w:t>
      </w:r>
      <w:r>
        <w:rPr>
          <w:rFonts w:ascii="Times New Roman" w:hAnsi="Times New Roman"/>
          <w:color w:val="000000"/>
          <w:sz w:val="20"/>
        </w:rPr>
        <w:t>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pPr>
      <w:r>
        <w:rPr>
          <w:rFonts w:ascii="Times New Roman" w:hAnsi="Times New Roman"/>
          <w:b/>
          <w:color w:val="000000"/>
          <w:sz w:val="20"/>
        </w:rPr>
        <w:t xml:space="preserve">Dividends and Dividend Equivalents. </w:t>
      </w:r>
      <w:r>
        <w:rPr>
          <w:rFonts w:ascii="Times New Roman" w:hAnsi="Times New Roman"/>
          <w:color w:val="000000"/>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w:t>
      </w:r>
    </w:p>
    <w:p>
      <w:pPr>
        <w:pStyle w:val="TextBody"/>
        <w:bidi w:val="0"/>
        <w:spacing w:before="0" w:after="240"/>
        <w:jc w:val="both"/>
        <w:rPr/>
      </w:pPr>
      <w:r>
        <w:rPr>
          <w:rFonts w:ascii="Times New Roman" w:hAnsi="Times New Roman"/>
          <w:b/>
          <w:color w:val="000000"/>
          <w:sz w:val="20"/>
        </w:rPr>
        <w:t>Settlement of RSU Awards</w:t>
      </w:r>
      <w:r>
        <w:rPr>
          <w:rFonts w:ascii="Times New Roman" w:hAnsi="Times New Roman"/>
          <w:color w:val="000000"/>
          <w:sz w:val="20"/>
        </w:rPr>
        <w:t>.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Performance Awards</w:t>
      </w:r>
      <w:r>
        <w:rPr>
          <w:rFonts w:ascii="Times New Roman" w:hAnsi="Times New Roman"/>
          <w:color w:val="000000"/>
          <w:sz w:val="20"/>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Other Awards</w:t>
      </w:r>
      <w:r>
        <w:rPr>
          <w:rFonts w:ascii="Times New Roman" w:hAnsi="Times New Roman"/>
          <w:color w:val="000000"/>
          <w:sz w:val="20"/>
        </w:rPr>
        <w:t>.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(f)</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Adjustments upon Changes in Common Stock; Other Corporate Events.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Capitalization Adjustments</w:t>
      </w:r>
      <w:r>
        <w:rPr>
          <w:rFonts w:ascii="Times New Roman" w:hAnsi="Times New Roman"/>
          <w:color w:val="000000"/>
          <w:sz w:val="20"/>
        </w:rPr>
        <w:t>. In the event of a Capitalization Adjustment, the Board shall appropriately and proportionately adjust: (i) the class(es) and maximum number of shares of Common Stock subject to the Plan;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Dissolution or Liquidation.</w:t>
      </w:r>
      <w:r>
        <w:rPr>
          <w:color w:val="000000"/>
        </w:rPr>
        <w:t xml:space="preserve"> </w:t>
      </w:r>
      <w:r>
        <w:rPr>
          <w:rFonts w:ascii="Times New Roman" w:hAnsi="Times New Roman"/>
          <w:color w:val="000000"/>
          <w:sz w:val="20"/>
        </w:rPr>
        <w:t>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 xml:space="preserve">Corporate Transaction. </w:t>
      </w:r>
      <w:r>
        <w:rPr>
          <w:rFonts w:ascii="Times New Roman" w:hAnsi="Times New Roman"/>
          <w:color w:val="000000"/>
          <w:sz w:val="20"/>
        </w:rPr>
        <w:t xml:space="preserve">The following provisions will apply to Awards in the event of a Corporate Transaction, except as set forth in Section 11, unless otherwise provided in the instrument evidencing the Award or any other written agreement between the Company and the Participant or unless otherwise expressly provided by the Board at the time of grant of an Award. </w:t>
      </w:r>
    </w:p>
    <w:p>
      <w:pPr>
        <w:pStyle w:val="TextBody"/>
        <w:bidi w:val="0"/>
        <w:jc w:val="center"/>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Awards May Be Assumed.</w:t>
      </w:r>
      <w:r>
        <w:rPr>
          <w:color w:val="000000"/>
        </w:rPr>
        <w:t xml:space="preserve"> </w:t>
      </w:r>
      <w:r>
        <w:rPr>
          <w:rFonts w:ascii="Times New Roman" w:hAnsi="Times New Roman"/>
          <w:color w:val="000000"/>
          <w:sz w:val="20"/>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Awards Held by Current Participants.</w:t>
      </w:r>
      <w:r>
        <w:rPr>
          <w:color w:val="000000"/>
        </w:rPr>
        <w:t xml:space="preserve"> </w:t>
      </w:r>
      <w:r>
        <w:rPr>
          <w:rFonts w:ascii="Times New Roman" w:hAnsi="Times New Roman"/>
          <w:color w:val="000000"/>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color w:val="000000"/>
          <w:sz w:val="20"/>
        </w:rPr>
        <w:t>Current Participants</w:t>
      </w:r>
      <w:r>
        <w:rPr>
          <w:color w:val="000000"/>
        </w:rPr>
        <w:t>”</w:t>
      </w:r>
      <w:r>
        <w:rPr>
          <w:rFonts w:ascii="Times New Roman" w:hAnsi="Times New Roman"/>
          <w:color w:val="000000"/>
          <w:sz w:val="20"/>
        </w:rPr>
        <w:t>), the vesting of such Awards (and, with respect to Options and Stock Appreciation Rights, the time when such Awards may be exercised) will</w:t>
      </w:r>
      <w:r>
        <w:rPr>
          <w:color w:val="000000"/>
        </w:rPr>
        <w:t xml:space="preserve"> </w:t>
      </w:r>
      <w:r>
        <w:rPr>
          <w:rFonts w:ascii="Times New Roman" w:hAnsi="Times New Roman"/>
          <w:color w:val="000000"/>
          <w:sz w:val="20"/>
        </w:rPr>
        <w:t xml:space="preserve">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rFonts w:ascii="Times New Roman" w:hAnsi="Times New Roman"/>
          <w:b/>
          <w:color w:val="000000"/>
          <w:sz w:val="20"/>
        </w:rPr>
        <w:t>Awards Held by Persons other than Current Participants.</w:t>
      </w:r>
      <w:r>
        <w:rPr>
          <w:color w:val="000000"/>
        </w:rPr>
        <w:t xml:space="preserve"> </w:t>
      </w:r>
      <w:r>
        <w:rPr>
          <w:rFonts w:ascii="Times New Roman" w:hAnsi="Times New Roman"/>
          <w:color w:val="000000"/>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pPr>
      <w:r>
        <w:rPr>
          <w:rFonts w:ascii="Times New Roman" w:hAnsi="Times New Roman"/>
          <w:b/>
          <w:color w:val="000000"/>
          <w:sz w:val="20"/>
        </w:rPr>
        <w:t>Payment for Awards in Lieu of Exercise.</w:t>
      </w:r>
      <w:r>
        <w:rPr>
          <w:color w:val="000000"/>
        </w:rPr>
        <w:t xml:space="preserve"> </w:t>
      </w:r>
      <w:r>
        <w:rPr>
          <w:rFonts w:ascii="Times New Roman" w:hAnsi="Times New Roman"/>
          <w:color w:val="000000"/>
          <w:sz w:val="20"/>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Appointment of Stockholder Representative.</w:t>
      </w:r>
      <w:r>
        <w:rPr>
          <w:color w:val="000000"/>
        </w:rPr>
        <w:t xml:space="preserve"> </w:t>
      </w:r>
      <w:r>
        <w:rPr>
          <w:rFonts w:ascii="Times New Roman" w:hAnsi="Times New Roman"/>
          <w:color w:val="000000"/>
          <w:sz w:val="20"/>
        </w:rPr>
        <w:t>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b/>
          <w:color w:val="000000"/>
          <w:sz w:val="20"/>
        </w:rPr>
        <w:t>No Restriction on Right to Undertake Transactions.</w:t>
      </w:r>
      <w:r>
        <w:rPr>
          <w:color w:val="000000"/>
        </w:rPr>
        <w:t xml:space="preserve"> </w:t>
      </w:r>
      <w:r>
        <w:rPr>
          <w:rFonts w:ascii="Times New Roman" w:hAnsi="Times New Roman"/>
          <w:color w:val="000000"/>
          <w:sz w:val="20"/>
        </w:rPr>
        <w:t>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jc w:val="center"/>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(g)</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Administration.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Administration by Board.</w:t>
      </w:r>
      <w:r>
        <w:rPr>
          <w:color w:val="000000"/>
        </w:rPr>
        <w:t xml:space="preserve"> </w:t>
      </w:r>
      <w:r>
        <w:rPr>
          <w:rFonts w:ascii="Times New Roman" w:hAnsi="Times New Roman"/>
          <w:color w:val="000000"/>
          <w:sz w:val="20"/>
        </w:rPr>
        <w:t xml:space="preserve">The Board will administer the Plan unless and until the Board delegates administration of the Plan to a Committee or Committees, as provided in subsection (c) below.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Powers of Board.</w:t>
      </w:r>
      <w:r>
        <w:rPr>
          <w:color w:val="000000"/>
        </w:rPr>
        <w:t xml:space="preserve"> </w:t>
      </w:r>
      <w:r>
        <w:rPr>
          <w:rFonts w:ascii="Times New Roman" w:hAnsi="Times New Roman"/>
          <w:color w:val="000000"/>
          <w:sz w:val="20"/>
        </w:rPr>
        <w:t>The Board will have the power, subject to, and within the limitations of, the express provisions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settle all controversies regarding the Plan and Awards granted under it.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vii.</w:t>
      </w:r>
    </w:p>
    <w:p>
      <w:pPr>
        <w:pStyle w:val="TextBody"/>
        <w:bidi w:val="0"/>
        <w:spacing w:before="0" w:after="240"/>
        <w:jc w:val="both"/>
        <w:rPr/>
      </w:pPr>
      <w:r>
        <w:rPr>
          <w:rFonts w:ascii="Times New Roman" w:hAnsi="Times New Roman"/>
          <w:color w:val="000000"/>
          <w:sz w:val="20"/>
        </w:rPr>
        <w:t>To amend the Plan in any respect the Board deems necessary or advisable; provided, however</w:t>
      </w:r>
      <w:r>
        <w:rPr>
          <w:rFonts w:ascii="Times New Roman" w:hAnsi="Times New Roman"/>
          <w:i/>
          <w:color w:val="000000"/>
          <w:sz w:val="20"/>
        </w:rPr>
        <w:t>,</w:t>
      </w:r>
      <w:r>
        <w:rPr>
          <w:color w:val="000000"/>
        </w:rPr>
        <w:t xml:space="preserve"> </w:t>
      </w:r>
      <w:r>
        <w:rPr>
          <w:rFonts w:ascii="Times New Roman" w:hAnsi="Times New Roman"/>
          <w:color w:val="000000"/>
          <w:sz w:val="20"/>
        </w:rPr>
        <w:t>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submit any amendment to the Plan for stockholder approval.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ix.</w:t>
      </w:r>
    </w:p>
    <w:p>
      <w:pPr>
        <w:pStyle w:val="TextBody"/>
        <w:bidi w:val="0"/>
        <w:spacing w:before="0" w:after="240"/>
        <w:jc w:val="both"/>
        <w:rPr/>
      </w:pPr>
      <w:r>
        <w:rPr>
          <w:rFonts w:ascii="Times New Roman" w:hAnsi="Times New Roman"/>
          <w:color w:val="000000"/>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color w:val="000000"/>
          <w:sz w:val="20"/>
        </w:rPr>
        <w:t>provided however</w:t>
      </w:r>
      <w:r>
        <w:rPr>
          <w:rFonts w:ascii="Times New Roman" w:hAnsi="Times New Roman"/>
          <w:color w:val="000000"/>
          <w:sz w:val="20"/>
        </w:rPr>
        <w:t>,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w:t>
      </w:r>
    </w:p>
    <w:p>
      <w:pPr>
        <w:pStyle w:val="TextBody"/>
        <w:bidi w:val="0"/>
        <w:jc w:val="center"/>
        <w:rPr>
          <w:rFonts w:ascii="Times New Roman" w:hAnsi="Times New Roman"/>
          <w:color w:val="000000"/>
          <w:sz w:val="20"/>
        </w:rPr>
      </w:pPr>
      <w:r>
        <w:rPr>
          <w:rFonts w:ascii="Times New Roman" w:hAnsi="Times New Roman"/>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necessary for immaterial modifications to the Plan or any Award Agreement to ensure or facilitate compliance with the laws of the relevant non-U.S. jurisdiction).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No Repricing Without Stockholder Approval</w:t>
      </w:r>
      <w:r>
        <w:rPr>
          <w:rFonts w:ascii="Times New Roman" w:hAnsi="Times New Roman"/>
          <w:color w:val="000000"/>
          <w:sz w:val="20"/>
        </w:rPr>
        <w:t>. Except in connection with a Corporate Transaction involving the Company (including, without limitation, any stock dividend, distribution (whether in the form of cash, shares of Common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exercise price of such outstanding Options or SARs; (b) cancel outstanding Options or SARs in exchange for or substitution of Options or SARs with an exercise price that is less than the exercise price of the original Options or SARs; or (c) cancel outstanding Options or SARs with an exercise price above the current per share Fair Market Value in exchange for cash or other securities, in each case unless such action (i) is subject to and approved by the Company’s stockholders or (ii) would not be deemed to be a repricing under the rules of any stock exchange or established securities market on which Common Stock is listed or publicly traded.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Delegation to Committee.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General.</w:t>
      </w:r>
      <w:r>
        <w:rPr>
          <w:color w:val="000000"/>
        </w:rPr>
        <w:t xml:space="preserve"> </w:t>
      </w:r>
      <w:r>
        <w:rPr>
          <w:rFonts w:ascii="Times New Roman" w:hAnsi="Times New Roman"/>
          <w:color w:val="000000"/>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Rule 16b-3 Compliance.</w:t>
      </w:r>
      <w:r>
        <w:rPr>
          <w:color w:val="000000"/>
        </w:rPr>
        <w:t xml:space="preserve"> </w:t>
      </w:r>
      <w:r>
        <w:rPr>
          <w:rFonts w:ascii="Times New Roman" w:hAnsi="Times New Roman"/>
          <w:color w:val="000000"/>
          <w:sz w:val="20"/>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b/>
          <w:color w:val="000000"/>
          <w:sz w:val="20"/>
        </w:rPr>
        <w:t>Effect of Board’s Decision.</w:t>
      </w:r>
      <w:r>
        <w:rPr>
          <w:color w:val="000000"/>
        </w:rPr>
        <w:t xml:space="preserve"> </w:t>
      </w:r>
      <w:r>
        <w:rPr>
          <w:rFonts w:ascii="Times New Roman" w:hAnsi="Times New Roman"/>
          <w:color w:val="000000"/>
          <w:sz w:val="20"/>
        </w:rPr>
        <w:t>All determinations, interpretations and constructions made by the Board or any Committee in good faith will not be subject to review by any person and will be final, binding and conclusive on all persons.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pPr>
      <w:r>
        <w:rPr>
          <w:rFonts w:ascii="Times New Roman" w:hAnsi="Times New Roman"/>
          <w:b/>
          <w:color w:val="000000"/>
          <w:sz w:val="20"/>
        </w:rPr>
        <w:t>Delegation to Other Person or Body.</w:t>
      </w:r>
      <w:r>
        <w:rPr>
          <w:color w:val="000000"/>
        </w:rPr>
        <w:t xml:space="preserve"> </w:t>
      </w:r>
      <w:r>
        <w:rPr>
          <w:rFonts w:ascii="Times New Roman" w:hAnsi="Times New Roman"/>
          <w:color w:val="000000"/>
          <w:sz w:val="20"/>
        </w:rPr>
        <w:t>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(h)</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Tax Withholding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Withholding Authorization.</w:t>
      </w:r>
      <w:r>
        <w:rPr>
          <w:color w:val="000000"/>
        </w:rPr>
        <w:t xml:space="preserve"> </w:t>
      </w:r>
      <w:r>
        <w:rPr>
          <w:rFonts w:ascii="Times New Roman" w:hAnsi="Times New Roman"/>
          <w:color w:val="000000"/>
          <w:sz w:val="20"/>
        </w:rPr>
        <w:t>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jc w:val="center"/>
        <w:rPr>
          <w:rFonts w:ascii="Times New Roman" w:hAnsi="Times New Roman"/>
          <w:color w:val="000000"/>
          <w:sz w:val="20"/>
        </w:rPr>
      </w:pPr>
      <w:r>
        <w:rPr>
          <w:rFonts w:ascii="Times New Roman" w:hAnsi="Times New Roman"/>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Satisfaction of Withholding Obligation.</w:t>
      </w:r>
      <w:r>
        <w:rPr>
          <w:color w:val="000000"/>
        </w:rPr>
        <w:t xml:space="preserve"> </w:t>
      </w:r>
      <w:r>
        <w:rPr>
          <w:rFonts w:ascii="Times New Roman" w:hAnsi="Times New Roman"/>
          <w:color w:val="000000"/>
          <w:sz w:val="20"/>
        </w:rPr>
        <w:t xml:space="preserve">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 xml:space="preserve">No Obligation to Notify or Minimize Taxes; No Liability to Claims. </w:t>
      </w:r>
      <w:r>
        <w:rPr>
          <w:rFonts w:ascii="Times New Roman" w:hAnsi="Times New Roman"/>
          <w:color w:val="000000"/>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 xml:space="preserve">Withholding Indemnification. </w:t>
      </w:r>
      <w:r>
        <w:rPr>
          <w:rFonts w:ascii="Times New Roman" w:hAnsi="Times New Roman"/>
          <w:color w:val="000000"/>
          <w:sz w:val="20"/>
        </w:rPr>
        <w:t>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(i)</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Miscellaneous.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Source of Shares.</w:t>
      </w:r>
      <w:r>
        <w:rPr>
          <w:color w:val="000000"/>
        </w:rPr>
        <w:t xml:space="preserve"> </w:t>
      </w:r>
      <w:r>
        <w:rPr>
          <w:rFonts w:ascii="Times New Roman" w:hAnsi="Times New Roman"/>
          <w:color w:val="000000"/>
          <w:sz w:val="20"/>
        </w:rPr>
        <w:t>The stock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 xml:space="preserve">Use of Proceeds from Sales of Common Stock. </w:t>
      </w:r>
      <w:r>
        <w:rPr>
          <w:rFonts w:ascii="Times New Roman" w:hAnsi="Times New Roman"/>
          <w:color w:val="000000"/>
          <w:sz w:val="20"/>
        </w:rPr>
        <w:t>Proceeds from the sale of shares of Common Stock pursuant to Awards will constitute general funds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Corporate Action Constituting Grant of Awards.</w:t>
      </w:r>
      <w:r>
        <w:rPr>
          <w:color w:val="000000"/>
        </w:rPr>
        <w:t xml:space="preserve"> </w:t>
      </w:r>
      <w:r>
        <w:rPr>
          <w:rFonts w:ascii="Times New Roman" w:hAnsi="Times New Roman"/>
          <w:color w:val="000000"/>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Stockholder Rights.</w:t>
      </w:r>
      <w:r>
        <w:rPr>
          <w:color w:val="000000"/>
        </w:rPr>
        <w:t xml:space="preserve"> </w:t>
      </w:r>
      <w:r>
        <w:rPr>
          <w:rFonts w:ascii="Times New Roman" w:hAnsi="Times New Roman"/>
          <w:color w:val="000000"/>
          <w:sz w:val="20"/>
        </w:rPr>
        <w:t xml:space="preserve">No Participant will be deemed to be the holder of, or to have any of the rights of a holder with respect to, any shares of Common Stock subject to such Award unless and until (i) such Participant has satisfied all </w:t>
      </w:r>
    </w:p>
    <w:p>
      <w:pPr>
        <w:pStyle w:val="TextBody"/>
        <w:bidi w:val="0"/>
        <w:jc w:val="center"/>
        <w:rPr>
          <w:rFonts w:ascii="Times New Roman" w:hAnsi="Times New Roman"/>
          <w:color w:val="000000"/>
          <w:sz w:val="20"/>
        </w:rPr>
      </w:pPr>
      <w:r>
        <w:rPr>
          <w:rFonts w:ascii="Times New Roman" w:hAnsi="Times New Roman"/>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requirements for exercise of the Award pursuant to its terms, if applicable, and (ii) the issuance of the Common Stock subject to such Award is reflected in the records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b/>
          <w:color w:val="000000"/>
          <w:sz w:val="20"/>
        </w:rPr>
        <w:t>No Employment or Other Service Rights.</w:t>
      </w:r>
      <w:r>
        <w:rPr>
          <w:color w:val="000000"/>
        </w:rPr>
        <w:t xml:space="preserve"> </w:t>
      </w:r>
      <w:r>
        <w:rPr>
          <w:rFonts w:ascii="Times New Roman" w:hAnsi="Times New Roman"/>
          <w:color w:val="000000"/>
          <w:sz w:val="20"/>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pPr>
      <w:r>
        <w:rPr>
          <w:rFonts w:ascii="Times New Roman" w:hAnsi="Times New Roman"/>
          <w:b/>
          <w:color w:val="000000"/>
          <w:sz w:val="20"/>
        </w:rPr>
        <w:t>Change in Time Commitment.</w:t>
      </w:r>
      <w:r>
        <w:rPr>
          <w:color w:val="000000"/>
        </w:rPr>
        <w:t xml:space="preserve"> </w:t>
      </w:r>
      <w:r>
        <w:rPr>
          <w:rFonts w:ascii="Times New Roman" w:hAnsi="Times New Roman"/>
          <w:color w:val="000000"/>
          <w:sz w:val="20"/>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w:t>
      </w:r>
    </w:p>
    <w:p>
      <w:pPr>
        <w:pStyle w:val="TextBody"/>
        <w:bidi w:val="0"/>
        <w:spacing w:before="0" w:after="240"/>
        <w:jc w:val="both"/>
        <w:rPr/>
      </w:pPr>
      <w:r>
        <w:rPr>
          <w:rFonts w:ascii="Times New Roman" w:hAnsi="Times New Roman"/>
          <w:b/>
          <w:color w:val="000000"/>
          <w:sz w:val="20"/>
        </w:rPr>
        <w:t>Execution of Additional Documents.</w:t>
      </w:r>
      <w:r>
        <w:rPr>
          <w:color w:val="000000"/>
        </w:rPr>
        <w:t xml:space="preserve"> </w:t>
      </w:r>
      <w:r>
        <w:rPr>
          <w:rFonts w:ascii="Times New Roman" w:hAnsi="Times New Roman"/>
          <w:color w:val="000000"/>
          <w:sz w:val="20"/>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w:t>
      </w:r>
    </w:p>
    <w:p>
      <w:pPr>
        <w:pStyle w:val="TextBody"/>
        <w:bidi w:val="0"/>
        <w:spacing w:before="0" w:after="240"/>
        <w:jc w:val="both"/>
        <w:rPr/>
      </w:pPr>
      <w:r>
        <w:rPr>
          <w:rFonts w:ascii="Times New Roman" w:hAnsi="Times New Roman"/>
          <w:b/>
          <w:color w:val="000000"/>
          <w:sz w:val="20"/>
        </w:rPr>
        <w:t>Electronic Delivery and Participation.</w:t>
      </w:r>
      <w:r>
        <w:rPr>
          <w:color w:val="000000"/>
        </w:rPr>
        <w:t xml:space="preserve"> </w:t>
      </w:r>
      <w:r>
        <w:rPr>
          <w:rFonts w:ascii="Times New Roman" w:hAnsi="Times New Roman"/>
          <w:color w:val="000000"/>
          <w:sz w:val="20"/>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Clawback/Recovery.</w:t>
      </w:r>
      <w:r>
        <w:rPr>
          <w:color w:val="000000"/>
        </w:rPr>
        <w:t xml:space="preserve"> </w:t>
      </w:r>
      <w:r>
        <w:rPr>
          <w:rFonts w:ascii="Times New Roman" w:hAnsi="Times New Roman"/>
          <w:color w:val="000000"/>
          <w:sz w:val="20"/>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w:t>
      </w:r>
    </w:p>
    <w:p>
      <w:pPr>
        <w:pStyle w:val="TextBody"/>
        <w:bidi w:val="0"/>
        <w:spacing w:before="0" w:after="240"/>
        <w:jc w:val="both"/>
        <w:rPr/>
      </w:pPr>
      <w:r>
        <w:rPr>
          <w:rFonts w:ascii="Times New Roman" w:hAnsi="Times New Roman"/>
          <w:b/>
          <w:color w:val="000000"/>
          <w:sz w:val="20"/>
        </w:rPr>
        <w:t xml:space="preserve">Securities Law Compliance. </w:t>
      </w:r>
      <w:r>
        <w:rPr>
          <w:rFonts w:ascii="Times New Roman" w:hAnsi="Times New Roman"/>
          <w:color w:val="000000"/>
          <w:sz w:val="20"/>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w:t>
      </w:r>
    </w:p>
    <w:p>
      <w:pPr>
        <w:pStyle w:val="TextBody"/>
        <w:bidi w:val="0"/>
        <w:spacing w:before="0" w:after="240"/>
        <w:jc w:val="both"/>
        <w:rPr/>
      </w:pPr>
      <w:r>
        <w:rPr>
          <w:rFonts w:ascii="Times New Roman" w:hAnsi="Times New Roman"/>
          <w:b/>
          <w:color w:val="000000"/>
          <w:sz w:val="20"/>
        </w:rPr>
        <w:t>Transfer or Assignment of Awards; Issued Shares.</w:t>
      </w:r>
      <w:r>
        <w:rPr>
          <w:color w:val="000000"/>
        </w:rPr>
        <w:t xml:space="preserve"> </w:t>
      </w:r>
      <w:r>
        <w:rPr>
          <w:rFonts w:ascii="Times New Roman" w:hAnsi="Times New Roman"/>
          <w:color w:val="000000"/>
          <w:sz w:val="20"/>
        </w:rPr>
        <w:t xml:space="preserve">Except as expressly provided in the Plan or the form of Award Agreement, Awards granted under the Plan may not be transferred or assigned by the Participant. After the vested </w:t>
      </w:r>
    </w:p>
    <w:p>
      <w:pPr>
        <w:pStyle w:val="TextBody"/>
        <w:bidi w:val="0"/>
        <w:jc w:val="center"/>
        <w:rPr>
          <w:rFonts w:ascii="Times New Roman" w:hAnsi="Times New Roman"/>
          <w:color w:val="000000"/>
          <w:sz w:val="20"/>
        </w:rPr>
      </w:pPr>
      <w:r>
        <w:rPr>
          <w:rFonts w:ascii="Times New Roman" w:hAnsi="Times New Roman"/>
          <w:color w:val="000000"/>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w:t>
      </w:r>
    </w:p>
    <w:p>
      <w:pPr>
        <w:pStyle w:val="TextBody"/>
        <w:bidi w:val="0"/>
        <w:spacing w:before="0" w:after="240"/>
        <w:jc w:val="both"/>
        <w:rPr/>
      </w:pPr>
      <w:r>
        <w:rPr>
          <w:rFonts w:ascii="Times New Roman" w:hAnsi="Times New Roman"/>
          <w:b/>
          <w:color w:val="000000"/>
          <w:sz w:val="20"/>
        </w:rPr>
        <w:t xml:space="preserve">Effect on Other Employee Benefit Plans. </w:t>
      </w:r>
      <w:r>
        <w:rPr>
          <w:rFonts w:ascii="Times New Roman" w:hAnsi="Times New Roman"/>
          <w:color w:val="000000"/>
          <w:sz w:val="20"/>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w:t>
      </w:r>
    </w:p>
    <w:p>
      <w:pPr>
        <w:pStyle w:val="TextBody"/>
        <w:bidi w:val="0"/>
        <w:spacing w:before="0" w:after="240"/>
        <w:jc w:val="both"/>
        <w:rPr/>
      </w:pPr>
      <w:r>
        <w:rPr>
          <w:rFonts w:ascii="Times New Roman" w:hAnsi="Times New Roman"/>
          <w:b/>
          <w:color w:val="000000"/>
          <w:sz w:val="20"/>
        </w:rPr>
        <w:t>Deferrals.</w:t>
      </w:r>
      <w:r>
        <w:rPr>
          <w:color w:val="000000"/>
        </w:rPr>
        <w:t xml:space="preserve"> </w:t>
      </w:r>
      <w:r>
        <w:rPr>
          <w:rFonts w:ascii="Times New Roman" w:hAnsi="Times New Roman"/>
          <w:color w:val="000000"/>
          <w:sz w:val="20"/>
        </w:rPr>
        <w:t>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w:t>
      </w:r>
    </w:p>
    <w:p>
      <w:pPr>
        <w:pStyle w:val="TextBody"/>
        <w:bidi w:val="0"/>
        <w:spacing w:before="0" w:after="240"/>
        <w:jc w:val="both"/>
        <w:rPr/>
      </w:pPr>
      <w:r>
        <w:rPr>
          <w:rFonts w:ascii="Times New Roman" w:hAnsi="Times New Roman"/>
          <w:b/>
          <w:color w:val="000000"/>
          <w:sz w:val="20"/>
        </w:rPr>
        <w:t xml:space="preserve">Section 409A. </w:t>
      </w:r>
      <w:r>
        <w:rPr>
          <w:rFonts w:ascii="Times New Roman" w:hAnsi="Times New Roman"/>
          <w:color w:val="000000"/>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w:t>
      </w:r>
    </w:p>
    <w:p>
      <w:pPr>
        <w:pStyle w:val="TextBody"/>
        <w:bidi w:val="0"/>
        <w:spacing w:before="0" w:after="240"/>
        <w:jc w:val="both"/>
        <w:rPr/>
      </w:pPr>
      <w:r>
        <w:rPr>
          <w:rFonts w:ascii="Times New Roman" w:hAnsi="Times New Roman"/>
          <w:b/>
          <w:color w:val="000000"/>
          <w:sz w:val="20"/>
        </w:rPr>
        <w:t>Choice of Law</w:t>
      </w:r>
      <w:r>
        <w:rPr>
          <w:rFonts w:ascii="Times New Roman" w:hAnsi="Times New Roman"/>
          <w:b/>
          <w:smallCaps/>
          <w:color w:val="000000"/>
          <w:sz w:val="20"/>
        </w:rPr>
        <w:t xml:space="preserve">. </w:t>
      </w:r>
      <w:r>
        <w:rPr>
          <w:rFonts w:ascii="Times New Roman" w:hAnsi="Times New Roman"/>
          <w:color w:val="000000"/>
          <w:sz w:val="20"/>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(j)</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(k)</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Additional Rules for Awards Subject to Section 409A.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 xml:space="preserve">Application. </w:t>
      </w:r>
      <w:r>
        <w:rPr>
          <w:rFonts w:ascii="Times New Roman" w:hAnsi="Times New Roman"/>
          <w:color w:val="000000"/>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Non-Exempt Awards Subject to Non-Exempt Severance Arrangements.</w:t>
      </w:r>
      <w:r>
        <w:rPr>
          <w:color w:val="000000"/>
        </w:rPr>
        <w:t xml:space="preserve"> </w:t>
      </w:r>
      <w:r>
        <w:rPr>
          <w:rFonts w:ascii="Times New Roman" w:hAnsi="Times New Roman"/>
          <w:color w:val="000000"/>
          <w:sz w:val="20"/>
        </w:rPr>
        <w:t>To the extent a Non-Exempt Award is subject to Section 409A due to application of a Non-Exempt Severance Arrangement, the following provisions of this subsection (b) apply.</w:t>
      </w:r>
    </w:p>
    <w:p>
      <w:pPr>
        <w:pStyle w:val="TextBody"/>
        <w:bidi w:val="0"/>
        <w:jc w:val="center"/>
        <w:rPr>
          <w:rFonts w:ascii="Times New Roman" w:hAnsi="Times New Roman"/>
          <w:color w:val="000000"/>
          <w:sz w:val="20"/>
        </w:rPr>
      </w:pPr>
      <w:r>
        <w:rPr>
          <w:rFonts w:ascii="Times New Roman" w:hAnsi="Times New Roman"/>
          <w:color w:val="000000"/>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hAnsi="Times New Roman"/>
          <w:color w:val="000000"/>
          <w:sz w:val="13"/>
        </w:rPr>
        <w:t>st</w:t>
      </w:r>
      <w:r>
        <w:rPr>
          <w:color w:val="000000"/>
        </w:rPr>
        <w:t xml:space="preserve"> </w:t>
      </w:r>
      <w:r>
        <w:rPr>
          <w:rFonts w:ascii="Times New Roman" w:hAnsi="Times New Roman"/>
          <w:color w:val="000000"/>
          <w:sz w:val="20"/>
        </w:rPr>
        <w:t>of the calendar year that includes the applicable vesting date, or (ii) the 60</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day that follows the applicable vesting date.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color w:val="000000"/>
          <w:sz w:val="20"/>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hAnsi="Times New Roman"/>
          <w:color w:val="000000"/>
          <w:sz w:val="13"/>
        </w:rPr>
        <w:t>th</w:t>
      </w:r>
      <w:r>
        <w:rPr>
          <w:color w:val="000000"/>
        </w:rPr>
        <w:t xml:space="preserve"> </w:t>
      </w:r>
      <w:r>
        <w:rPr>
          <w:rFonts w:ascii="Times New Roman" w:hAnsi="Times New Roman"/>
          <w:color w:val="000000"/>
          <w:sz w:val="20"/>
        </w:rPr>
        <w:t>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Treatment of Non-Exempt Awards Upon a Corporate Transaction for Employees and Consultants.</w:t>
      </w:r>
      <w:r>
        <w:rPr>
          <w:color w:val="0070C0"/>
        </w:rPr>
        <w:t xml:space="preserve"> </w:t>
      </w:r>
      <w:r>
        <w:rPr>
          <w:rFonts w:ascii="Times New Roman" w:hAnsi="Times New Roman"/>
          <w:color w:val="000000"/>
          <w:sz w:val="20"/>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b/>
          <w:color w:val="000000"/>
          <w:sz w:val="20"/>
        </w:rPr>
        <w:t>Vested Non-Exempt Awards.</w:t>
      </w:r>
      <w:r>
        <w:rPr>
          <w:color w:val="000000"/>
        </w:rPr>
        <w:t xml:space="preserve"> </w:t>
      </w:r>
      <w:r>
        <w:rPr>
          <w:rFonts w:ascii="Times New Roman" w:hAnsi="Times New Roman"/>
          <w:color w:val="000000"/>
          <w:sz w:val="20"/>
        </w:rPr>
        <w:t>The following provisions shall apply to any Vested Non-Exempt Award in connection with a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rFonts w:ascii="Times New Roman" w:hAnsi="Times New Roman"/>
          <w:b/>
          <w:color w:val="000000"/>
          <w:sz w:val="20"/>
        </w:rPr>
        <w:t>Unvested Non-Exempt Awards.</w:t>
      </w:r>
      <w:r>
        <w:rPr>
          <w:color w:val="000000"/>
        </w:rPr>
        <w:t xml:space="preserve"> </w:t>
      </w:r>
      <w:r>
        <w:rPr>
          <w:rFonts w:ascii="Times New Roman" w:hAnsi="Times New Roman"/>
          <w:color w:val="000000"/>
          <w:sz w:val="20"/>
        </w:rPr>
        <w:t>The following provisions shall apply to any Unvested Non-Exempt Award unless otherwise determined by the Board pursuant to subsection (e) of this Section.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w:t>
      </w:r>
    </w:p>
    <w:p>
      <w:pPr>
        <w:pStyle w:val="TextBody"/>
        <w:bidi w:val="0"/>
        <w:jc w:val="center"/>
        <w:rPr>
          <w:rFonts w:ascii="Times New Roman" w:hAnsi="Times New Roman"/>
          <w:color w:val="000000"/>
          <w:sz w:val="20"/>
        </w:rPr>
      </w:pPr>
      <w:r>
        <w:rPr>
          <w:rFonts w:ascii="Times New Roman" w:hAnsi="Times New Roman"/>
          <w:color w:val="000000"/>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be issued to the Participant on such issuance dates, with the determination of Fair Market Value of the shares made on the date of the Corporate Transaction.</w:t>
      </w:r>
      <w:r>
        <w:rPr>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treatment shall apply with respect to all Unvested Non-Exempt Awards upon any Corporate Transaction, and regardless of whether or not such Corporate Transaction is also a Section 409A Change in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rFonts w:ascii="Times New Roman" w:hAnsi="Times New Roman"/>
          <w:b/>
          <w:color w:val="000000"/>
          <w:sz w:val="20"/>
        </w:rPr>
        <w:t>Treatment of Non-Exempt Awards Upon a Corporate Transaction for Non-Employee Directors.</w:t>
      </w:r>
      <w:r>
        <w:rPr>
          <w:color w:val="000000"/>
        </w:rPr>
        <w:t xml:space="preserve"> </w:t>
      </w:r>
      <w:r>
        <w:rPr>
          <w:rFonts w:ascii="Times New Roman" w:hAnsi="Times New Roman"/>
          <w:color w:val="000000"/>
          <w:sz w:val="20"/>
        </w:rPr>
        <w:t xml:space="preserve">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explicitly reserves the right to earlier settle any Non-Exempt Award to the extent permitted and in compliance with the requirements of Section 409A, including pursuant to any of the exemptions available in U.S. Treasury Regulations Section 1.409A-3(j)(4)(ix).</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w:t>
      </w:r>
    </w:p>
    <w:p>
      <w:pPr>
        <w:pStyle w:val="TextBody"/>
        <w:bidi w:val="0"/>
        <w:jc w:val="center"/>
        <w:rPr>
          <w:rFonts w:ascii="Times New Roman" w:hAnsi="Times New Roman"/>
          <w:color w:val="000000"/>
          <w:sz w:val="20"/>
        </w:rPr>
      </w:pPr>
      <w:r>
        <w:rPr>
          <w:rFonts w:ascii="Times New Roman" w:hAnsi="Times New Roman"/>
          <w:color w:val="000000"/>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not be issued before the date that is six months following the date of the Participant’s Separation From Service, or, if earlier, the date of the Participant’s death that occurs within such six month period.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(l)</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(m)</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Termination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(n)</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Definitions.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used in the Plan, the following definitions apply to the capitalized terms indicated below: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color w:val="000000"/>
        </w:rPr>
        <w:t>“</w:t>
      </w:r>
      <w:r>
        <w:rPr>
          <w:rFonts w:ascii="Times New Roman" w:hAnsi="Times New Roman"/>
          <w:b/>
          <w:i/>
          <w:color w:val="000000"/>
          <w:sz w:val="20"/>
        </w:rPr>
        <w:t>Acquiring Entity</w:t>
      </w:r>
      <w:r>
        <w:rPr>
          <w:color w:val="000000"/>
        </w:rPr>
        <w:t xml:space="preserve">” </w:t>
      </w:r>
      <w:r>
        <w:rPr>
          <w:rFonts w:ascii="Times New Roman" w:hAnsi="Times New Roman"/>
          <w:color w:val="000000"/>
          <w:sz w:val="20"/>
        </w:rPr>
        <w:t>means the surviving or acquiring corporation (or its parent company) in connection with a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color w:val="000000"/>
        </w:rPr>
        <w:t>“</w:t>
      </w:r>
      <w:r>
        <w:rPr>
          <w:rFonts w:ascii="Times New Roman" w:hAnsi="Times New Roman"/>
          <w:b/>
          <w:i/>
          <w:color w:val="000000"/>
          <w:sz w:val="20"/>
        </w:rPr>
        <w:t>Adoption Date</w:t>
      </w:r>
      <w:r>
        <w:rPr>
          <w:color w:val="000000"/>
        </w:rPr>
        <w:t xml:space="preserve">” </w:t>
      </w:r>
      <w:r>
        <w:rPr>
          <w:rFonts w:ascii="Times New Roman" w:hAnsi="Times New Roman"/>
          <w:color w:val="000000"/>
          <w:sz w:val="20"/>
        </w:rPr>
        <w:t>means the date the Plan is first approved by the Board or Compensation Committee, as applicable.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color w:val="000000"/>
        </w:rPr>
        <w:t>“</w:t>
      </w:r>
      <w:r>
        <w:rPr>
          <w:rFonts w:ascii="Times New Roman" w:hAnsi="Times New Roman"/>
          <w:b/>
          <w:i/>
          <w:color w:val="000000"/>
          <w:sz w:val="20"/>
        </w:rPr>
        <w:t>Affiliate</w:t>
      </w:r>
      <w:r>
        <w:rPr>
          <w:color w:val="000000"/>
        </w:rPr>
        <w:t xml:space="preserve">” </w:t>
      </w:r>
      <w:r>
        <w:rPr>
          <w:rFonts w:ascii="Times New Roman" w:hAnsi="Times New Roman"/>
          <w:color w:val="000000"/>
          <w:sz w:val="20"/>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color w:val="000000"/>
        </w:rPr>
        <w:t>“</w:t>
      </w:r>
      <w:r>
        <w:rPr>
          <w:rFonts w:ascii="Times New Roman" w:hAnsi="Times New Roman"/>
          <w:b/>
          <w:i/>
          <w:color w:val="000000"/>
          <w:sz w:val="20"/>
        </w:rPr>
        <w:t>Applicable Law</w:t>
      </w:r>
      <w:r>
        <w:rPr>
          <w:color w:val="000000"/>
        </w:rPr>
        <w:t xml:space="preserve">” </w:t>
      </w:r>
      <w:r>
        <w:rPr>
          <w:rFonts w:ascii="Times New Roman" w:hAnsi="Times New Roman"/>
          <w:color w:val="000000"/>
          <w:sz w:val="20"/>
        </w:rPr>
        <w:t>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color w:val="000000"/>
        </w:rPr>
        <w:t>“</w:t>
      </w:r>
      <w:r>
        <w:rPr>
          <w:rFonts w:ascii="Times New Roman" w:hAnsi="Times New Roman"/>
          <w:b/>
          <w:i/>
          <w:color w:val="000000"/>
          <w:sz w:val="20"/>
        </w:rPr>
        <w:t>Award</w:t>
      </w:r>
      <w:r>
        <w:rPr>
          <w:color w:val="000000"/>
        </w:rPr>
        <w:t xml:space="preserve">” </w:t>
      </w:r>
      <w:r>
        <w:rPr>
          <w:rFonts w:ascii="Times New Roman" w:hAnsi="Times New Roman"/>
          <w:color w:val="000000"/>
          <w:sz w:val="20"/>
        </w:rPr>
        <w:t>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pPr>
      <w:r>
        <w:rPr>
          <w:color w:val="000000"/>
        </w:rPr>
        <w:t>“</w:t>
      </w:r>
      <w:r>
        <w:rPr>
          <w:rFonts w:ascii="Times New Roman" w:hAnsi="Times New Roman"/>
          <w:b/>
          <w:i/>
          <w:color w:val="000000"/>
          <w:sz w:val="20"/>
        </w:rPr>
        <w:t>Award Agreement</w:t>
      </w:r>
      <w:r>
        <w:rPr>
          <w:color w:val="000000"/>
        </w:rPr>
        <w:t xml:space="preserve">” </w:t>
      </w:r>
      <w:r>
        <w:rPr>
          <w:rFonts w:ascii="Times New Roman" w:hAnsi="Times New Roman"/>
          <w:color w:val="000000"/>
          <w:sz w:val="20"/>
        </w:rPr>
        <w:t xml:space="preserve">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w:t>
      </w:r>
    </w:p>
    <w:p>
      <w:pPr>
        <w:pStyle w:val="TextBody"/>
        <w:bidi w:val="0"/>
        <w:spacing w:before="0" w:after="240"/>
        <w:jc w:val="both"/>
        <w:rPr/>
      </w:pPr>
      <w:r>
        <w:rPr>
          <w:color w:val="000000"/>
        </w:rPr>
        <w:t>“</w:t>
      </w:r>
      <w:r>
        <w:rPr>
          <w:rFonts w:ascii="Times New Roman" w:hAnsi="Times New Roman"/>
          <w:b/>
          <w:i/>
          <w:color w:val="000000"/>
          <w:sz w:val="20"/>
        </w:rPr>
        <w:t>Board</w:t>
      </w:r>
      <w:r>
        <w:rPr>
          <w:color w:val="000000"/>
        </w:rPr>
        <w:t xml:space="preserve">” </w:t>
      </w:r>
      <w:r>
        <w:rPr>
          <w:rFonts w:ascii="Times New Roman" w:hAnsi="Times New Roman"/>
          <w:color w:val="000000"/>
          <w:sz w:val="20"/>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w:t>
      </w:r>
    </w:p>
    <w:p>
      <w:pPr>
        <w:pStyle w:val="TextBody"/>
        <w:bidi w:val="0"/>
        <w:spacing w:before="0" w:after="240"/>
        <w:jc w:val="both"/>
        <w:rPr/>
      </w:pPr>
      <w:r>
        <w:rPr>
          <w:color w:val="000000"/>
        </w:rPr>
        <w:t>“</w:t>
      </w:r>
      <w:r>
        <w:rPr>
          <w:rFonts w:ascii="Times New Roman" w:hAnsi="Times New Roman"/>
          <w:b/>
          <w:i/>
          <w:color w:val="000000"/>
          <w:sz w:val="20"/>
        </w:rPr>
        <w:t>Capitalization Adjustment</w:t>
      </w:r>
      <w:r>
        <w:rPr>
          <w:color w:val="000000"/>
        </w:rPr>
        <w:t xml:space="preserve">” </w:t>
      </w:r>
      <w:r>
        <w:rPr>
          <w:rFonts w:ascii="Times New Roman" w:hAnsi="Times New Roman"/>
          <w:color w:val="000000"/>
          <w:sz w:val="20"/>
        </w:rPr>
        <w:t xml:space="preserve">means any change that is made in, or other events that occur with respect to, the Common Stock subject to the Plan or subject to any Award after the Adoption Date without the receipt of consideration by the </w:t>
      </w:r>
    </w:p>
    <w:p>
      <w:pPr>
        <w:pStyle w:val="TextBody"/>
        <w:bidi w:val="0"/>
        <w:jc w:val="center"/>
        <w:rPr>
          <w:rFonts w:ascii="Times New Roman" w:hAnsi="Times New Roman"/>
          <w:color w:val="000000"/>
          <w:sz w:val="20"/>
        </w:rPr>
      </w:pPr>
      <w:r>
        <w:rPr>
          <w:rFonts w:ascii="Times New Roman" w:hAnsi="Times New Roman"/>
          <w:color w:val="000000"/>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color w:val="000000"/>
        </w:rPr>
        <w:t>“</w:t>
      </w:r>
      <w:r>
        <w:rPr>
          <w:rFonts w:ascii="Times New Roman" w:hAnsi="Times New Roman"/>
          <w:b/>
          <w:i/>
          <w:color w:val="000000"/>
          <w:sz w:val="20"/>
        </w:rPr>
        <w:t>Cause</w:t>
      </w:r>
      <w:r>
        <w:rPr>
          <w:color w:val="000000"/>
        </w:rPr>
        <w:t xml:space="preserve">” </w:t>
      </w:r>
      <w:r>
        <w:rPr>
          <w:rFonts w:ascii="Times New Roman" w:hAnsi="Times New Roman"/>
          <w:color w:val="000000"/>
          <w:sz w:val="20"/>
        </w:rPr>
        <w:t>shall have the meaning set forth in an applicable agreement between a Participant and the Company or an Affiliate, and in the absence of such agreement, shall mean, with respect to any Participant and as determined by the Board, (i) gross negligence or willful misconduct in connection with the performance of duties; (ii) conviction of, or pleading guilty or nolo contendere to, a criminal offense (other than minor traffic offenses); (iii) a material violation of a Company policy; or (iv) a material breach of any term of any employment, consulting, or other services, confidentiality, intellectual property, or non-competition agreements, if any, between the such Participant and the Company or an Affiliate. Any determination by the Plan Administrator regarding whether an event constituting Cause shall have occurred shall be final, binding, and conclusive.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w:t>
      </w:r>
    </w:p>
    <w:p>
      <w:pPr>
        <w:pStyle w:val="TextBody"/>
        <w:bidi w:val="0"/>
        <w:spacing w:before="0" w:after="240"/>
        <w:jc w:val="both"/>
        <w:rPr/>
      </w:pPr>
      <w:r>
        <w:rPr>
          <w:color w:val="000000"/>
        </w:rPr>
        <w:t>“</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or “</w:t>
      </w:r>
      <w:r>
        <w:rPr>
          <w:rFonts w:ascii="Times New Roman" w:hAnsi="Times New Roman"/>
          <w:b/>
          <w:i/>
          <w:color w:val="000000"/>
          <w:sz w:val="20"/>
        </w:rPr>
        <w:t>Change of Control</w:t>
      </w:r>
      <w:r>
        <w:rPr>
          <w:color w:val="000000"/>
        </w:rPr>
        <w:t xml:space="preserve">” </w:t>
      </w:r>
      <w:r>
        <w:rPr>
          <w:rFonts w:ascii="Times New Roman" w:hAnsi="Times New Roman"/>
          <w:color w:val="000000"/>
          <w:sz w:val="20"/>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color w:val="000000"/>
          <w:sz w:val="20"/>
        </w:rPr>
        <w:t>Subject Person</w:t>
      </w:r>
      <w:r>
        <w:rPr>
          <w:color w:val="000000"/>
        </w:rPr>
        <w:t>”</w:t>
      </w:r>
      <w:r>
        <w:rPr>
          <w:rFonts w:ascii="Times New Roman" w:hAnsi="Times New Roman"/>
          <w:color w:val="000000"/>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pPr>
      <w:r>
        <w:rPr>
          <w:rFonts w:ascii="Times New Roman" w:hAnsi="Times New Roman"/>
          <w:color w:val="000000"/>
          <w:sz w:val="20"/>
        </w:rPr>
        <w:t>individuals who, on the Adoption Date, are members of the Board (the “</w:t>
      </w:r>
      <w:r>
        <w:rPr>
          <w:rFonts w:ascii="Times New Roman" w:hAnsi="Times New Roman"/>
          <w:b/>
          <w:i/>
          <w:color w:val="000000"/>
          <w:sz w:val="20"/>
        </w:rPr>
        <w:t>Incumbent Board</w:t>
      </w:r>
      <w:r>
        <w:rPr>
          <w:color w:val="000000"/>
        </w:rPr>
        <w:t>”</w:t>
      </w:r>
      <w:r>
        <w:rPr>
          <w:rFonts w:ascii="Times New Roman" w:hAnsi="Times New Roman"/>
          <w:color w:val="000000"/>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w:t>
      </w:r>
    </w:p>
    <w:p>
      <w:pPr>
        <w:pStyle w:val="TextBody"/>
        <w:bidi w:val="0"/>
        <w:jc w:val="center"/>
        <w:rPr>
          <w:rFonts w:ascii="Times New Roman" w:hAnsi="Times New Roman"/>
          <w:color w:val="000000"/>
          <w:sz w:val="20"/>
        </w:rPr>
      </w:pPr>
      <w:r>
        <w:rPr>
          <w:rFonts w:ascii="Times New Roman" w:hAnsi="Times New Roman"/>
          <w:color w:val="000000"/>
          <w:sz w:val="20"/>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w:t>
      </w:r>
    </w:p>
    <w:p>
      <w:pPr>
        <w:pStyle w:val="TextBody"/>
        <w:bidi w:val="0"/>
        <w:spacing w:before="0" w:after="240"/>
        <w:jc w:val="both"/>
        <w:rPr/>
      </w:pPr>
      <w:r>
        <w:rPr>
          <w:color w:val="000000"/>
        </w:rPr>
        <w:t>“</w:t>
      </w:r>
      <w:r>
        <w:rPr>
          <w:rFonts w:ascii="Times New Roman" w:hAnsi="Times New Roman"/>
          <w:b/>
          <w:i/>
          <w:color w:val="000000"/>
          <w:sz w:val="20"/>
        </w:rPr>
        <w:t>Code</w:t>
      </w:r>
      <w:r>
        <w:rPr>
          <w:color w:val="000000"/>
        </w:rPr>
        <w:t xml:space="preserve">” </w:t>
      </w:r>
      <w:r>
        <w:rPr>
          <w:rFonts w:ascii="Times New Roman" w:hAnsi="Times New Roman"/>
          <w:color w:val="000000"/>
          <w:sz w:val="20"/>
        </w:rPr>
        <w:t>means the U.S. Internal Revenue Code of 1986, as amended, including any applicable regulations and guidance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w:t>
      </w:r>
    </w:p>
    <w:p>
      <w:pPr>
        <w:pStyle w:val="TextBody"/>
        <w:bidi w:val="0"/>
        <w:spacing w:before="0" w:after="240"/>
        <w:jc w:val="both"/>
        <w:rPr/>
      </w:pPr>
      <w:r>
        <w:rPr>
          <w:color w:val="000000"/>
        </w:rPr>
        <w:t>“</w:t>
      </w:r>
      <w:r>
        <w:rPr>
          <w:rFonts w:ascii="Times New Roman" w:hAnsi="Times New Roman"/>
          <w:b/>
          <w:i/>
          <w:color w:val="000000"/>
          <w:sz w:val="20"/>
        </w:rPr>
        <w:t>Committee</w:t>
      </w:r>
      <w:r>
        <w:rPr>
          <w:color w:val="000000"/>
        </w:rPr>
        <w:t xml:space="preserve">” </w:t>
      </w:r>
      <w:r>
        <w:rPr>
          <w:rFonts w:ascii="Times New Roman" w:hAnsi="Times New Roman"/>
          <w:color w:val="000000"/>
          <w:sz w:val="20"/>
        </w:rPr>
        <w:t>means the Compensation Committee and any other committee of one or more Directors to whom authority has been delegated by the Board or Compensation Committee in accordance with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w:t>
      </w:r>
    </w:p>
    <w:p>
      <w:pPr>
        <w:pStyle w:val="TextBody"/>
        <w:bidi w:val="0"/>
        <w:spacing w:before="0" w:after="240"/>
        <w:jc w:val="both"/>
        <w:rPr/>
      </w:pPr>
      <w:r>
        <w:rPr>
          <w:color w:val="000000"/>
        </w:rPr>
        <w:t>“</w:t>
      </w:r>
      <w:r>
        <w:rPr>
          <w:rFonts w:ascii="Times New Roman" w:hAnsi="Times New Roman"/>
          <w:b/>
          <w:i/>
          <w:color w:val="000000"/>
          <w:sz w:val="20"/>
        </w:rPr>
        <w:t>Common Stock</w:t>
      </w:r>
      <w:r>
        <w:rPr>
          <w:color w:val="000000"/>
        </w:rPr>
        <w:t xml:space="preserve">” </w:t>
      </w:r>
      <w:r>
        <w:rPr>
          <w:rFonts w:ascii="Times New Roman" w:hAnsi="Times New Roman"/>
          <w:color w:val="000000"/>
          <w:sz w:val="20"/>
        </w:rPr>
        <w:t>means the common stock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w:t>
      </w:r>
    </w:p>
    <w:p>
      <w:pPr>
        <w:pStyle w:val="TextBody"/>
        <w:bidi w:val="0"/>
        <w:spacing w:before="0" w:after="240"/>
        <w:jc w:val="both"/>
        <w:rPr/>
      </w:pPr>
      <w:r>
        <w:rPr>
          <w:color w:val="000000"/>
        </w:rPr>
        <w:t>“</w:t>
      </w:r>
      <w:r>
        <w:rPr>
          <w:rFonts w:ascii="Times New Roman" w:hAnsi="Times New Roman"/>
          <w:b/>
          <w:i/>
          <w:color w:val="000000"/>
          <w:sz w:val="20"/>
        </w:rPr>
        <w:t>Company</w:t>
      </w:r>
      <w:r>
        <w:rPr>
          <w:color w:val="000000"/>
        </w:rPr>
        <w:t xml:space="preserve">” </w:t>
      </w:r>
      <w:r>
        <w:rPr>
          <w:rFonts w:ascii="Times New Roman" w:hAnsi="Times New Roman"/>
          <w:color w:val="000000"/>
          <w:sz w:val="20"/>
        </w:rPr>
        <w:t>means Syndax Pharmaceuticals, Inc., a Delaware corporation, and any successor corporation thereto.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w:t>
      </w:r>
    </w:p>
    <w:p>
      <w:pPr>
        <w:pStyle w:val="TextBody"/>
        <w:bidi w:val="0"/>
        <w:spacing w:before="0" w:after="240"/>
        <w:jc w:val="both"/>
        <w:rPr/>
      </w:pPr>
      <w:r>
        <w:rPr>
          <w:color w:val="000000"/>
        </w:rPr>
        <w:t>“</w:t>
      </w:r>
      <w:r>
        <w:rPr>
          <w:rFonts w:ascii="Times New Roman" w:hAnsi="Times New Roman"/>
          <w:b/>
          <w:i/>
          <w:color w:val="000000"/>
          <w:sz w:val="20"/>
        </w:rPr>
        <w:t>Compensation Committee</w:t>
      </w:r>
      <w:r>
        <w:rPr>
          <w:color w:val="000000"/>
        </w:rPr>
        <w:t xml:space="preserve">” </w:t>
      </w:r>
      <w:r>
        <w:rPr>
          <w:rFonts w:ascii="Times New Roman" w:hAnsi="Times New Roman"/>
          <w:color w:val="000000"/>
          <w:sz w:val="20"/>
        </w:rPr>
        <w:t>means the Compensation Committee of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w:t>
      </w:r>
    </w:p>
    <w:p>
      <w:pPr>
        <w:pStyle w:val="TextBody"/>
        <w:bidi w:val="0"/>
        <w:spacing w:before="0" w:after="240"/>
        <w:jc w:val="both"/>
        <w:rPr/>
      </w:pPr>
      <w:r>
        <w:rPr>
          <w:color w:val="000000"/>
        </w:rPr>
        <w:t>“</w:t>
      </w:r>
      <w:r>
        <w:rPr>
          <w:rFonts w:ascii="Times New Roman" w:hAnsi="Times New Roman"/>
          <w:b/>
          <w:i/>
          <w:color w:val="000000"/>
          <w:sz w:val="20"/>
        </w:rPr>
        <w:t>Consultant</w:t>
      </w:r>
      <w:r>
        <w:rPr>
          <w:color w:val="000000"/>
        </w:rPr>
        <w:t xml:space="preserve">” </w:t>
      </w:r>
      <w:r>
        <w:rPr>
          <w:rFonts w:ascii="Times New Roman" w:hAnsi="Times New Roman"/>
          <w:color w:val="000000"/>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q.</w:t>
      </w:r>
    </w:p>
    <w:p>
      <w:pPr>
        <w:pStyle w:val="TextBody"/>
        <w:bidi w:val="0"/>
        <w:spacing w:before="0" w:after="240"/>
        <w:jc w:val="both"/>
        <w:rPr/>
      </w:pPr>
      <w:r>
        <w:rPr>
          <w:color w:val="000000"/>
        </w:rPr>
        <w:t>“</w:t>
      </w:r>
      <w:r>
        <w:rPr>
          <w:rFonts w:ascii="Times New Roman" w:hAnsi="Times New Roman"/>
          <w:b/>
          <w:i/>
          <w:color w:val="000000"/>
          <w:sz w:val="20"/>
        </w:rPr>
        <w:t>Continuous Service</w:t>
      </w:r>
      <w:r>
        <w:rPr>
          <w:color w:val="000000"/>
        </w:rPr>
        <w:t xml:space="preserve">” </w:t>
      </w:r>
      <w:r>
        <w:rPr>
          <w:rFonts w:ascii="Times New Roman" w:hAnsi="Times New Roman"/>
          <w:color w:val="000000"/>
          <w:sz w:val="20"/>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color w:val="000000"/>
          <w:sz w:val="20"/>
        </w:rPr>
        <w:t>,</w:t>
      </w:r>
      <w:r>
        <w:rPr>
          <w:color w:val="000000"/>
        </w:rPr>
        <w:t xml:space="preserve"> </w:t>
      </w:r>
      <w:r>
        <w:rPr>
          <w:rFonts w:ascii="Times New Roman" w:hAnsi="Times New Roman"/>
          <w:color w:val="000000"/>
          <w:sz w:val="20"/>
        </w:rPr>
        <w:t>that</w:t>
      </w:r>
      <w:r>
        <w:rPr>
          <w:color w:val="000000"/>
        </w:rPr>
        <w:t xml:space="preserve"> </w:t>
      </w:r>
      <w:r>
        <w:rPr>
          <w:rFonts w:ascii="Times New Roman" w:hAnsi="Times New Roman"/>
          <w:color w:val="000000"/>
          <w:sz w:val="20"/>
        </w:rPr>
        <w:t>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w:t>
      </w:r>
    </w:p>
    <w:p>
      <w:pPr>
        <w:pStyle w:val="TextBody"/>
        <w:bidi w:val="0"/>
        <w:spacing w:before="0" w:after="240"/>
        <w:jc w:val="both"/>
        <w:rPr/>
      </w:pPr>
      <w:r>
        <w:rPr>
          <w:color w:val="000000"/>
        </w:rPr>
        <w:t>“</w:t>
      </w:r>
      <w:r>
        <w:rPr>
          <w:rFonts w:ascii="Times New Roman" w:hAnsi="Times New Roman"/>
          <w:b/>
          <w:i/>
          <w:color w:val="000000"/>
          <w:sz w:val="20"/>
        </w:rPr>
        <w:t>Corporate Transaction</w:t>
      </w:r>
      <w:r>
        <w:rPr>
          <w:color w:val="000000"/>
        </w:rPr>
        <w:t xml:space="preserve">” </w:t>
      </w:r>
      <w:r>
        <w:rPr>
          <w:rFonts w:ascii="Times New Roman" w:hAnsi="Times New Roman"/>
          <w:color w:val="000000"/>
          <w:sz w:val="20"/>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a sale</w:t>
      </w:r>
      <w:r>
        <w:rPr>
          <w:color w:val="000000"/>
        </w:rPr>
        <w:t xml:space="preserve"> </w:t>
      </w:r>
      <w:r>
        <w:rPr>
          <w:rFonts w:ascii="Times New Roman" w:hAnsi="Times New Roman"/>
          <w:color w:val="000000"/>
          <w:sz w:val="20"/>
        </w:rPr>
        <w:t>or other disposition of all or substantially all, as determined by the Board, of the consolidated assets of the Company and its Subsidiaries;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sale or other disposition of at least 50% of the outstanding securities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merger, consolidation or similar transaction following which the Company is the surviving corporation but the shares of Common Stock outstanding immediately preceding the merger, consolidation or similar </w:t>
      </w:r>
    </w:p>
    <w:p>
      <w:pPr>
        <w:pStyle w:val="TextBody"/>
        <w:bidi w:val="0"/>
        <w:jc w:val="center"/>
        <w:rPr>
          <w:rFonts w:ascii="Times New Roman" w:hAnsi="Times New Roman"/>
          <w:color w:val="000000"/>
          <w:sz w:val="20"/>
        </w:rPr>
      </w:pPr>
      <w:r>
        <w:rPr>
          <w:rFonts w:ascii="Times New Roman" w:hAnsi="Times New Roman"/>
          <w:color w:val="000000"/>
          <w:sz w:val="20"/>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w:t>
      </w:r>
    </w:p>
    <w:p>
      <w:pPr>
        <w:pStyle w:val="TextBody"/>
        <w:bidi w:val="0"/>
        <w:spacing w:before="0" w:after="240"/>
        <w:jc w:val="both"/>
        <w:rPr/>
      </w:pPr>
      <w:r>
        <w:rPr>
          <w:color w:val="000000"/>
        </w:rPr>
        <w:t>“</w:t>
      </w:r>
      <w:r>
        <w:rPr>
          <w:rFonts w:ascii="Times New Roman" w:hAnsi="Times New Roman"/>
          <w:b/>
          <w:i/>
          <w:color w:val="000000"/>
          <w:sz w:val="20"/>
        </w:rPr>
        <w:t>determine</w:t>
      </w:r>
      <w:r>
        <w:rPr>
          <w:color w:val="000000"/>
        </w:rPr>
        <w:t xml:space="preserve">” </w:t>
      </w:r>
      <w:r>
        <w:rPr>
          <w:rFonts w:ascii="Times New Roman" w:hAnsi="Times New Roman"/>
          <w:color w:val="000000"/>
          <w:sz w:val="20"/>
        </w:rPr>
        <w:t>or “</w:t>
      </w:r>
      <w:r>
        <w:rPr>
          <w:rFonts w:ascii="Times New Roman" w:hAnsi="Times New Roman"/>
          <w:b/>
          <w:i/>
          <w:color w:val="000000"/>
          <w:sz w:val="20"/>
        </w:rPr>
        <w:t>determined</w:t>
      </w:r>
      <w:r>
        <w:rPr>
          <w:color w:val="000000"/>
        </w:rPr>
        <w:t xml:space="preserve">” </w:t>
      </w:r>
      <w:r>
        <w:rPr>
          <w:rFonts w:ascii="Times New Roman" w:hAnsi="Times New Roman"/>
          <w:color w:val="000000"/>
          <w:sz w:val="20"/>
        </w:rPr>
        <w:t>means as determined by the Board or the Committee (or its designee) in its sole discretion.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w:t>
      </w:r>
    </w:p>
    <w:p>
      <w:pPr>
        <w:pStyle w:val="TextBody"/>
        <w:bidi w:val="0"/>
        <w:spacing w:before="0" w:after="240"/>
        <w:jc w:val="both"/>
        <w:rPr/>
      </w:pPr>
      <w:r>
        <w:rPr>
          <w:color w:val="000000"/>
        </w:rPr>
        <w:t>“</w:t>
      </w:r>
      <w:r>
        <w:rPr>
          <w:rFonts w:ascii="Times New Roman" w:hAnsi="Times New Roman"/>
          <w:b/>
          <w:i/>
          <w:color w:val="000000"/>
          <w:sz w:val="20"/>
        </w:rPr>
        <w:t>Director</w:t>
      </w:r>
      <w:r>
        <w:rPr>
          <w:color w:val="000000"/>
        </w:rPr>
        <w:t xml:space="preserve">” </w:t>
      </w:r>
      <w:r>
        <w:rPr>
          <w:rFonts w:ascii="Times New Roman" w:hAnsi="Times New Roman"/>
          <w:color w:val="000000"/>
          <w:sz w:val="20"/>
        </w:rPr>
        <w:t>means a member of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u.</w:t>
      </w:r>
    </w:p>
    <w:p>
      <w:pPr>
        <w:pStyle w:val="TextBody"/>
        <w:bidi w:val="0"/>
        <w:spacing w:before="0" w:after="240"/>
        <w:jc w:val="both"/>
        <w:rPr/>
      </w:pPr>
      <w:r>
        <w:rPr>
          <w:color w:val="000000"/>
        </w:rPr>
        <w:t>“</w:t>
      </w:r>
      <w:r>
        <w:rPr>
          <w:rFonts w:ascii="Times New Roman" w:hAnsi="Times New Roman"/>
          <w:b/>
          <w:i/>
          <w:color w:val="000000"/>
          <w:sz w:val="20"/>
        </w:rPr>
        <w:t>Disability</w:t>
      </w:r>
      <w:r>
        <w:rPr>
          <w:color w:val="000000"/>
        </w:rPr>
        <w:t xml:space="preserve">” </w:t>
      </w:r>
      <w:r>
        <w:rPr>
          <w:rFonts w:ascii="Times New Roman" w:hAnsi="Times New Roman"/>
          <w:color w:val="000000"/>
          <w:sz w:val="20"/>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pPr>
      <w:r>
        <w:rPr>
          <w:color w:val="000000"/>
        </w:rPr>
        <w:t>“</w:t>
      </w:r>
      <w:r>
        <w:rPr>
          <w:rFonts w:ascii="Times New Roman" w:hAnsi="Times New Roman"/>
          <w:b/>
          <w:i/>
          <w:color w:val="000000"/>
          <w:sz w:val="20"/>
        </w:rPr>
        <w:t>Effective Date</w:t>
      </w:r>
      <w:r>
        <w:rPr>
          <w:color w:val="000000"/>
        </w:rPr>
        <w:t xml:space="preserve">” </w:t>
      </w:r>
      <w:r>
        <w:rPr>
          <w:rFonts w:ascii="Times New Roman" w:hAnsi="Times New Roman"/>
          <w:color w:val="000000"/>
          <w:sz w:val="20"/>
        </w:rPr>
        <w:t>means the date the Plan is approved by the stockholders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w:t>
      </w:r>
    </w:p>
    <w:p>
      <w:pPr>
        <w:pStyle w:val="TextBody"/>
        <w:bidi w:val="0"/>
        <w:spacing w:before="0" w:after="240"/>
        <w:jc w:val="both"/>
        <w:rPr/>
      </w:pPr>
      <w:r>
        <w:rPr>
          <w:color w:val="000000"/>
        </w:rPr>
        <w:t>“</w:t>
      </w:r>
      <w:r>
        <w:rPr>
          <w:rFonts w:ascii="Times New Roman" w:hAnsi="Times New Roman"/>
          <w:b/>
          <w:i/>
          <w:color w:val="000000"/>
          <w:sz w:val="20"/>
        </w:rPr>
        <w:t>Employee</w:t>
      </w:r>
      <w:r>
        <w:rPr>
          <w:color w:val="000000"/>
        </w:rPr>
        <w:t xml:space="preserve">” </w:t>
      </w:r>
      <w:r>
        <w:rPr>
          <w:rFonts w:ascii="Times New Roman" w:hAnsi="Times New Roman"/>
          <w:color w:val="000000"/>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x.</w:t>
      </w:r>
    </w:p>
    <w:p>
      <w:pPr>
        <w:pStyle w:val="TextBody"/>
        <w:bidi w:val="0"/>
        <w:spacing w:before="0" w:after="240"/>
        <w:jc w:val="both"/>
        <w:rPr/>
      </w:pPr>
      <w:r>
        <w:rPr>
          <w:color w:val="000000"/>
        </w:rPr>
        <w:t>“</w:t>
      </w:r>
      <w:r>
        <w:rPr>
          <w:rFonts w:ascii="Times New Roman" w:hAnsi="Times New Roman"/>
          <w:b/>
          <w:i/>
          <w:color w:val="000000"/>
          <w:sz w:val="20"/>
        </w:rPr>
        <w:t>Employer</w:t>
      </w:r>
      <w:r>
        <w:rPr>
          <w:color w:val="000000"/>
        </w:rPr>
        <w:t xml:space="preserve">” </w:t>
      </w:r>
      <w:r>
        <w:rPr>
          <w:rFonts w:ascii="Times New Roman" w:hAnsi="Times New Roman"/>
          <w:color w:val="000000"/>
          <w:sz w:val="20"/>
        </w:rPr>
        <w:t>means the Company or the Affiliate that employs the Participant.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y.</w:t>
      </w:r>
    </w:p>
    <w:p>
      <w:pPr>
        <w:pStyle w:val="TextBody"/>
        <w:bidi w:val="0"/>
        <w:spacing w:before="0" w:after="240"/>
        <w:jc w:val="both"/>
        <w:rPr/>
      </w:pPr>
      <w:r>
        <w:rPr>
          <w:color w:val="000000"/>
        </w:rPr>
        <w:t>“</w:t>
      </w:r>
      <w:r>
        <w:rPr>
          <w:rFonts w:ascii="Times New Roman" w:hAnsi="Times New Roman"/>
          <w:b/>
          <w:i/>
          <w:color w:val="000000"/>
          <w:sz w:val="20"/>
        </w:rPr>
        <w:t>Entity</w:t>
      </w:r>
      <w:r>
        <w:rPr>
          <w:color w:val="000000"/>
        </w:rPr>
        <w:t xml:space="preserve">” </w:t>
      </w:r>
      <w:r>
        <w:rPr>
          <w:rFonts w:ascii="Times New Roman" w:hAnsi="Times New Roman"/>
          <w:color w:val="000000"/>
          <w:sz w:val="20"/>
        </w:rPr>
        <w:t>means a corporation, partnership, limited liability company or other entity.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z.</w:t>
      </w:r>
    </w:p>
    <w:p>
      <w:pPr>
        <w:pStyle w:val="TextBody"/>
        <w:bidi w:val="0"/>
        <w:spacing w:before="0" w:after="240"/>
        <w:jc w:val="both"/>
        <w:rPr/>
      </w:pPr>
      <w:r>
        <w:rPr>
          <w:color w:val="000000"/>
        </w:rPr>
        <w:t>“</w:t>
      </w:r>
      <w:r>
        <w:rPr>
          <w:rFonts w:ascii="Times New Roman" w:hAnsi="Times New Roman"/>
          <w:b/>
          <w:i/>
          <w:color w:val="000000"/>
          <w:sz w:val="20"/>
        </w:rPr>
        <w:t>Exchange Act</w:t>
      </w:r>
      <w:r>
        <w:rPr>
          <w:color w:val="000000"/>
        </w:rPr>
        <w:t xml:space="preserve">” </w:t>
      </w:r>
      <w:r>
        <w:rPr>
          <w:rFonts w:ascii="Times New Roman" w:hAnsi="Times New Roman"/>
          <w:color w:val="000000"/>
          <w:sz w:val="20"/>
        </w:rPr>
        <w:t>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aa.</w:t>
      </w:r>
    </w:p>
    <w:p>
      <w:pPr>
        <w:pStyle w:val="TextBody"/>
        <w:bidi w:val="0"/>
        <w:spacing w:before="0" w:after="240"/>
        <w:jc w:val="both"/>
        <w:rPr/>
      </w:pPr>
      <w:r>
        <w:rPr>
          <w:color w:val="000000"/>
        </w:rPr>
        <w:t>“</w:t>
      </w:r>
      <w:r>
        <w:rPr>
          <w:rFonts w:ascii="Times New Roman" w:hAnsi="Times New Roman"/>
          <w:b/>
          <w:i/>
          <w:color w:val="000000"/>
          <w:sz w:val="20"/>
        </w:rPr>
        <w:t>Exchange Act Person</w:t>
      </w:r>
      <w:r>
        <w:rPr>
          <w:color w:val="000000"/>
        </w:rPr>
        <w:t xml:space="preserve">” </w:t>
      </w:r>
      <w:r>
        <w:rPr>
          <w:rFonts w:ascii="Times New Roman" w:hAnsi="Times New Roman"/>
          <w:color w:val="000000"/>
          <w:sz w:val="20"/>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Adoption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bb.</w:t>
      </w:r>
    </w:p>
    <w:p>
      <w:pPr>
        <w:pStyle w:val="TextBody"/>
        <w:bidi w:val="0"/>
        <w:spacing w:before="0" w:after="240"/>
        <w:jc w:val="both"/>
        <w:rPr/>
      </w:pPr>
      <w:r>
        <w:rPr>
          <w:color w:val="000000"/>
        </w:rPr>
        <w:t>“</w:t>
      </w:r>
      <w:r>
        <w:rPr>
          <w:rFonts w:ascii="Times New Roman" w:hAnsi="Times New Roman"/>
          <w:b/>
          <w:i/>
          <w:color w:val="000000"/>
          <w:sz w:val="20"/>
        </w:rPr>
        <w:t>Fair Market Value</w:t>
      </w:r>
      <w:r>
        <w:rPr>
          <w:color w:val="000000"/>
        </w:rPr>
        <w:t xml:space="preserve">” </w:t>
      </w:r>
      <w:r>
        <w:rPr>
          <w:rFonts w:ascii="Times New Roman" w:hAnsi="Times New Roman"/>
          <w:color w:val="000000"/>
          <w:sz w:val="20"/>
        </w:rPr>
        <w:t>means, as of any date, unless otherwise determined by the Board, the value of the Common Stock (as determined on a per share or aggregate basis, as applicable) determined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there is no closing sales price for the Common Stock on the date of determination, then the Fair Market Value will be the closing selling price on the last preceding date for which such quotation exists.</w:t>
      </w:r>
    </w:p>
    <w:p>
      <w:pPr>
        <w:pStyle w:val="TextBody"/>
        <w:bidi w:val="0"/>
        <w:jc w:val="center"/>
        <w:rPr>
          <w:rFonts w:ascii="Times New Roman" w:hAnsi="Times New Roman"/>
          <w:color w:val="000000"/>
          <w:sz w:val="20"/>
        </w:rPr>
      </w:pPr>
      <w:r>
        <w:rPr>
          <w:rFonts w:ascii="Times New Roman" w:hAnsi="Times New Roman"/>
          <w:color w:val="000000"/>
          <w:sz w:val="20"/>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cc.</w:t>
      </w:r>
    </w:p>
    <w:p>
      <w:pPr>
        <w:pStyle w:val="TextBody"/>
        <w:bidi w:val="0"/>
        <w:spacing w:before="0" w:after="240"/>
        <w:jc w:val="both"/>
        <w:rPr/>
      </w:pPr>
      <w:r>
        <w:rPr>
          <w:color w:val="000000"/>
        </w:rPr>
        <w:t>“</w:t>
      </w:r>
      <w:r>
        <w:rPr>
          <w:rFonts w:ascii="Times New Roman" w:hAnsi="Times New Roman"/>
          <w:b/>
          <w:i/>
          <w:color w:val="000000"/>
          <w:sz w:val="20"/>
        </w:rPr>
        <w:t>Governmental</w:t>
      </w:r>
      <w:r>
        <w:rPr>
          <w:color w:val="000000"/>
        </w:rPr>
        <w:t xml:space="preserve"> </w:t>
      </w:r>
      <w:r>
        <w:rPr>
          <w:rFonts w:ascii="Times New Roman" w:hAnsi="Times New Roman"/>
          <w:b/>
          <w:i/>
          <w:color w:val="000000"/>
          <w:sz w:val="20"/>
        </w:rPr>
        <w:t>Body</w:t>
      </w:r>
      <w:r>
        <w:rPr>
          <w:color w:val="000000"/>
        </w:rPr>
        <w:t xml:space="preserve">” </w:t>
      </w:r>
      <w:r>
        <w:rPr>
          <w:rFonts w:ascii="Times New Roman" w:hAnsi="Times New Roman"/>
          <w:color w:val="000000"/>
          <w:sz w:val="20"/>
        </w:rPr>
        <w:t>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dd.</w:t>
      </w:r>
    </w:p>
    <w:p>
      <w:pPr>
        <w:pStyle w:val="TextBody"/>
        <w:bidi w:val="0"/>
        <w:spacing w:before="0" w:after="240"/>
        <w:jc w:val="both"/>
        <w:rPr/>
      </w:pPr>
      <w:r>
        <w:rPr>
          <w:color w:val="000000"/>
        </w:rPr>
        <w:t>“</w:t>
      </w:r>
      <w:r>
        <w:rPr>
          <w:rFonts w:ascii="Times New Roman" w:hAnsi="Times New Roman"/>
          <w:b/>
          <w:i/>
          <w:color w:val="000000"/>
          <w:sz w:val="20"/>
        </w:rPr>
        <w:t>Grant Notice</w:t>
      </w:r>
      <w:r>
        <w:rPr>
          <w:color w:val="000000"/>
        </w:rPr>
        <w:t xml:space="preserve">” </w:t>
      </w:r>
      <w:r>
        <w:rPr>
          <w:rFonts w:ascii="Times New Roman" w:hAnsi="Times New Roman"/>
          <w:color w:val="000000"/>
          <w:sz w:val="20"/>
        </w:rPr>
        <w:t xml:space="preserve">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ee.</w:t>
      </w:r>
    </w:p>
    <w:p>
      <w:pPr>
        <w:pStyle w:val="TextBody"/>
        <w:bidi w:val="0"/>
        <w:spacing w:before="0" w:after="240"/>
        <w:jc w:val="both"/>
        <w:rPr/>
      </w:pPr>
      <w:r>
        <w:rPr>
          <w:color w:val="000000"/>
        </w:rPr>
        <w:t>“</w:t>
      </w:r>
      <w:r>
        <w:rPr>
          <w:rFonts w:ascii="Times New Roman" w:hAnsi="Times New Roman"/>
          <w:b/>
          <w:i/>
          <w:color w:val="000000"/>
          <w:sz w:val="20"/>
        </w:rPr>
        <w:t>Incentive Stock Option</w:t>
      </w:r>
      <w:r>
        <w:rPr>
          <w:color w:val="000000"/>
        </w:rPr>
        <w:t xml:space="preserve">” </w:t>
      </w:r>
      <w:r>
        <w:rPr>
          <w:rFonts w:ascii="Times New Roman" w:hAnsi="Times New Roman"/>
          <w:color w:val="000000"/>
          <w:sz w:val="20"/>
        </w:rPr>
        <w:t>means an option granted pursuant to Section 4 of the Plan that is intended to be, and qualifies as, an “incentive stock option” within the meaning of Section 422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ff.</w:t>
      </w:r>
    </w:p>
    <w:p>
      <w:pPr>
        <w:pStyle w:val="TextBody"/>
        <w:bidi w:val="0"/>
        <w:spacing w:before="0" w:after="240"/>
        <w:jc w:val="both"/>
        <w:rPr/>
      </w:pPr>
      <w:r>
        <w:rPr>
          <w:color w:val="000000"/>
        </w:rPr>
        <w:t>“</w:t>
      </w:r>
      <w:r>
        <w:rPr>
          <w:rFonts w:ascii="Times New Roman" w:hAnsi="Times New Roman"/>
          <w:b/>
          <w:i/>
          <w:color w:val="000000"/>
          <w:sz w:val="20"/>
        </w:rPr>
        <w:t>Materially Impair</w:t>
      </w:r>
      <w:r>
        <w:rPr>
          <w:color w:val="000000"/>
        </w:rPr>
        <w:t xml:space="preserve">” </w:t>
      </w:r>
      <w:r>
        <w:rPr>
          <w:rFonts w:ascii="Times New Roman" w:hAnsi="Times New Roman"/>
          <w:color w:val="000000"/>
          <w:sz w:val="20"/>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gg.</w:t>
      </w:r>
    </w:p>
    <w:p>
      <w:pPr>
        <w:pStyle w:val="TextBody"/>
        <w:bidi w:val="0"/>
        <w:spacing w:before="0" w:after="240"/>
        <w:jc w:val="both"/>
        <w:rPr/>
      </w:pPr>
      <w:r>
        <w:rPr>
          <w:color w:val="000000"/>
        </w:rPr>
        <w:t>“</w:t>
      </w:r>
      <w:r>
        <w:rPr>
          <w:rFonts w:ascii="Times New Roman" w:hAnsi="Times New Roman"/>
          <w:b/>
          <w:i/>
          <w:color w:val="000000"/>
          <w:sz w:val="20"/>
        </w:rPr>
        <w:t>Non-Employee Director</w:t>
      </w:r>
      <w:r>
        <w:rPr>
          <w:color w:val="000000"/>
        </w:rPr>
        <w:t xml:space="preserve">” </w:t>
      </w:r>
      <w:r>
        <w:rPr>
          <w:rFonts w:ascii="Times New Roman" w:hAnsi="Times New Roman"/>
          <w:color w:val="000000"/>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olor w:val="000000"/>
          <w:sz w:val="20"/>
        </w:rPr>
        <w:t>Regulation S-K</w:t>
      </w:r>
      <w:r>
        <w:rPr>
          <w:color w:val="000000"/>
        </w:rPr>
        <w:t>”</w:t>
      </w:r>
      <w:r>
        <w:rPr>
          <w:rFonts w:ascii="Times New Roman" w:hAnsi="Times New Roman"/>
          <w:color w:val="000000"/>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hh.</w:t>
      </w:r>
    </w:p>
    <w:p>
      <w:pPr>
        <w:pStyle w:val="TextBody"/>
        <w:bidi w:val="0"/>
        <w:spacing w:before="0" w:after="240"/>
        <w:jc w:val="both"/>
        <w:rPr/>
      </w:pPr>
      <w:r>
        <w:rPr>
          <w:color w:val="000000"/>
        </w:rPr>
        <w:t>“</w:t>
      </w:r>
      <w:r>
        <w:rPr>
          <w:rFonts w:ascii="Times New Roman" w:hAnsi="Times New Roman"/>
          <w:b/>
          <w:i/>
          <w:color w:val="000000"/>
          <w:sz w:val="20"/>
        </w:rPr>
        <w:t>Non-Exempt Award</w:t>
      </w:r>
      <w:r>
        <w:rPr>
          <w:color w:val="000000"/>
        </w:rPr>
        <w:t xml:space="preserve">” </w:t>
      </w:r>
      <w:r>
        <w:rPr>
          <w:rFonts w:ascii="Times New Roman" w:hAnsi="Times New Roman"/>
          <w:color w:val="000000"/>
          <w:sz w:val="20"/>
        </w:rPr>
        <w:t>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pPr>
      <w:r>
        <w:rPr>
          <w:color w:val="000000"/>
        </w:rPr>
        <w:t>“</w:t>
      </w:r>
      <w:r>
        <w:rPr>
          <w:rFonts w:ascii="Times New Roman" w:hAnsi="Times New Roman"/>
          <w:b/>
          <w:i/>
          <w:color w:val="000000"/>
          <w:sz w:val="20"/>
        </w:rPr>
        <w:t>Non-Exempt Director Award</w:t>
      </w:r>
      <w:r>
        <w:rPr>
          <w:color w:val="000000"/>
        </w:rPr>
        <w:t xml:space="preserve">” </w:t>
      </w:r>
      <w:r>
        <w:rPr>
          <w:rFonts w:ascii="Times New Roman" w:hAnsi="Times New Roman"/>
          <w:color w:val="000000"/>
          <w:sz w:val="20"/>
        </w:rPr>
        <w:t xml:space="preserve">means a Non-Exempt Award granted to a Participant who was a Director but not an Employee on the applicable grant date.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jj.</w:t>
      </w:r>
    </w:p>
    <w:p>
      <w:pPr>
        <w:pStyle w:val="TextBody"/>
        <w:bidi w:val="0"/>
        <w:spacing w:before="0" w:after="240"/>
        <w:jc w:val="both"/>
        <w:rPr/>
      </w:pPr>
      <w:r>
        <w:rPr>
          <w:color w:val="000000"/>
        </w:rPr>
        <w:t>“</w:t>
      </w:r>
      <w:r>
        <w:rPr>
          <w:rFonts w:ascii="Times New Roman" w:hAnsi="Times New Roman"/>
          <w:b/>
          <w:i/>
          <w:color w:val="000000"/>
          <w:sz w:val="20"/>
        </w:rPr>
        <w:t>Non-Exempt Severance Arrangement</w:t>
      </w:r>
      <w:r>
        <w:rPr>
          <w:color w:val="000000"/>
        </w:rPr>
        <w:t xml:space="preserve">” </w:t>
      </w:r>
      <w:r>
        <w:rPr>
          <w:rFonts w:ascii="Times New Roman" w:hAnsi="Times New Roman"/>
          <w:color w:val="000000"/>
          <w:sz w:val="20"/>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color w:val="000000"/>
          <w:sz w:val="20"/>
        </w:rPr>
        <w:t>Separation from Service</w:t>
      </w:r>
      <w:r>
        <w:rPr>
          <w:color w:val="000000"/>
        </w:rPr>
        <w:t>”</w:t>
      </w:r>
      <w:r>
        <w:rPr>
          <w:rFonts w:ascii="Times New Roman" w:hAnsi="Times New Roman"/>
          <w:color w:val="000000"/>
          <w:sz w:val="20"/>
        </w:rPr>
        <w:t>) and such severance benefit does not satisfy the requirements for an exemption from application of Section 409A provided under U.S. Treasury Regulations Section 1.409A-1(b)(4), 1.409A-1(b)(9) or otherwise.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kk.</w:t>
      </w:r>
    </w:p>
    <w:p>
      <w:pPr>
        <w:pStyle w:val="TextBody"/>
        <w:bidi w:val="0"/>
        <w:spacing w:before="0" w:after="240"/>
        <w:jc w:val="both"/>
        <w:rPr/>
      </w:pPr>
      <w:r>
        <w:rPr>
          <w:color w:val="000000"/>
        </w:rPr>
        <w:t>“</w:t>
      </w:r>
      <w:r>
        <w:rPr>
          <w:rFonts w:ascii="Times New Roman" w:hAnsi="Times New Roman"/>
          <w:b/>
          <w:i/>
          <w:color w:val="000000"/>
          <w:sz w:val="20"/>
        </w:rPr>
        <w:t>Nonstatutory Stock Option</w:t>
      </w:r>
      <w:r>
        <w:rPr>
          <w:color w:val="000000"/>
        </w:rPr>
        <w:t xml:space="preserve">” </w:t>
      </w:r>
      <w:r>
        <w:rPr>
          <w:rFonts w:ascii="Times New Roman" w:hAnsi="Times New Roman"/>
          <w:color w:val="000000"/>
          <w:sz w:val="20"/>
        </w:rPr>
        <w:t>means any option granted pursuant to Section 4 of the Plan that does not qualify as an Incentive Stock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ll.</w:t>
      </w:r>
    </w:p>
    <w:p>
      <w:pPr>
        <w:pStyle w:val="TextBody"/>
        <w:bidi w:val="0"/>
        <w:spacing w:before="0" w:after="240"/>
        <w:jc w:val="both"/>
        <w:rPr/>
      </w:pPr>
      <w:r>
        <w:rPr>
          <w:color w:val="000000"/>
        </w:rPr>
        <w:t>“</w:t>
      </w:r>
      <w:r>
        <w:rPr>
          <w:rFonts w:ascii="Times New Roman" w:hAnsi="Times New Roman"/>
          <w:b/>
          <w:i/>
          <w:color w:val="000000"/>
          <w:sz w:val="20"/>
        </w:rPr>
        <w:t>Officer</w:t>
      </w:r>
      <w:r>
        <w:rPr>
          <w:color w:val="000000"/>
        </w:rPr>
        <w:t xml:space="preserve">” </w:t>
      </w:r>
      <w:r>
        <w:rPr>
          <w:rFonts w:ascii="Times New Roman" w:hAnsi="Times New Roman"/>
          <w:color w:val="000000"/>
          <w:sz w:val="20"/>
        </w:rPr>
        <w:t>means a person who is an officer of the Company within the meaning of Section 16 of the Exchange Act.</w:t>
      </w:r>
    </w:p>
    <w:p>
      <w:pPr>
        <w:pStyle w:val="TextBody"/>
        <w:bidi w:val="0"/>
        <w:jc w:val="center"/>
        <w:rPr>
          <w:rFonts w:ascii="Times New Roman" w:hAnsi="Times New Roman"/>
          <w:color w:val="000000"/>
          <w:sz w:val="20"/>
        </w:rPr>
      </w:pPr>
      <w:r>
        <w:rPr>
          <w:rFonts w:ascii="Times New Roman" w:hAnsi="Times New Roman"/>
          <w:color w:val="000000"/>
          <w:sz w:val="20"/>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mm.</w:t>
      </w:r>
    </w:p>
    <w:p>
      <w:pPr>
        <w:pStyle w:val="TextBody"/>
        <w:bidi w:val="0"/>
        <w:spacing w:before="0" w:after="240"/>
        <w:jc w:val="both"/>
        <w:rPr/>
      </w:pPr>
      <w:r>
        <w:rPr>
          <w:color w:val="000000"/>
        </w:rPr>
        <w:t>“</w:t>
      </w:r>
      <w:r>
        <w:rPr>
          <w:rFonts w:ascii="Times New Roman" w:hAnsi="Times New Roman"/>
          <w:b/>
          <w:i/>
          <w:color w:val="000000"/>
          <w:sz w:val="20"/>
        </w:rPr>
        <w:t>Option</w:t>
      </w:r>
      <w:r>
        <w:rPr>
          <w:color w:val="000000"/>
        </w:rPr>
        <w:t xml:space="preserve">” </w:t>
      </w:r>
      <w:r>
        <w:rPr>
          <w:rFonts w:ascii="Times New Roman" w:hAnsi="Times New Roman"/>
          <w:color w:val="000000"/>
          <w:sz w:val="20"/>
        </w:rPr>
        <w:t>means an Incentive Stock Option or a Nonstatutory Stock Option to purchase shares of Common Stock granted pursuant to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nn.</w:t>
      </w:r>
    </w:p>
    <w:p>
      <w:pPr>
        <w:pStyle w:val="TextBody"/>
        <w:bidi w:val="0"/>
        <w:spacing w:before="0" w:after="240"/>
        <w:jc w:val="both"/>
        <w:rPr/>
      </w:pPr>
      <w:r>
        <w:rPr>
          <w:color w:val="000000"/>
        </w:rPr>
        <w:t>“</w:t>
      </w:r>
      <w:r>
        <w:rPr>
          <w:rFonts w:ascii="Times New Roman" w:hAnsi="Times New Roman"/>
          <w:b/>
          <w:i/>
          <w:color w:val="000000"/>
          <w:sz w:val="20"/>
        </w:rPr>
        <w:t>Option Agreement</w:t>
      </w:r>
      <w:r>
        <w:rPr>
          <w:color w:val="000000"/>
        </w:rPr>
        <w:t xml:space="preserve">” </w:t>
      </w:r>
      <w:r>
        <w:rPr>
          <w:rFonts w:ascii="Times New Roman" w:hAnsi="Times New Roman"/>
          <w:color w:val="000000"/>
          <w:sz w:val="20"/>
        </w:rPr>
        <w:t>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oo.</w:t>
      </w:r>
    </w:p>
    <w:p>
      <w:pPr>
        <w:pStyle w:val="TextBody"/>
        <w:bidi w:val="0"/>
        <w:spacing w:before="0" w:after="240"/>
        <w:jc w:val="both"/>
        <w:rPr/>
      </w:pPr>
      <w:r>
        <w:rPr>
          <w:color w:val="000000"/>
        </w:rPr>
        <w:t>“</w:t>
      </w:r>
      <w:r>
        <w:rPr>
          <w:rFonts w:ascii="Times New Roman" w:hAnsi="Times New Roman"/>
          <w:b/>
          <w:i/>
          <w:color w:val="000000"/>
          <w:sz w:val="20"/>
        </w:rPr>
        <w:t>Optionholder</w:t>
      </w:r>
      <w:r>
        <w:rPr>
          <w:color w:val="000000"/>
        </w:rPr>
        <w:t xml:space="preserve">” </w:t>
      </w:r>
      <w:r>
        <w:rPr>
          <w:rFonts w:ascii="Times New Roman" w:hAnsi="Times New Roman"/>
          <w:color w:val="000000"/>
          <w:sz w:val="20"/>
        </w:rPr>
        <w:t>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pp.</w:t>
      </w:r>
    </w:p>
    <w:p>
      <w:pPr>
        <w:pStyle w:val="TextBody"/>
        <w:bidi w:val="0"/>
        <w:spacing w:before="0" w:after="240"/>
        <w:jc w:val="both"/>
        <w:rPr/>
      </w:pPr>
      <w:r>
        <w:rPr>
          <w:color w:val="000000"/>
        </w:rPr>
        <w:t>“</w:t>
      </w:r>
      <w:r>
        <w:rPr>
          <w:rFonts w:ascii="Times New Roman" w:hAnsi="Times New Roman"/>
          <w:b/>
          <w:i/>
          <w:color w:val="000000"/>
          <w:sz w:val="20"/>
        </w:rPr>
        <w:t>Other Award</w:t>
      </w:r>
      <w:r>
        <w:rPr>
          <w:color w:val="000000"/>
        </w:rPr>
        <w:t xml:space="preserve">” </w:t>
      </w:r>
      <w:r>
        <w:rPr>
          <w:rFonts w:ascii="Times New Roman" w:hAnsi="Times New Roman"/>
          <w:color w:val="000000"/>
          <w:sz w:val="20"/>
        </w:rPr>
        <w:t xml:space="preserve">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qq.</w:t>
      </w:r>
    </w:p>
    <w:p>
      <w:pPr>
        <w:pStyle w:val="TextBody"/>
        <w:bidi w:val="0"/>
        <w:spacing w:before="0" w:after="240"/>
        <w:jc w:val="both"/>
        <w:rPr/>
      </w:pPr>
      <w:r>
        <w:rPr>
          <w:color w:val="000000"/>
        </w:rPr>
        <w:t>“</w:t>
      </w:r>
      <w:r>
        <w:rPr>
          <w:rFonts w:ascii="Times New Roman" w:hAnsi="Times New Roman"/>
          <w:b/>
          <w:i/>
          <w:color w:val="000000"/>
          <w:sz w:val="20"/>
        </w:rPr>
        <w:t>Other Award Agreement</w:t>
      </w:r>
      <w:r>
        <w:rPr>
          <w:color w:val="000000"/>
        </w:rPr>
        <w:t xml:space="preserve">” </w:t>
      </w:r>
      <w:r>
        <w:rPr>
          <w:rFonts w:ascii="Times New Roman" w:hAnsi="Times New Roman"/>
          <w:color w:val="000000"/>
          <w:sz w:val="20"/>
        </w:rPr>
        <w:t>means a written or electronic agreement between the Company and a holder of an Other Award evidencing the terms and conditions of an Other Award grant. Each Other Award Agreement will be subject to the terms and conditions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rr.</w:t>
      </w:r>
    </w:p>
    <w:p>
      <w:pPr>
        <w:pStyle w:val="TextBody"/>
        <w:bidi w:val="0"/>
        <w:spacing w:before="0" w:after="240"/>
        <w:jc w:val="both"/>
        <w:rPr/>
      </w:pPr>
      <w:r>
        <w:rPr>
          <w:color w:val="000000"/>
        </w:rPr>
        <w:t>“</w:t>
      </w:r>
      <w:r>
        <w:rPr>
          <w:rFonts w:ascii="Times New Roman" w:hAnsi="Times New Roman"/>
          <w:b/>
          <w:i/>
          <w:color w:val="000000"/>
          <w:sz w:val="20"/>
        </w:rPr>
        <w:t>Own,</w:t>
      </w:r>
      <w:r>
        <w:rPr>
          <w:color w:val="000000"/>
        </w:rPr>
        <w:t>” “</w:t>
      </w:r>
      <w:r>
        <w:rPr>
          <w:rFonts w:ascii="Times New Roman" w:hAnsi="Times New Roman"/>
          <w:b/>
          <w:i/>
          <w:color w:val="000000"/>
          <w:sz w:val="20"/>
        </w:rPr>
        <w:t>Owned,</w:t>
      </w:r>
      <w:r>
        <w:rPr>
          <w:color w:val="000000"/>
        </w:rPr>
        <w:t>” “</w:t>
      </w:r>
      <w:r>
        <w:rPr>
          <w:rFonts w:ascii="Times New Roman" w:hAnsi="Times New Roman"/>
          <w:b/>
          <w:i/>
          <w:color w:val="000000"/>
          <w:sz w:val="20"/>
        </w:rPr>
        <w:t>Owner,</w:t>
      </w:r>
      <w:r>
        <w:rPr>
          <w:color w:val="000000"/>
        </w:rPr>
        <w:t xml:space="preserve">” </w:t>
      </w:r>
      <w:r>
        <w:rPr>
          <w:rFonts w:ascii="Times New Roman" w:hAnsi="Times New Roman"/>
          <w:color w:val="000000"/>
          <w:sz w:val="20"/>
        </w:rPr>
        <w:t>or</w:t>
      </w:r>
      <w:r>
        <w:rPr>
          <w:color w:val="000000"/>
        </w:rPr>
        <w:t xml:space="preserve"> “</w:t>
      </w:r>
      <w:r>
        <w:rPr>
          <w:rFonts w:ascii="Times New Roman" w:hAnsi="Times New Roman"/>
          <w:b/>
          <w:i/>
          <w:color w:val="000000"/>
          <w:sz w:val="20"/>
        </w:rPr>
        <w:t>Ownership</w:t>
      </w:r>
      <w:r>
        <w:rPr>
          <w:color w:val="000000"/>
        </w:rPr>
        <w:t xml:space="preserve">” </w:t>
      </w:r>
      <w:r>
        <w:rPr>
          <w:rFonts w:ascii="Times New Roman" w:hAnsi="Times New Roman"/>
          <w:color w:val="000000"/>
          <w:sz w:val="20"/>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ss.</w:t>
      </w:r>
    </w:p>
    <w:p>
      <w:pPr>
        <w:pStyle w:val="TextBody"/>
        <w:bidi w:val="0"/>
        <w:spacing w:before="0" w:after="240"/>
        <w:jc w:val="both"/>
        <w:rPr/>
      </w:pPr>
      <w:r>
        <w:rPr>
          <w:color w:val="000000"/>
        </w:rPr>
        <w:t>“</w:t>
      </w:r>
      <w:r>
        <w:rPr>
          <w:rFonts w:ascii="Times New Roman" w:hAnsi="Times New Roman"/>
          <w:b/>
          <w:i/>
          <w:color w:val="000000"/>
          <w:sz w:val="20"/>
        </w:rPr>
        <w:t>Participant</w:t>
      </w:r>
      <w:r>
        <w:rPr>
          <w:color w:val="000000"/>
        </w:rPr>
        <w:t xml:space="preserve">” </w:t>
      </w:r>
      <w:r>
        <w:rPr>
          <w:rFonts w:ascii="Times New Roman" w:hAnsi="Times New Roman"/>
          <w:color w:val="000000"/>
          <w:sz w:val="20"/>
        </w:rPr>
        <w:t>means an Employee, Director or Consultant to whom an Award is granted pursuant to the Plan or, if applicable, such other person who holds an outstanding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tt.</w:t>
      </w:r>
    </w:p>
    <w:p>
      <w:pPr>
        <w:pStyle w:val="TextBody"/>
        <w:bidi w:val="0"/>
        <w:spacing w:before="0" w:after="240"/>
        <w:jc w:val="both"/>
        <w:rPr/>
      </w:pPr>
      <w:r>
        <w:rPr>
          <w:color w:val="000000"/>
        </w:rPr>
        <w:t>“</w:t>
      </w:r>
      <w:r>
        <w:rPr>
          <w:rFonts w:ascii="Times New Roman" w:hAnsi="Times New Roman"/>
          <w:b/>
          <w:i/>
          <w:color w:val="000000"/>
          <w:sz w:val="20"/>
        </w:rPr>
        <w:t>Performance Award</w:t>
      </w:r>
      <w:r>
        <w:rPr>
          <w:color w:val="000000"/>
        </w:rPr>
        <w:t xml:space="preserve">” </w:t>
      </w:r>
      <w:r>
        <w:rPr>
          <w:rFonts w:ascii="Times New Roman" w:hAnsi="Times New Roman"/>
          <w:color w:val="000000"/>
          <w:sz w:val="20"/>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uu.</w:t>
      </w:r>
    </w:p>
    <w:p>
      <w:pPr>
        <w:pStyle w:val="TextBody"/>
        <w:bidi w:val="0"/>
        <w:spacing w:before="0" w:after="240"/>
        <w:jc w:val="both"/>
        <w:rPr/>
      </w:pPr>
      <w:r>
        <w:rPr>
          <w:color w:val="000000"/>
        </w:rPr>
        <w:t>“</w:t>
      </w:r>
      <w:r>
        <w:rPr>
          <w:rFonts w:ascii="Times New Roman" w:hAnsi="Times New Roman"/>
          <w:b/>
          <w:i/>
          <w:color w:val="000000"/>
          <w:sz w:val="20"/>
        </w:rPr>
        <w:t>Performance Criteria</w:t>
      </w:r>
      <w:r>
        <w:rPr>
          <w:color w:val="000000"/>
        </w:rPr>
        <w:t xml:space="preserve">” </w:t>
      </w:r>
      <w:r>
        <w:rPr>
          <w:rFonts w:ascii="Times New Roman" w:hAnsi="Times New Roman"/>
          <w:color w:val="000000"/>
          <w:sz w:val="20"/>
        </w:rPr>
        <w:t>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vv.</w:t>
      </w:r>
    </w:p>
    <w:p>
      <w:pPr>
        <w:pStyle w:val="TextBody"/>
        <w:bidi w:val="0"/>
        <w:spacing w:before="0" w:after="240"/>
        <w:jc w:val="both"/>
        <w:rPr/>
      </w:pPr>
      <w:r>
        <w:rPr>
          <w:color w:val="000000"/>
        </w:rPr>
        <w:t>“</w:t>
      </w:r>
      <w:r>
        <w:rPr>
          <w:rFonts w:ascii="Times New Roman" w:hAnsi="Times New Roman"/>
          <w:b/>
          <w:i/>
          <w:color w:val="000000"/>
          <w:sz w:val="20"/>
        </w:rPr>
        <w:t>Performance Goals</w:t>
      </w:r>
      <w:r>
        <w:rPr>
          <w:color w:val="000000"/>
        </w:rPr>
        <w:t xml:space="preserve">” </w:t>
      </w:r>
      <w:r>
        <w:rPr>
          <w:rFonts w:ascii="Times New Roman" w:hAnsi="Times New Roman"/>
          <w:color w:val="000000"/>
          <w:sz w:val="20"/>
        </w:rPr>
        <w:t xml:space="preserve">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w:t>
      </w:r>
    </w:p>
    <w:p>
      <w:pPr>
        <w:pStyle w:val="TextBody"/>
        <w:bidi w:val="0"/>
        <w:jc w:val="center"/>
        <w:rPr>
          <w:rFonts w:ascii="Times New Roman" w:hAnsi="Times New Roman"/>
          <w:color w:val="000000"/>
          <w:sz w:val="20"/>
        </w:rPr>
      </w:pPr>
      <w:r>
        <w:rPr>
          <w:rFonts w:ascii="Times New Roman" w:hAnsi="Times New Roman"/>
          <w:color w:val="000000"/>
          <w:sz w:val="20"/>
        </w:rPr>
        <w:t>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r>
        <w:rPr>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ww.</w:t>
      </w:r>
    </w:p>
    <w:p>
      <w:pPr>
        <w:pStyle w:val="TextBody"/>
        <w:bidi w:val="0"/>
        <w:spacing w:before="0" w:after="240"/>
        <w:jc w:val="both"/>
        <w:rPr/>
      </w:pPr>
      <w:r>
        <w:rPr>
          <w:color w:val="000000"/>
        </w:rPr>
        <w:t>“</w:t>
      </w:r>
      <w:r>
        <w:rPr>
          <w:rFonts w:ascii="Times New Roman" w:hAnsi="Times New Roman"/>
          <w:b/>
          <w:i/>
          <w:color w:val="000000"/>
          <w:sz w:val="20"/>
        </w:rPr>
        <w:t>Performance Period</w:t>
      </w:r>
      <w:r>
        <w:rPr>
          <w:color w:val="000000"/>
        </w:rPr>
        <w:t xml:space="preserve">” </w:t>
      </w:r>
      <w:r>
        <w:rPr>
          <w:rFonts w:ascii="Times New Roman" w:hAnsi="Times New Roman"/>
          <w:color w:val="000000"/>
          <w:sz w:val="20"/>
        </w:rPr>
        <w:t>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xx.</w:t>
      </w:r>
    </w:p>
    <w:p>
      <w:pPr>
        <w:pStyle w:val="TextBody"/>
        <w:bidi w:val="0"/>
        <w:spacing w:before="0" w:after="240"/>
        <w:jc w:val="both"/>
        <w:rPr/>
      </w:pPr>
      <w:r>
        <w:rPr>
          <w:color w:val="000000"/>
        </w:rPr>
        <w:t>“</w:t>
      </w:r>
      <w:r>
        <w:rPr>
          <w:rFonts w:ascii="Times New Roman" w:hAnsi="Times New Roman"/>
          <w:b/>
          <w:i/>
          <w:color w:val="000000"/>
          <w:sz w:val="20"/>
        </w:rPr>
        <w:t>Plan</w:t>
      </w:r>
      <w:r>
        <w:rPr>
          <w:color w:val="000000"/>
        </w:rPr>
        <w:t xml:space="preserve">” </w:t>
      </w:r>
      <w:r>
        <w:rPr>
          <w:rFonts w:ascii="Times New Roman" w:hAnsi="Times New Roman"/>
          <w:color w:val="000000"/>
          <w:sz w:val="20"/>
        </w:rPr>
        <w:t>means this Syndax Pharmaceuticals, Inc. 2026 Equity Incentive Plan, as amended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yy.</w:t>
      </w:r>
    </w:p>
    <w:p>
      <w:pPr>
        <w:pStyle w:val="TextBody"/>
        <w:bidi w:val="0"/>
        <w:spacing w:before="0" w:after="240"/>
        <w:jc w:val="both"/>
        <w:rPr/>
      </w:pPr>
      <w:r>
        <w:rPr>
          <w:color w:val="000000"/>
        </w:rPr>
        <w:t>“</w:t>
      </w:r>
      <w:r>
        <w:rPr>
          <w:rFonts w:ascii="Times New Roman" w:hAnsi="Times New Roman"/>
          <w:b/>
          <w:i/>
          <w:color w:val="000000"/>
          <w:sz w:val="20"/>
        </w:rPr>
        <w:t>Plan Administrator</w:t>
      </w:r>
      <w:r>
        <w:rPr>
          <w:color w:val="000000"/>
        </w:rPr>
        <w:t xml:space="preserve">” </w:t>
      </w:r>
      <w:r>
        <w:rPr>
          <w:rFonts w:ascii="Times New Roman" w:hAnsi="Times New Roman"/>
          <w:color w:val="000000"/>
          <w:sz w:val="20"/>
        </w:rPr>
        <w:t>means the person, persons, and/or third-party administrator designated by the Company to administer the day-to-day operations of the Plan and the Company’s other equity incentive programs.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zz.</w:t>
      </w:r>
    </w:p>
    <w:p>
      <w:pPr>
        <w:pStyle w:val="TextBody"/>
        <w:bidi w:val="0"/>
        <w:spacing w:before="0" w:after="240"/>
        <w:jc w:val="both"/>
        <w:rPr/>
      </w:pPr>
      <w:r>
        <w:rPr>
          <w:color w:val="000000"/>
        </w:rPr>
        <w:t>“</w:t>
      </w:r>
      <w:r>
        <w:rPr>
          <w:rFonts w:ascii="Times New Roman" w:hAnsi="Times New Roman"/>
          <w:b/>
          <w:i/>
          <w:color w:val="000000"/>
          <w:sz w:val="20"/>
        </w:rPr>
        <w:t>Post-Termination Exercise Period</w:t>
      </w:r>
      <w:r>
        <w:rPr>
          <w:color w:val="000000"/>
        </w:rPr>
        <w:t xml:space="preserve">” </w:t>
      </w:r>
      <w:r>
        <w:rPr>
          <w:rFonts w:ascii="Times New Roman" w:hAnsi="Times New Roman"/>
          <w:color w:val="000000"/>
          <w:sz w:val="20"/>
        </w:rPr>
        <w:t>means the period following termination of a Participant’s Continuous Service within which an Option or SAR is exercisable, as specified in Section 4(h).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aaa.</w:t>
      </w:r>
    </w:p>
    <w:p>
      <w:pPr>
        <w:pStyle w:val="TextBody"/>
        <w:bidi w:val="0"/>
        <w:spacing w:before="0" w:after="240"/>
        <w:jc w:val="both"/>
        <w:rPr/>
      </w:pPr>
      <w:r>
        <w:rPr>
          <w:color w:val="000000"/>
        </w:rPr>
        <w:t>“</w:t>
      </w:r>
      <w:r>
        <w:rPr>
          <w:rFonts w:ascii="Times New Roman" w:hAnsi="Times New Roman"/>
          <w:b/>
          <w:i/>
          <w:color w:val="000000"/>
          <w:sz w:val="20"/>
        </w:rPr>
        <w:t>Prior Plan</w:t>
      </w:r>
      <w:r>
        <w:rPr>
          <w:color w:val="000000"/>
        </w:rPr>
        <w:t xml:space="preserve">” </w:t>
      </w:r>
      <w:r>
        <w:rPr>
          <w:rFonts w:ascii="Times New Roman" w:hAnsi="Times New Roman"/>
          <w:color w:val="000000"/>
          <w:sz w:val="20"/>
        </w:rPr>
        <w:t>means the Syndax Pharmaceuticals Inc. 2015 Omnibus Incentive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bbb.</w:t>
      </w:r>
    </w:p>
    <w:p>
      <w:pPr>
        <w:pStyle w:val="TextBody"/>
        <w:bidi w:val="0"/>
        <w:spacing w:before="0" w:after="240"/>
        <w:jc w:val="both"/>
        <w:rPr/>
      </w:pPr>
      <w:r>
        <w:rPr>
          <w:color w:val="000000"/>
        </w:rPr>
        <w:t>“</w:t>
      </w:r>
      <w:r>
        <w:rPr>
          <w:rFonts w:ascii="Times New Roman" w:hAnsi="Times New Roman"/>
          <w:b/>
          <w:i/>
          <w:color w:val="000000"/>
          <w:sz w:val="20"/>
        </w:rPr>
        <w:t>Prospectus</w:t>
      </w:r>
      <w:r>
        <w:rPr>
          <w:color w:val="000000"/>
        </w:rPr>
        <w:t xml:space="preserve">” </w:t>
      </w:r>
      <w:r>
        <w:rPr>
          <w:rFonts w:ascii="Times New Roman" w:hAnsi="Times New Roman"/>
          <w:color w:val="000000"/>
          <w:sz w:val="20"/>
        </w:rPr>
        <w:t>means the document containing the Plan information specified in Section 10(a) of the Securities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ccc.</w:t>
      </w:r>
    </w:p>
    <w:p>
      <w:pPr>
        <w:pStyle w:val="TextBody"/>
        <w:bidi w:val="0"/>
        <w:spacing w:before="0" w:after="240"/>
        <w:jc w:val="both"/>
        <w:rPr/>
      </w:pPr>
      <w:r>
        <w:rPr>
          <w:color w:val="000000"/>
        </w:rPr>
        <w:t>“</w:t>
      </w:r>
      <w:r>
        <w:rPr>
          <w:rFonts w:ascii="Times New Roman" w:hAnsi="Times New Roman"/>
          <w:b/>
          <w:i/>
          <w:color w:val="000000"/>
          <w:sz w:val="20"/>
        </w:rPr>
        <w:t>Restricted Stock Award</w:t>
      </w:r>
      <w:r>
        <w:rPr>
          <w:color w:val="000000"/>
        </w:rPr>
        <w:t xml:space="preserve">” </w:t>
      </w:r>
      <w:r>
        <w:rPr>
          <w:rFonts w:ascii="Times New Roman" w:hAnsi="Times New Roman"/>
          <w:color w:val="000000"/>
          <w:sz w:val="20"/>
        </w:rPr>
        <w:t>means an Award of shares of Common Stock which is granted pursuant to the terms and conditions of Section 5(a).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ddd.</w:t>
      </w:r>
    </w:p>
    <w:p>
      <w:pPr>
        <w:pStyle w:val="TextBody"/>
        <w:bidi w:val="0"/>
        <w:spacing w:before="0" w:after="240"/>
        <w:jc w:val="both"/>
        <w:rPr/>
      </w:pPr>
      <w:r>
        <w:rPr>
          <w:color w:val="000000"/>
        </w:rPr>
        <w:t>“</w:t>
      </w:r>
      <w:r>
        <w:rPr>
          <w:rFonts w:ascii="Times New Roman" w:hAnsi="Times New Roman"/>
          <w:b/>
          <w:i/>
          <w:color w:val="000000"/>
          <w:sz w:val="20"/>
        </w:rPr>
        <w:t>Restricted Stock Award Agreement</w:t>
      </w:r>
      <w:r>
        <w:rPr>
          <w:color w:val="000000"/>
        </w:rPr>
        <w:t xml:space="preserve">” </w:t>
      </w:r>
      <w:r>
        <w:rPr>
          <w:rFonts w:ascii="Times New Roman" w:hAnsi="Times New Roman"/>
          <w:color w:val="000000"/>
          <w:sz w:val="20"/>
        </w:rPr>
        <w:t>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eee.</w:t>
      </w:r>
    </w:p>
    <w:p>
      <w:pPr>
        <w:pStyle w:val="TextBody"/>
        <w:bidi w:val="0"/>
        <w:spacing w:before="0" w:after="240"/>
        <w:jc w:val="both"/>
        <w:rPr/>
      </w:pPr>
      <w:r>
        <w:rPr>
          <w:color w:val="000000"/>
        </w:rPr>
        <w:t>“</w:t>
      </w:r>
      <w:r>
        <w:rPr>
          <w:rFonts w:ascii="Times New Roman" w:hAnsi="Times New Roman"/>
          <w:b/>
          <w:i/>
          <w:color w:val="000000"/>
          <w:sz w:val="20"/>
        </w:rPr>
        <w:t>Returning Shares</w:t>
      </w:r>
      <w:r>
        <w:rPr>
          <w:color w:val="000000"/>
        </w:rPr>
        <w:t xml:space="preserve">” </w:t>
      </w:r>
      <w:r>
        <w:rPr>
          <w:rFonts w:ascii="Times New Roman" w:hAnsi="Times New Roman"/>
          <w:color w:val="000000"/>
          <w:sz w:val="20"/>
        </w:rPr>
        <w:t>means shares subject to outstanding stock awards granted under the Prior Plan and that following the Adoption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fff.</w:t>
      </w:r>
    </w:p>
    <w:p>
      <w:pPr>
        <w:pStyle w:val="TextBody"/>
        <w:bidi w:val="0"/>
        <w:spacing w:before="0" w:after="240"/>
        <w:jc w:val="both"/>
        <w:rPr/>
      </w:pPr>
      <w:r>
        <w:rPr>
          <w:color w:val="000000"/>
        </w:rPr>
        <w:t>“</w:t>
      </w:r>
      <w:r>
        <w:rPr>
          <w:rFonts w:ascii="Times New Roman" w:hAnsi="Times New Roman"/>
          <w:b/>
          <w:i/>
          <w:color w:val="000000"/>
          <w:sz w:val="20"/>
        </w:rPr>
        <w:t>RSU Award</w:t>
      </w:r>
      <w:r>
        <w:rPr>
          <w:color w:val="000000"/>
        </w:rPr>
        <w:t xml:space="preserve">” </w:t>
      </w:r>
      <w:r>
        <w:rPr>
          <w:rFonts w:ascii="Times New Roman" w:hAnsi="Times New Roman"/>
          <w:color w:val="000000"/>
          <w:sz w:val="20"/>
        </w:rPr>
        <w:t>or “</w:t>
      </w:r>
      <w:r>
        <w:rPr>
          <w:rFonts w:ascii="Times New Roman" w:hAnsi="Times New Roman"/>
          <w:b/>
          <w:i/>
          <w:color w:val="000000"/>
          <w:sz w:val="20"/>
        </w:rPr>
        <w:t>RSU</w:t>
      </w:r>
      <w:r>
        <w:rPr>
          <w:color w:val="000000"/>
        </w:rPr>
        <w:t xml:space="preserve">” </w:t>
      </w:r>
      <w:r>
        <w:rPr>
          <w:rFonts w:ascii="Times New Roman" w:hAnsi="Times New Roman"/>
          <w:color w:val="000000"/>
          <w:sz w:val="20"/>
        </w:rPr>
        <w:t>means an Award of restricted stock units representing the right to receive an issuance of shares of Common Stock which is granted pursuant to the terms and conditions of Section 5(a).</w:t>
      </w:r>
    </w:p>
    <w:p>
      <w:pPr>
        <w:pStyle w:val="TextBody"/>
        <w:bidi w:val="0"/>
        <w:jc w:val="center"/>
        <w:rPr>
          <w:rFonts w:ascii="Times New Roman" w:hAnsi="Times New Roman"/>
          <w:color w:val="000000"/>
          <w:sz w:val="20"/>
        </w:rPr>
      </w:pPr>
      <w:r>
        <w:rPr>
          <w:rFonts w:ascii="Times New Roman" w:hAnsi="Times New Roman"/>
          <w:color w:val="000000"/>
          <w:sz w:val="20"/>
        </w:rPr>
        <w:t>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ggg.</w:t>
      </w:r>
    </w:p>
    <w:p>
      <w:pPr>
        <w:pStyle w:val="TextBody"/>
        <w:bidi w:val="0"/>
        <w:spacing w:before="0" w:after="240"/>
        <w:jc w:val="both"/>
        <w:rPr/>
      </w:pPr>
      <w:r>
        <w:rPr>
          <w:color w:val="000000"/>
        </w:rPr>
        <w:t>“</w:t>
      </w:r>
      <w:r>
        <w:rPr>
          <w:rFonts w:ascii="Times New Roman" w:hAnsi="Times New Roman"/>
          <w:b/>
          <w:i/>
          <w:color w:val="000000"/>
          <w:sz w:val="20"/>
        </w:rPr>
        <w:t>RSU Award Agreement</w:t>
      </w:r>
      <w:r>
        <w:rPr>
          <w:color w:val="000000"/>
        </w:rPr>
        <w:t xml:space="preserve">” </w:t>
      </w:r>
      <w:r>
        <w:rPr>
          <w:rFonts w:ascii="Times New Roman" w:hAnsi="Times New Roman"/>
          <w:color w:val="000000"/>
          <w:sz w:val="20"/>
        </w:rPr>
        <w:t>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hhh.</w:t>
      </w:r>
    </w:p>
    <w:p>
      <w:pPr>
        <w:pStyle w:val="TextBody"/>
        <w:bidi w:val="0"/>
        <w:spacing w:before="0" w:after="240"/>
        <w:jc w:val="both"/>
        <w:rPr/>
      </w:pPr>
      <w:r>
        <w:rPr>
          <w:color w:val="000000"/>
        </w:rPr>
        <w:t>“</w:t>
      </w:r>
      <w:r>
        <w:rPr>
          <w:rFonts w:ascii="Times New Roman" w:hAnsi="Times New Roman"/>
          <w:b/>
          <w:i/>
          <w:color w:val="000000"/>
          <w:sz w:val="20"/>
        </w:rPr>
        <w:t>Rule 16b-3</w:t>
      </w:r>
      <w:r>
        <w:rPr>
          <w:color w:val="000000"/>
        </w:rPr>
        <w:t xml:space="preserve">” </w:t>
      </w:r>
      <w:r>
        <w:rPr>
          <w:rFonts w:ascii="Times New Roman" w:hAnsi="Times New Roman"/>
          <w:color w:val="000000"/>
          <w:sz w:val="20"/>
        </w:rPr>
        <w:t>means Rule 16b-3 promulgated under the Exchange Act or any successor to Rule 16b-3, as in effect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pPr>
      <w:r>
        <w:rPr>
          <w:color w:val="000000"/>
        </w:rPr>
        <w:t>“</w:t>
      </w:r>
      <w:r>
        <w:rPr>
          <w:rFonts w:ascii="Times New Roman" w:hAnsi="Times New Roman"/>
          <w:b/>
          <w:i/>
          <w:color w:val="000000"/>
          <w:sz w:val="20"/>
        </w:rPr>
        <w:t>Rule 405</w:t>
      </w:r>
      <w:r>
        <w:rPr>
          <w:color w:val="000000"/>
        </w:rPr>
        <w:t xml:space="preserve">” </w:t>
      </w:r>
      <w:r>
        <w:rPr>
          <w:rFonts w:ascii="Times New Roman" w:hAnsi="Times New Roman"/>
          <w:color w:val="000000"/>
          <w:sz w:val="20"/>
        </w:rPr>
        <w:t xml:space="preserve">means Rule 405 promulgated under the Securities Act.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jjj.</w:t>
      </w:r>
    </w:p>
    <w:p>
      <w:pPr>
        <w:pStyle w:val="TextBody"/>
        <w:bidi w:val="0"/>
        <w:spacing w:before="0" w:after="240"/>
        <w:jc w:val="both"/>
        <w:rPr/>
      </w:pPr>
      <w:r>
        <w:rPr>
          <w:color w:val="000000"/>
        </w:rPr>
        <w:t>“</w:t>
      </w:r>
      <w:r>
        <w:rPr>
          <w:rFonts w:ascii="Times New Roman" w:hAnsi="Times New Roman"/>
          <w:b/>
          <w:i/>
          <w:color w:val="000000"/>
          <w:sz w:val="20"/>
        </w:rPr>
        <w:t>SAR Agreement</w:t>
      </w:r>
      <w:r>
        <w:rPr>
          <w:color w:val="000000"/>
        </w:rPr>
        <w:t xml:space="preserve">” </w:t>
      </w:r>
      <w:r>
        <w:rPr>
          <w:rFonts w:ascii="Times New Roman" w:hAnsi="Times New Roman"/>
          <w:color w:val="000000"/>
          <w:sz w:val="20"/>
        </w:rPr>
        <w:t>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kkk.</w:t>
      </w:r>
    </w:p>
    <w:p>
      <w:pPr>
        <w:pStyle w:val="TextBody"/>
        <w:bidi w:val="0"/>
        <w:spacing w:before="0" w:after="240"/>
        <w:jc w:val="both"/>
        <w:rPr/>
      </w:pPr>
      <w:r>
        <w:rPr>
          <w:color w:val="000000"/>
        </w:rPr>
        <w:t>“</w:t>
      </w:r>
      <w:r>
        <w:rPr>
          <w:rFonts w:ascii="Times New Roman" w:hAnsi="Times New Roman"/>
          <w:b/>
          <w:i/>
          <w:color w:val="000000"/>
          <w:sz w:val="20"/>
        </w:rPr>
        <w:t>Section 409A</w:t>
      </w:r>
      <w:r>
        <w:rPr>
          <w:color w:val="000000"/>
        </w:rPr>
        <w:t xml:space="preserve">” </w:t>
      </w:r>
      <w:r>
        <w:rPr>
          <w:rFonts w:ascii="Times New Roman" w:hAnsi="Times New Roman"/>
          <w:color w:val="000000"/>
          <w:sz w:val="20"/>
        </w:rPr>
        <w:t>means Section 409A of the Code and the regulations and other guidance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lll.</w:t>
      </w:r>
    </w:p>
    <w:p>
      <w:pPr>
        <w:pStyle w:val="TextBody"/>
        <w:bidi w:val="0"/>
        <w:spacing w:before="0" w:after="240"/>
        <w:jc w:val="both"/>
        <w:rPr/>
      </w:pPr>
      <w:r>
        <w:rPr>
          <w:color w:val="000000"/>
        </w:rPr>
        <w:t>“</w:t>
      </w:r>
      <w:r>
        <w:rPr>
          <w:rFonts w:ascii="Times New Roman" w:hAnsi="Times New Roman"/>
          <w:b/>
          <w:i/>
          <w:color w:val="000000"/>
          <w:sz w:val="20"/>
        </w:rPr>
        <w:t>Section 409A Change in Control</w:t>
      </w:r>
      <w:r>
        <w:rPr>
          <w:color w:val="000000"/>
        </w:rPr>
        <w:t xml:space="preserve">” </w:t>
      </w:r>
      <w:r>
        <w:rPr>
          <w:rFonts w:ascii="Times New Roman" w:hAnsi="Times New Roman"/>
          <w:color w:val="000000"/>
          <w:sz w:val="20"/>
        </w:rPr>
        <w:t>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mmm.</w:t>
      </w:r>
    </w:p>
    <w:p>
      <w:pPr>
        <w:pStyle w:val="TextBody"/>
        <w:bidi w:val="0"/>
        <w:spacing w:before="0" w:after="240"/>
        <w:jc w:val="both"/>
        <w:rPr/>
      </w:pPr>
      <w:r>
        <w:rPr>
          <w:color w:val="000000"/>
        </w:rPr>
        <w:t>“</w:t>
      </w:r>
      <w:r>
        <w:rPr>
          <w:rFonts w:ascii="Times New Roman" w:hAnsi="Times New Roman"/>
          <w:b/>
          <w:i/>
          <w:color w:val="000000"/>
          <w:sz w:val="20"/>
        </w:rPr>
        <w:t>Securities Act</w:t>
      </w:r>
      <w:r>
        <w:rPr>
          <w:color w:val="000000"/>
        </w:rPr>
        <w:t xml:space="preserve">” </w:t>
      </w:r>
      <w:r>
        <w:rPr>
          <w:rFonts w:ascii="Times New Roman" w:hAnsi="Times New Roman"/>
          <w:color w:val="000000"/>
          <w:sz w:val="20"/>
        </w:rPr>
        <w:t>means the U.S. Securities Act of 1933, as amended.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nnn.</w:t>
      </w:r>
    </w:p>
    <w:p>
      <w:pPr>
        <w:pStyle w:val="TextBody"/>
        <w:bidi w:val="0"/>
        <w:spacing w:before="0" w:after="240"/>
        <w:jc w:val="both"/>
        <w:rPr/>
      </w:pPr>
      <w:r>
        <w:rPr>
          <w:color w:val="000000"/>
        </w:rPr>
        <w:t>“</w:t>
      </w:r>
      <w:r>
        <w:rPr>
          <w:rFonts w:ascii="Times New Roman" w:hAnsi="Times New Roman"/>
          <w:b/>
          <w:i/>
          <w:color w:val="000000"/>
          <w:sz w:val="20"/>
        </w:rPr>
        <w:t>Share Reserve</w:t>
      </w:r>
      <w:r>
        <w:rPr>
          <w:color w:val="000000"/>
        </w:rPr>
        <w:t xml:space="preserve">” </w:t>
      </w:r>
      <w:r>
        <w:rPr>
          <w:rFonts w:ascii="Times New Roman" w:hAnsi="Times New Roman"/>
          <w:color w:val="000000"/>
          <w:sz w:val="20"/>
        </w:rPr>
        <w:t>means the number of shares available for issuance under the Plan as set forth in Section 2(a).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ooo.</w:t>
      </w:r>
    </w:p>
    <w:p>
      <w:pPr>
        <w:pStyle w:val="TextBody"/>
        <w:bidi w:val="0"/>
        <w:spacing w:before="0" w:after="240"/>
        <w:jc w:val="both"/>
        <w:rPr/>
      </w:pPr>
      <w:r>
        <w:rPr>
          <w:color w:val="000000"/>
        </w:rPr>
        <w:t>“</w:t>
      </w:r>
      <w:r>
        <w:rPr>
          <w:rFonts w:ascii="Times New Roman" w:hAnsi="Times New Roman"/>
          <w:b/>
          <w:i/>
          <w:color w:val="000000"/>
          <w:sz w:val="20"/>
        </w:rPr>
        <w:t>Stock Appreciation Right</w:t>
      </w:r>
      <w:r>
        <w:rPr>
          <w:color w:val="000000"/>
        </w:rPr>
        <w:t xml:space="preserve">” </w:t>
      </w:r>
      <w:r>
        <w:rPr>
          <w:rFonts w:ascii="Times New Roman" w:hAnsi="Times New Roman"/>
          <w:color w:val="000000"/>
          <w:sz w:val="20"/>
        </w:rPr>
        <w:t>or “</w:t>
      </w:r>
      <w:r>
        <w:rPr>
          <w:rFonts w:ascii="Times New Roman" w:hAnsi="Times New Roman"/>
          <w:b/>
          <w:i/>
          <w:color w:val="000000"/>
          <w:sz w:val="20"/>
        </w:rPr>
        <w:t>SAR</w:t>
      </w:r>
      <w:r>
        <w:rPr>
          <w:color w:val="000000"/>
        </w:rPr>
        <w:t xml:space="preserve">” </w:t>
      </w:r>
      <w:r>
        <w:rPr>
          <w:rFonts w:ascii="Times New Roman" w:hAnsi="Times New Roman"/>
          <w:color w:val="000000"/>
          <w:sz w:val="20"/>
        </w:rPr>
        <w:t>means a right to receive the appreciation on Common Stock that is granted pursuant to the terms and conditions of Section 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ppp.</w:t>
      </w:r>
    </w:p>
    <w:p>
      <w:pPr>
        <w:pStyle w:val="TextBody"/>
        <w:bidi w:val="0"/>
        <w:spacing w:before="0" w:after="240"/>
        <w:jc w:val="both"/>
        <w:rPr/>
      </w:pPr>
      <w:r>
        <w:rPr>
          <w:color w:val="000000"/>
        </w:rPr>
        <w:t>“</w:t>
      </w:r>
      <w:r>
        <w:rPr>
          <w:rFonts w:ascii="Times New Roman" w:hAnsi="Times New Roman"/>
          <w:b/>
          <w:i/>
          <w:color w:val="000000"/>
          <w:sz w:val="20"/>
        </w:rPr>
        <w:t>Subsidiary</w:t>
      </w:r>
      <w:r>
        <w:rPr>
          <w:color w:val="000000"/>
        </w:rPr>
        <w:t xml:space="preserve">” </w:t>
      </w:r>
      <w:r>
        <w:rPr>
          <w:rFonts w:ascii="Times New Roman" w:hAnsi="Times New Roman"/>
          <w:color w:val="000000"/>
          <w:sz w:val="20"/>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qqq.</w:t>
      </w:r>
    </w:p>
    <w:p>
      <w:pPr>
        <w:pStyle w:val="TextBody"/>
        <w:bidi w:val="0"/>
        <w:spacing w:before="0" w:after="240"/>
        <w:jc w:val="both"/>
        <w:rPr/>
      </w:pPr>
      <w:r>
        <w:rPr>
          <w:color w:val="000000"/>
        </w:rPr>
        <w:t>“</w:t>
      </w:r>
      <w:r>
        <w:rPr>
          <w:rFonts w:ascii="Times New Roman" w:hAnsi="Times New Roman"/>
          <w:b/>
          <w:i/>
          <w:color w:val="000000"/>
          <w:sz w:val="20"/>
        </w:rPr>
        <w:t>Tax-Related Items</w:t>
      </w:r>
      <w:r>
        <w:rPr>
          <w:color w:val="000000"/>
        </w:rPr>
        <w:t xml:space="preserve">” </w:t>
      </w:r>
      <w:r>
        <w:rPr>
          <w:rFonts w:ascii="Times New Roman" w:hAnsi="Times New Roman"/>
          <w:color w:val="000000"/>
          <w:sz w:val="20"/>
        </w:rPr>
        <w:t>means any income tax, social insurance, payroll tax, fringe benefit tax, payment on account or other tax-related items arising out of or in relation to a Participant’s participation in the Plan and legally applicable or deemed applicable to the Participant.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rrr.</w:t>
      </w:r>
    </w:p>
    <w:p>
      <w:pPr>
        <w:pStyle w:val="TextBody"/>
        <w:bidi w:val="0"/>
        <w:spacing w:before="0" w:after="240"/>
        <w:jc w:val="both"/>
        <w:rPr/>
      </w:pPr>
      <w:r>
        <w:rPr>
          <w:color w:val="000000"/>
        </w:rPr>
        <w:t>“</w:t>
      </w:r>
      <w:r>
        <w:rPr>
          <w:rFonts w:ascii="Times New Roman" w:hAnsi="Times New Roman"/>
          <w:b/>
          <w:i/>
          <w:color w:val="000000"/>
          <w:sz w:val="20"/>
        </w:rPr>
        <w:t>Ten Percent Stockholder</w:t>
      </w:r>
      <w:r>
        <w:rPr>
          <w:color w:val="000000"/>
        </w:rPr>
        <w:t xml:space="preserve">” </w:t>
      </w:r>
      <w:r>
        <w:rPr>
          <w:rFonts w:ascii="Times New Roman" w:hAnsi="Times New Roman"/>
          <w:color w:val="000000"/>
          <w:sz w:val="20"/>
        </w:rPr>
        <w:t>means a person who Owns (or is deemed to Own pursuant to Section 424(d) of the Code) stock possessing more than 10% of the total combined voting power of all classes of stock of the Company or any Affiliate.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sss.</w:t>
      </w:r>
    </w:p>
    <w:p>
      <w:pPr>
        <w:pStyle w:val="TextBody"/>
        <w:bidi w:val="0"/>
        <w:spacing w:before="0" w:after="240"/>
        <w:jc w:val="both"/>
        <w:rPr/>
      </w:pPr>
      <w:r>
        <w:rPr>
          <w:color w:val="000000"/>
        </w:rPr>
        <w:t>“</w:t>
      </w:r>
      <w:r>
        <w:rPr>
          <w:rFonts w:ascii="Times New Roman" w:hAnsi="Times New Roman"/>
          <w:b/>
          <w:i/>
          <w:color w:val="000000"/>
          <w:sz w:val="20"/>
        </w:rPr>
        <w:t>Trading Policy</w:t>
      </w:r>
      <w:r>
        <w:rPr>
          <w:color w:val="000000"/>
        </w:rPr>
        <w:t xml:space="preserve">” </w:t>
      </w:r>
      <w:r>
        <w:rPr>
          <w:rFonts w:ascii="Times New Roman" w:hAnsi="Times New Roman"/>
          <w:color w:val="000000"/>
          <w:sz w:val="20"/>
        </w:rPr>
        <w:t>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ttt.</w:t>
      </w:r>
    </w:p>
    <w:p>
      <w:pPr>
        <w:pStyle w:val="TextBody"/>
        <w:bidi w:val="0"/>
        <w:spacing w:before="0" w:after="240"/>
        <w:jc w:val="both"/>
        <w:rPr/>
      </w:pPr>
      <w:r>
        <w:rPr>
          <w:color w:val="000000"/>
        </w:rPr>
        <w:t>“</w:t>
      </w:r>
      <w:r>
        <w:rPr>
          <w:rFonts w:ascii="Times New Roman" w:hAnsi="Times New Roman"/>
          <w:b/>
          <w:i/>
          <w:color w:val="000000"/>
          <w:sz w:val="20"/>
        </w:rPr>
        <w:t>Unvested Non-Exempt Award</w:t>
      </w:r>
      <w:r>
        <w:rPr>
          <w:color w:val="000000"/>
        </w:rPr>
        <w:t xml:space="preserve">” </w:t>
      </w:r>
      <w:r>
        <w:rPr>
          <w:rFonts w:ascii="Times New Roman" w:hAnsi="Times New Roman"/>
          <w:color w:val="000000"/>
          <w:sz w:val="20"/>
        </w:rPr>
        <w:t>means the portion of any Non-Exempt Award that had not vested in accordance with its terms upon or prior to the date of any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uuu.</w:t>
      </w:r>
    </w:p>
    <w:p>
      <w:pPr>
        <w:pStyle w:val="TextBody"/>
        <w:bidi w:val="0"/>
        <w:spacing w:before="0" w:after="240"/>
        <w:jc w:val="both"/>
        <w:rPr/>
      </w:pPr>
      <w:r>
        <w:rPr>
          <w:color w:val="000000"/>
        </w:rPr>
        <w:t>“</w:t>
      </w:r>
      <w:r>
        <w:rPr>
          <w:rFonts w:ascii="Times New Roman" w:hAnsi="Times New Roman"/>
          <w:b/>
          <w:i/>
          <w:color w:val="000000"/>
          <w:sz w:val="20"/>
        </w:rPr>
        <w:t>Vested Non-Exempt Award</w:t>
      </w:r>
      <w:r>
        <w:rPr>
          <w:color w:val="000000"/>
        </w:rPr>
        <w:t xml:space="preserve">” </w:t>
      </w:r>
      <w:r>
        <w:rPr>
          <w:rFonts w:ascii="Times New Roman" w:hAnsi="Times New Roman"/>
          <w:color w:val="000000"/>
          <w:sz w:val="20"/>
        </w:rPr>
        <w:t>means the portion of any Non-Exempt Award that had vested in accordance with its terms upon or prior to the date of a Corporate Transaction.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Annex B</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smallCaps/>
          <w:color w:val="000000"/>
          <w:sz w:val="20"/>
        </w:rPr>
        <w:t>Syndax Pharmaceuticals, Inc.</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2026 Employee Stock Purchase Plan</w:t>
      </w:r>
    </w:p>
    <w:p>
      <w:pPr>
        <w:pStyle w:val="TextBody"/>
        <w:bidi w:val="0"/>
        <w:spacing w:before="0" w:after="240"/>
        <w:jc w:val="center"/>
        <w:rPr>
          <w:rFonts w:ascii="Times New Roman" w:hAnsi="Times New Roman"/>
          <w:sz w:val="20"/>
        </w:rPr>
      </w:pPr>
      <w:r>
        <w:rPr>
          <w:rFonts w:ascii="Times New Roman" w:hAnsi="Times New Roman"/>
          <w:b/>
          <w:smallCaps/>
          <w:color w:val="000000"/>
          <w:sz w:val="20"/>
        </w:rPr>
        <w:t>Adopted by the Board of Directors: April 30, 2026</w:t>
        <w:br/>
        <w:t>Approved by the Stockholders: [_____], 2026</w:t>
        <w:br/>
        <w:t xml:space="preserve">Effective Date: [_____], 2026 </w:t>
      </w:r>
      <w:r>
        <w:rPr>
          <w:rFonts w:ascii="Times New Roman" w:hAnsi="Times New Roman"/>
          <w:b/>
          <w:color w:val="000000"/>
          <w:sz w:val="20"/>
        </w:rPr>
        <w:t>(the “</w:t>
      </w:r>
      <w:r>
        <w:rPr>
          <w:rFonts w:ascii="Times New Roman" w:hAnsi="Times New Roman"/>
          <w:b/>
          <w:i/>
          <w:color w:val="000000"/>
          <w:sz w:val="20"/>
        </w:rPr>
        <w:t>Effective Date</w:t>
      </w:r>
      <w:r>
        <w:rPr>
          <w:rFonts w:ascii="Times New Roman" w:hAnsi="Times New Roman"/>
          <w:color w:val="000000"/>
          <w:sz w:val="20"/>
        </w:rPr>
        <w:t>”</w:t>
      </w:r>
      <w:r>
        <w:rPr>
          <w:rFonts w:ascii="Times New Roman" w:hAnsi="Times New Roman"/>
          <w:b/>
          <w:color w:val="000000"/>
          <w:sz w:val="20"/>
        </w:rPr>
        <w:t>)</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w:t>
      </w:r>
    </w:p>
    <w:p>
      <w:pPr>
        <w:pStyle w:val="TextBody"/>
        <w:bidi w:val="0"/>
        <w:spacing w:before="0" w:after="240"/>
        <w:jc w:val="both"/>
        <w:rPr/>
      </w:pPr>
      <w:r>
        <w:rPr>
          <w:rFonts w:ascii="Times New Roman" w:hAnsi="Times New Roman"/>
          <w:b/>
          <w:smallCaps/>
          <w:color w:val="000000"/>
          <w:sz w:val="20"/>
        </w:rPr>
        <w:t>General; Purpose</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2.</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Administration.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will administer the Plan unless and until the Board delegates administration of the Plan to a Committee or Committees, as provided in Section 2(c).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will have the power, subject to, and within the limitations of, the express provisions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how and when Purchase Rights will be granted and the provisions of each Offering (which need not be identical).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settle all controversies regarding the Plan and Purchase Rights granted under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suspend or terminate the Plan at any time as provided in Section 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amend the Plan at any time as provided in Section 12.</w:t>
      </w:r>
    </w:p>
    <w:p>
      <w:pPr>
        <w:pStyle w:val="TextBody"/>
        <w:bidi w:val="0"/>
        <w:jc w:val="center"/>
        <w:rPr>
          <w:rFonts w:ascii="Times New Roman" w:hAnsi="Times New Roman"/>
          <w:color w:val="000000"/>
          <w:sz w:val="20"/>
        </w:rPr>
      </w:pPr>
      <w:r>
        <w:rPr>
          <w:rFonts w:ascii="Times New Roman" w:hAnsi="Times New Roman"/>
          <w:color w:val="000000"/>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determinations, interpretations and constructions made by the Board will not be subject to review by any person and will be final, binding and conclusive on all persons.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3.</w:t>
      </w:r>
    </w:p>
    <w:p>
      <w:pPr>
        <w:pStyle w:val="TextBody"/>
        <w:bidi w:val="0"/>
        <w:spacing w:before="0" w:after="240"/>
        <w:jc w:val="both"/>
        <w:rPr/>
      </w:pPr>
      <w:r>
        <w:rPr>
          <w:rFonts w:ascii="Times New Roman" w:hAnsi="Times New Roman"/>
          <w:b/>
          <w:smallCaps/>
          <w:color w:val="000000"/>
          <w:sz w:val="20"/>
        </w:rPr>
        <w:t>Shares of Common Stock Subject to the Plan</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 xml:space="preserve">Subject to the provisions of Section 11(a) relating to Capitalization Adjustments, the maximum number of shares of Common Stock that may be issued under the Plan will not exceed </w:t>
      </w:r>
      <w:r>
        <w:rPr>
          <w:rFonts w:ascii="Times New Roman" w:hAnsi="Times New Roman"/>
          <w:smallCaps/>
          <w:color w:val="000000"/>
          <w:sz w:val="20"/>
        </w:rPr>
        <w:t>500,000</w:t>
      </w:r>
      <w:r>
        <w:rPr>
          <w:color w:val="000000"/>
        </w:rPr>
        <w:t xml:space="preserve"> </w:t>
      </w:r>
      <w:r>
        <w:rPr>
          <w:rFonts w:ascii="Times New Roman" w:hAnsi="Times New Roman"/>
          <w:color w:val="000000"/>
          <w:sz w:val="20"/>
        </w:rPr>
        <w:t>shares of Common Stock.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stock purchasable under the Plan will be shares of authorized but unissued or reacquired Common Stock, including shares repurchased by the Company on the open market.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4.</w:t>
      </w:r>
    </w:p>
    <w:p>
      <w:pPr>
        <w:pStyle w:val="TextBody"/>
        <w:bidi w:val="0"/>
        <w:spacing w:before="0" w:after="240"/>
        <w:jc w:val="both"/>
        <w:rPr/>
      </w:pPr>
      <w:r>
        <w:rPr>
          <w:rFonts w:ascii="Times New Roman" w:hAnsi="Times New Roman"/>
          <w:b/>
          <w:smallCaps/>
          <w:color w:val="000000"/>
          <w:sz w:val="20"/>
        </w:rPr>
        <w:t>Grant of Purchase Rights; Offering</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If a Participant has more than one Purchase Right outstanding under the Plan, unless such Participant otherwise indicates in forms delivered to the Company or a third party designated by the Company (each, a “</w:t>
      </w:r>
      <w:r>
        <w:rPr>
          <w:rFonts w:ascii="Times New Roman" w:hAnsi="Times New Roman"/>
          <w:b/>
          <w:i/>
          <w:color w:val="000000"/>
          <w:sz w:val="20"/>
        </w:rPr>
        <w:t>Company Designee</w:t>
      </w:r>
      <w:r>
        <w:rPr>
          <w:color w:val="000000"/>
        </w:rPr>
        <w:t>”</w:t>
      </w:r>
      <w:r>
        <w:rPr>
          <w:rFonts w:ascii="Times New Roman" w:hAnsi="Times New Roman"/>
          <w:color w:val="000000"/>
          <w:sz w:val="20"/>
        </w:rPr>
        <w:t xml:space="preserve">): (i) each form will apply to all of the Participant’s Purchase Rights under the Plan, and (ii) a Purchase Right with a </w:t>
      </w:r>
    </w:p>
    <w:p>
      <w:pPr>
        <w:pStyle w:val="TextBody"/>
        <w:bidi w:val="0"/>
        <w:jc w:val="center"/>
        <w:rPr>
          <w:rFonts w:ascii="Times New Roman" w:hAnsi="Times New Roman"/>
          <w:color w:val="000000"/>
          <w:sz w:val="20"/>
        </w:rPr>
      </w:pPr>
      <w:r>
        <w:rPr>
          <w:rFonts w:ascii="Times New Roman" w:hAnsi="Times New Roman"/>
          <w:color w:val="000000"/>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5.</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Eligibility.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on which such Purchase Right is granted will be the “Offering Date” of such Purchase Right for all purposes, including determination of the exercise price of such Purchase Right;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period of the Offering with respect to such Purchase Right will begin on its Offering Date and end coincident with the end of such Offering;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provide that if such person first becomes an Eligible Employee within a specified period of time before the end of the Offering, the individual will not receive any Purchase Right under that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pStyle w:val="TextBody"/>
        <w:bidi w:val="0"/>
        <w:jc w:val="center"/>
        <w:rPr>
          <w:rFonts w:ascii="Times New Roman" w:hAnsi="Times New Roman"/>
          <w:color w:val="000000"/>
          <w:sz w:val="20"/>
        </w:rPr>
      </w:pPr>
      <w:r>
        <w:rPr>
          <w:rFonts w:ascii="Times New Roman" w:hAnsi="Times New Roman"/>
          <w:color w:val="000000"/>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6.</w:t>
      </w:r>
    </w:p>
    <w:p>
      <w:pPr>
        <w:pStyle w:val="TextBody"/>
        <w:bidi w:val="0"/>
        <w:spacing w:before="0" w:after="240"/>
        <w:jc w:val="both"/>
        <w:rPr/>
      </w:pPr>
      <w:r>
        <w:rPr>
          <w:rFonts w:ascii="Times New Roman" w:hAnsi="Times New Roman"/>
          <w:b/>
          <w:smallCaps/>
          <w:color w:val="000000"/>
          <w:sz w:val="20"/>
        </w:rPr>
        <w:t>Purchase Rights; Purchase Price</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will establish one or more Purchase Dates during an Offering on which Purchase Rights granted for that Offering will be exercised and shares of Common Stock will be purchased in accordance with such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purchase price of shares of Common Stock acquired pursuant to Purchase Rights will be specified by the Board prior to commencement of an Offering and will not be less than the lesser 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amount equal to 85% of the Fair Market Value of the shares of Common Stock on the Offering Date;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amount equal to 85% of the Fair Market Value of the shares of Common Stock on the applicable Purchase Date.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7.</w:t>
      </w:r>
    </w:p>
    <w:p>
      <w:pPr>
        <w:pStyle w:val="TextBody"/>
        <w:bidi w:val="0"/>
        <w:spacing w:before="0" w:after="240"/>
        <w:jc w:val="both"/>
        <w:rPr/>
      </w:pPr>
      <w:r>
        <w:rPr>
          <w:rFonts w:ascii="Times New Roman" w:hAnsi="Times New Roman"/>
          <w:b/>
          <w:smallCaps/>
          <w:color w:val="000000"/>
          <w:sz w:val="20"/>
        </w:rPr>
        <w:t>Participation; Withdrawal; Termination</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w:t>
      </w:r>
    </w:p>
    <w:p>
      <w:pPr>
        <w:pStyle w:val="TextBody"/>
        <w:bidi w:val="0"/>
        <w:jc w:val="center"/>
        <w:rPr>
          <w:rFonts w:ascii="Times New Roman" w:hAnsi="Times New Roman"/>
          <w:color w:val="000000"/>
          <w:sz w:val="20"/>
        </w:rPr>
      </w:pPr>
      <w:r>
        <w:rPr>
          <w:rFonts w:ascii="Times New Roman" w:hAnsi="Times New Roman"/>
          <w:color w:val="000000"/>
          <w:sz w:val="20"/>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such individual’s accumulated but unused Contributions.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specified in the Offering or required by Applicable Law, the Company will have no obligation to pay interest on Contributions.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8.</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Exercise of Purchase Rights.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9.</w:t>
      </w:r>
    </w:p>
    <w:p>
      <w:pPr>
        <w:pStyle w:val="TextBody"/>
        <w:bidi w:val="0"/>
        <w:spacing w:before="0" w:after="240"/>
        <w:jc w:val="both"/>
        <w:rPr/>
      </w:pPr>
      <w:r>
        <w:rPr>
          <w:rFonts w:ascii="Times New Roman" w:hAnsi="Times New Roman"/>
          <w:b/>
          <w:smallCaps/>
          <w:color w:val="000000"/>
          <w:sz w:val="20"/>
        </w:rPr>
        <w:t>Covenants of the Company</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w:t>
      </w:r>
    </w:p>
    <w:p>
      <w:pPr>
        <w:pStyle w:val="TextBody"/>
        <w:bidi w:val="0"/>
        <w:jc w:val="center"/>
        <w:rPr>
          <w:rFonts w:ascii="Times New Roman" w:hAnsi="Times New Roman"/>
          <w:color w:val="000000"/>
          <w:sz w:val="20"/>
        </w:rPr>
      </w:pPr>
      <w:r>
        <w:rPr>
          <w:rFonts w:ascii="Times New Roman" w:hAnsi="Times New Roman"/>
          <w:color w:val="000000"/>
          <w:sz w:val="20"/>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lawful issuance and sale of Common Stock under the Plan, and at a commercially reasonable cost, the Company will be relieved from any liability for failure to grant Purchase Rights and/or to issue and sell Common Stock upon exercise of such Purchase Rights.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10.</w:t>
      </w:r>
    </w:p>
    <w:p>
      <w:pPr>
        <w:pStyle w:val="TextBody"/>
        <w:bidi w:val="0"/>
        <w:spacing w:before="0" w:after="240"/>
        <w:jc w:val="both"/>
        <w:rPr/>
      </w:pPr>
      <w:r>
        <w:rPr>
          <w:rFonts w:ascii="Times New Roman" w:hAnsi="Times New Roman"/>
          <w:b/>
          <w:smallCaps/>
          <w:color w:val="000000"/>
          <w:sz w:val="20"/>
        </w:rPr>
        <w:t>Designation of Beneficiary</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11.</w:t>
      </w:r>
    </w:p>
    <w:p>
      <w:pPr>
        <w:pStyle w:val="TextBody"/>
        <w:bidi w:val="0"/>
        <w:spacing w:before="0" w:after="240"/>
        <w:jc w:val="both"/>
        <w:rPr/>
      </w:pPr>
      <w:r>
        <w:rPr>
          <w:rFonts w:ascii="Times New Roman" w:hAnsi="Times New Roman"/>
          <w:b/>
          <w:smallCaps/>
          <w:color w:val="000000"/>
          <w:sz w:val="20"/>
        </w:rPr>
        <w:t>Adjustments upon Changes in Common Stock; Corporate Transactions</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w:t>
      </w:r>
      <w:r>
        <w:rPr>
          <w:color w:val="000000"/>
        </w:rPr>
        <w:t xml:space="preserve"> </w:t>
      </w:r>
      <w:r>
        <w:rPr>
          <w:rFonts w:ascii="Times New Roman" w:hAnsi="Times New Roman"/>
          <w:color w:val="000000"/>
          <w:sz w:val="20"/>
        </w:rPr>
        <w:t>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12.</w:t>
      </w:r>
    </w:p>
    <w:p>
      <w:pPr>
        <w:pStyle w:val="TextBody"/>
        <w:bidi w:val="0"/>
        <w:spacing w:before="0" w:after="240"/>
        <w:jc w:val="both"/>
        <w:rPr/>
      </w:pPr>
      <w:r>
        <w:rPr>
          <w:rFonts w:ascii="Times New Roman" w:hAnsi="Times New Roman"/>
          <w:b/>
          <w:smallCaps/>
          <w:color w:val="000000"/>
          <w:sz w:val="20"/>
        </w:rPr>
        <w:t>Amendment, Termination or Suspension of the Plan</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may suspend or terminate the Plan at any time. No Purchase Rights may be granted under the Plan while the Plan is suspended or after it is terminated.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w:t>
      </w:r>
    </w:p>
    <w:p>
      <w:pPr>
        <w:pStyle w:val="TextBody"/>
        <w:bidi w:val="0"/>
        <w:jc w:val="center"/>
        <w:rPr>
          <w:rFonts w:ascii="Times New Roman" w:hAnsi="Times New Roman"/>
          <w:color w:val="000000"/>
          <w:sz w:val="20"/>
        </w:rPr>
      </w:pPr>
      <w:r>
        <w:rPr>
          <w:rFonts w:ascii="Times New Roman" w:hAnsi="Times New Roman"/>
          <w:color w:val="000000"/>
          <w:sz w:val="20"/>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13.</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Tax Qualification; Tax Withholding.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14.</w:t>
      </w:r>
    </w:p>
    <w:p>
      <w:pPr>
        <w:pStyle w:val="TextBody"/>
        <w:bidi w:val="0"/>
        <w:spacing w:before="0" w:after="240"/>
        <w:jc w:val="both"/>
        <w:rPr/>
      </w:pPr>
      <w:r>
        <w:rPr>
          <w:rFonts w:ascii="Times New Roman" w:hAnsi="Times New Roman"/>
          <w:b/>
          <w:smallCaps/>
          <w:color w:val="000000"/>
          <w:sz w:val="20"/>
        </w:rPr>
        <w:t>Effective Date of Plan</w:t>
      </w:r>
      <w:r>
        <w:rPr>
          <w:rFonts w:ascii="Times New Roman" w:hAnsi="Times New Roman"/>
          <w:b/>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Plan will become effective 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15.</w:t>
      </w:r>
    </w:p>
    <w:p>
      <w:pPr>
        <w:pStyle w:val="TextBody"/>
        <w:bidi w:val="0"/>
        <w:spacing w:before="0" w:after="240"/>
        <w:jc w:val="both"/>
        <w:rPr/>
      </w:pPr>
      <w:r>
        <w:rPr>
          <w:rFonts w:ascii="Times New Roman" w:hAnsi="Times New Roman"/>
          <w:b/>
          <w:smallCaps/>
          <w:color w:val="000000"/>
          <w:sz w:val="20"/>
        </w:rPr>
        <w:t>Miscellaneous Provisions</w:t>
      </w:r>
      <w:r>
        <w:rPr>
          <w:rFonts w:ascii="Times New Roman" w:hAnsi="Times New Roman"/>
          <w:b/>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Proceeds from the sale of shares of Common Stock pursuant to Purchase Rights will constitute general funds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w:t>
      </w:r>
    </w:p>
    <w:p>
      <w:pPr>
        <w:pStyle w:val="TextBody"/>
        <w:bidi w:val="0"/>
        <w:jc w:val="center"/>
        <w:rPr>
          <w:rFonts w:ascii="Times New Roman" w:hAnsi="Times New Roman"/>
          <w:color w:val="000000"/>
          <w:sz w:val="20"/>
        </w:rPr>
      </w:pPr>
      <w:r>
        <w:rPr>
          <w:rFonts w:ascii="Times New Roman" w:hAnsi="Times New Roman"/>
          <w:color w:val="000000"/>
          <w:sz w:val="20"/>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provisions of the Plan will be governed by the laws of the State of Delaware without resort to that state’s conflict of laws rules.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particular provision of the Plan is found to be invalid or otherwise unenforceable, such provision will not affect the other provisions of the Plan, but the Plan will be construed in all respects as if such invalid provision were omitted.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the Plan does not comply with Applicable Law, such provision shall be construed in such a manner as to comply with Applicable Law.</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16.</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used in the Plan, the following definitions will apply to the capitalized terms indicated below: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color w:val="000000"/>
        </w:rPr>
        <w:t>“</w:t>
      </w:r>
      <w:r>
        <w:rPr>
          <w:rFonts w:ascii="Times New Roman" w:hAnsi="Times New Roman"/>
          <w:b/>
          <w:i/>
          <w:color w:val="000000"/>
          <w:sz w:val="20"/>
        </w:rPr>
        <w:t>423 Component</w:t>
      </w:r>
      <w:r>
        <w:rPr>
          <w:color w:val="000000"/>
        </w:rPr>
        <w:t xml:space="preserve">” </w:t>
      </w:r>
      <w:r>
        <w:rPr>
          <w:rFonts w:ascii="Times New Roman" w:hAnsi="Times New Roman"/>
          <w:color w:val="000000"/>
          <w:sz w:val="20"/>
        </w:rPr>
        <w:t>means the part of the Plan, which excludes the Non-423 Component, pursuant to which Purchase Rights that satisfy the requirements for an Employee Stock Purchase Plan may be granted to Eligible Employees.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color w:val="000000"/>
        </w:rPr>
        <w:t>“</w:t>
      </w:r>
      <w:r>
        <w:rPr>
          <w:rFonts w:ascii="Times New Roman" w:hAnsi="Times New Roman"/>
          <w:b/>
          <w:i/>
          <w:color w:val="000000"/>
          <w:sz w:val="20"/>
        </w:rPr>
        <w:t>Affiliate</w:t>
      </w:r>
      <w:r>
        <w:rPr>
          <w:color w:val="000000"/>
        </w:rPr>
        <w:t xml:space="preserve">” </w:t>
      </w:r>
      <w:r>
        <w:rPr>
          <w:rFonts w:ascii="Times New Roman" w:hAnsi="Times New Roman"/>
          <w:color w:val="000000"/>
          <w:sz w:val="20"/>
        </w:rPr>
        <w:t>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color w:val="000000"/>
        </w:rPr>
        <w:t>“</w:t>
      </w:r>
      <w:r>
        <w:rPr>
          <w:rFonts w:ascii="Times New Roman" w:hAnsi="Times New Roman"/>
          <w:b/>
          <w:i/>
          <w:color w:val="000000"/>
          <w:sz w:val="20"/>
        </w:rPr>
        <w:t>Applicable Law</w:t>
      </w:r>
      <w:r>
        <w:rPr>
          <w:color w:val="000000"/>
        </w:rPr>
        <w:t xml:space="preserve">” </w:t>
      </w:r>
      <w:r>
        <w:rPr>
          <w:rFonts w:ascii="Times New Roman" w:hAnsi="Times New Roman"/>
          <w:color w:val="000000"/>
          <w:sz w:val="20"/>
        </w:rPr>
        <w:t>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New York Stock Exchange, or the Financial Industry Regulatory Authority).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pPr>
      <w:r>
        <w:rPr>
          <w:color w:val="000000"/>
        </w:rPr>
        <w:t>“</w:t>
      </w:r>
      <w:r>
        <w:rPr>
          <w:rFonts w:ascii="Times New Roman" w:hAnsi="Times New Roman"/>
          <w:b/>
          <w:i/>
          <w:color w:val="000000"/>
          <w:sz w:val="20"/>
        </w:rPr>
        <w:t>Board</w:t>
      </w:r>
      <w:r>
        <w:rPr>
          <w:color w:val="000000"/>
        </w:rPr>
        <w:t xml:space="preserve">” </w:t>
      </w:r>
      <w:r>
        <w:rPr>
          <w:rFonts w:ascii="Times New Roman" w:hAnsi="Times New Roman"/>
          <w:color w:val="000000"/>
          <w:sz w:val="20"/>
        </w:rPr>
        <w:t>means the Board of Directors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color w:val="000000"/>
        </w:rPr>
        <w:t>“</w:t>
      </w:r>
      <w:r>
        <w:rPr>
          <w:rFonts w:ascii="Times New Roman" w:hAnsi="Times New Roman"/>
          <w:b/>
          <w:i/>
          <w:color w:val="000000"/>
          <w:sz w:val="20"/>
        </w:rPr>
        <w:t>Capitalization Adjustment</w:t>
      </w:r>
      <w:r>
        <w:rPr>
          <w:color w:val="000000"/>
        </w:rPr>
        <w:t xml:space="preserve">” </w:t>
      </w:r>
      <w:r>
        <w:rPr>
          <w:rFonts w:ascii="Times New Roman" w:hAnsi="Times New Roman"/>
          <w:color w:val="000000"/>
          <w:sz w:val="20"/>
        </w:rPr>
        <w:t>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pPr>
      <w:r>
        <w:rPr>
          <w:color w:val="000000"/>
        </w:rPr>
        <w:t>“</w:t>
      </w:r>
      <w:r>
        <w:rPr>
          <w:rFonts w:ascii="Times New Roman" w:hAnsi="Times New Roman"/>
          <w:b/>
          <w:i/>
          <w:color w:val="000000"/>
          <w:sz w:val="20"/>
        </w:rPr>
        <w:t>Code</w:t>
      </w:r>
      <w:r>
        <w:rPr>
          <w:color w:val="000000"/>
        </w:rPr>
        <w:t xml:space="preserve">” </w:t>
      </w:r>
      <w:r>
        <w:rPr>
          <w:rFonts w:ascii="Times New Roman" w:hAnsi="Times New Roman"/>
          <w:color w:val="000000"/>
          <w:sz w:val="20"/>
        </w:rPr>
        <w:t xml:space="preserve">means the U.S. Internal Revenue Code of 1986, as amended, including any applicable regulations and guidance thereunder.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w:t>
      </w:r>
    </w:p>
    <w:p>
      <w:pPr>
        <w:pStyle w:val="TextBody"/>
        <w:bidi w:val="0"/>
        <w:spacing w:before="0" w:after="240"/>
        <w:jc w:val="both"/>
        <w:rPr/>
      </w:pPr>
      <w:r>
        <w:rPr>
          <w:color w:val="000000"/>
        </w:rPr>
        <w:t>“</w:t>
      </w:r>
      <w:r>
        <w:rPr>
          <w:rFonts w:ascii="Times New Roman" w:hAnsi="Times New Roman"/>
          <w:b/>
          <w:i/>
          <w:color w:val="000000"/>
          <w:sz w:val="20"/>
        </w:rPr>
        <w:t>Committee</w:t>
      </w:r>
      <w:r>
        <w:rPr>
          <w:color w:val="000000"/>
        </w:rPr>
        <w:t xml:space="preserve">” </w:t>
      </w:r>
      <w:r>
        <w:rPr>
          <w:rFonts w:ascii="Times New Roman" w:hAnsi="Times New Roman"/>
          <w:color w:val="000000"/>
          <w:sz w:val="20"/>
        </w:rPr>
        <w:t>means a committee of one or more members of the Board to whom authority has been delegated by the Board in accordance with Section 2(c).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w:t>
      </w:r>
    </w:p>
    <w:p>
      <w:pPr>
        <w:pStyle w:val="TextBody"/>
        <w:bidi w:val="0"/>
        <w:spacing w:before="0" w:after="240"/>
        <w:jc w:val="both"/>
        <w:rPr/>
      </w:pPr>
      <w:r>
        <w:rPr>
          <w:color w:val="000000"/>
        </w:rPr>
        <w:t>“</w:t>
      </w:r>
      <w:r>
        <w:rPr>
          <w:rFonts w:ascii="Times New Roman" w:hAnsi="Times New Roman"/>
          <w:b/>
          <w:i/>
          <w:color w:val="000000"/>
          <w:sz w:val="20"/>
        </w:rPr>
        <w:t>Common Stock</w:t>
      </w:r>
      <w:r>
        <w:rPr>
          <w:color w:val="000000"/>
        </w:rPr>
        <w:t xml:space="preserve">” </w:t>
      </w:r>
      <w:r>
        <w:rPr>
          <w:rFonts w:ascii="Times New Roman" w:hAnsi="Times New Roman"/>
          <w:color w:val="000000"/>
          <w:sz w:val="20"/>
        </w:rPr>
        <w:t>means the common stock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color w:val="000000"/>
        </w:rPr>
        <w:t>“</w:t>
      </w:r>
      <w:r>
        <w:rPr>
          <w:rFonts w:ascii="Times New Roman" w:hAnsi="Times New Roman"/>
          <w:b/>
          <w:i/>
          <w:color w:val="000000"/>
          <w:sz w:val="20"/>
        </w:rPr>
        <w:t>Company</w:t>
      </w:r>
      <w:r>
        <w:rPr>
          <w:color w:val="000000"/>
        </w:rPr>
        <w:t xml:space="preserve">” </w:t>
      </w:r>
      <w:r>
        <w:rPr>
          <w:rFonts w:ascii="Times New Roman" w:hAnsi="Times New Roman"/>
          <w:color w:val="000000"/>
          <w:sz w:val="20"/>
        </w:rPr>
        <w:t>means Syndax Pharmaceuticals, Inc., a Delaware 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(j)</w:t>
      </w:r>
    </w:p>
    <w:p>
      <w:pPr>
        <w:pStyle w:val="TextBody"/>
        <w:bidi w:val="0"/>
        <w:spacing w:before="0" w:after="240"/>
        <w:jc w:val="both"/>
        <w:rPr/>
      </w:pPr>
      <w:r>
        <w:rPr>
          <w:color w:val="000000"/>
        </w:rPr>
        <w:t>“</w:t>
      </w:r>
      <w:r>
        <w:rPr>
          <w:rFonts w:ascii="Times New Roman" w:hAnsi="Times New Roman"/>
          <w:b/>
          <w:i/>
          <w:color w:val="000000"/>
          <w:sz w:val="20"/>
        </w:rPr>
        <w:t>Contributions</w:t>
      </w:r>
      <w:r>
        <w:rPr>
          <w:color w:val="000000"/>
        </w:rPr>
        <w:t xml:space="preserve">” </w:t>
      </w:r>
      <w:r>
        <w:rPr>
          <w:rFonts w:ascii="Times New Roman" w:hAnsi="Times New Roman"/>
          <w:color w:val="000000"/>
          <w:sz w:val="20"/>
        </w:rPr>
        <w:t>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(k)</w:t>
      </w:r>
    </w:p>
    <w:p>
      <w:pPr>
        <w:pStyle w:val="TextBody"/>
        <w:bidi w:val="0"/>
        <w:spacing w:before="0" w:after="240"/>
        <w:jc w:val="both"/>
        <w:rPr/>
      </w:pPr>
      <w:r>
        <w:rPr>
          <w:color w:val="000000"/>
        </w:rPr>
        <w:t>“</w:t>
      </w:r>
      <w:r>
        <w:rPr>
          <w:rFonts w:ascii="Times New Roman" w:hAnsi="Times New Roman"/>
          <w:b/>
          <w:i/>
          <w:color w:val="000000"/>
          <w:sz w:val="20"/>
        </w:rPr>
        <w:t>Corporate Transaction</w:t>
      </w:r>
      <w:r>
        <w:rPr>
          <w:color w:val="000000"/>
        </w:rPr>
        <w:t xml:space="preserve">” </w:t>
      </w:r>
      <w:r>
        <w:rPr>
          <w:rFonts w:ascii="Times New Roman" w:hAnsi="Times New Roman"/>
          <w:color w:val="000000"/>
          <w:sz w:val="20"/>
        </w:rPr>
        <w:t>means the consummation, in a single transaction or in a series of related transactions, of any one or more of the following events:</w:t>
      </w:r>
    </w:p>
    <w:p>
      <w:pPr>
        <w:pStyle w:val="TextBody"/>
        <w:bidi w:val="0"/>
        <w:jc w:val="center"/>
        <w:rPr>
          <w:rFonts w:ascii="Times New Roman" w:hAnsi="Times New Roman"/>
          <w:color w:val="000000"/>
          <w:sz w:val="20"/>
        </w:rPr>
      </w:pPr>
      <w:r>
        <w:rPr>
          <w:rFonts w:ascii="Times New Roman" w:hAnsi="Times New Roman"/>
          <w:color w:val="000000"/>
          <w:sz w:val="20"/>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a sale</w:t>
      </w:r>
      <w:r>
        <w:rPr>
          <w:color w:val="000000"/>
        </w:rPr>
        <w:t xml:space="preserve"> </w:t>
      </w:r>
      <w:r>
        <w:rPr>
          <w:rFonts w:ascii="Times New Roman" w:hAnsi="Times New Roman"/>
          <w:color w:val="000000"/>
          <w:sz w:val="20"/>
        </w:rPr>
        <w:t>or other disposition of all or substantially all, as determined by the Board in its sole discretion, of the consolidated assets of the Company and its subsidiaries;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sale or other disposition of more than 50% of the outstanding securities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w:t>
      </w:r>
    </w:p>
    <w:p>
      <w:pPr>
        <w:pStyle w:val="TextBody"/>
        <w:bidi w:val="0"/>
        <w:spacing w:before="0" w:after="240"/>
        <w:jc w:val="both"/>
        <w:rPr/>
      </w:pPr>
      <w:r>
        <w:rPr>
          <w:color w:val="000000"/>
        </w:rPr>
        <w:t>“</w:t>
      </w:r>
      <w:r>
        <w:rPr>
          <w:rFonts w:ascii="Times New Roman" w:hAnsi="Times New Roman"/>
          <w:b/>
          <w:i/>
          <w:color w:val="000000"/>
          <w:sz w:val="20"/>
        </w:rPr>
        <w:t>Designated 423 Company</w:t>
      </w:r>
      <w:r>
        <w:rPr>
          <w:color w:val="000000"/>
        </w:rPr>
        <w:t xml:space="preserve">” </w:t>
      </w:r>
      <w:r>
        <w:rPr>
          <w:rFonts w:ascii="Times New Roman" w:hAnsi="Times New Roman"/>
          <w:color w:val="000000"/>
          <w:sz w:val="20"/>
        </w:rPr>
        <w:t>means any Related Corporation selected by the Board as participating in the 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(m)</w:t>
      </w:r>
    </w:p>
    <w:p>
      <w:pPr>
        <w:pStyle w:val="TextBody"/>
        <w:bidi w:val="0"/>
        <w:spacing w:before="0" w:after="240"/>
        <w:jc w:val="both"/>
        <w:rPr/>
      </w:pPr>
      <w:r>
        <w:rPr>
          <w:color w:val="000000"/>
        </w:rPr>
        <w:t>“</w:t>
      </w:r>
      <w:r>
        <w:rPr>
          <w:rFonts w:ascii="Times New Roman" w:hAnsi="Times New Roman"/>
          <w:b/>
          <w:i/>
          <w:color w:val="000000"/>
          <w:sz w:val="20"/>
        </w:rPr>
        <w:t>Designated Company</w:t>
      </w:r>
      <w:r>
        <w:rPr>
          <w:color w:val="000000"/>
        </w:rPr>
        <w:t xml:space="preserve">” </w:t>
      </w:r>
      <w:r>
        <w:rPr>
          <w:rFonts w:ascii="Times New Roman" w:hAnsi="Times New Roman"/>
          <w:color w:val="000000"/>
          <w:sz w:val="20"/>
        </w:rPr>
        <w:t>means any Designated Non-423 Company or Designated 423 Company, provided, however, that at any given time, a Related Corporation participating in the 423 Component shall not be a Related Corporation participating in the Non-423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w:t>
      </w:r>
    </w:p>
    <w:p>
      <w:pPr>
        <w:pStyle w:val="TextBody"/>
        <w:bidi w:val="0"/>
        <w:spacing w:before="0" w:after="240"/>
        <w:jc w:val="both"/>
        <w:rPr/>
      </w:pPr>
      <w:r>
        <w:rPr>
          <w:color w:val="000000"/>
        </w:rPr>
        <w:t>“</w:t>
      </w:r>
      <w:r>
        <w:rPr>
          <w:rFonts w:ascii="Times New Roman" w:hAnsi="Times New Roman"/>
          <w:b/>
          <w:i/>
          <w:color w:val="000000"/>
          <w:sz w:val="20"/>
        </w:rPr>
        <w:t>Designated Non-423 Company</w:t>
      </w:r>
      <w:r>
        <w:rPr>
          <w:color w:val="000000"/>
        </w:rPr>
        <w:t xml:space="preserve">” </w:t>
      </w:r>
      <w:r>
        <w:rPr>
          <w:rFonts w:ascii="Times New Roman" w:hAnsi="Times New Roman"/>
          <w:color w:val="000000"/>
          <w:sz w:val="20"/>
        </w:rPr>
        <w:t>means any Related Corporation or Affiliate selected by the Board as participating in the Non-423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w:t>
      </w:r>
    </w:p>
    <w:p>
      <w:pPr>
        <w:pStyle w:val="TextBody"/>
        <w:bidi w:val="0"/>
        <w:spacing w:before="0" w:after="240"/>
        <w:jc w:val="both"/>
        <w:rPr/>
      </w:pPr>
      <w:r>
        <w:rPr>
          <w:color w:val="000000"/>
        </w:rPr>
        <w:t>“</w:t>
      </w:r>
      <w:r>
        <w:rPr>
          <w:rFonts w:ascii="Times New Roman" w:hAnsi="Times New Roman"/>
          <w:b/>
          <w:i/>
          <w:color w:val="000000"/>
          <w:sz w:val="20"/>
        </w:rPr>
        <w:t>Director</w:t>
      </w:r>
      <w:r>
        <w:rPr>
          <w:color w:val="000000"/>
        </w:rPr>
        <w:t xml:space="preserve">” </w:t>
      </w:r>
      <w:r>
        <w:rPr>
          <w:rFonts w:ascii="Times New Roman" w:hAnsi="Times New Roman"/>
          <w:color w:val="000000"/>
          <w:sz w:val="20"/>
        </w:rPr>
        <w:t>means a member of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w:t>
      </w:r>
    </w:p>
    <w:p>
      <w:pPr>
        <w:pStyle w:val="TextBody"/>
        <w:bidi w:val="0"/>
        <w:spacing w:before="0" w:after="240"/>
        <w:jc w:val="both"/>
        <w:rPr/>
      </w:pPr>
      <w:r>
        <w:rPr>
          <w:color w:val="000000"/>
        </w:rPr>
        <w:t>“</w:t>
      </w:r>
      <w:r>
        <w:rPr>
          <w:rFonts w:ascii="Times New Roman" w:hAnsi="Times New Roman"/>
          <w:b/>
          <w:i/>
          <w:color w:val="000000"/>
          <w:sz w:val="20"/>
        </w:rPr>
        <w:t>Eligible Employee</w:t>
      </w:r>
      <w:r>
        <w:rPr>
          <w:color w:val="000000"/>
        </w:rPr>
        <w:t xml:space="preserve">” </w:t>
      </w:r>
      <w:r>
        <w:rPr>
          <w:rFonts w:ascii="Times New Roman" w:hAnsi="Times New Roman"/>
          <w:color w:val="000000"/>
          <w:sz w:val="20"/>
        </w:rPr>
        <w:t>means an Employee who meets the requirements set forth in the document(s) governing the Offering for eligibility to participate in the Offering, provided that such Employee also meets the requirements for eligibility to participate set forth in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(q)</w:t>
      </w:r>
    </w:p>
    <w:p>
      <w:pPr>
        <w:pStyle w:val="TextBody"/>
        <w:bidi w:val="0"/>
        <w:spacing w:before="0" w:after="240"/>
        <w:jc w:val="both"/>
        <w:rPr/>
      </w:pPr>
      <w:r>
        <w:rPr>
          <w:color w:val="000000"/>
        </w:rPr>
        <w:t>“</w:t>
      </w:r>
      <w:r>
        <w:rPr>
          <w:rFonts w:ascii="Times New Roman" w:hAnsi="Times New Roman"/>
          <w:b/>
          <w:i/>
          <w:color w:val="000000"/>
          <w:sz w:val="20"/>
        </w:rPr>
        <w:t>Employee</w:t>
      </w:r>
      <w:r>
        <w:rPr>
          <w:color w:val="000000"/>
        </w:rPr>
        <w:t xml:space="preserve">” </w:t>
      </w:r>
      <w:r>
        <w:rPr>
          <w:rFonts w:ascii="Times New Roman" w:hAnsi="Times New Roman"/>
          <w:color w:val="000000"/>
          <w:sz w:val="20"/>
        </w:rPr>
        <w:t xml:space="preserve">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w:t>
      </w:r>
    </w:p>
    <w:p>
      <w:pPr>
        <w:pStyle w:val="TextBody"/>
        <w:bidi w:val="0"/>
        <w:spacing w:before="0" w:after="240"/>
        <w:jc w:val="both"/>
        <w:rPr/>
      </w:pPr>
      <w:r>
        <w:rPr>
          <w:color w:val="000000"/>
        </w:rPr>
        <w:t>“</w:t>
      </w:r>
      <w:r>
        <w:rPr>
          <w:rFonts w:ascii="Times New Roman" w:hAnsi="Times New Roman"/>
          <w:b/>
          <w:i/>
          <w:color w:val="000000"/>
          <w:sz w:val="20"/>
        </w:rPr>
        <w:t>Employee Stock Purchase Plan</w:t>
      </w:r>
      <w:r>
        <w:rPr>
          <w:color w:val="000000"/>
        </w:rPr>
        <w:t xml:space="preserve">” </w:t>
      </w:r>
      <w:r>
        <w:rPr>
          <w:rFonts w:ascii="Times New Roman" w:hAnsi="Times New Roman"/>
          <w:color w:val="000000"/>
          <w:sz w:val="20"/>
        </w:rPr>
        <w:t>means a plan that grants Purchase Rights intended to be options issued under an “employee stock purchase plan,” as that term is defined in Section 423(b)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w:t>
      </w:r>
    </w:p>
    <w:p>
      <w:pPr>
        <w:pStyle w:val="TextBody"/>
        <w:bidi w:val="0"/>
        <w:spacing w:before="0" w:after="240"/>
        <w:jc w:val="both"/>
        <w:rPr/>
      </w:pPr>
      <w:r>
        <w:rPr>
          <w:color w:val="000000"/>
        </w:rPr>
        <w:t>“</w:t>
      </w:r>
      <w:r>
        <w:rPr>
          <w:rFonts w:ascii="Times New Roman" w:hAnsi="Times New Roman"/>
          <w:b/>
          <w:i/>
          <w:color w:val="000000"/>
          <w:sz w:val="20"/>
        </w:rPr>
        <w:t>Exchange Act</w:t>
      </w:r>
      <w:r>
        <w:rPr>
          <w:color w:val="000000"/>
        </w:rPr>
        <w:t xml:space="preserve">” </w:t>
      </w:r>
      <w:r>
        <w:rPr>
          <w:rFonts w:ascii="Times New Roman" w:hAnsi="Times New Roman"/>
          <w:color w:val="000000"/>
          <w:sz w:val="20"/>
        </w:rPr>
        <w:t>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w:t>
      </w:r>
    </w:p>
    <w:p>
      <w:pPr>
        <w:pStyle w:val="TextBody"/>
        <w:bidi w:val="0"/>
        <w:spacing w:before="0" w:after="240"/>
        <w:jc w:val="both"/>
        <w:rPr/>
      </w:pPr>
      <w:r>
        <w:rPr>
          <w:color w:val="000000"/>
        </w:rPr>
        <w:t>“</w:t>
      </w:r>
      <w:r>
        <w:rPr>
          <w:rFonts w:ascii="Times New Roman" w:hAnsi="Times New Roman"/>
          <w:b/>
          <w:i/>
          <w:color w:val="000000"/>
          <w:sz w:val="20"/>
        </w:rPr>
        <w:t>Fair Market Value</w:t>
      </w:r>
      <w:r>
        <w:rPr>
          <w:color w:val="000000"/>
        </w:rPr>
        <w:t xml:space="preserve">” </w:t>
      </w:r>
      <w:r>
        <w:rPr>
          <w:rFonts w:ascii="Times New Roman" w:hAnsi="Times New Roman"/>
          <w:color w:val="000000"/>
          <w:sz w:val="20"/>
        </w:rPr>
        <w:t>means, as of any date, the value of the Common Stock determined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pPr>
      <w:r>
        <w:rPr>
          <w:rFonts w:ascii="Times New Roman" w:hAnsi="Times New Roman"/>
          <w:color w:val="000000"/>
          <w:sz w:val="20"/>
        </w:rPr>
        <w:t xml:space="preserve">If the Common Stock is listed on any established stock exchange or traded on any established market, the Fair Market Value of a share of Common Stock will be, unless otherwise determined by the Board, the </w:t>
      </w:r>
      <w:r>
        <w:rPr>
          <w:rFonts w:ascii="Times New Roman" w:hAnsi="Times New Roman"/>
          <w:b/>
          <w:color w:val="000000"/>
          <w:sz w:val="20"/>
          <w:u w:val="single"/>
        </w:rPr>
        <w:t>closing sales price</w:t>
      </w:r>
      <w:r>
        <w:rPr>
          <w:color w:val="000000"/>
        </w:rPr>
        <w:t xml:space="preserve"> </w:t>
      </w:r>
      <w:r>
        <w:rPr>
          <w:rFonts w:ascii="Times New Roman" w:hAnsi="Times New Roman"/>
          <w:color w:val="000000"/>
          <w:sz w:val="20"/>
        </w:rPr>
        <w:t xml:space="preserve">for such stock as quoted on such exchange or market (or the exchange or market with the greatest volume of trading in the Common Stock) </w:t>
      </w:r>
      <w:r>
        <w:rPr>
          <w:rFonts w:ascii="Times New Roman" w:hAnsi="Times New Roman"/>
          <w:b/>
          <w:color w:val="000000"/>
          <w:sz w:val="20"/>
          <w:u w:val="single"/>
        </w:rPr>
        <w:t>on the date of determination</w:t>
      </w:r>
      <w:r>
        <w:rPr>
          <w:rFonts w:ascii="Times New Roman" w:hAnsi="Times New Roman"/>
          <w:color w:val="000000"/>
          <w:sz w:val="20"/>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(u)</w:t>
      </w:r>
    </w:p>
    <w:p>
      <w:pPr>
        <w:pStyle w:val="TextBody"/>
        <w:bidi w:val="0"/>
        <w:spacing w:before="0" w:after="240"/>
        <w:jc w:val="both"/>
        <w:rPr/>
      </w:pPr>
      <w:r>
        <w:rPr>
          <w:color w:val="000000"/>
        </w:rPr>
        <w:t>“</w:t>
      </w:r>
      <w:r>
        <w:rPr>
          <w:rFonts w:ascii="Times New Roman" w:hAnsi="Times New Roman"/>
          <w:b/>
          <w:i/>
          <w:color w:val="000000"/>
          <w:sz w:val="20"/>
        </w:rPr>
        <w:t>Governmental</w:t>
      </w:r>
      <w:r>
        <w:rPr>
          <w:color w:val="000000"/>
        </w:rPr>
        <w:t xml:space="preserve"> </w:t>
      </w:r>
      <w:r>
        <w:rPr>
          <w:rFonts w:ascii="Times New Roman" w:hAnsi="Times New Roman"/>
          <w:b/>
          <w:i/>
          <w:color w:val="000000"/>
          <w:sz w:val="20"/>
        </w:rPr>
        <w:t>Body</w:t>
      </w:r>
      <w:r>
        <w:rPr>
          <w:color w:val="000000"/>
        </w:rPr>
        <w:t xml:space="preserve">” </w:t>
      </w:r>
      <w:r>
        <w:rPr>
          <w:rFonts w:ascii="Times New Roman" w:hAnsi="Times New Roman"/>
          <w:color w:val="000000"/>
          <w:sz w:val="20"/>
        </w:rPr>
        <w:t xml:space="preserve">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w:t>
      </w:r>
    </w:p>
    <w:p>
      <w:pPr>
        <w:pStyle w:val="TextBody"/>
        <w:bidi w:val="0"/>
        <w:jc w:val="center"/>
        <w:rPr>
          <w:rFonts w:ascii="Times New Roman" w:hAnsi="Times New Roman"/>
          <w:color w:val="000000"/>
          <w:sz w:val="20"/>
        </w:rPr>
      </w:pPr>
      <w:r>
        <w:rPr>
          <w:rFonts w:ascii="Times New Roman" w:hAnsi="Times New Roman"/>
          <w:color w:val="000000"/>
          <w:sz w:val="20"/>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authority) or other body exercising similar powers or authority; or (iv) self-regulatory organization (including the NASDAQ Stock Market, the New York Stock Exchange and the Financial Industry Regulatory Authority).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both"/>
        <w:rPr/>
      </w:pPr>
      <w:r>
        <w:rPr>
          <w:color w:val="000000"/>
        </w:rPr>
        <w:t>“</w:t>
      </w:r>
      <w:r>
        <w:rPr>
          <w:rFonts w:ascii="Times New Roman" w:hAnsi="Times New Roman"/>
          <w:b/>
          <w:i/>
          <w:color w:val="000000"/>
          <w:sz w:val="20"/>
        </w:rPr>
        <w:t>Non-423 Component</w:t>
      </w:r>
      <w:r>
        <w:rPr>
          <w:color w:val="000000"/>
        </w:rPr>
        <w:t xml:space="preserve">” </w:t>
      </w:r>
      <w:r>
        <w:rPr>
          <w:rFonts w:ascii="Times New Roman" w:hAnsi="Times New Roman"/>
          <w:color w:val="000000"/>
          <w:sz w:val="20"/>
        </w:rPr>
        <w:t>means the part of the Plan, which excludes the 423 Component, pursuant to which Purchase Rights that are not intended to satisfy the requirements for an Employee Stock Purchase Plan may be granted to Eligible Employees.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w:t>
      </w:r>
    </w:p>
    <w:p>
      <w:pPr>
        <w:pStyle w:val="TextBody"/>
        <w:bidi w:val="0"/>
        <w:spacing w:before="0" w:after="240"/>
        <w:jc w:val="both"/>
        <w:rPr/>
      </w:pPr>
      <w:r>
        <w:rPr>
          <w:color w:val="000000"/>
        </w:rPr>
        <w:t>“</w:t>
      </w:r>
      <w:r>
        <w:rPr>
          <w:rFonts w:ascii="Times New Roman" w:hAnsi="Times New Roman"/>
          <w:b/>
          <w:i/>
          <w:color w:val="000000"/>
          <w:sz w:val="20"/>
        </w:rPr>
        <w:t>Offering</w:t>
      </w:r>
      <w:r>
        <w:rPr>
          <w:color w:val="000000"/>
        </w:rPr>
        <w:t xml:space="preserve">” </w:t>
      </w:r>
      <w:r>
        <w:rPr>
          <w:rFonts w:ascii="Times New Roman" w:hAnsi="Times New Roman"/>
          <w:color w:val="000000"/>
          <w:sz w:val="20"/>
        </w:rPr>
        <w:t>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color w:val="000000"/>
          <w:sz w:val="20"/>
        </w:rPr>
        <w:t>Offering Document</w:t>
      </w:r>
      <w:r>
        <w:rPr>
          <w:color w:val="000000"/>
        </w:rPr>
        <w:t xml:space="preserve">” </w:t>
      </w:r>
      <w:r>
        <w:rPr>
          <w:rFonts w:ascii="Times New Roman" w:hAnsi="Times New Roman"/>
          <w:color w:val="000000"/>
          <w:sz w:val="20"/>
        </w:rPr>
        <w:t>approved by the Board for that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(x)</w:t>
      </w:r>
    </w:p>
    <w:p>
      <w:pPr>
        <w:pStyle w:val="TextBody"/>
        <w:bidi w:val="0"/>
        <w:spacing w:before="0" w:after="240"/>
        <w:jc w:val="both"/>
        <w:rPr/>
      </w:pPr>
      <w:r>
        <w:rPr>
          <w:color w:val="000000"/>
        </w:rPr>
        <w:t>“</w:t>
      </w:r>
      <w:r>
        <w:rPr>
          <w:rFonts w:ascii="Times New Roman" w:hAnsi="Times New Roman"/>
          <w:b/>
          <w:i/>
          <w:color w:val="000000"/>
          <w:sz w:val="20"/>
        </w:rPr>
        <w:t>Offering Date</w:t>
      </w:r>
      <w:r>
        <w:rPr>
          <w:color w:val="000000"/>
        </w:rPr>
        <w:t xml:space="preserve">” </w:t>
      </w:r>
      <w:r>
        <w:rPr>
          <w:rFonts w:ascii="Times New Roman" w:hAnsi="Times New Roman"/>
          <w:color w:val="000000"/>
          <w:sz w:val="20"/>
        </w:rPr>
        <w:t>means a date selected by the Board for an Offering to commence.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(y)</w:t>
      </w:r>
    </w:p>
    <w:p>
      <w:pPr>
        <w:pStyle w:val="TextBody"/>
        <w:bidi w:val="0"/>
        <w:spacing w:before="0" w:after="240"/>
        <w:jc w:val="both"/>
        <w:rPr/>
      </w:pPr>
      <w:r>
        <w:rPr>
          <w:color w:val="000000"/>
        </w:rPr>
        <w:t>“</w:t>
      </w:r>
      <w:r>
        <w:rPr>
          <w:rFonts w:ascii="Times New Roman" w:hAnsi="Times New Roman"/>
          <w:b/>
          <w:i/>
          <w:color w:val="000000"/>
          <w:sz w:val="20"/>
        </w:rPr>
        <w:t>Officer</w:t>
      </w:r>
      <w:r>
        <w:rPr>
          <w:color w:val="000000"/>
        </w:rPr>
        <w:t xml:space="preserve">” </w:t>
      </w:r>
      <w:r>
        <w:rPr>
          <w:rFonts w:ascii="Times New Roman" w:hAnsi="Times New Roman"/>
          <w:color w:val="000000"/>
          <w:sz w:val="20"/>
        </w:rPr>
        <w:t>means</w:t>
      </w:r>
      <w:r>
        <w:rPr>
          <w:color w:val="000000"/>
        </w:rPr>
        <w:t xml:space="preserve"> </w:t>
      </w:r>
      <w:r>
        <w:rPr>
          <w:rFonts w:ascii="Times New Roman" w:hAnsi="Times New Roman"/>
          <w:color w:val="000000"/>
          <w:sz w:val="20"/>
        </w:rPr>
        <w:t>a person who is an officer of the Company or a Related Corporation within the meaning of Section 16 of the Exchange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(z)</w:t>
      </w:r>
    </w:p>
    <w:p>
      <w:pPr>
        <w:pStyle w:val="TextBody"/>
        <w:bidi w:val="0"/>
        <w:spacing w:before="0" w:after="240"/>
        <w:jc w:val="both"/>
        <w:rPr/>
      </w:pPr>
      <w:r>
        <w:rPr>
          <w:color w:val="000000"/>
        </w:rPr>
        <w:t>“</w:t>
      </w:r>
      <w:r>
        <w:rPr>
          <w:rFonts w:ascii="Times New Roman" w:hAnsi="Times New Roman"/>
          <w:b/>
          <w:i/>
          <w:color w:val="000000"/>
          <w:sz w:val="20"/>
        </w:rPr>
        <w:t>Participant</w:t>
      </w:r>
      <w:r>
        <w:rPr>
          <w:color w:val="000000"/>
        </w:rPr>
        <w:t xml:space="preserve">” </w:t>
      </w:r>
      <w:r>
        <w:rPr>
          <w:rFonts w:ascii="Times New Roman" w:hAnsi="Times New Roman"/>
          <w:color w:val="000000"/>
          <w:sz w:val="20"/>
        </w:rPr>
        <w:t>means an Eligible Employee who holds an outstanding Purchase Right.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(aa)</w:t>
      </w:r>
    </w:p>
    <w:p>
      <w:pPr>
        <w:pStyle w:val="TextBody"/>
        <w:bidi w:val="0"/>
        <w:spacing w:before="0" w:after="240"/>
        <w:jc w:val="both"/>
        <w:rPr/>
      </w:pPr>
      <w:r>
        <w:rPr>
          <w:color w:val="000000"/>
        </w:rPr>
        <w:t>“</w:t>
      </w:r>
      <w:r>
        <w:rPr>
          <w:rFonts w:ascii="Times New Roman" w:hAnsi="Times New Roman"/>
          <w:b/>
          <w:i/>
          <w:color w:val="000000"/>
          <w:sz w:val="20"/>
        </w:rPr>
        <w:t>Plan</w:t>
      </w:r>
      <w:r>
        <w:rPr>
          <w:color w:val="000000"/>
        </w:rPr>
        <w:t xml:space="preserve">” </w:t>
      </w:r>
      <w:r>
        <w:rPr>
          <w:rFonts w:ascii="Times New Roman" w:hAnsi="Times New Roman"/>
          <w:color w:val="000000"/>
          <w:sz w:val="20"/>
        </w:rPr>
        <w:t>means this Syndax Pharmaceuticals, Inc. 2026 Employee Stock Purchase Plan, as amended from time to time, including both the 423 Component and the Non-423 Component.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(bb)</w:t>
      </w:r>
    </w:p>
    <w:p>
      <w:pPr>
        <w:pStyle w:val="TextBody"/>
        <w:bidi w:val="0"/>
        <w:spacing w:before="0" w:after="240"/>
        <w:jc w:val="both"/>
        <w:rPr/>
      </w:pPr>
      <w:r>
        <w:rPr>
          <w:color w:val="000000"/>
        </w:rPr>
        <w:t>“</w:t>
      </w:r>
      <w:r>
        <w:rPr>
          <w:rFonts w:ascii="Times New Roman" w:hAnsi="Times New Roman"/>
          <w:b/>
          <w:i/>
          <w:color w:val="000000"/>
          <w:sz w:val="20"/>
        </w:rPr>
        <w:t>Purchase Date</w:t>
      </w:r>
      <w:r>
        <w:rPr>
          <w:color w:val="000000"/>
        </w:rPr>
        <w:t xml:space="preserve">” </w:t>
      </w:r>
      <w:r>
        <w:rPr>
          <w:rFonts w:ascii="Times New Roman" w:hAnsi="Times New Roman"/>
          <w:color w:val="000000"/>
          <w:sz w:val="20"/>
        </w:rPr>
        <w:t>means one or more dates during an Offering selected by the Board on which Purchase Rights will be exercised and on which purchases of shares of Common Stock will be carried out in accordance with such Offering.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(cc)</w:t>
      </w:r>
    </w:p>
    <w:p>
      <w:pPr>
        <w:pStyle w:val="TextBody"/>
        <w:bidi w:val="0"/>
        <w:spacing w:before="0" w:after="240"/>
        <w:jc w:val="both"/>
        <w:rPr/>
      </w:pPr>
      <w:r>
        <w:rPr>
          <w:color w:val="000000"/>
        </w:rPr>
        <w:t>“</w:t>
      </w:r>
      <w:r>
        <w:rPr>
          <w:rFonts w:ascii="Times New Roman" w:hAnsi="Times New Roman"/>
          <w:b/>
          <w:i/>
          <w:color w:val="000000"/>
          <w:sz w:val="20"/>
        </w:rPr>
        <w:t>Purchase Period</w:t>
      </w:r>
      <w:r>
        <w:rPr>
          <w:color w:val="000000"/>
        </w:rPr>
        <w:t xml:space="preserve">” </w:t>
      </w:r>
      <w:r>
        <w:rPr>
          <w:rFonts w:ascii="Times New Roman" w:hAnsi="Times New Roman"/>
          <w:color w:val="000000"/>
          <w:sz w:val="20"/>
        </w:rPr>
        <w:t>means a period of time specified within an Offering, generally beginning on the Offering Date or on the first Trading Day following a Purchase Date, and ending on a Purchase Date. An Offering may consist of one or more Purchase Periods.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(dd)</w:t>
      </w:r>
    </w:p>
    <w:p>
      <w:pPr>
        <w:pStyle w:val="TextBody"/>
        <w:bidi w:val="0"/>
        <w:spacing w:before="0" w:after="240"/>
        <w:jc w:val="both"/>
        <w:rPr/>
      </w:pPr>
      <w:r>
        <w:rPr>
          <w:color w:val="000000"/>
        </w:rPr>
        <w:t>“</w:t>
      </w:r>
      <w:r>
        <w:rPr>
          <w:rFonts w:ascii="Times New Roman" w:hAnsi="Times New Roman"/>
          <w:b/>
          <w:i/>
          <w:color w:val="000000"/>
          <w:sz w:val="20"/>
        </w:rPr>
        <w:t>Purchase Right</w:t>
      </w:r>
      <w:r>
        <w:rPr>
          <w:color w:val="000000"/>
        </w:rPr>
        <w:t xml:space="preserve">” </w:t>
      </w:r>
      <w:r>
        <w:rPr>
          <w:rFonts w:ascii="Times New Roman" w:hAnsi="Times New Roman"/>
          <w:color w:val="000000"/>
          <w:sz w:val="20"/>
        </w:rPr>
        <w:t>means an option to purchase shares of Common Stock granted pursuant to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(ee)</w:t>
      </w:r>
    </w:p>
    <w:p>
      <w:pPr>
        <w:pStyle w:val="TextBody"/>
        <w:bidi w:val="0"/>
        <w:spacing w:before="0" w:after="240"/>
        <w:jc w:val="both"/>
        <w:rPr/>
      </w:pPr>
      <w:r>
        <w:rPr>
          <w:color w:val="000000"/>
        </w:rPr>
        <w:t>“</w:t>
      </w:r>
      <w:r>
        <w:rPr>
          <w:rFonts w:ascii="Times New Roman" w:hAnsi="Times New Roman"/>
          <w:b/>
          <w:i/>
          <w:color w:val="000000"/>
          <w:sz w:val="20"/>
        </w:rPr>
        <w:t>Related Corporation</w:t>
      </w:r>
      <w:r>
        <w:rPr>
          <w:color w:val="000000"/>
        </w:rPr>
        <w:t xml:space="preserve">” </w:t>
      </w:r>
      <w:r>
        <w:rPr>
          <w:rFonts w:ascii="Times New Roman" w:hAnsi="Times New Roman"/>
          <w:color w:val="000000"/>
          <w:sz w:val="20"/>
        </w:rPr>
        <w:t>means any “parent corporation” or “subsidiary corporation” of the Company whether now or subsequently established, as those terms are defined in Sections 424(e) and (f), respectively,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(ff)</w:t>
      </w:r>
    </w:p>
    <w:p>
      <w:pPr>
        <w:pStyle w:val="TextBody"/>
        <w:bidi w:val="0"/>
        <w:spacing w:before="0" w:after="240"/>
        <w:jc w:val="both"/>
        <w:rPr/>
      </w:pPr>
      <w:r>
        <w:rPr>
          <w:color w:val="000000"/>
        </w:rPr>
        <w:t>“</w:t>
      </w:r>
      <w:r>
        <w:rPr>
          <w:rFonts w:ascii="Times New Roman" w:hAnsi="Times New Roman"/>
          <w:b/>
          <w:i/>
          <w:color w:val="000000"/>
          <w:sz w:val="20"/>
        </w:rPr>
        <w:t>Securities Act</w:t>
      </w:r>
      <w:r>
        <w:rPr>
          <w:color w:val="000000"/>
        </w:rPr>
        <w:t xml:space="preserve">” </w:t>
      </w:r>
      <w:r>
        <w:rPr>
          <w:rFonts w:ascii="Times New Roman" w:hAnsi="Times New Roman"/>
          <w:color w:val="000000"/>
          <w:sz w:val="20"/>
        </w:rPr>
        <w:t>means the U.S. Securities Act of 1933, as amended.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(gg)</w:t>
      </w:r>
    </w:p>
    <w:p>
      <w:pPr>
        <w:pStyle w:val="TextBody"/>
        <w:bidi w:val="0"/>
        <w:spacing w:before="0" w:after="240"/>
        <w:jc w:val="both"/>
        <w:rPr/>
      </w:pPr>
      <w:r>
        <w:rPr>
          <w:color w:val="000000"/>
        </w:rPr>
        <w:t>“</w:t>
      </w:r>
      <w:r>
        <w:rPr>
          <w:rFonts w:ascii="Times New Roman" w:hAnsi="Times New Roman"/>
          <w:b/>
          <w:i/>
          <w:color w:val="000000"/>
          <w:sz w:val="20"/>
        </w:rPr>
        <w:t>Tax-Related Items</w:t>
      </w:r>
      <w:r>
        <w:rPr>
          <w:color w:val="000000"/>
        </w:rPr>
        <w:t xml:space="preserve">” </w:t>
      </w:r>
      <w:r>
        <w:rPr>
          <w:rFonts w:ascii="Times New Roman" w:hAnsi="Times New Roman"/>
          <w:color w:val="000000"/>
          <w:sz w:val="20"/>
        </w:rPr>
        <w:t>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(hh)</w:t>
      </w:r>
    </w:p>
    <w:p>
      <w:pPr>
        <w:pStyle w:val="TextBody"/>
        <w:bidi w:val="0"/>
        <w:spacing w:before="0" w:after="240"/>
        <w:jc w:val="both"/>
        <w:rPr/>
      </w:pPr>
      <w:r>
        <w:rPr>
          <w:color w:val="000000"/>
        </w:rPr>
        <w:t>“</w:t>
      </w:r>
      <w:r>
        <w:rPr>
          <w:rFonts w:ascii="Times New Roman" w:hAnsi="Times New Roman"/>
          <w:b/>
          <w:i/>
          <w:color w:val="000000"/>
          <w:sz w:val="20"/>
        </w:rPr>
        <w:t>Trading Day</w:t>
      </w:r>
      <w:r>
        <w:rPr>
          <w:color w:val="000000"/>
        </w:rPr>
        <w:t xml:space="preserve">” </w:t>
      </w:r>
      <w:r>
        <w:rPr>
          <w:rFonts w:ascii="Times New Roman" w:hAnsi="Times New Roman"/>
          <w:color w:val="000000"/>
          <w:sz w:val="20"/>
        </w:rPr>
        <w:t>means any day on which the exchange(s) or market(s) on which shares of Common Stock are listed, including but not limited to Nasdaq Global Select Market, the Nasdaq Global Market, the Nasdaq Capital Market or any other exchange or successors thereto, is open for trading.</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left"/>
        <w:rPr/>
      </w:pPr>
      <w:r>
        <w:rPr/>
        <w:drawing>
          <wp:inline distT="0" distB="0" distL="0" distR="0">
            <wp:extent cx="6400800" cy="8277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400800" cy="8277225"/>
                    </a:xfrm>
                    <a:prstGeom prst="rect">
                      <a:avLst/>
                    </a:prstGeom>
                  </pic:spPr>
                </pic:pic>
              </a:graphicData>
            </a:graphic>
          </wp:inline>
        </w:drawing>
      </w:r>
    </w:p>
    <w:p>
      <w:pPr>
        <w:pStyle w:val="TextBody"/>
        <w:bidi w:val="0"/>
        <w:spacing w:before="13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left"/>
        <w:rPr/>
      </w:pPr>
      <w:r>
        <w:rPr/>
        <w:drawing>
          <wp:inline distT="0" distB="0" distL="0" distR="0">
            <wp:extent cx="6400800" cy="8277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400800" cy="82772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6.gif"/><Relationship Id="rId9" Type="http://schemas.openxmlformats.org/officeDocument/2006/relationships/image" Target="media/image7.gif"/><Relationship Id="rId10" Type="http://schemas.openxmlformats.org/officeDocument/2006/relationships/image" Target="media/image6.gif"/><Relationship Id="rId11" Type="http://schemas.openxmlformats.org/officeDocument/2006/relationships/image" Target="media/image5.gif"/><Relationship Id="rId12" Type="http://schemas.openxmlformats.org/officeDocument/2006/relationships/image" Target="media/image6.gif"/><Relationship Id="rId13" Type="http://schemas.openxmlformats.org/officeDocument/2006/relationships/image" Target="media/image6.gif"/><Relationship Id="rId14" Type="http://schemas.openxmlformats.org/officeDocument/2006/relationships/image" Target="media/image7.gif"/><Relationship Id="rId15" Type="http://schemas.openxmlformats.org/officeDocument/2006/relationships/image" Target="media/image5.gif"/><Relationship Id="rId16" Type="http://schemas.openxmlformats.org/officeDocument/2006/relationships/image" Target="media/image6.gif"/><Relationship Id="rId17" Type="http://schemas.openxmlformats.org/officeDocument/2006/relationships/image" Target="media/image6.gif"/><Relationship Id="rId18" Type="http://schemas.openxmlformats.org/officeDocument/2006/relationships/image" Target="media/image6.gif"/><Relationship Id="rId19" Type="http://schemas.openxmlformats.org/officeDocument/2006/relationships/image" Target="media/image6.gif"/><Relationship Id="rId20" Type="http://schemas.openxmlformats.org/officeDocument/2006/relationships/image" Target="media/image5.gif"/><Relationship Id="rId21" Type="http://schemas.openxmlformats.org/officeDocument/2006/relationships/image" Target="media/image6.gif"/><Relationship Id="rId22" Type="http://schemas.openxmlformats.org/officeDocument/2006/relationships/image" Target="media/image5.gif"/><Relationship Id="rId23" Type="http://schemas.openxmlformats.org/officeDocument/2006/relationships/image" Target="media/image6.gif"/><Relationship Id="rId24" Type="http://schemas.openxmlformats.org/officeDocument/2006/relationships/image" Target="media/image7.gif"/><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65950</Words>
  <Characters>351372</Characters>
  <CharactersWithSpaces>417706</CharactersWithSpaces>
  <Paragraphs>6635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