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6" w:space="1" w:color="000000"/>
        </w:pBdr>
        <w:bidi w:val="0"/>
        <w:jc w:val="center"/>
        <w:rPr>
          <w:rFonts w:ascii="Times New Roman" w:hAnsi="Times New Roman"/>
          <w:sz w:val="20"/>
        </w:rPr>
      </w:pPr>
      <w:bookmarkStart w:id="0" w:name="sndx-20231231.htm"/>
      <w:bookmarkStart w:id="1" w:name="kssndx20231231"/>
      <w:bookmarkEnd w:id="0"/>
      <w:bookmarkEnd w:id="1"/>
      <w:r>
        <w:rPr>
          <w:rFonts w:ascii="Times New Roman" w:hAnsi="Times New Roman"/>
          <w:color w:val="000000"/>
          <w:sz w:val="2"/>
        </w:rPr>
        <w:t>84,826,632</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0"/>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0"/>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bidi w:val="0"/>
        <w:spacing w:before="60" w:after="283"/>
        <w:jc w:val="center"/>
        <w:rPr>
          <w:rFonts w:ascii="Times New Roman" w:hAnsi="Times New Roman"/>
          <w:sz w:val="20"/>
        </w:rPr>
      </w:pPr>
      <w:r>
        <w:rPr>
          <w:rFonts w:ascii="Times New Roman" w:hAnsi="Times New Roman"/>
          <w:b/>
          <w:color w:val="000000"/>
          <w:sz w:val="36"/>
        </w:rPr>
        <w:t>FORM 10-K</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b/>
          <w:color w:val="000000"/>
          <w:sz w:val="18"/>
        </w:rPr>
        <w:t>(Mark One)</w:t>
      </w:r>
      <w:r>
        <w:rPr>
          <w:rFonts w:ascii="Times New Roman" w:hAnsi="Times New Roman"/>
          <w:color w:val="000000"/>
          <w:sz w:val="20"/>
        </w:rPr>
        <w:t xml:space="preserve"> </w:t>
      </w:r>
    </w:p>
    <w:p>
      <w:pPr>
        <w:pStyle w:val="TextBody"/>
        <w:bidi w:val="0"/>
        <w:jc w:val="left"/>
        <w:rPr/>
      </w:pPr>
      <w:r>
        <w:rPr>
          <w:color w:val="000000"/>
        </w:rPr>
        <w:t xml:space="preserve">☒ </w:t>
      </w:r>
      <w:r>
        <w:rPr>
          <w:rFonts w:ascii="Times New Roman" w:hAnsi="Times New Roman"/>
          <w:b/>
          <w:color w:val="000000"/>
          <w:sz w:val="16"/>
        </w:rPr>
        <w:t>ANNUAL REPORT PURSUANT TO SECTION 13 OR 15(d) OF THE SECURITIES EXCHANGE ACT OF 1934</w:t>
      </w:r>
      <w:r>
        <w:rPr>
          <w:rFonts w:ascii="Times New Roman" w:hAnsi="Times New Roman"/>
          <w:color w:val="000000"/>
          <w:sz w:val="20"/>
        </w:rPr>
        <w:t xml:space="preserve"> </w:t>
      </w:r>
    </w:p>
    <w:p>
      <w:pPr>
        <w:pStyle w:val="TextBody"/>
        <w:bidi w:val="0"/>
        <w:spacing w:before="60" w:after="283"/>
        <w:jc w:val="center"/>
        <w:rPr>
          <w:rFonts w:ascii="Times New Roman" w:hAnsi="Times New Roman"/>
          <w:b/>
          <w:color w:val="000000"/>
          <w:sz w:val="16"/>
        </w:rPr>
      </w:pPr>
      <w:r>
        <w:rPr>
          <w:rFonts w:ascii="Times New Roman" w:hAnsi="Times New Roman"/>
          <w:b/>
          <w:color w:val="000000"/>
          <w:sz w:val="16"/>
        </w:rPr>
        <w:t>For the Fiscal Year Ended December 31, 2023</w:t>
      </w:r>
    </w:p>
    <w:p>
      <w:pPr>
        <w:pStyle w:val="TextBody"/>
        <w:bidi w:val="0"/>
        <w:spacing w:before="60" w:after="283"/>
        <w:jc w:val="center"/>
        <w:rPr>
          <w:rFonts w:ascii="Times New Roman" w:hAnsi="Times New Roman"/>
          <w:sz w:val="20"/>
        </w:rPr>
      </w:pPr>
      <w:r>
        <w:rPr>
          <w:rFonts w:ascii="Times New Roman" w:hAnsi="Times New Roman"/>
          <w:b/>
          <w:color w:val="000000"/>
          <w:sz w:val="16"/>
        </w:rPr>
        <w:t>OR</w:t>
      </w:r>
      <w:r>
        <w:rPr>
          <w:rFonts w:ascii="Times New Roman" w:hAnsi="Times New Roman"/>
          <w:color w:val="000000"/>
          <w:sz w:val="20"/>
        </w:rPr>
        <w:t xml:space="preserve"> </w:t>
      </w:r>
    </w:p>
    <w:p>
      <w:pPr>
        <w:pStyle w:val="TextBody"/>
        <w:bidi w:val="0"/>
        <w:spacing w:before="60" w:after="283"/>
        <w:jc w:val="left"/>
        <w:rPr/>
      </w:pPr>
      <w:r>
        <w:rPr>
          <w:color w:val="000000"/>
        </w:rPr>
        <w:t xml:space="preserve">☐ </w:t>
      </w:r>
      <w:r>
        <w:rPr>
          <w:rFonts w:ascii="Times New Roman" w:hAnsi="Times New Roman"/>
          <w:b/>
          <w:color w:val="000000"/>
          <w:sz w:val="16"/>
        </w:rPr>
        <w:t>TRANSITION REPORT PURSUANT TO SECTION 13 OR 15(d) OF THE SECURITIES EXCHANGE ACT OF 1934</w:t>
      </w:r>
      <w:r>
        <w:rPr>
          <w:rFonts w:ascii="Times New Roman" w:hAnsi="Times New Roman"/>
          <w:color w:val="000000"/>
          <w:sz w:val="20"/>
        </w:rPr>
        <w:t xml:space="preserve"> </w:t>
      </w:r>
    </w:p>
    <w:p>
      <w:pPr>
        <w:pStyle w:val="TextBody"/>
        <w:bidi w:val="0"/>
        <w:spacing w:before="60" w:after="283"/>
        <w:jc w:val="center"/>
        <w:rPr>
          <w:rFonts w:ascii="Times New Roman" w:hAnsi="Times New Roman"/>
          <w:sz w:val="20"/>
        </w:rPr>
      </w:pPr>
      <w:r>
        <w:rPr>
          <w:rFonts w:ascii="Times New Roman" w:hAnsi="Times New Roman"/>
          <w:b/>
          <w:color w:val="000000"/>
          <w:sz w:val="16"/>
        </w:rPr>
        <w:t>For the Transition Period from</w:t>
      </w:r>
      <w:r>
        <w:rPr>
          <w:rFonts w:ascii="Times New Roman" w:hAnsi="Times New Roman"/>
          <w:color w:val="000000"/>
          <w:sz w:val="20"/>
          <w:u w:val="single"/>
        </w:rPr>
        <w:t xml:space="preserve"> </w:t>
      </w:r>
      <w:r>
        <w:rPr>
          <w:rFonts w:ascii="Times New Roman" w:hAnsi="Times New Roman"/>
          <w:b/>
          <w:color w:val="000000"/>
          <w:sz w:val="16"/>
        </w:rPr>
        <w:t>to</w:t>
      </w:r>
      <w:r>
        <w:rPr>
          <w:rFonts w:ascii="Times New Roman" w:hAnsi="Times New Roman"/>
          <w:color w:val="000000"/>
          <w:sz w:val="20"/>
        </w:rPr>
        <w:t xml:space="preserve"> </w:t>
      </w:r>
    </w:p>
    <w:p>
      <w:pPr>
        <w:pStyle w:val="TextBody"/>
        <w:bidi w:val="0"/>
        <w:spacing w:before="60" w:after="283"/>
        <w:jc w:val="center"/>
        <w:rPr>
          <w:rFonts w:ascii="Times New Roman" w:hAnsi="Times New Roman"/>
          <w:sz w:val="20"/>
        </w:rPr>
      </w:pPr>
      <w:r>
        <w:rPr>
          <w:rFonts w:ascii="Times New Roman" w:hAnsi="Times New Roman"/>
          <w:b/>
          <w:color w:val="000000"/>
          <w:sz w:val="16"/>
        </w:rPr>
        <w:t>Commission File Number: 001-37708</w:t>
      </w:r>
      <w:r>
        <w:rPr>
          <w:rFonts w:ascii="Times New Roman" w:hAnsi="Times New Roman"/>
          <w:color w:val="000000"/>
          <w:sz w:val="20"/>
        </w:rPr>
        <w:t xml:space="preserve"> </w:t>
      </w:r>
    </w:p>
    <w:p>
      <w:pPr>
        <w:pStyle w:val="TextBody"/>
        <w:bidi w:val="0"/>
        <w:spacing w:before="60" w:after="283"/>
        <w:jc w:val="center"/>
        <w:rPr>
          <w:rFonts w:ascii="Times New Roman" w:hAnsi="Times New Roman"/>
          <w:sz w:val="20"/>
        </w:rPr>
      </w:pPr>
      <w:r>
        <w:rPr>
          <w:rFonts w:ascii="Times New Roman" w:hAnsi="Times New Roman"/>
          <w:b/>
          <w:color w:val="000000"/>
          <w:sz w:val="40"/>
        </w:rPr>
        <w:t>Syndax Pharmaceuticals,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8"/>
        </w:rPr>
        <w:t>(Exact name of Registrant as specified in its charter)</w:t>
      </w:r>
      <w:r>
        <w:rPr>
          <w:rFonts w:ascii="Times New Roman" w:hAnsi="Times New Roman"/>
          <w:color w:val="000000"/>
          <w:sz w:val="20"/>
        </w:rPr>
        <w:t xml:space="preserve"> </w:t>
      </w:r>
    </w:p>
    <w:tbl>
      <w:tblPr>
        <w:tblW w:w="5418" w:type="dxa"/>
        <w:jc w:val="left"/>
        <w:tblInd w:w="0" w:type="dxa"/>
        <w:tblLayout w:type="fixed"/>
        <w:tblCellMar>
          <w:top w:w="28" w:type="dxa"/>
          <w:left w:w="28" w:type="dxa"/>
          <w:bottom w:w="28" w:type="dxa"/>
          <w:right w:w="28" w:type="dxa"/>
        </w:tblCellMar>
      </w:tblPr>
      <w:tblGrid>
        <w:gridCol w:w="2026"/>
        <w:gridCol w:w="1876"/>
        <w:gridCol w:w="1516"/>
      </w:tblGrid>
      <w:tr>
        <w:trPr/>
        <w:tc>
          <w:tcPr>
            <w:tcW w:w="2026"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r>
      <w:tr>
        <w:trPr/>
        <w:tc>
          <w:tcPr>
            <w:tcW w:w="2026" w:type="dxa"/>
            <w:tcBorders/>
            <w:vAlign w:val="center"/>
          </w:tcPr>
          <w:p>
            <w:pPr>
              <w:pStyle w:val="TableContents"/>
              <w:bidi w:val="0"/>
              <w:spacing w:before="0" w:after="283"/>
              <w:jc w:val="left"/>
              <w:rPr/>
            </w:pPr>
            <w:r>
              <w:rPr/>
              <w:t> </w:t>
            </w:r>
          </w:p>
        </w:tc>
        <w:tc>
          <w:tcPr>
            <w:tcW w:w="1876" w:type="dxa"/>
            <w:tcBorders/>
            <w:vAlign w:val="center"/>
          </w:tcPr>
          <w:p>
            <w:pPr>
              <w:pStyle w:val="TableContents"/>
              <w:bidi w:val="0"/>
              <w:spacing w:before="0" w:after="283"/>
              <w:jc w:val="left"/>
              <w:rPr/>
            </w:pPr>
            <w:r>
              <w:rPr/>
              <w:t> </w:t>
            </w:r>
          </w:p>
        </w:tc>
        <w:tc>
          <w:tcPr>
            <w:tcW w:w="1516" w:type="dxa"/>
            <w:tcBorders/>
            <w:vAlign w:val="center"/>
          </w:tcPr>
          <w:p>
            <w:pPr>
              <w:pStyle w:val="TableContents"/>
              <w:bidi w:val="0"/>
              <w:spacing w:before="0" w:after="283"/>
              <w:jc w:val="left"/>
              <w:rPr/>
            </w:pPr>
            <w:r>
              <w:rPr/>
              <w:t> </w:t>
            </w:r>
          </w:p>
        </w:tc>
      </w:tr>
      <w:tr>
        <w:trPr/>
        <w:tc>
          <w:tcPr>
            <w:tcW w:w="202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Delaware</w:t>
            </w:r>
          </w:p>
        </w:tc>
        <w:tc>
          <w:tcPr>
            <w:tcW w:w="187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2834</w:t>
            </w:r>
          </w:p>
        </w:tc>
        <w:tc>
          <w:tcPr>
            <w:tcW w:w="151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32-0162505</w:t>
            </w:r>
          </w:p>
        </w:tc>
      </w:tr>
      <w:tr>
        <w:trPr/>
        <w:tc>
          <w:tcPr>
            <w:tcW w:w="2026" w:type="dxa"/>
            <w:tcBorders/>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20"/>
              <w:jc w:val="center"/>
              <w:rPr>
                <w:rFonts w:ascii="Times New Roman" w:hAnsi="Times New Roman"/>
                <w:b/>
                <w:color w:val="000000"/>
                <w:sz w:val="14"/>
              </w:rPr>
            </w:pPr>
            <w:r>
              <w:rPr>
                <w:rFonts w:ascii="Times New Roman" w:hAnsi="Times New Roman"/>
                <w:b/>
                <w:color w:val="000000"/>
                <w:sz w:val="14"/>
              </w:rPr>
              <w:t>Incorporation or Organization)</w:t>
            </w:r>
          </w:p>
        </w:tc>
        <w:tc>
          <w:tcPr>
            <w:tcW w:w="1876" w:type="dxa"/>
            <w:tcBorders/>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(Primary Standard Industrial</w:t>
            </w:r>
          </w:p>
          <w:p>
            <w:pPr>
              <w:pStyle w:val="TableContents"/>
              <w:bidi w:val="0"/>
              <w:spacing w:before="0" w:after="20"/>
              <w:jc w:val="center"/>
              <w:rPr>
                <w:rFonts w:ascii="Times New Roman" w:hAnsi="Times New Roman"/>
                <w:b/>
                <w:color w:val="000000"/>
                <w:sz w:val="14"/>
              </w:rPr>
            </w:pPr>
            <w:r>
              <w:rPr>
                <w:rFonts w:ascii="Times New Roman" w:hAnsi="Times New Roman"/>
                <w:b/>
                <w:color w:val="000000"/>
                <w:sz w:val="14"/>
              </w:rPr>
              <w:t>Classification Code Number)</w:t>
            </w:r>
          </w:p>
        </w:tc>
        <w:tc>
          <w:tcPr>
            <w:tcW w:w="1516" w:type="dxa"/>
            <w:tcBorders/>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(I.R.S. Employer</w:t>
            </w:r>
          </w:p>
          <w:p>
            <w:pPr>
              <w:pStyle w:val="TableContents"/>
              <w:bidi w:val="0"/>
              <w:spacing w:before="0" w:after="20"/>
              <w:jc w:val="center"/>
              <w:rPr>
                <w:rFonts w:ascii="Times New Roman" w:hAnsi="Times New Roman"/>
                <w:b/>
                <w:color w:val="000000"/>
                <w:sz w:val="14"/>
              </w:rPr>
            </w:pPr>
            <w:r>
              <w:rPr>
                <w:rFonts w:ascii="Times New Roman" w:hAnsi="Times New Roman"/>
                <w:b/>
                <w:color w:val="000000"/>
                <w:sz w:val="14"/>
              </w:rPr>
              <w:t>Identification Number)</w:t>
            </w:r>
          </w:p>
        </w:tc>
      </w:tr>
    </w:tbl>
    <w:p>
      <w:pPr>
        <w:pStyle w:val="TextBody"/>
        <w:bidi w:val="0"/>
        <w:spacing w:before="60" w:after="283"/>
        <w:jc w:val="center"/>
        <w:rPr>
          <w:rFonts w:ascii="Times New Roman" w:hAnsi="Times New Roman"/>
          <w:sz w:val="20"/>
        </w:rPr>
      </w:pPr>
      <w:r>
        <w:rPr>
          <w:rFonts w:ascii="Times New Roman" w:hAnsi="Times New Roman"/>
          <w:b/>
          <w:color w:val="000000"/>
          <w:sz w:val="16"/>
        </w:rPr>
        <w:t>35 Gatehouse Drive, Building D, Floor 3</w:t>
      </w:r>
      <w:r>
        <w:rPr>
          <w:rFonts w:ascii="Times New Roman" w:hAnsi="Times New Roman"/>
          <w:color w:val="000000"/>
          <w:sz w:val="20"/>
        </w:rPr>
        <w:t xml:space="preserve"> </w:t>
      </w:r>
    </w:p>
    <w:p>
      <w:pPr>
        <w:pStyle w:val="TextBody"/>
        <w:bidi w:val="0"/>
        <w:spacing w:before="20" w:after="283"/>
        <w:jc w:val="center"/>
        <w:rPr>
          <w:rFonts w:ascii="Times New Roman" w:hAnsi="Times New Roman"/>
          <w:sz w:val="20"/>
        </w:rPr>
      </w:pPr>
      <w:r>
        <w:rPr>
          <w:rFonts w:ascii="Times New Roman" w:hAnsi="Times New Roman"/>
          <w:b/>
          <w:color w:val="000000"/>
          <w:sz w:val="16"/>
        </w:rPr>
        <w:t>Waltham, Massachusetts</w:t>
      </w:r>
      <w:r>
        <w:rPr>
          <w:rFonts w:ascii="Times New Roman" w:hAnsi="Times New Roman"/>
          <w:color w:val="000000"/>
          <w:sz w:val="20"/>
        </w:rPr>
        <w:t xml:space="preserve"> </w:t>
      </w:r>
      <w:r>
        <w:rPr>
          <w:rFonts w:ascii="Times New Roman" w:hAnsi="Times New Roman"/>
          <w:b/>
          <w:color w:val="000000"/>
          <w:sz w:val="16"/>
        </w:rPr>
        <w:t>02451</w:t>
      </w:r>
      <w:r>
        <w:rPr>
          <w:rFonts w:ascii="Times New Roman" w:hAnsi="Times New Roman"/>
          <w:color w:val="000000"/>
          <w:sz w:val="20"/>
        </w:rPr>
        <w:t xml:space="preserve"> </w:t>
      </w:r>
    </w:p>
    <w:p>
      <w:pPr>
        <w:pStyle w:val="TextBody"/>
        <w:bidi w:val="0"/>
        <w:spacing w:before="60" w:after="283"/>
        <w:jc w:val="center"/>
        <w:rPr>
          <w:rFonts w:ascii="Times New Roman" w:hAnsi="Times New Roman"/>
          <w:sz w:val="20"/>
        </w:rPr>
      </w:pPr>
      <w:r>
        <w:rPr>
          <w:rFonts w:ascii="Times New Roman" w:hAnsi="Times New Roman"/>
          <w:b/>
          <w:color w:val="000000"/>
          <w:sz w:val="16"/>
        </w:rPr>
        <w:t>(781) 419-1400</w:t>
      </w:r>
      <w:r>
        <w:rPr>
          <w:rFonts w:ascii="Times New Roman" w:hAnsi="Times New Roman"/>
          <w:color w:val="000000"/>
          <w:sz w:val="20"/>
        </w:rPr>
        <w:t xml:space="preserve"> </w:t>
      </w:r>
    </w:p>
    <w:p>
      <w:pPr>
        <w:pStyle w:val="TextBody"/>
        <w:bidi w:val="0"/>
        <w:spacing w:before="20" w:after="283"/>
        <w:jc w:val="center"/>
        <w:rPr>
          <w:rFonts w:ascii="Times New Roman" w:hAnsi="Times New Roman"/>
          <w:sz w:val="20"/>
        </w:rPr>
      </w:pPr>
      <w:r>
        <w:rPr>
          <w:rFonts w:ascii="Times New Roman" w:hAnsi="Times New Roman"/>
          <w:b/>
          <w:color w:val="000000"/>
          <w:sz w:val="14"/>
        </w:rPr>
        <w:t>(Address, Including Zip Code, and Telephone Number, Including Area Code, of Registrant’s Principal Executive Offices)</w:t>
      </w:r>
      <w:r>
        <w:rPr>
          <w:rFonts w:ascii="Times New Roman" w:hAnsi="Times New Roman"/>
          <w:color w:val="000000"/>
          <w:sz w:val="20"/>
        </w:rPr>
        <w:t xml:space="preserve"> </w:t>
      </w:r>
    </w:p>
    <w:p>
      <w:pPr>
        <w:pStyle w:val="TextBody"/>
        <w:bidi w:val="0"/>
        <w:spacing w:before="20" w:after="283"/>
        <w:jc w:val="center"/>
        <w:rPr>
          <w:rFonts w:ascii="Times New Roman" w:hAnsi="Times New Roman"/>
          <w:sz w:val="20"/>
        </w:rPr>
      </w:pPr>
      <w:r>
        <w:rPr>
          <w:rFonts w:ascii="Times New Roman" w:hAnsi="Times New Roman"/>
          <w:b/>
          <w:color w:val="000000"/>
          <w:sz w:val="14"/>
        </w:rPr>
        <w:t>Securities registered pursuant to Section 12(b) of the Act:</w:t>
      </w:r>
      <w:r>
        <w:rPr>
          <w:rFonts w:ascii="Times New Roman" w:hAnsi="Times New Roman"/>
          <w:color w:val="000000"/>
          <w:sz w:val="20"/>
        </w:rPr>
        <w:t xml:space="preserve"> </w:t>
      </w:r>
    </w:p>
    <w:p>
      <w:pPr>
        <w:pStyle w:val="TextBody"/>
        <w:bidi w:val="0"/>
        <w:spacing w:before="20" w:after="283"/>
        <w:jc w:val="center"/>
        <w:rPr/>
      </w:pPr>
      <w:r>
        <w:rPr/>
        <w:t> </w:t>
      </w:r>
    </w:p>
    <w:tbl>
      <w:tblPr>
        <w:tblW w:w="6498" w:type="dxa"/>
        <w:jc w:val="left"/>
        <w:tblInd w:w="0" w:type="dxa"/>
        <w:tblLayout w:type="fixed"/>
        <w:tblCellMar>
          <w:top w:w="28" w:type="dxa"/>
          <w:left w:w="28" w:type="dxa"/>
          <w:bottom w:w="28" w:type="dxa"/>
          <w:right w:w="28" w:type="dxa"/>
        </w:tblCellMar>
      </w:tblPr>
      <w:tblGrid>
        <w:gridCol w:w="1456"/>
        <w:gridCol w:w="1561"/>
        <w:gridCol w:w="3481"/>
      </w:tblGrid>
      <w:tr>
        <w:trPr/>
        <w:tc>
          <w:tcPr>
            <w:tcW w:w="145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3481" w:type="dxa"/>
            <w:tcBorders/>
            <w:vAlign w:val="center"/>
          </w:tcPr>
          <w:p>
            <w:pPr>
              <w:pStyle w:val="TableContents"/>
              <w:bidi w:val="0"/>
              <w:spacing w:before="0" w:after="283"/>
              <w:jc w:val="left"/>
              <w:rPr>
                <w:sz w:val="4"/>
                <w:szCs w:val="4"/>
              </w:rPr>
            </w:pPr>
            <w:r>
              <w:rPr>
                <w:sz w:val="4"/>
                <w:szCs w:val="4"/>
              </w:rPr>
            </w:r>
          </w:p>
        </w:tc>
      </w:tr>
      <w:tr>
        <w:trPr/>
        <w:tc>
          <w:tcPr>
            <w:tcW w:w="1456" w:type="dxa"/>
            <w:tcBorders>
              <w:top w:val="single" w:sz="4" w:space="0" w:color="000000"/>
              <w:left w:val="single" w:sz="4" w:space="0" w:color="000000"/>
              <w:bottom w:val="single" w:sz="4" w:space="0" w:color="000000"/>
              <w:right w:val="single" w:sz="4" w:space="0" w:color="000000"/>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Title of each class</w:t>
            </w:r>
          </w:p>
        </w:tc>
        <w:tc>
          <w:tcPr>
            <w:tcW w:w="1561"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Trading Symbol(s)</w:t>
            </w:r>
          </w:p>
        </w:tc>
        <w:tc>
          <w:tcPr>
            <w:tcW w:w="3481"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Name of each exchange on which registered</w:t>
            </w:r>
          </w:p>
        </w:tc>
      </w:tr>
      <w:tr>
        <w:trPr/>
        <w:tc>
          <w:tcPr>
            <w:tcW w:w="1456"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w:t>
            </w:r>
          </w:p>
        </w:tc>
        <w:tc>
          <w:tcPr>
            <w:tcW w:w="156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SNDX</w:t>
            </w:r>
          </w:p>
        </w:tc>
        <w:tc>
          <w:tcPr>
            <w:tcW w:w="348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Stock Market, LLC</w:t>
            </w:r>
          </w:p>
        </w:tc>
      </w:tr>
    </w:tbl>
    <w:p>
      <w:pPr>
        <w:pStyle w:val="TextBody"/>
        <w:bidi w:val="0"/>
        <w:spacing w:before="60" w:after="283"/>
        <w:jc w:val="center"/>
        <w:rPr>
          <w:rFonts w:ascii="Times New Roman" w:hAnsi="Times New Roman"/>
          <w:sz w:val="20"/>
        </w:rPr>
      </w:pPr>
      <w:r>
        <w:rPr>
          <w:rFonts w:ascii="Times New Roman" w:hAnsi="Times New Roman"/>
          <w:b/>
          <w:color w:val="000000"/>
          <w:sz w:val="18"/>
        </w:rPr>
        <w:t>Securities registered pursuant to Section 12(g) of the Act: None</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7"/>
        </w:rPr>
        <w:t>Indicate by check mark if the registrant is a well-known seasoned issuer, as defined in Rule 405 of the Securities Act. Yes</w:t>
      </w:r>
      <w:r>
        <w:rPr>
          <w:rFonts w:ascii="Times New Roman" w:hAnsi="Times New Roman"/>
          <w:color w:val="000000"/>
          <w:sz w:val="20"/>
        </w:rPr>
        <w:t xml:space="preserve"> ☒ </w:t>
      </w:r>
      <w:r>
        <w:rPr>
          <w:rFonts w:ascii="Times New Roman" w:hAnsi="Times New Roman"/>
          <w:color w:val="000000"/>
          <w:sz w:val="17"/>
        </w:rPr>
        <w:t>No ☐</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7"/>
        </w:rPr>
        <w:t>Indicate by check mark if the registrant is not required to file reports pursuant to Section 13 or 15(d) of the Securities Act. Yes ☐ No</w:t>
      </w:r>
      <w:r>
        <w:rPr>
          <w:rFonts w:ascii="Times New Roman" w:hAnsi="Times New Roman"/>
          <w:color w:val="000000"/>
          <w:sz w:val="20"/>
        </w:rPr>
        <w:t xml:space="preserve"> ☒ </w:t>
      </w:r>
    </w:p>
    <w:p>
      <w:pPr>
        <w:pStyle w:val="TextBody"/>
        <w:bidi w:val="0"/>
        <w:spacing w:before="60" w:after="283"/>
        <w:jc w:val="left"/>
        <w:rPr>
          <w:rFonts w:ascii="Times New Roman" w:hAnsi="Times New Roman"/>
          <w:sz w:val="20"/>
        </w:rPr>
      </w:pPr>
      <w:r>
        <w:rPr>
          <w:rFonts w:ascii="Times New Roman" w:hAnsi="Times New Roman"/>
          <w:color w:val="000000"/>
          <w:sz w:val="17"/>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the filing requirements for the past 90 days. Yes</w:t>
      </w:r>
      <w:r>
        <w:rPr>
          <w:rFonts w:ascii="Times New Roman" w:hAnsi="Times New Roman"/>
          <w:color w:val="000000"/>
          <w:sz w:val="20"/>
        </w:rPr>
        <w:t xml:space="preserve"> ☒ </w:t>
      </w:r>
      <w:r>
        <w:rPr>
          <w:rFonts w:ascii="Times New Roman" w:hAnsi="Times New Roman"/>
          <w:color w:val="000000"/>
          <w:sz w:val="17"/>
        </w:rPr>
        <w:t>No ☐</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7"/>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7"/>
        </w:rPr>
        <w:t>No ☐</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7"/>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color w:val="000000"/>
          <w:sz w:val="20"/>
        </w:rPr>
        <w:t xml:space="preserve"> </w:t>
      </w:r>
    </w:p>
    <w:p>
      <w:pPr>
        <w:pStyle w:val="TextBody"/>
        <w:bidi w:val="0"/>
        <w:jc w:val="left"/>
        <w:rPr/>
      </w:pPr>
      <w:r>
        <w:rPr/>
        <w:t> </w:t>
      </w:r>
    </w:p>
    <w:tbl>
      <w:tblPr>
        <w:tblW w:w="4804" w:type="dxa"/>
        <w:jc w:val="left"/>
        <w:tblInd w:w="0" w:type="dxa"/>
        <w:tblLayout w:type="fixed"/>
        <w:tblCellMar>
          <w:top w:w="28" w:type="dxa"/>
          <w:left w:w="28" w:type="dxa"/>
          <w:bottom w:w="28" w:type="dxa"/>
          <w:right w:w="28" w:type="dxa"/>
        </w:tblCellMar>
      </w:tblPr>
      <w:tblGrid>
        <w:gridCol w:w="2041"/>
        <w:gridCol w:w="316"/>
        <w:gridCol w:w="2086"/>
        <w:gridCol w:w="361"/>
      </w:tblGrid>
      <w:tr>
        <w:trPr/>
        <w:tc>
          <w:tcPr>
            <w:tcW w:w="204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41" w:type="dxa"/>
            <w:tcBorders/>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Large Accelerated Filer</w:t>
            </w:r>
          </w:p>
        </w:tc>
        <w:tc>
          <w:tcPr>
            <w:tcW w:w="316" w:type="dxa"/>
            <w:tcBorders/>
            <w:vAlign w:val="center"/>
          </w:tcPr>
          <w:p>
            <w:pPr>
              <w:pStyle w:val="TableContents"/>
              <w:bidi w:val="0"/>
              <w:spacing w:before="0" w:after="283"/>
              <w:jc w:val="left"/>
              <w:rPr>
                <w:color w:val="000000"/>
              </w:rPr>
            </w:pPr>
            <w:r>
              <w:rPr>
                <w:color w:val="000000"/>
              </w:rPr>
              <w:t>☒</w:t>
            </w:r>
          </w:p>
        </w:tc>
        <w:tc>
          <w:tcPr>
            <w:tcW w:w="2086" w:type="dxa"/>
            <w:tcBorders/>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Accelerated Filer</w:t>
            </w:r>
          </w:p>
        </w:tc>
        <w:tc>
          <w:tcPr>
            <w:tcW w:w="361" w:type="dxa"/>
            <w:tcBorders/>
            <w:vAlign w:val="center"/>
          </w:tcPr>
          <w:p>
            <w:pPr>
              <w:pStyle w:val="TableContents"/>
              <w:bidi w:val="0"/>
              <w:spacing w:before="0" w:after="283"/>
              <w:jc w:val="left"/>
              <w:rPr>
                <w:color w:val="000000"/>
              </w:rPr>
            </w:pPr>
            <w:r>
              <w:rPr>
                <w:color w:val="000000"/>
              </w:rPr>
              <w:t>☐</w:t>
            </w:r>
          </w:p>
        </w:tc>
      </w:tr>
      <w:tr>
        <w:trPr/>
        <w:tc>
          <w:tcPr>
            <w:tcW w:w="2041"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 </w:t>
            </w:r>
          </w:p>
        </w:tc>
        <w:tc>
          <w:tcPr>
            <w:tcW w:w="208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 </w:t>
            </w:r>
          </w:p>
        </w:tc>
      </w:tr>
      <w:tr>
        <w:trPr/>
        <w:tc>
          <w:tcPr>
            <w:tcW w:w="2041" w:type="dxa"/>
            <w:tcBorders/>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Non-accelerated Filer</w:t>
            </w:r>
          </w:p>
        </w:tc>
        <w:tc>
          <w:tcPr>
            <w:tcW w:w="316" w:type="dxa"/>
            <w:tcBorders/>
            <w:vAlign w:val="center"/>
          </w:tcPr>
          <w:p>
            <w:pPr>
              <w:pStyle w:val="TableContents"/>
              <w:bidi w:val="0"/>
              <w:spacing w:before="0" w:after="283"/>
              <w:jc w:val="left"/>
              <w:rPr>
                <w:color w:val="000000"/>
              </w:rPr>
            </w:pPr>
            <w:r>
              <w:rPr>
                <w:color w:val="000000"/>
              </w:rPr>
              <w:t>☐</w:t>
            </w:r>
          </w:p>
        </w:tc>
        <w:tc>
          <w:tcPr>
            <w:tcW w:w="2086" w:type="dxa"/>
            <w:tcBorders/>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Smaller Reporting Company</w:t>
            </w:r>
          </w:p>
        </w:tc>
        <w:tc>
          <w:tcPr>
            <w:tcW w:w="361" w:type="dxa"/>
            <w:tcBorders/>
            <w:vAlign w:val="center"/>
          </w:tcPr>
          <w:p>
            <w:pPr>
              <w:pStyle w:val="TableContents"/>
              <w:bidi w:val="0"/>
              <w:spacing w:before="0" w:after="283"/>
              <w:jc w:val="left"/>
              <w:rPr>
                <w:color w:val="000000"/>
              </w:rPr>
            </w:pPr>
            <w:r>
              <w:rPr>
                <w:color w:val="000000"/>
              </w:rPr>
              <w:t>☐</w:t>
            </w:r>
          </w:p>
        </w:tc>
      </w:tr>
      <w:tr>
        <w:trPr/>
        <w:tc>
          <w:tcPr>
            <w:tcW w:w="2041"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 </w:t>
            </w:r>
          </w:p>
        </w:tc>
        <w:tc>
          <w:tcPr>
            <w:tcW w:w="208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 </w:t>
            </w:r>
          </w:p>
        </w:tc>
      </w:tr>
      <w:tr>
        <w:trPr/>
        <w:tc>
          <w:tcPr>
            <w:tcW w:w="2041" w:type="dxa"/>
            <w:tcBorders/>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Emerging growth company</w:t>
            </w:r>
          </w:p>
        </w:tc>
        <w:tc>
          <w:tcPr>
            <w:tcW w:w="316" w:type="dxa"/>
            <w:tcBorders/>
            <w:vAlign w:val="center"/>
          </w:tcPr>
          <w:p>
            <w:pPr>
              <w:pStyle w:val="TableContents"/>
              <w:bidi w:val="0"/>
              <w:spacing w:before="0" w:after="283"/>
              <w:jc w:val="left"/>
              <w:rPr>
                <w:color w:val="000000"/>
              </w:rPr>
            </w:pPr>
            <w:r>
              <w:rPr>
                <w:color w:val="000000"/>
              </w:rPr>
              <w:t>☐</w:t>
            </w:r>
          </w:p>
        </w:tc>
        <w:tc>
          <w:tcPr>
            <w:tcW w:w="208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 </w:t>
            </w:r>
          </w:p>
        </w:tc>
      </w:tr>
    </w:tbl>
    <w:p>
      <w:pPr>
        <w:pStyle w:val="TextBody"/>
        <w:bidi w:val="0"/>
        <w:spacing w:before="60" w:after="283"/>
        <w:jc w:val="left"/>
        <w:rPr>
          <w:rFonts w:ascii="Times New Roman" w:hAnsi="Times New Roman"/>
          <w:color w:val="000000"/>
          <w:sz w:val="17"/>
        </w:rPr>
      </w:pPr>
      <w:r>
        <w:rPr>
          <w:rFonts w:ascii="Times New Roman" w:hAnsi="Times New Roman"/>
          <w:color w:val="000000"/>
          <w:sz w:val="17"/>
        </w:rPr>
        <w:t>If an emerging growth company, indicate by check mark if the registrant has elected not to use the extended transition period for complying with any new or revised accounting standards provided pursuant to Section 13(a) of the Exchange Act. ☐</w:t>
      </w:r>
    </w:p>
    <w:p>
      <w:pPr>
        <w:pStyle w:val="TextBody"/>
        <w:bidi w:val="0"/>
        <w:spacing w:before="60" w:after="283"/>
        <w:jc w:val="left"/>
        <w:rPr>
          <w:rFonts w:ascii="Times New Roman" w:hAnsi="Times New Roman"/>
          <w:sz w:val="20"/>
        </w:rPr>
      </w:pPr>
      <w:r>
        <w:rPr>
          <w:rFonts w:ascii="Times New Roman" w:hAnsi="Times New Roman"/>
          <w:color w:val="000000"/>
          <w:sz w:val="17"/>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231F20"/>
          <w:sz w:val="17"/>
        </w:rPr>
        <w:t>If securities are registered pursuant to Section 12(b) of the Act, indicate by check mark whether the financial statements of the registrant included in the filing reflect the correction of an error to previously issued financial statements.</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231F20"/>
          <w:sz w:val="17"/>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7"/>
        </w:rPr>
        <w:t xml:space="preserve">Indicate by check mark whether the registrant is a shell company (as defined in Rule 12b-2 of the Exchange Act.) Yes ☐ No </w:t>
      </w:r>
      <w:r>
        <w:rPr>
          <w:rFonts w:ascii="Times New Roman" w:hAnsi="Times New Roman"/>
          <w:color w:val="000000"/>
          <w:sz w:val="20"/>
        </w:rPr>
        <w:t xml:space="preserve">☒ </w:t>
      </w:r>
    </w:p>
    <w:p>
      <w:pPr>
        <w:pStyle w:val="TextBody"/>
        <w:bidi w:val="0"/>
        <w:spacing w:before="60" w:after="283"/>
        <w:jc w:val="left"/>
        <w:rPr/>
      </w:pPr>
      <w:r>
        <w:rPr/>
        <w:t> </w:t>
      </w:r>
    </w:p>
    <w:p>
      <w:pPr>
        <w:pStyle w:val="HorizontalLine"/>
        <w:pBdr>
          <w:bottom w:val="double" w:sz="2" w:space="0" w:color="808080"/>
        </w:pBdr>
        <w:bidi w:val="0"/>
        <w:spacing w:before="0" w:after="283"/>
        <w:jc w:val="left"/>
        <w:rPr/>
      </w:pPr>
      <w:r>
        <w:rPr/>
      </w:r>
    </w:p>
    <w:p>
      <w:pPr>
        <w:pStyle w:val="TextBody"/>
        <w:bidi w:val="0"/>
        <w:spacing w:before="60" w:after="283"/>
        <w:jc w:val="left"/>
        <w:rPr>
          <w:rFonts w:ascii="Times New Roman" w:hAnsi="Times New Roman"/>
          <w:sz w:val="20"/>
        </w:rPr>
      </w:pPr>
      <w:r>
        <w:rPr>
          <w:rFonts w:ascii="Times New Roman" w:hAnsi="Times New Roman"/>
          <w:color w:val="000000"/>
          <w:sz w:val="17"/>
        </w:rPr>
        <w:t>The aggregate market value of the voting and non-voting of common equity held by non-affiliates of the registrant was $1,452,441,662</w:t>
      </w:r>
      <w:r>
        <w:rPr>
          <w:rFonts w:ascii="Times New Roman" w:hAnsi="Times New Roman"/>
          <w:color w:val="000000"/>
          <w:sz w:val="20"/>
        </w:rPr>
        <w:t xml:space="preserve"> </w:t>
      </w:r>
      <w:r>
        <w:rPr>
          <w:rFonts w:ascii="Times New Roman" w:hAnsi="Times New Roman"/>
          <w:color w:val="000000"/>
          <w:sz w:val="17"/>
        </w:rPr>
        <w:t>as of June 30, 2023 based on the closing price of $20.93 as reported on the Nasdaq Global Select Market on such date. Shares of the registrant's common stock held by executive officers, directors, and their affiliates have been excluded from this calculation. The determination of affiliate status is not necessarily a conclusive determination for other purposes.</w:t>
      </w:r>
      <w:r>
        <w:rPr>
          <w:rFonts w:ascii="Times New Roman" w:hAnsi="Times New Roman"/>
          <w:color w:val="000000"/>
          <w:sz w:val="20"/>
        </w:rPr>
        <w:t xml:space="preserve"> </w:t>
      </w:r>
    </w:p>
    <w:p>
      <w:pPr>
        <w:pStyle w:val="TextBody"/>
        <w:bidi w:val="0"/>
        <w:spacing w:before="60" w:after="283"/>
        <w:jc w:val="left"/>
        <w:rPr/>
      </w:pPr>
      <w:r>
        <w:rPr/>
        <w:t> </w:t>
      </w:r>
    </w:p>
    <w:p>
      <w:pPr>
        <w:pStyle w:val="TextBody"/>
        <w:bidi w:val="0"/>
        <w:spacing w:before="60" w:after="283"/>
        <w:jc w:val="left"/>
        <w:rPr>
          <w:rFonts w:ascii="Times New Roman" w:hAnsi="Times New Roman"/>
          <w:sz w:val="20"/>
        </w:rPr>
      </w:pPr>
      <w:r>
        <w:rPr>
          <w:rFonts w:ascii="Times New Roman" w:hAnsi="Times New Roman"/>
          <w:color w:val="000000"/>
          <w:sz w:val="17"/>
        </w:rPr>
        <w:t>As of February 19, 2024, there were 84,965,486</w:t>
      </w:r>
      <w:r>
        <w:rPr>
          <w:rFonts w:ascii="Times New Roman" w:hAnsi="Times New Roman"/>
          <w:color w:val="000000"/>
          <w:sz w:val="20"/>
        </w:rPr>
        <w:t xml:space="preserve"> </w:t>
      </w:r>
      <w:r>
        <w:rPr>
          <w:rFonts w:ascii="Times New Roman" w:hAnsi="Times New Roman"/>
          <w:color w:val="000000"/>
          <w:sz w:val="17"/>
        </w:rPr>
        <w:t>shares of common stock outstanding.</w:t>
      </w:r>
      <w:r>
        <w:rPr>
          <w:rFonts w:ascii="Times New Roman" w:hAnsi="Times New Roman"/>
          <w:color w:val="000000"/>
          <w:sz w:val="20"/>
        </w:rPr>
        <w:t xml:space="preserve"> </w:t>
      </w:r>
    </w:p>
    <w:p>
      <w:pPr>
        <w:pStyle w:val="TextBody"/>
        <w:bidi w:val="0"/>
        <w:spacing w:before="60" w:after="283"/>
        <w:jc w:val="left"/>
        <w:rPr/>
      </w:pPr>
      <w:r>
        <w:rPr/>
        <w:t> </w:t>
      </w:r>
    </w:p>
    <w:p>
      <w:pPr>
        <w:pStyle w:val="TextBody"/>
        <w:bidi w:val="0"/>
        <w:spacing w:before="60" w:after="283"/>
        <w:jc w:val="center"/>
        <w:rPr>
          <w:rFonts w:ascii="Times New Roman" w:hAnsi="Times New Roman"/>
          <w:sz w:val="20"/>
        </w:rPr>
      </w:pPr>
      <w:r>
        <w:rPr>
          <w:rFonts w:ascii="Times New Roman" w:hAnsi="Times New Roman"/>
          <w:b/>
          <w:color w:val="000000"/>
          <w:sz w:val="17"/>
        </w:rPr>
        <w:t>DOCUMENTS INCORPORATED BY REFERENCE</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7"/>
        </w:rPr>
        <w:t>Portions of the registrant’s definitive proxy statement for its 2024 Annual Meeting of Stockholders, which the registrant intends to file pursuant to Regulation 14A with the Securities and Exchange Commission not later than 120 days after the registrant’s fiscal year ended December 31, 2023, are incorporated by reference into Part III of this Annual Report on Form 10-K.</w:t>
      </w:r>
      <w:r>
        <w:rPr>
          <w:rFonts w:ascii="Times New Roman" w:hAnsi="Times New Roman"/>
          <w:color w:val="000000"/>
          <w:sz w:val="20"/>
        </w:rPr>
        <w:t xml:space="preserve"> </w:t>
      </w:r>
    </w:p>
    <w:p>
      <w:pPr>
        <w:pStyle w:val="TextBody"/>
        <w:bidi w:val="0"/>
        <w:spacing w:before="60" w:after="283"/>
        <w:jc w:val="left"/>
        <w:rPr/>
      </w:pPr>
      <w:r>
        <w:rPr/>
        <w:t> </w:t>
      </w:r>
    </w:p>
    <w:tbl>
      <w:tblPr>
        <w:tblW w:w="7611" w:type="dxa"/>
        <w:jc w:val="left"/>
        <w:tblInd w:w="0" w:type="dxa"/>
        <w:tblLayout w:type="fixed"/>
        <w:tblCellMar>
          <w:top w:w="28" w:type="dxa"/>
          <w:left w:w="28" w:type="dxa"/>
          <w:bottom w:w="28" w:type="dxa"/>
          <w:right w:w="28" w:type="dxa"/>
        </w:tblCellMar>
      </w:tblPr>
      <w:tblGrid>
        <w:gridCol w:w="1276"/>
        <w:gridCol w:w="376"/>
        <w:gridCol w:w="1186"/>
        <w:gridCol w:w="1741"/>
        <w:gridCol w:w="1351"/>
        <w:gridCol w:w="1681"/>
      </w:tblGrid>
      <w:tr>
        <w:trPr/>
        <w:tc>
          <w:tcPr>
            <w:tcW w:w="12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r>
      <w:tr>
        <w:trPr/>
        <w:tc>
          <w:tcPr>
            <w:tcW w:w="12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Auditor Firm Id:</w:t>
            </w:r>
          </w:p>
        </w:tc>
        <w:tc>
          <w:tcPr>
            <w:tcW w:w="3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#34</w:t>
            </w:r>
          </w:p>
        </w:tc>
        <w:tc>
          <w:tcPr>
            <w:tcW w:w="11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 xml:space="preserve">Auditor Name: </w:t>
            </w:r>
          </w:p>
        </w:tc>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Deloitte &amp; Touche LLP</w:t>
            </w:r>
          </w:p>
        </w:tc>
        <w:tc>
          <w:tcPr>
            <w:tcW w:w="13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Auditor Location:</w:t>
            </w:r>
          </w:p>
        </w:tc>
        <w:tc>
          <w:tcPr>
            <w:tcW w:w="16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New York, New York</w:t>
            </w:r>
          </w:p>
        </w:tc>
      </w:tr>
    </w:tbl>
    <w:p>
      <w:pPr>
        <w:pStyle w:val="TextBody"/>
        <w:bidi w:val="0"/>
        <w:spacing w:before="6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TABLE OF CONTENTS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810"/>
        <w:gridCol w:w="8883"/>
        <w:gridCol w:w="512"/>
      </w:tblGrid>
      <w:tr>
        <w:trPr/>
        <w:tc>
          <w:tcPr>
            <w:tcW w:w="810" w:type="dxa"/>
            <w:tcBorders/>
            <w:vAlign w:val="center"/>
          </w:tcPr>
          <w:p>
            <w:pPr>
              <w:pStyle w:val="TableContents"/>
              <w:bidi w:val="0"/>
              <w:spacing w:before="0" w:after="283"/>
              <w:jc w:val="left"/>
              <w:rPr>
                <w:sz w:val="4"/>
                <w:szCs w:val="4"/>
              </w:rPr>
            </w:pPr>
            <w:r>
              <w:rPr>
                <w:sz w:val="4"/>
                <w:szCs w:val="4"/>
              </w:rPr>
            </w:r>
          </w:p>
        </w:tc>
        <w:tc>
          <w:tcPr>
            <w:tcW w:w="8883"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r>
      <w:tr>
        <w:trPr/>
        <w:tc>
          <w:tcPr>
            <w:tcW w:w="8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969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pecial_note_regarding_forwardlooking_st">
              <w:r>
                <w:rPr>
                  <w:rStyle w:val="InternetLink"/>
                  <w:rFonts w:ascii="Times New Roman" w:hAnsi="Times New Roman"/>
                  <w:b/>
                  <w:color w:val="0000FF"/>
                  <w:sz w:val="20"/>
                  <w:u w:val="single"/>
                </w:rPr>
                <w:t>SPECIAL NOTE REGARDING FORWARD-LOOKING STATEMENTS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ii</w:t>
            </w:r>
          </w:p>
        </w:tc>
      </w:tr>
      <w:tr>
        <w:trPr/>
        <w:tc>
          <w:tcPr>
            <w:tcW w:w="8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69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hyperlink w:anchor="part_i">
              <w:r>
                <w:rPr>
                  <w:rStyle w:val="InternetLink"/>
                  <w:rFonts w:ascii="Times New Roman" w:hAnsi="Times New Roman"/>
                  <w:b/>
                  <w:color w:val="0000FF"/>
                  <w:sz w:val="20"/>
                  <w:u w:val="single"/>
                </w:rPr>
                <w:t>PART I</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88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business">
              <w:r>
                <w:rPr>
                  <w:rStyle w:val="InternetLink"/>
                  <w:rFonts w:ascii="Times New Roman" w:hAnsi="Times New Roman"/>
                  <w:color w:val="0000FF"/>
                  <w:sz w:val="20"/>
                  <w:u w:val="single"/>
                </w:rPr>
                <w:t>Business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8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888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r>
      <w:tr>
        <w:trPr/>
        <w:tc>
          <w:tcPr>
            <w:tcW w:w="8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1B.</w:t>
            </w:r>
          </w:p>
        </w:tc>
        <w:tc>
          <w:tcPr>
            <w:tcW w:w="888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b_unresolved_staff_comments">
              <w:r>
                <w:rPr>
                  <w:rStyle w:val="InternetLink"/>
                  <w:rFonts w:ascii="Times New Roman" w:hAnsi="Times New Roman"/>
                  <w:color w:val="0000FF"/>
                  <w:sz w:val="20"/>
                  <w:u w:val="single"/>
                </w:rPr>
                <w:t>Unresolved Staff Comments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r>
      <w:tr>
        <w:trPr/>
        <w:tc>
          <w:tcPr>
            <w:tcW w:w="8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1C.</w:t>
            </w:r>
          </w:p>
        </w:tc>
        <w:tc>
          <w:tcPr>
            <w:tcW w:w="888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c_cybersecurity">
              <w:r>
                <w:rPr>
                  <w:rStyle w:val="InternetLink"/>
                  <w:rFonts w:ascii="Times New Roman" w:hAnsi="Times New Roman"/>
                  <w:color w:val="0000FF"/>
                  <w:sz w:val="20"/>
                  <w:u w:val="single"/>
                </w:rPr>
                <w:t>Cybersecurity</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r>
      <w:tr>
        <w:trPr/>
        <w:tc>
          <w:tcPr>
            <w:tcW w:w="8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88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properties">
              <w:r>
                <w:rPr>
                  <w:rStyle w:val="InternetLink"/>
                  <w:rFonts w:ascii="Times New Roman" w:hAnsi="Times New Roman"/>
                  <w:color w:val="0000FF"/>
                  <w:sz w:val="20"/>
                  <w:u w:val="single"/>
                </w:rPr>
                <w:t>Properties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r>
      <w:tr>
        <w:trPr/>
        <w:tc>
          <w:tcPr>
            <w:tcW w:w="8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88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legal_proceedings">
              <w:r>
                <w:rPr>
                  <w:rStyle w:val="InternetLink"/>
                  <w:rFonts w:ascii="Times New Roman" w:hAnsi="Times New Roman"/>
                  <w:color w:val="0000FF"/>
                  <w:sz w:val="20"/>
                  <w:u w:val="single"/>
                </w:rPr>
                <w:t>Legal Proceedings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r>
      <w:tr>
        <w:trPr/>
        <w:tc>
          <w:tcPr>
            <w:tcW w:w="8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88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r>
      <w:tr>
        <w:trPr/>
        <w:tc>
          <w:tcPr>
            <w:tcW w:w="8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69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hyperlink w:anchor="part_ii">
              <w:r>
                <w:rPr>
                  <w:rStyle w:val="InternetLink"/>
                  <w:rFonts w:ascii="Times New Roman" w:hAnsi="Times New Roman"/>
                  <w:b/>
                  <w:color w:val="0000FF"/>
                  <w:sz w:val="20"/>
                  <w:u w:val="single"/>
                </w:rPr>
                <w:t>PART II</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888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market_for_registrants_common_equ">
              <w:r>
                <w:rPr>
                  <w:rStyle w:val="InternetLink"/>
                  <w:rFonts w:ascii="Times New Roman" w:hAnsi="Times New Roman"/>
                  <w:color w:val="0000FF"/>
                  <w:sz w:val="20"/>
                  <w:u w:val="single"/>
                </w:rPr>
                <w:t>Market for Registrant’s Common Equity, Related Stockholder Matters and Issuers Purchases of Equity Securities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r>
      <w:tr>
        <w:trPr/>
        <w:tc>
          <w:tcPr>
            <w:tcW w:w="8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888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reserved">
              <w:r>
                <w:rPr>
                  <w:rStyle w:val="InternetLink"/>
                  <w:rFonts w:ascii="Times New Roman" w:hAnsi="Times New Roman"/>
                  <w:color w:val="0000FF"/>
                  <w:sz w:val="20"/>
                  <w:u w:val="single"/>
                </w:rPr>
                <w:t>[Reserved]</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r>
      <w:tr>
        <w:trPr/>
        <w:tc>
          <w:tcPr>
            <w:tcW w:w="8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7.</w:t>
            </w:r>
          </w:p>
        </w:tc>
        <w:tc>
          <w:tcPr>
            <w:tcW w:w="888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7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r>
      <w:tr>
        <w:trPr/>
        <w:tc>
          <w:tcPr>
            <w:tcW w:w="8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7A.</w:t>
            </w:r>
          </w:p>
        </w:tc>
        <w:tc>
          <w:tcPr>
            <w:tcW w:w="888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7a_quantitative_qualitative_disclos">
              <w:r>
                <w:rPr>
                  <w:rStyle w:val="InternetLink"/>
                  <w:rFonts w:ascii="Times New Roman" w:hAnsi="Times New Roman"/>
                  <w:color w:val="0000FF"/>
                  <w:sz w:val="20"/>
                  <w:u w:val="single"/>
                </w:rPr>
                <w:t>Quantitative and Qualitative Disclosures about Market Risk</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r>
      <w:tr>
        <w:trPr/>
        <w:tc>
          <w:tcPr>
            <w:tcW w:w="8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8.</w:t>
            </w:r>
          </w:p>
        </w:tc>
        <w:tc>
          <w:tcPr>
            <w:tcW w:w="888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8_financial_statements_supplementar">
              <w:r>
                <w:rPr>
                  <w:rStyle w:val="InternetLink"/>
                  <w:rFonts w:ascii="Times New Roman" w:hAnsi="Times New Roman"/>
                  <w:color w:val="0000FF"/>
                  <w:sz w:val="20"/>
                  <w:u w:val="single"/>
                </w:rPr>
                <w:t>Financial Statements and Supplementary Data</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r>
      <w:tr>
        <w:trPr/>
        <w:tc>
          <w:tcPr>
            <w:tcW w:w="8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w:t>
            </w:r>
          </w:p>
        </w:tc>
        <w:tc>
          <w:tcPr>
            <w:tcW w:w="888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_changes_in_disagreements_with_acc">
              <w:r>
                <w:rPr>
                  <w:rStyle w:val="InternetLink"/>
                  <w:rFonts w:ascii="Times New Roman" w:hAnsi="Times New Roman"/>
                  <w:color w:val="0000FF"/>
                  <w:sz w:val="20"/>
                  <w:u w:val="single"/>
                </w:rPr>
                <w:t>Changes in and Disagreements with Accountants on Accounting and Financial Disclosure</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r>
      <w:tr>
        <w:trPr/>
        <w:tc>
          <w:tcPr>
            <w:tcW w:w="8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9A.</w:t>
            </w:r>
          </w:p>
        </w:tc>
        <w:tc>
          <w:tcPr>
            <w:tcW w:w="888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a_controls_procedures">
              <w:r>
                <w:rPr>
                  <w:rStyle w:val="InternetLink"/>
                  <w:rFonts w:ascii="Times New Roman" w:hAnsi="Times New Roman"/>
                  <w:color w:val="0000FF"/>
                  <w:sz w:val="20"/>
                  <w:u w:val="single"/>
                </w:rPr>
                <w:t>Controls and Procedures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r>
      <w:tr>
        <w:trPr/>
        <w:tc>
          <w:tcPr>
            <w:tcW w:w="8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9B.</w:t>
            </w:r>
          </w:p>
        </w:tc>
        <w:tc>
          <w:tcPr>
            <w:tcW w:w="88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Other Information</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r>
      <w:tr>
        <w:trPr/>
        <w:tc>
          <w:tcPr>
            <w:tcW w:w="8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9C.</w:t>
            </w:r>
          </w:p>
        </w:tc>
        <w:tc>
          <w:tcPr>
            <w:tcW w:w="888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c_disclosure_regarding_foreign_jur">
              <w:r>
                <w:rPr>
                  <w:rStyle w:val="InternetLink"/>
                  <w:rFonts w:ascii="Times New Roman" w:hAnsi="Times New Roman"/>
                  <w:color w:val="0000FF"/>
                  <w:sz w:val="20"/>
                  <w:u w:val="single"/>
                </w:rPr>
                <w:t>Disclosure Regarding Foreign Jurisdictions that Prevent Inspections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r>
      <w:tr>
        <w:trPr/>
        <w:tc>
          <w:tcPr>
            <w:tcW w:w="8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69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hyperlink w:anchor="part_iii">
              <w:r>
                <w:rPr>
                  <w:rStyle w:val="InternetLink"/>
                  <w:rFonts w:ascii="Times New Roman" w:hAnsi="Times New Roman"/>
                  <w:b/>
                  <w:color w:val="0000FF"/>
                  <w:sz w:val="20"/>
                  <w:u w:val="single"/>
                </w:rPr>
                <w:t>PART III</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10.</w:t>
            </w:r>
          </w:p>
        </w:tc>
        <w:tc>
          <w:tcPr>
            <w:tcW w:w="888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0_directors_executive_ficers_corpo">
              <w:r>
                <w:rPr>
                  <w:rStyle w:val="InternetLink"/>
                  <w:rFonts w:ascii="Times New Roman" w:hAnsi="Times New Roman"/>
                  <w:color w:val="0000FF"/>
                  <w:sz w:val="20"/>
                  <w:u w:val="single"/>
                </w:rPr>
                <w:t>Directors, Executive Officers and Corporate Governance</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r>
      <w:tr>
        <w:trPr/>
        <w:tc>
          <w:tcPr>
            <w:tcW w:w="8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11.</w:t>
            </w:r>
          </w:p>
        </w:tc>
        <w:tc>
          <w:tcPr>
            <w:tcW w:w="888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1_executive_compensation">
              <w:r>
                <w:rPr>
                  <w:rStyle w:val="InternetLink"/>
                  <w:rFonts w:ascii="Times New Roman" w:hAnsi="Times New Roman"/>
                  <w:color w:val="0000FF"/>
                  <w:sz w:val="20"/>
                  <w:u w:val="single"/>
                </w:rPr>
                <w:t>Executive Compensation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r>
      <w:tr>
        <w:trPr/>
        <w:tc>
          <w:tcPr>
            <w:tcW w:w="8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12.</w:t>
            </w:r>
          </w:p>
        </w:tc>
        <w:tc>
          <w:tcPr>
            <w:tcW w:w="888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2_security_ownership_certain_benef">
              <w:r>
                <w:rPr>
                  <w:rStyle w:val="InternetLink"/>
                  <w:rFonts w:ascii="Times New Roman" w:hAnsi="Times New Roman"/>
                  <w:color w:val="0000FF"/>
                  <w:sz w:val="20"/>
                  <w:u w:val="single"/>
                </w:rPr>
                <w:t>Security Ownership of Certain Beneficial Owners and Management and Related Stockholder Matters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r>
      <w:tr>
        <w:trPr/>
        <w:tc>
          <w:tcPr>
            <w:tcW w:w="8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13.</w:t>
            </w:r>
          </w:p>
        </w:tc>
        <w:tc>
          <w:tcPr>
            <w:tcW w:w="888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3_certain_relationships_related_tr">
              <w:r>
                <w:rPr>
                  <w:rStyle w:val="InternetLink"/>
                  <w:rFonts w:ascii="Times New Roman" w:hAnsi="Times New Roman"/>
                  <w:color w:val="0000FF"/>
                  <w:sz w:val="20"/>
                  <w:u w:val="single"/>
                </w:rPr>
                <w:t>Certain Relationships and Related Transactions, and Director Independence</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r>
      <w:tr>
        <w:trPr/>
        <w:tc>
          <w:tcPr>
            <w:tcW w:w="8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14.</w:t>
            </w:r>
          </w:p>
        </w:tc>
        <w:tc>
          <w:tcPr>
            <w:tcW w:w="888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4_principal_accountant_fees_servic">
              <w:r>
                <w:rPr>
                  <w:rStyle w:val="InternetLink"/>
                  <w:rFonts w:ascii="Times New Roman" w:hAnsi="Times New Roman"/>
                  <w:color w:val="0000FF"/>
                  <w:sz w:val="20"/>
                  <w:u w:val="single"/>
                </w:rPr>
                <w:t>Principal Accountant Fees and Services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r>
      <w:tr>
        <w:trPr/>
        <w:tc>
          <w:tcPr>
            <w:tcW w:w="8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69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hyperlink w:anchor="part_iv">
              <w:r>
                <w:rPr>
                  <w:rStyle w:val="InternetLink"/>
                  <w:rFonts w:ascii="Times New Roman" w:hAnsi="Times New Roman"/>
                  <w:b/>
                  <w:color w:val="0000FF"/>
                  <w:sz w:val="20"/>
                  <w:u w:val="single"/>
                </w:rPr>
                <w:t>PART IV</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15.</w:t>
            </w:r>
          </w:p>
        </w:tc>
        <w:tc>
          <w:tcPr>
            <w:tcW w:w="888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5_exhibits_financial_statements_sc">
              <w:r>
                <w:rPr>
                  <w:rStyle w:val="InternetLink"/>
                  <w:rFonts w:ascii="Times New Roman" w:hAnsi="Times New Roman"/>
                  <w:color w:val="0000FF"/>
                  <w:sz w:val="20"/>
                  <w:u w:val="single"/>
                </w:rPr>
                <w:t>Exhibit and Financial Statement Schedules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r>
      <w:tr>
        <w:trPr/>
        <w:tc>
          <w:tcPr>
            <w:tcW w:w="8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16.</w:t>
            </w:r>
          </w:p>
        </w:tc>
        <w:tc>
          <w:tcPr>
            <w:tcW w:w="888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6_form_10k_summary">
              <w:r>
                <w:rPr>
                  <w:rStyle w:val="InternetLink"/>
                  <w:rFonts w:ascii="Times New Roman" w:hAnsi="Times New Roman"/>
                  <w:color w:val="0000FF"/>
                  <w:sz w:val="20"/>
                  <w:u w:val="single"/>
                </w:rPr>
                <w:t>Form 10-K Summary</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 w:name="special_note_regarding_forwardlooking_st"/>
      <w:bookmarkEnd w:id="2"/>
      <w:r>
        <w:rPr>
          <w:rFonts w:ascii="Times New Roman" w:hAnsi="Times New Roman"/>
          <w:b/>
          <w:color w:val="000000"/>
          <w:sz w:val="20"/>
        </w:rPr>
        <w:t>SPECIAL NOTE REGARDING FORWARD-LOOKING STATEMENTS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This Annual Report on Form 10-K, or Annual Report, contains forward-looking statements within the meaning of Section 27A of the Securities Act of 1933, as amended, and Section 21E of the Securities Exchange Act of 1934, as amended. All statements other than statements of historical fact are “forward-looking statements” for purposes of this Annual Report. In some cases, you can identify forward-looking statements by terminology such as “anticipate,” “believe,” “could,” “estimate,” “expects,” “intend,” “may,” “plan,” “potential,” “predict,” “project,” “should,” “will,” “would” or the negative or plural of those terms, and similar expressions.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Forward-looking statements include, but are not limited to, statements about: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estimates regarding our expenses, future revenues, anticipated capital requirements and our needs for additional financing;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initiation, cost, timing, progress and results of our research and development activities, clinical trials and preclinical studies;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replicate results in future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expectations regarding the potential safety, efficacy or clinical utility of our product candidates as well as the potential use of our product candidates to treat various cancer indications and fibrotic diseases;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obtain and maintain regulatory approval for our product candidates and the timing or likelihood of regulatory filings and approvals for such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maintain our licenses with UCB Biopharma Sprl, and Vitae Pharmaceuticals, Inc., a subsidiary of Allergan plc, which was acquired by AbbVie Inc.;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of our collaboration with Incyte Corporation, or Incyte, to further develop and commercialize axatilimab;</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potential milestone and royalty payments under certain of our license agreements;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implementation of our strategic plans for our business and development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of protection we establish and maintain for intellectual property rights covering our product candidates and our technology;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market adoption of our product candidates by physicians and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developments relating to our competitors and our industry;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geo-political actions, including war or the perception that hostilities may be imminent (such as the ongoing war between Russia and Ukraine and the war in Israel), adverse global economic conditions, terrorism, public health crises or natural disasters on our operations, research and development and clinical trials and potential disruption in the operations and business of third-party manufacturers, contract research organizations, or CROs, other service providers, and collaborators with whom we conduct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Factors that may cause actual results to differ materially from current expectations include, among other things, those set forth in Part I, Item 1A, “Risk Factors,” below and for the reasons described elsewhere in this Annual Report. Any forward-looking statement in this Annual Report reflects our current view with respect to future events and is subject to these and other risks, uncertainties and assumptions. Given these uncertainties, you should not rely on these forward-looking statements as predictions of future events. Although we believe that the expectations reflected in the forward-looking statements are reasonable, our information may be incomplete or limited and we cannot guarantee future results. Except as required by law, we assume no obligation to update or revise these forward-looking statements for any reason, even if new information becomes available in the future.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This Annual Report also contains estimates, projections and other information concerning our industry, our business and the markets for certain drugs and consumer products, including data regarding the estimated size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those markets, their projected growth rates and the incidence of certain medical conditions. Information that is based on estimates, forecasts, projections or similar methodologies is inherently subject to uncertainties and actual events or circumstances may differ materially from events and circumstances reflected in this information. Unless otherwise expressly stated, we obtained these industry, business, market and other data from reports, research surveys, studies and similar data prepared by third parties, industry, medical and general publications, government data and similar sources and we have not independently verified the data from third party sources. In some cases, we do not expressly refer to the sources from which these data are derived.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this Annual Report, unless otherwise stated or as the context otherwise requires, references to “Syndax,” “the Company,” “we,” “us,” “our” and similar references refer to Syndax Pharmaceuticals, Inc. and its wholly owned subsidiaries. This Annual Report also contains references to our trademarks and to trademarks belonging to other entities. Solely for convenience, trademarks and trade names referred to, including logos, artwork and other visual displays, may appear without the ® or TM symbols, but such references are not intended to indicate, in any way, that their respective owners will not assert, to the fullest extent under applicable law, their rights thereto. We do not intend our use or display of other companies’ trade names or trademarks to imply a relationship with, or endorsement or sponsorship of us by, any other companies.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3" w:name="part_i"/>
      <w:bookmarkEnd w:id="3"/>
      <w:r>
        <w:rPr>
          <w:rFonts w:ascii="Times New Roman" w:hAnsi="Times New Roman"/>
          <w:b/>
          <w:color w:val="000000"/>
          <w:sz w:val="20"/>
        </w:rPr>
        <w:t>PART I</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4" w:name="item_1_business"/>
      <w:bookmarkEnd w:id="4"/>
      <w:r>
        <w:rPr>
          <w:rFonts w:ascii="Times New Roman" w:hAnsi="Times New Roman"/>
          <w:b/>
          <w:color w:val="000000"/>
          <w:sz w:val="20"/>
        </w:rPr>
        <w:t>Item 1.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Our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clinical-stage biopharmaceutical company developing an innovative pipeline of cancer therapies. Our two lead product candidates are revumenib, and axatilimab. We are developing revumenib, a potent, selective, small molecule inhibitor of the menin-MLL binding interaction for the treatment of KMT2A rearranged, or KMT2Ar, also known as mixed lineage leukemia rearranged or MLLr, acute leukemias including acute lymphoblastic leukemia, or ALL, and acute myeloid leukemia, or AML, and necleophosmin 1, also known as NPM1, mutant AML. We are also exploring the use of revumenib as a treatment in solid tumors, specifically its activity in metastatic colorectal cancer. We are developing axatilimab, a monoclonal antibody that blocks the colony stimulating factor 1 receptor, or CSF-1R, in chronic graft-versus-host disease, or cGVHD, as well as idiopathic pulmonary fibrosis, or IPF. We plan to continue to leverage the technical and business expertise of our management team and scientific collaborators to license, acquire and develop additional therapeutics to expand our pipeline.</w:t>
      </w:r>
    </w:p>
    <w:p>
      <w:pPr>
        <w:pStyle w:val="TextBody"/>
        <w:bidi w:val="0"/>
        <w:spacing w:before="240" w:after="283"/>
        <w:jc w:val="left"/>
        <w:rPr>
          <w:rFonts w:ascii="Times New Roman" w:hAnsi="Times New Roman"/>
          <w:sz w:val="20"/>
        </w:rPr>
      </w:pPr>
      <w:r>
        <w:rPr>
          <w:rFonts w:ascii="Times New Roman" w:hAnsi="Times New Roman"/>
          <w:b/>
          <w:color w:val="000000"/>
          <w:sz w:val="20"/>
        </w:rPr>
        <w:t>Our Strategy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developing revumenib for the treatment of acute leukemias and as a treatment for solid tumors, and axatilimab for use in cGVHD and other fibrotic-macrophage driven diseases, such as IPF, as single agents and in combination with approved drugs. Key elements of our strategy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 and commercialize revumenib for the treatment of genetically defined leukemias. We believe that revumenib has the potential to treat at least two genetically defined acute leukemias: (i) KMT2Ar and (ii) mutations in NPM1, or mNPM1, AML. Our Phase 1/2 open-label AUGMENT-101 trial is nearing completion. The pivotal Phase 2 portion of the trial enrolled relapsed/refractory, or R/R, patients in three indication-specific expansion cohorts to determine the efficacy, short- and long-term safety, and tolerability of revumenib in KMT2Ar ALL, KMT2Ar AML and mNPM1 AML. We have submitted a New Drug Application, or NDA, for revumenib for the treatment of R/R KMT2Ar acute leukemia under the U.S. Food and Drug Administration’s, or FDA, Real-Time Oncology Review, or RTOR, program and we continue to enroll patients in the mNPM1 AML cohort. We are also concurrently expanding into the frontline and maintenance settings in AML with new clinical trials as well as in solid tumors.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 and commercialize axatilimab for the treatment of cGVHD. We completed enrollment in the pivotal AGAVE-201 trial for the treatment of patients with cGVHD and, together with Incyte, have submitted a Biologics License Application, or BLA to the FDA. Also, our partner Incyte plans to initiate two combination trials with axatilimab in cGVHD in mid-2024, including a Phase 2 combination trial with ruxolitinib and a Phase 3 combination trial with steroids. We are further exploring the use of axatilimab to treat other fibrotic diseases where monocyte-derived macrophages have been shown to play a role, and have initiated a Phase 2 trial to assess the efficacy, safety and tolerability of axatilimab in patients with IPF.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Leverage the technical, clinical, regulatory and business expertise of our management team and scientific collaborators to license, acquire and develop additional cancer therapies to expand our pipeline. We licensed the global rights to axatilimab and revumenib and are working closely with our collaboration partner, Incyte, on the development and commercialization of axatilimab. We are continuing to leverage the collective talent within our organization and network of advisors to guide our pipeline expansion and development plans.</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Our Pipeline</w:t>
      </w:r>
    </w:p>
    <w:p>
      <w:pPr>
        <w:pStyle w:val="TextBody"/>
        <w:bidi w:val="0"/>
        <w:jc w:val="left"/>
        <w:rPr/>
      </w:pPr>
      <w:r>
        <w:rPr/>
        <w:drawing>
          <wp:inline distT="0" distB="0" distL="0" distR="0">
            <wp:extent cx="5943600" cy="74009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943600" cy="7400925"/>
                    </a:xfrm>
                    <a:prstGeom prst="rect">
                      <a:avLst/>
                    </a:prstGeom>
                  </pic:spPr>
                </pic:pic>
              </a:graphicData>
            </a:graphic>
          </wp:inline>
        </w:drawing>
      </w: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Revumenib</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first clinical-stage product candidate, revumenib, is a potent, orally active inhibitor of the high affinity interaction site on menin with the protein MLL1. This specific interaction is a key driver for two genetically defined acute leukemias: (i) KMT2Ar and (ii) mNPM1 AML. The R/R settings of both diseases have a poor prognosis. In preclinical testing, revumenib has demonstrated benefit in leukemic models of disease. Clinical evidence with revumenib also supports the hypothesis that disruption of the menin-MLL interaction can lead to responses in acute leukemias.</w:t>
      </w:r>
    </w:p>
    <w:p>
      <w:pPr>
        <w:pStyle w:val="TextBody"/>
        <w:bidi w:val="0"/>
        <w:jc w:val="left"/>
        <w:rPr/>
      </w:pPr>
      <w:r>
        <w:rPr/>
        <w:drawing>
          <wp:inline distT="0" distB="0" distL="0" distR="0">
            <wp:extent cx="5943600" cy="27241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943600" cy="2724150"/>
                    </a:xfrm>
                    <a:prstGeom prst="rect">
                      <a:avLst/>
                    </a:prstGeom>
                  </pic:spPr>
                </pic:pic>
              </a:graphicData>
            </a:graphic>
          </wp:inline>
        </w:drawing>
      </w: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2019, we commenced AUGMENT-101, a global clinical trial consisting initially of a Phase 1 dose escalation portion to determine the maximum tolerated dose, or MTD, and recommended Phase 2 dose of revumenib in patients with R/R KMT2Ar or mNPM1 acute leukemia. As discussed below, we completed the Phase 1 portion of the trial. The three cohorts of the pivotal Phase 2 portion of the trial, enrolled R/R patients across each of three distinct trial populations: patients with NPM1 mutant AML, patients with KMT2Ar AML, and patients with KMT2Ar ALL to determine the efficacy, safety, and tolerability of revumenib. We completed enrollment of the KMT2Ar cohorts and the NPM1 cohort continues to accrue patients.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October 2023, we announced data that the trial met its primary endpoint at the protocol-defined interim analysis stage with a complete remission, or a CR, with partial hematological recovery, or a CRh rate of 23% (13/57; 95% confidence interval [CI]: [12.7, 35.8, one-sided p-value = 0.0036]) in the pooled KMT2Ar acute leukemia cohort. The CR/CRh rate in patients with KMT2Ar AML was 24.5% (12/49). 39% (14/36) of patients who achieved a CR/CRh underwent hematopoietic stem cell transplant, or HSCT; with eight of fourteen proceeding to transplant prior to achieving CR/CRh and could not be included in the reported CR/CRh rate. The CR/CRh responses in both the overall population and the AML subset were durable with a 6.4-month (95% CI: 3.4, NR) median duration of response and 46% (6/13) remaining in response, as of July 2023 data cut-off. Minimal residual disease, or MRD, status was assessed in 10 of the 13 patients who achieved a CR/CRh, 70% (7/10) of whom were MRD negative. Revumenib was well tolerated, and the overall safety profile was consistent with our previously reported data. Treatment-related adverse events, or TREAs, leading to dose reductions and treatment discontinuation were low. Grade 3 differentiation syndrome, DS, was observed in 15% (14/94) of patients while one patient (1%) experienced Grade 4 DS and no patients experienced a Grade 5. Grade 3 QTc prolongation was observed in 14% (13/94) of patients, with no Grade 4 or 5 events. There were no discontinuations related to DS or QTc prolongation on the trial. Further accrual in the KMT2Ar cohorts was halted based on the Independent Data Monitoring Committee recommendation.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submitted an NDA to the FDA for revumenib for the treatment of adult and pediatric R/R KMT2Ar acute leukemia. The NDA submission is being reviewed under the FDA's RTOR program, and expects to receive a PDUFA action date from the FDA in the first quarter of 2024. RTOR allows for close engagement between the sponsor and the FDA throughout the submission process and enables the FDA to review individual modules of a drug application rather than requiring a complete application prior to initiating its review. We expect to complete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enrollment in the AUGMENT-101 pivotal trial cohort of patients with R/R mNPM1 AML late in the first quarter or early in the second quarter of 2024. We expect to report topline data for this cohort in the fourth quarter of 2024, which could support a supplemental NDA regulatory filing for revumenib in an additional indication of treatment of R/R mNPM1 AML.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November 2023, we announced updated results from the R/R mNPM1 AML patients enrolled in the Phase 1 portion of the AUGMENT-101 trial, who met the RP2D criteria. The final dataset includes three additional patients, for a total of 14, that were enrolled in the Phase 1 trial to complete the pharmacokinetic characterization of revumenib. In this analysis, the overall response rate, or ORR, was 50% (7/14) with a CR/CRh rate of 36% (5/14); 100% (5/5) of CR/CRh patients were MRD negative. 43% (3/7) of responders proceeded to transplant, all after achieving a CR or CRh. 60% (3/5) of CR/CRh patients maintained a response beyond six months. At the time of the analysis, four patients remained in response, with two patients in response over 22 months, at the time of data cut-off. Revumenib was well tolerated, and the safety profile was consistent with what was previously reported in the AUGMENT-101 trial. There were no Grade 4 or 5 QTc prolongation or differentiation syndrome events, greater than Grade 2, and no patients discontinued due to TREAs.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also announced data from patients in the AUGMENT-101 Phase 1 trial who received revumenib maintenance therapy, including some ongoing for more than one year after HSCT, that demonstrated revumenib duration of treatment in the maintenance setting at the time of this analysis ranged from 1 to 701 days, with treatment ongoing for nine of the 16 patients. CRc (CR + CRh + CRp + CRi + MLFS) was maintained in 12 patients after HSCT and maintenance revumenib. MRD negative remissions were maintained in 6 patients as of the data cutoff with one patient converting from an MRD+ to MRD- response. Three patients remain on revumenib maintenance therapy for more than one-year post-transplant.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the 65th American Society of Hematology (ASH) Annual Meeting in December 2023 and during the our accompanying investor event, investigators presented compelling data from multiple Phase 1 combination trials of revumenib in mNPM1 and KMT2Ar acute leukemia across the treatment landscape. The trials are expanding to validate recommended Phase 2 doses, with additional data expected in the second half of 2024. These trials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BEAT-AML: Evaluating the combination of revumenib with venetoclax and azacitidine in front-line AML patients. This trial is being conducted as part of the Leukemia &amp; Lymphoma Society's Beat AML® Master Clinical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SAVE: Evaluating the all-oral combination of revumenib with venetoclax and decitabine/cedazuridine in R/R AML or mixed phenotype acute leukemias. The trial is being conducted by investigators from the MD Anderson Cancer Center and continues to add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AUGMENT-102: Evaluating the combination of revumenib with fludarabine and cytarabine in patients with R/R acute leukemias.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initiated a Phase 1 trial of revumenib in combination with 7+3 chemotherapy followed by maintenance treatment in newly diagnosed patients with mNPM1 or KMT2Ar acute leukemias. We also plan to initiate a pivotal trial of revumenib in combination with venetoclax and azacitidine in newly diagnosed mNPM1 or KMT2Ar acute leukemia patients unable to tolerate intensive induction chemotherapy by year-end 2024. Additionally, enrollment is ongoing in a Phase 1 proof-of-concept clinical trial of revumenib in patients with unresectable metastatic microsatellite stable colorectal cancer. We expect to provide an update on the trial in the second quarter of 2024.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Rationale for Targeting MLLr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MLLr leukemias arise by rare, spontaneous translocations at the MLL1 locus (11q23). It is estimated that approximately 10% of AML and ALL harbor this MLL-re-arrangement with a worldwide incidence of approximately 5,000 to 7,000 cases per year. These translocations generate oncogenic fusion proteins with more than 90 different MLL fusions currently known. All MLL fusion proteins bind with high affinity to the chromatin associated protein menin through a conserved N-terminal sequence. This specific interaction with menin enables an aberrant transcription program that drives leukemic transformation. In pre-clinical animal models, small molecule inhibitors of the menin-MLL interaction have demonstrated deep and durable single agent treatment effects in multiple leukemic xenografts harboring MLL fusions. Inhibiting the menin-MLL1 interaction represents a novel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targeted strategy for the treatment of MLLr leukemias. Today, the first choice therapy for both MLLr AML and MLLr ALL still relies heavily on intensive chemotherapy, if a patient can tolerate such treatment. Despite these patients being routinely diagnosed, there are currently no targeted therapies approved to treat patients with MLLr acute leukemias. Currently there are several other clinical-stage menin-inhibitors in development for the treatment of MLLr AML and MLLr ALL.</w:t>
      </w:r>
    </w:p>
    <w:p>
      <w:pPr>
        <w:pStyle w:val="TextBody"/>
        <w:bidi w:val="0"/>
        <w:spacing w:before="120" w:after="283"/>
        <w:jc w:val="center"/>
        <w:rPr/>
      </w:pPr>
      <w:r>
        <w:rPr/>
        <w:drawing>
          <wp:inline distT="0" distB="0" distL="0" distR="0">
            <wp:extent cx="4724400" cy="16097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724400" cy="1609725"/>
                    </a:xfrm>
                    <a:prstGeom prst="rect">
                      <a:avLst/>
                    </a:prstGeom>
                  </pic:spPr>
                </pic:pic>
              </a:graphicData>
            </a:graphic>
          </wp:inline>
        </w:drawing>
      </w:r>
      <w:r>
        <w:rPr/>
        <w:t> </w:t>
      </w:r>
    </w:p>
    <w:p>
      <w:pPr>
        <w:pStyle w:val="TextBody"/>
        <w:bidi w:val="0"/>
        <w:jc w:val="left"/>
        <w:rPr>
          <w:rFonts w:ascii="Times New Roman" w:hAnsi="Times New Roman"/>
          <w:i/>
          <w:color w:val="000000"/>
          <w:sz w:val="20"/>
        </w:rPr>
      </w:pPr>
      <w:r>
        <w:rPr>
          <w:rFonts w:ascii="Times New Roman" w:hAnsi="Times New Roman"/>
          <w:i/>
          <w:color w:val="000000"/>
          <w:sz w:val="20"/>
        </w:rPr>
        <w:t>Rationale for Targeting Nucleophosmin 1 Mutant AML</w:t>
      </w:r>
    </w:p>
    <w:p>
      <w:pPr>
        <w:pStyle w:val="TextBody"/>
        <w:bidi w:val="0"/>
        <w:spacing w:before="120" w:after="240"/>
        <w:jc w:val="left"/>
        <w:rPr>
          <w:rFonts w:ascii="Times New Roman" w:hAnsi="Times New Roman"/>
          <w:sz w:val="20"/>
        </w:rPr>
      </w:pPr>
      <w:r>
        <w:rPr>
          <w:rFonts w:ascii="Times New Roman" w:hAnsi="Times New Roman"/>
          <w:color w:val="000000"/>
          <w:sz w:val="20"/>
        </w:rPr>
        <w:t>NPM1 is among the most frequently mutated genes in AML, found in approximately 30% of AML cases for an incidence of approximately 20,000 cases per year. Recent preclinical research has demonstrated that mNPM1 works directly with the menin-MLL complex to induce a leukemic transcription program</w:t>
      </w:r>
      <w:r>
        <w:rPr>
          <w:rFonts w:ascii="Times New Roman" w:hAnsi="Times New Roman"/>
          <w:color w:val="000000"/>
          <w:sz w:val="24"/>
        </w:rPr>
        <w:t xml:space="preserve">. </w:t>
      </w:r>
      <w:r>
        <w:rPr>
          <w:rFonts w:ascii="Times New Roman" w:hAnsi="Times New Roman"/>
          <w:color w:val="000000"/>
          <w:sz w:val="20"/>
        </w:rPr>
        <w:t>As a result, mNPM1 harboring cells are sensitive to menin-MLL interaction inhibitors. In mNPM1 cells, inhibition of the menin-MLL interaction suppresses the leukemic transcription program, causing growth arrest, terminal differentiation and cell death. In animal models, small molecule inhibitors of the menin-MLL interaction have demonstrated deep and durable single agent treatment effects in multiple mNPM1 xenografts. Based on these findings, blocking the menin-MLL1 interaction represents a novel targeted strategy for the treatment of mNPM1 AML.</w:t>
      </w:r>
    </w:p>
    <w:p>
      <w:pPr>
        <w:pStyle w:val="TextBody"/>
        <w:bidi w:val="0"/>
        <w:jc w:val="left"/>
        <w:rPr>
          <w:rFonts w:ascii="Times New Roman" w:hAnsi="Times New Roman"/>
          <w:color w:val="000000"/>
          <w:sz w:val="20"/>
        </w:rPr>
      </w:pPr>
      <w:r>
        <w:rPr>
          <w:rFonts w:ascii="Times New Roman" w:hAnsi="Times New Roman"/>
          <w:color w:val="000000"/>
          <w:sz w:val="20"/>
        </w:rPr>
        <w:t xml:space="preserve">Like MLLr, NPM1 is readily diagnosed as part of the standard AML patient work-up today, and yet there are no targeted therapies specifically approved to treat patients with mNPM1 AML. There are several additional clinical stage agents currently advancing as potential treatments for mNPM1 AML.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Rational for Targeting CRC</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CRC is the second most lethal cancer, the third most prevalent malignant tumor worldwide, and the fourth most common cancer diagnosed in the United States each year. In 2023, over 153,000 new CRC estimated cases arose, resulting in 52,500 estimated deaths, accounting for nearly 8% of new cancer cases and 9% of cancer deaths in the U.S. Meanwhile, the five-year survival rate for CRC is approximately 65% and drops to 15% for metastatic CRC. </w:t>
        <w:br/>
        <w:t> </w:t>
      </w:r>
    </w:p>
    <w:p>
      <w:pPr>
        <w:pStyle w:val="TextBody"/>
        <w:bidi w:val="0"/>
        <w:spacing w:before="120" w:after="240"/>
        <w:jc w:val="left"/>
        <w:rPr>
          <w:rFonts w:ascii="Times New Roman" w:hAnsi="Times New Roman"/>
          <w:sz w:val="20"/>
        </w:rPr>
      </w:pPr>
      <w:r>
        <w:rPr>
          <w:rFonts w:ascii="Times New Roman" w:hAnsi="Times New Roman"/>
          <w:color w:val="000000"/>
          <w:sz w:val="20"/>
        </w:rPr>
        <w:t>Today, physicians can choose from a number of approved chemotherapies (</w:t>
      </w:r>
      <w:r>
        <w:rPr>
          <w:rFonts w:ascii="Times New Roman" w:hAnsi="Times New Roman"/>
          <w:i/>
          <w:color w:val="000000"/>
          <w:sz w:val="20"/>
        </w:rPr>
        <w:t>Stivarga</w:t>
      </w:r>
      <w:r>
        <w:rPr>
          <w:rFonts w:ascii="Times New Roman" w:hAnsi="Times New Roman"/>
          <w:color w:val="000000"/>
          <w:sz w:val="20"/>
        </w:rPr>
        <w:t xml:space="preserve">,® </w:t>
      </w:r>
      <w:r>
        <w:rPr>
          <w:rFonts w:ascii="Times New Roman" w:hAnsi="Times New Roman"/>
          <w:i/>
          <w:color w:val="000000"/>
          <w:sz w:val="20"/>
        </w:rPr>
        <w:t>Lonsurf®</w:t>
      </w:r>
      <w:r>
        <w:rPr>
          <w:rFonts w:ascii="Times New Roman" w:hAnsi="Times New Roman"/>
          <w:color w:val="000000"/>
          <w:sz w:val="20"/>
        </w:rPr>
        <w:t>), immunotherapies (</w:t>
      </w:r>
      <w:r>
        <w:rPr>
          <w:rFonts w:ascii="Times New Roman" w:hAnsi="Times New Roman"/>
          <w:i/>
          <w:color w:val="000000"/>
          <w:sz w:val="20"/>
        </w:rPr>
        <w:t>Yervoy®</w:t>
      </w:r>
      <w:r>
        <w:rPr>
          <w:rFonts w:ascii="Times New Roman" w:hAnsi="Times New Roman"/>
          <w:color w:val="000000"/>
          <w:sz w:val="20"/>
        </w:rPr>
        <w:t xml:space="preserve">, </w:t>
      </w:r>
      <w:r>
        <w:rPr>
          <w:rFonts w:ascii="Times New Roman" w:hAnsi="Times New Roman"/>
          <w:i/>
          <w:color w:val="000000"/>
          <w:sz w:val="20"/>
        </w:rPr>
        <w:t>Keytruda®</w:t>
      </w:r>
      <w:r>
        <w:rPr>
          <w:rFonts w:ascii="Times New Roman" w:hAnsi="Times New Roman"/>
          <w:color w:val="000000"/>
          <w:sz w:val="20"/>
        </w:rPr>
        <w:t xml:space="preserve">, </w:t>
      </w:r>
      <w:r>
        <w:rPr>
          <w:rFonts w:ascii="Times New Roman" w:hAnsi="Times New Roman"/>
          <w:i/>
          <w:color w:val="000000"/>
          <w:sz w:val="20"/>
        </w:rPr>
        <w:t>Opdivo®</w:t>
      </w:r>
      <w:r>
        <w:rPr>
          <w:rFonts w:ascii="Times New Roman" w:hAnsi="Times New Roman"/>
          <w:color w:val="000000"/>
          <w:sz w:val="20"/>
        </w:rPr>
        <w:t>) and targeted agents (</w:t>
      </w:r>
      <w:r>
        <w:rPr>
          <w:rFonts w:ascii="Times New Roman" w:hAnsi="Times New Roman"/>
          <w:i/>
          <w:color w:val="000000"/>
          <w:sz w:val="20"/>
        </w:rPr>
        <w:t>Avastin®</w:t>
      </w:r>
      <w:r>
        <w:rPr>
          <w:rFonts w:ascii="Times New Roman" w:hAnsi="Times New Roman"/>
          <w:color w:val="000000"/>
          <w:sz w:val="20"/>
        </w:rPr>
        <w:t xml:space="preserve">, </w:t>
      </w:r>
      <w:r>
        <w:rPr>
          <w:rFonts w:ascii="Times New Roman" w:hAnsi="Times New Roman"/>
          <w:i/>
          <w:color w:val="000000"/>
          <w:sz w:val="20"/>
        </w:rPr>
        <w:t>Cyramza®</w:t>
      </w:r>
      <w:r>
        <w:rPr>
          <w:rFonts w:ascii="Times New Roman" w:hAnsi="Times New Roman"/>
          <w:color w:val="000000"/>
          <w:sz w:val="20"/>
        </w:rPr>
        <w:t xml:space="preserve">, </w:t>
      </w:r>
      <w:r>
        <w:rPr>
          <w:rFonts w:ascii="Times New Roman" w:hAnsi="Times New Roman"/>
          <w:i/>
          <w:color w:val="000000"/>
          <w:sz w:val="20"/>
        </w:rPr>
        <w:t>Zaltrap®</w:t>
      </w:r>
      <w:r>
        <w:rPr>
          <w:rFonts w:ascii="Times New Roman" w:hAnsi="Times New Roman"/>
          <w:color w:val="000000"/>
          <w:sz w:val="20"/>
        </w:rPr>
        <w:t xml:space="preserve">, </w:t>
      </w:r>
      <w:r>
        <w:rPr>
          <w:rFonts w:ascii="Times New Roman" w:hAnsi="Times New Roman"/>
          <w:i/>
          <w:color w:val="000000"/>
          <w:sz w:val="20"/>
        </w:rPr>
        <w:t>Erbitux®</w:t>
      </w:r>
      <w:r>
        <w:rPr>
          <w:rFonts w:ascii="Times New Roman" w:hAnsi="Times New Roman"/>
          <w:color w:val="000000"/>
          <w:sz w:val="20"/>
        </w:rPr>
        <w:t xml:space="preserve">, </w:t>
      </w:r>
      <w:r>
        <w:rPr>
          <w:rFonts w:ascii="Times New Roman" w:hAnsi="Times New Roman"/>
          <w:i/>
          <w:color w:val="000000"/>
          <w:sz w:val="20"/>
        </w:rPr>
        <w:t>Vectibix®</w:t>
      </w:r>
      <w:r>
        <w:rPr>
          <w:rFonts w:ascii="Times New Roman" w:hAnsi="Times New Roman"/>
          <w:color w:val="000000"/>
          <w:sz w:val="20"/>
        </w:rPr>
        <w:t xml:space="preserve">, </w:t>
      </w:r>
      <w:r>
        <w:rPr>
          <w:rFonts w:ascii="Times New Roman" w:hAnsi="Times New Roman"/>
          <w:i/>
          <w:color w:val="000000"/>
          <w:sz w:val="20"/>
        </w:rPr>
        <w:t xml:space="preserve">Braftovi®, </w:t>
      </w:r>
      <w:r>
        <w:rPr>
          <w:rFonts w:ascii="Times New Roman" w:hAnsi="Times New Roman"/>
          <w:i/>
          <w:color w:val="333333"/>
          <w:sz w:val="20"/>
        </w:rPr>
        <w:t>FRUZAQLA</w:t>
      </w:r>
      <w:r>
        <w:rPr>
          <w:rFonts w:ascii="Arial" w:hAnsi="Arial"/>
          <w:i/>
          <w:color w:val="333333"/>
          <w:sz w:val="13"/>
        </w:rPr>
        <w:t>TM</w:t>
      </w:r>
      <w:r>
        <w:rPr>
          <w:rFonts w:ascii="Times New Roman" w:hAnsi="Times New Roman"/>
          <w:color w:val="000000"/>
          <w:sz w:val="20"/>
        </w:rPr>
        <w:t>)) to treat CRC. Despite these advancements, there remains a critical need for more effective therapies to address metastatic CRC.</w:t>
        <w:br/>
        <w:t> </w:t>
      </w:r>
    </w:p>
    <w:p>
      <w:pPr>
        <w:pStyle w:val="TextBody"/>
        <w:bidi w:val="0"/>
        <w:spacing w:before="120" w:after="240"/>
        <w:jc w:val="left"/>
        <w:rPr>
          <w:rFonts w:ascii="Times New Roman" w:hAnsi="Times New Roman"/>
          <w:sz w:val="20"/>
        </w:rPr>
      </w:pPr>
      <w:r>
        <w:rPr>
          <w:rFonts w:ascii="Times New Roman" w:hAnsi="Times New Roman"/>
          <w:color w:val="000000"/>
          <w:sz w:val="20"/>
        </w:rPr>
        <w:t xml:space="preserve">Nearly all colorectal tumors, harbor genetic mutations that lead to the hyperactivation of </w:t>
      </w:r>
      <w:r>
        <w:rPr>
          <w:rFonts w:ascii="Symbol;serif" w:hAnsi="Symbol;serif"/>
          <w:color w:val="000000"/>
          <w:sz w:val="20"/>
        </w:rPr>
        <w:t>b</w:t>
      </w:r>
      <w:r>
        <w:rPr>
          <w:rFonts w:ascii="Times New Roman" w:hAnsi="Times New Roman"/>
          <w:color w:val="000000"/>
          <w:sz w:val="20"/>
        </w:rPr>
        <w:t xml:space="preserve">-catenin signaling, which in turn initiate the expression of various downstream targets that promote proliferation and maintain a stem cell state, highlighting the potential value of developing treatments that target </w:t>
      </w:r>
      <w:r>
        <w:rPr>
          <w:rFonts w:ascii="Symbol;serif" w:hAnsi="Symbol;serif"/>
          <w:color w:val="000000"/>
          <w:sz w:val="20"/>
        </w:rPr>
        <w:t>b</w:t>
      </w:r>
      <w:r>
        <w:rPr>
          <w:rFonts w:ascii="Times New Roman" w:hAnsi="Times New Roman"/>
          <w:color w:val="000000"/>
          <w:sz w:val="20"/>
        </w:rPr>
        <w:t xml:space="preserve">-catenin signaling in cancer. </w:t>
      </w:r>
      <w:r>
        <w:rPr>
          <w:rFonts w:ascii="Symbol;serif" w:hAnsi="Symbol;serif"/>
          <w:color w:val="000000"/>
          <w:sz w:val="20"/>
        </w:rPr>
        <w:t>b</w:t>
      </w:r>
      <w:r>
        <w:rPr>
          <w:rFonts w:ascii="Times New Roman" w:hAnsi="Times New Roman"/>
          <w:color w:val="000000"/>
          <w:sz w:val="20"/>
        </w:rPr>
        <w:t xml:space="preserve">-catenin itself, however, is an intractable drug target and the mechanisms underlying </w:t>
      </w:r>
      <w:r>
        <w:rPr>
          <w:rFonts w:ascii="Symbol;serif" w:hAnsi="Symbol;serif"/>
          <w:color w:val="000000"/>
          <w:sz w:val="20"/>
        </w:rPr>
        <w:t>b</w:t>
      </w:r>
      <w:r>
        <w:rPr>
          <w:rFonts w:ascii="Times New Roman" w:hAnsi="Times New Roman"/>
          <w:color w:val="000000"/>
          <w:sz w:val="20"/>
        </w:rPr>
        <w:t xml:space="preserve">-catenin–driven transcription remains largely elusive, underscoring the need to identify therapeutically tractable components of </w:t>
      </w:r>
      <w:r>
        <w:rPr>
          <w:rFonts w:ascii="Symbol;serif" w:hAnsi="Symbol;serif"/>
          <w:color w:val="000000"/>
          <w:sz w:val="20"/>
        </w:rPr>
        <w:t>b</w:t>
      </w:r>
      <w:r>
        <w:rPr>
          <w:rFonts w:ascii="Times New Roman" w:hAnsi="Times New Roman"/>
          <w:color w:val="000000"/>
          <w:sz w:val="20"/>
        </w:rPr>
        <w:t xml:space="preserve">-catenin transcriptional output. Recently, several researchers have utilized functional genomic screens to uncover new targets of high relevance to the oncogenic property of </w:t>
      </w:r>
      <w:r>
        <w:rPr>
          <w:rFonts w:ascii="Symbol;serif" w:hAnsi="Symbol;serif"/>
          <w:color w:val="000000"/>
          <w:sz w:val="20"/>
        </w:rPr>
        <w:t>b</w:t>
      </w:r>
      <w:r>
        <w:rPr>
          <w:rFonts w:ascii="Times New Roman" w:hAnsi="Times New Roman"/>
          <w:color w:val="000000"/>
          <w:sz w:val="20"/>
        </w:rPr>
        <w:t xml:space="preserve">-catenin. Through this process they have validated the selective dependence of KMT2A for growth of </w:t>
      </w:r>
      <w:r>
        <w:rPr>
          <w:rFonts w:ascii="Symbol;serif" w:hAnsi="Symbol;serif"/>
          <w:color w:val="000000"/>
          <w:sz w:val="20"/>
        </w:rPr>
        <w:t>b</w:t>
      </w:r>
      <w:r>
        <w:rPr>
          <w:rFonts w:ascii="Times New Roman" w:hAnsi="Times New Roman"/>
          <w:color w:val="000000"/>
          <w:sz w:val="20"/>
        </w:rPr>
        <w:t xml:space="preserve">-catenin–active CRC cells and showed KMT2A expression to be associated with malignant CRC growth in vivo and shortened survival in patients with CRC. Targeting KMT2A using menin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40"/>
        <w:jc w:val="left"/>
        <w:rPr>
          <w:rFonts w:ascii="Times New Roman" w:hAnsi="Times New Roman"/>
          <w:sz w:val="20"/>
        </w:rPr>
      </w:pPr>
      <w:r>
        <w:rPr>
          <w:rFonts w:ascii="Times New Roman" w:hAnsi="Times New Roman"/>
          <w:color w:val="000000"/>
          <w:sz w:val="20"/>
        </w:rPr>
        <w:t xml:space="preserve">inhibitors has been shown to selectively reduce the viability of </w:t>
      </w:r>
      <w:r>
        <w:rPr>
          <w:rFonts w:ascii="Symbol;serif" w:hAnsi="Symbol;serif"/>
          <w:color w:val="000000"/>
          <w:sz w:val="20"/>
        </w:rPr>
        <w:t>b</w:t>
      </w:r>
      <w:r>
        <w:rPr>
          <w:rFonts w:ascii="Times New Roman" w:hAnsi="Times New Roman"/>
          <w:color w:val="000000"/>
          <w:sz w:val="20"/>
        </w:rPr>
        <w:t xml:space="preserve">-catenin–active cells and CRC organoids, but not </w:t>
      </w:r>
      <w:r>
        <w:rPr>
          <w:rFonts w:ascii="Symbol;serif" w:hAnsi="Symbol;serif"/>
          <w:color w:val="000000"/>
          <w:sz w:val="20"/>
        </w:rPr>
        <w:t>b</w:t>
      </w:r>
      <w:r>
        <w:rPr>
          <w:rFonts w:ascii="Times New Roman" w:hAnsi="Times New Roman"/>
          <w:color w:val="000000"/>
          <w:sz w:val="20"/>
        </w:rPr>
        <w:t xml:space="preserve">-catenin–inactive cells and normal organoids. </w:t>
        <w:b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Axatilimab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also developing axatilimab a monoclonal antibody targeting the colony stimulating factor-1 receptor, or CSF-1R, a cell surface protein thought to control the survival and function of monocytes and macrophages. Axatilimab binds with high affinity to CSF-1R and blocks the binding of the two known CSF-1R ligands CSF-1 and IL-34. CSF-1R is expressed on the surface of specific immune cells known as macrophages and their precursor cells known as monocytes. CSF-1R signaling on these cells has been demonstrated in preclinical studies conducted in animal models of skin and lung cGVHD to be the key regulatory pathway involved in the expansion and infiltration of the macrophages that mediate fibrosis and the cGVHD disease process. Blocking CSF-1R activity with an experimental CSF-1R antibody in these studies was shown to prevent and treat the symptoms of cGVHD. We believe that by inhibiting CSF-1R activation on monocytes and macrophages, axatilimab has the potential to be used to treat cGVHD as well as other fibrotic diseases where monocyte-derived macrophages have been shown to play a significant role.</w:t>
      </w:r>
    </w:p>
    <w:p>
      <w:pPr>
        <w:pStyle w:val="TextBody"/>
        <w:bidi w:val="0"/>
        <w:spacing w:before="240" w:after="240"/>
        <w:jc w:val="center"/>
        <w:rPr/>
      </w:pPr>
      <w:r>
        <w:rPr/>
        <w:drawing>
          <wp:inline distT="0" distB="0" distL="0" distR="0">
            <wp:extent cx="3467100" cy="22764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3467100" cy="2276475"/>
                    </a:xfrm>
                    <a:prstGeom prst="rect">
                      <a:avLst/>
                    </a:prstGeom>
                  </pic:spPr>
                </pic:pic>
              </a:graphicData>
            </a:graphic>
          </wp:inline>
        </w:drawing>
      </w: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Our near-term focus is to rapidly establish that axatilimab can provide meaningful clinical benefit in patients with advanced cGVHD where prior therapies are no longer effective and to establish proof-of-concept of using axatilimab to treat other fibrotic diseases where monocyte-derived macrophages have been shown to play a role.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In July 2023, we and our partner, Incyte, announced positive topline data from the pivotal AGAVE-201 trial of axatilimab in patients with cGVHD following two or more prior lines of therapy. All three dose cohorts, 0.3 mg/kg every two weeks, 1.0 mg/kg every two weeks and 3.0 mg/kg every four weeks, met the primary endpoint. The ORR within the first six months of treatment at the 0.3 mg/kg dose was 74%, and 60% of these patients were still responding at one year. Furthermore, axatilimab was generally well tolerated, and the most common adverse events were consistent with on-target effects and prior trials. Results from the trial were featured in the Plenary Scientific Session at the 65th ASH Annual Meeting in December 2023. The FDA has accepted the BLA filing for axatilimab in adult and pediatric patients six years or older with cGVHD after failure of at least two prior lines of systemic therapy. The application has been granted Priority Review and assigned a PDUFA action date of August 28, 2024.</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In January 2024, we announced that we exercised our option under the collaboration agreement and license agreement with Incyte described below under the heading "Collaborations - Incyte Collaboration and License Agreement" to co-commercialize axatilimab in the United States. We also announced the randomized, double-blind and placebo-controlled Phase 2 trial to assess the efficacy, safety and tolerability of axatilimab in patients with idiopathic pulmonary fibrosis, or IPF, is open for enrollment. Additionally, Incyte plans to initiate two combination trials with axatilimab in cGVHD in mid-2024, including both a Phase 2 combination trial with ruxolitinib and a Phase 3 combination trial with steroids.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Axatilimab in GVHD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cGVHD, an immune response of the donor-derived hematopoietic cells against recipient tissues, is a serious, potentially life-threatening complication of allogeneic hematopoietic stem cell transplantation, or HSCT, that can last for years. cGVHD is estimated to develop in approximately 40% of transplant recipients and affects approximately 14,000 patients in the United States. cGVHD typically manifests across multiple organ systems, with the skin and mucosa being commonly involved, and is characterized by the development of fibrotic tissue.</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first line of therapy for cGVHD is typically corticosteroids, though approximately 50% of patients may require treatment with additional systemic therapies, such as extracorporeal photopheresis, cytostatic agents such as mycophenolate moftetil, methotrexate, and immunomodulators such as rituximab, IL-2. </w:t>
      </w:r>
      <w:r>
        <w:rPr>
          <w:rFonts w:ascii="Times New Roman" w:hAnsi="Times New Roman"/>
          <w:i/>
          <w:color w:val="000000"/>
          <w:sz w:val="20"/>
        </w:rPr>
        <w:t>Imbruvica</w:t>
      </w:r>
      <w:r>
        <w:rPr>
          <w:rFonts w:ascii="Times New Roman" w:hAnsi="Times New Roman"/>
          <w:color w:val="000000"/>
          <w:sz w:val="20"/>
        </w:rPr>
        <w:t xml:space="preserve">® (ibrutinib), a BTK inhibitor, was the first FDA-approved therapy for cGVHD and is indicated for use after one or more lines of therapy. </w:t>
      </w:r>
      <w:r>
        <w:rPr>
          <w:rFonts w:ascii="Times New Roman" w:hAnsi="Times New Roman"/>
          <w:i/>
          <w:color w:val="000000"/>
          <w:sz w:val="20"/>
        </w:rPr>
        <w:t>Imbruvica</w:t>
      </w:r>
      <w:r>
        <w:rPr>
          <w:rFonts w:ascii="Times New Roman" w:hAnsi="Times New Roman"/>
          <w:color w:val="000000"/>
          <w:sz w:val="20"/>
        </w:rPr>
        <w:t xml:space="preserve"> received approval based on Phase 1/2 clinical trial data that showed a 68% overall response rate, with 48% of responses lasting 20 weeks or longer and reduced dependence on steroids for most patients. The FDA has approved two additional drugs, </w:t>
      </w:r>
      <w:r>
        <w:rPr>
          <w:rFonts w:ascii="Times New Roman" w:hAnsi="Times New Roman"/>
          <w:i/>
          <w:color w:val="000000"/>
          <w:sz w:val="20"/>
        </w:rPr>
        <w:t>Rezurock</w:t>
      </w:r>
      <w:r>
        <w:rPr>
          <w:rFonts w:ascii="Times New Roman" w:hAnsi="Times New Roman"/>
          <w:color w:val="000000"/>
          <w:sz w:val="20"/>
        </w:rPr>
        <w:t xml:space="preserve">® (belomosidil) and </w:t>
      </w:r>
      <w:r>
        <w:rPr>
          <w:rFonts w:ascii="Times New Roman" w:hAnsi="Times New Roman"/>
          <w:i/>
          <w:color w:val="000000"/>
          <w:sz w:val="20"/>
        </w:rPr>
        <w:t>Jakafi</w:t>
      </w:r>
      <w:r>
        <w:rPr>
          <w:rFonts w:ascii="Times New Roman" w:hAnsi="Times New Roman"/>
          <w:color w:val="000000"/>
          <w:sz w:val="20"/>
        </w:rPr>
        <w:t>® (ruxolitinib), for use in patients with cGVHD after failure of one or more lines of systemic therapy. While approved agents have shown a benefit in improving symptoms of this disease, none have demonstrated an improvement in long-term outcomes and a significant unmet medical need still remains for this patient population. Additionally, all currently approved agents are believed to exert their effect through T- and B-cells, with minimal impact on macrophages. By inhibiting the work of monocyte-derived macrophages, axatilimab, provides a differentiated way to treat cGVHD, which we expect is ultimately expected to have a more pronounced impact on the fibrotic process. We also believe that shifting CSF-1R inhibition earlier in the treatment phase of cGVHD, to minimize formation of fibrotic tissue, could have a meaningful long-term impact on the disease process itself.</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Axatilimab in IPF</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IPF is a specific form of chronic, fibrosing, interstitial pneumonia limited to the lungs with a median survival of approximately three to five years after diagnosis. IPF is a rare disease, with an estimated prevalence of 281,000 people among the seven major market countries. IPF incidence and prevalence increase with age and are higher among males. Although rare, the incidence of IPF is increasing, likely due to an increasing understanding of the disease and the recent development of uniform diagnostic criteria.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are currently two approved therapies for IPF, nintedanib and pirfenidone. Despite these recent advances, the unmet medical need in IPF remains high, with a five-year mortality rate of 50% to 70% with deaths occurring mainly due to respiratory failure. Lung transplantation remains the only curative treatment option, but less than five percent of IPF patients undergo lung transplantation. There is an urgent need for new and more effective treatments for IPF that can address the limitations of current treatment options, improve mortality, and quality of life.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br/>
        <w:t xml:space="preserve">Growing evidence suggests macrophages are critical regulators of lung fibrosis. Recent work has established a role for monocyte-derived macrophages as the pathogenic population of cells required for the development of fibrosis and that drive the fibrotic process. Reducing the circulating levels of pathogenic monocyte-derived macrophage precursors or inhibiting their activation in tissues provides an opportunity to therapeutically intervene and directly inhibit fibrosis. Recent experiments have demonstrated that the monocyte-derived, pro-fibrotic macrophages are CSF-1-dependent and CSF-1R inhibition through anti-CSF-1R antibody can block fibrosis in fibrotic disease models. We believe that using axatilimab to inhibit the work of monocyte-derived macrophages may provide a differentiated way to treat IPF, and could result in a more pronounced impact on the fibrotic process. </w:t>
        <w:br/>
        <w:t> </w:t>
      </w:r>
    </w:p>
    <w:p>
      <w:pPr>
        <w:pStyle w:val="TextBody"/>
        <w:bidi w:val="0"/>
        <w:spacing w:before="360" w:after="283"/>
        <w:jc w:val="left"/>
        <w:rPr>
          <w:rFonts w:ascii="Times New Roman" w:hAnsi="Times New Roman"/>
          <w:sz w:val="20"/>
        </w:rPr>
      </w:pPr>
      <w:r>
        <w:rPr>
          <w:rFonts w:ascii="Times New Roman" w:hAnsi="Times New Roman"/>
          <w:b/>
          <w:color w:val="000000"/>
          <w:sz w:val="20"/>
        </w:rPr>
        <w:t>Entinostat</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Entinostat is our oral, small molecule product candidate that has direct effects on both cancer cells and immune regulatory cells, potentially enhancing the body’s immune response to tumors. We have deprioritized the development of entinostat, but maintain a license, development and commercialization agreement with Eddingpharm International Company Limited, or Eddingpharm, under which we granted Eddingpharm an exclusive license under our intellectual property rights to develop and commercialize entinostat in China and certain other Asian countries.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Collaborations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Incyte Collaboration and License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September 2021, we entered into a collaboration and license agreement, or the Incyte Collaboration Agreement, with Incyte for the development and commercialization of axatilimab. Additionally, in September 2021 we entered into a share purchase agreement with Incyte, or the Incyte Share Purchase Agreement. Under the terms of the Incyte Collaboration Agreement, Incyte received exclusive commercialization rights outside of the United States, and we and Incyte will, subject to the exercise of our co-promotion option, have co-commercialization rights in the United States, with respect to axatilimab. Incyte is responsible for leading commercialization strategy and booking all revenue from worldwide sales of axatilimab, subject to its royalty payment obligations set forth below. The parties will share equally the profits and losses from the co-commercialization efforts. We and Incyte are co-developing axatilimab and sharing development costs associated with global and U.S.-specific clinical trials, with Incyte responsible for 55% of such costs and we are responsible for 45% of such costs. Each company is responsible for funding any independent development activities. All development costs related to the collaboration are subject to a joint development plan. A joint development committee between us and Incyte will govern future development of axatilimab.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eligible to receive up to $220 million in future contingent development and regulatory milestones and up to $230 million in commercialization milestones under the Incyte Collaboration Agreement. In addition, we are eligible to receive tiered royalties on potential net sales of the licensed product comprising axatilimab ranging from the low to mid double-digit percentages. In December 2021, we received an upfront cash payment of $117 million and we issued 1,421,523 shares of common stock for an aggregate purchase price of $35 million, or $24.62 per share. </w:t>
      </w:r>
    </w:p>
    <w:p>
      <w:pPr>
        <w:pStyle w:val="TextBody"/>
        <w:bidi w:val="0"/>
        <w:spacing w:before="120" w:after="283"/>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License Agreements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Vitae Pharmaceuticals,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 license agreement with Vitae Pharmaceuticals, Inc., a subsidiary of AbbVie plc, or the AbbVie License Agreement, under which Vitae granted us an exclusive, sublicensable, worldwide license to, preclinical, orally-available, small molecule inhibitors of the interaction of menin with the MLL protein, or the Menin Assets. We are solely responsible for the development and commercialization of the Menin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Subject to the achievement of certain milestone events, we may be required to pay Vitae up to an aggregate of $99.0 million in one-time development and regulatory milestone payments over the term of the AbbVie License Agreement. In the event that we or any of its affiliates or sublicensees commercializes the Menin Assets, we will also be obligated to pay Vitae low single to low double-digit royalties on sales, subject to reduction in certain circumstances, as well as up to an aggregate of $70.0 million in potential one-time, sales-based milestone payments based on achievement of certain annual sales thresholds. Under certain circumstances, we may be required to share a percentage of non-royalty income from sublicensees, subject to certain deductions, with Vitae. Since the inception of the agreement, we achieved certain development and regulatory milestones resulting in $8.0 million in milestone payments to Vitae, which includes $2.0 million paid in the first quarter of 2023.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Each party may terminate the AbbVie License Agreement for the other party’s uncured material breach or insolvency; and we may terminate the AbbVie License Agreement at will at any time upon advance written notice to Vitae. Vitae may terminate the AbbVie License Agreement if we or any of its affiliates or sublicensees institutes a legal challenge to the validity, enforceability, or patentability of the licensed patent rights. Unless terminated earlier in accordance with its terms, the AbbVie License Agreement will continue on a country-by-country and product-by-product basis until the later of: (i) the expiration of all of the licensed patent rights in such country; (ii) the expiration of all regulatory exclusivity applicable to the product in such country; and (iii) 10 years from the date of the first commercial sale of the product in such country. </w:t>
      </w:r>
    </w:p>
    <w:p>
      <w:pPr>
        <w:pStyle w:val="TextBody"/>
        <w:bidi w:val="0"/>
        <w:spacing w:before="360" w:after="283"/>
        <w:jc w:val="left"/>
        <w:rPr>
          <w:rFonts w:ascii="Times New Roman" w:hAnsi="Times New Roman"/>
          <w:sz w:val="20"/>
        </w:rPr>
      </w:pPr>
      <w:r>
        <w:rPr>
          <w:rFonts w:ascii="Times New Roman" w:hAnsi="Times New Roman"/>
          <w:b/>
          <w:i/>
          <w:color w:val="000000"/>
          <w:sz w:val="20"/>
        </w:rPr>
        <w:t>UCB</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a license agreement with UCB, or the UCB license agreement, under which UCB granted us a worldwide, sublicensable, exclusive license to UCB6352, which we refer to as axatilimab. The UCB license agreement permits us to use axatilimab or other licensed products for all human uses, including treatment,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prevention and diagnostic uses, in all indications, diseases, conditions or disorders, and we are obligated to use commercially reasonable efforts to develop, obtain regulatory approval and commercialize a certain licensed product. We are solely responsible for the development and commercialization of axatilimab, subject to our collaboration with Incyte.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Subject to the achievement of certain milestone events, we may be required to pay UCB up to $119.5 million in one-time development and regulatory milestone payments over the term of the UCB license agreement. In the event that we or any of our affiliates or sublicensees commercializes axatilimab, we will also be obligated to pay UCB low double-digit royalties on sales, subject to reduction in certain circumstances, as well as up to an aggregate of $250.0 million in potential one-time, sales-based milestone payments based on achievement of certain annual sales thresholds. Under certain circumstances, we may be required to share a percentage of non-royalty income from sublicensees, subject to certain deductions, with UCB. During the year ended December 31, 2020 and 2021, we were required to pay $2.0 million and $4.0 million, respectively, due to the achievement of certain development and regulatory milestones. Additionally, in connection with its most recent amendment of the UCB license agreement, in the second quarter of 2022 we paid UCB $5.8 million, which was recognized as a milestone expense. In the fourth quarter of 2023, we achieved certain development and regulatory milestones, resulting in a $10.0 million expense, which has been recorded in accrued expenses as of December 31, 2023.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Each party may terminate the UCB license agreement for the other party’s uncured material breach or insolvency; and we may terminate the UCB license agreement at will at any time upon advance written notice to UCB. UCB may terminate the UCB license agreement if we or any of our affiliates or sublicensees institutes a legal challenge to the validity, enforceability, or patentability of the licensed patent rights. Unless terminated earlier in accordance with its terms, the UCB license agreement will continue on a country-by-country and product-by-product basis until the later of: (i) the expiration of all of the licensed patent rights in such country; (ii) the expiration of all regulatory exclusivity applicable to the product in such country; and (iii) 10 years from the date of the first commercial sale of the product in such country.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Bayer Pharma AG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a license agreement with Bayer Pharma AG, or Bayer, pursuant to which we obtained a worldwide, exclusive license to develop and commercialize entinostat and any other products containing the same active ingredient. The Bayer license agreement, as amended, permits us to use entinostat or other licensed products for the treatment of any human disease, and we are obligated to use commercially reasonable efforts to develop, manufacture and commercialize licensed products for all commercially reasonable indications. Initially, Bayer manufactured and supplied our requirements of entinostat, but effective May 2012, manufacturing rights and responsibility for entinostat was transferred to us, by mutual agreement of the parties.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obligated to pay up to approximately $50.0 million in the aggregate upon obtaining certain milestones in the development and marketing approval of entinostat, assuming that we pursue at least two different indications for entinostat or any other licensed product. We are also obligated to pay Bayer up to $100.0 million in aggregate sales milestones, and a tiered single-digit royalty on net sales by us, our affiliates and sublicensees of entinostat and any other licensed products under the Bayer license agreement. We are obligated to pay Bayer these royalties on a country-by-country basis for the life of the relevant licensed patents covering such product or 15 years after the first commercial sale of such product in such country, whichever is longer. We cannot determine the date on which our royalty payment obligations to Bayer would expire because no commercial sales of entinostat have occurred and the last-to-expire relevant patent covering entinostat in a given country may change in the future.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Bayer license agreement will remain in effect until the expiration of our royalty obligations under the agreement in all countries. Upon expiration of the agreement our licenses become fully paid-up and irrevocable. Either party may terminate the Bayer license agreement in its entirety or with respect to certain countries in the event of an uncured material breach by the other party. Either party may terminate the Bayer license agreement if voluntary or involuntary bankruptcy proceedings are instituted against the other party, if the other party makes an assignment for the benefit of creditors, or upon the occurrence of other specific events relating to the insolvency or dissolution of the other party. Bayer may terminate the Bayer license agreement if we seek to revoke or challenge the validity of any patent licensed to us by Bayer under the Bayer license agreement or if we procure or assist a third party to take any such action.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Sales and Marketing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Given our stage of development, we have recently started building a commercial infrastructure to support sales of our product candidates in the United States. We expect that our targeted sales force will focus on a well-defined group of medical oncologists, and transplant physicians, primarily in the non-hospital and academic settings, who are responsible for the care and treatment of cancer patients. For revumenib, we expect to manage sales, marketing and distribution through internal resources and third-party relationships. In accordance with our agreement, Incyte will lead the commercialization of axatilimab globally and we have elected to co-promote axatilimab in the United States. While we may commit significant financial and management resources to commercial activities, we would also consider collaborating with one or more pharmaceutical companies to enhance our commercial capabilities. Outside the United States, we plan to rely on our current partners and may seek additional pharmaceutical partners for development as well as sales and marketing activities. </w:t>
      </w:r>
    </w:p>
    <w:p>
      <w:pPr>
        <w:pStyle w:val="TextBody"/>
        <w:bidi w:val="0"/>
        <w:spacing w:before="240" w:after="283"/>
        <w:jc w:val="left"/>
        <w:rPr>
          <w:rFonts w:ascii="Times New Roman" w:hAnsi="Times New Roman"/>
          <w:sz w:val="20"/>
        </w:rPr>
      </w:pPr>
      <w:r>
        <w:rPr>
          <w:rFonts w:ascii="Times New Roman" w:hAnsi="Times New Roman"/>
          <w:b/>
          <w:color w:val="000000"/>
          <w:sz w:val="20"/>
        </w:rPr>
        <w:t>Manufacturing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own or operate manufacturing facilities for the production of axatilimab, revumenib or entinostat, and we do not have plans to develop our own manufacturing operations in the foreseeable future. We currently rely on third-party contract manufacturers as well as Incyte for all of our required raw materials, active pharmaceutical ingredients and finished product for our preclinical research, clinical trials, and anticipated commercial supply. Development and commercial quantities of any products that we develop will need to be manufactured in facilities, and by processes, that comply with the requirements of the FDA and the regulatory agencies of other jurisdictions in which we are seeking approval.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Intellectual Property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Patents and Property Rights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Through licensed intellectual property and our owned intellectual property, we seek patent protection in the United States and internationally for our product candidates, their methods of use and processes for their manufacture, as well as for other technologies, where appropriate. Our policy is to actively seek to protect our proprietary position by, among other things, filing patent applications in the United States and abroad claiming our proprietary technologies that are important to the development of our business. We also rely on trade secrets, know-how, continuing technological innovation and in-licensing opportunities to develop and maintain our proprietary position.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cannot be sure that patents will be granted with respect to any of our owned or licensed pending patent applications or with respect to any patent applications filed by us or our licensors in the future, nor can we be sure that any of our existing owned or licensed patents or any patents that may be granted to us or to our licensors in the future will protect our technology. Our success will depend significantly on our ability to obtain and maintain patent and other proprietary protection for the technologies that we consider important to our business, defend our patents, preserve the confidentiality of our trade secrets, operate our business without infringing the patents and proprietary rights of third parties, and prevent third parties from infringing our proprietary rights.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Axatilimab Patent Portfolio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in-licensed from UCB a patent portfolio directed to axatilimab. As of December 31, 2023, the in-licensed axatilimab composition-of-matter patent portfolio included two granted U.S. patents, 27 granted non-U.S. patents, including a granted Eurasian patent which has been validated in 3 countries and two granted EP patent which have been validated in 37 countries each, and 22 non-U.S. pending patent applications. The in-licensed granted patents covering axatilimab, and any non-U.S. pending applications should they issue, will expire in August 2034 or later should patent term extension be granted.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in-licensed patent portfolio also includes patents and patent applications directed to methods for the treatment and/or prophylaxis of fibrotic disease by administration of an inhibitor of CSF-1R activity, methods for the treatment and/or prophylaxis of inflammatory bowel disease, or IBD, by administration of an inhibitor of CSF-1R activity, and liquid pharmaceutical compositions of anti-CSF-1R antibodies. As of December 31, 2023, the in-licensed method of use patent family included 11 granted non-U.S. patents, including a granted EP patent which has been validated in 7 countries, and another granted EP patent which has been validated in 8 countries, and 3 non-U.S.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pending patent applications. The in-licensed granted patents covering axatilimab, and any non-U.S. pending applications should they issue, will expire in August 2034 or later should patent term extension be granted. As of December 31, 2023, the in-licensed liquid pharmaceutical compositions of anti-CSF-1R antibodies patent family included 1 granted U.S. patent, 13 granted non-U.S. patents including a granted EP patent which has been validated in 33 countries, and 5 non-U.S. pending patent applications. These in-licensed granted patents covering axatilimab, and any non-U.S. pending applications should they issue, will expire between November 2024 and February 2036 or later should patent term extension be granted.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owned axatilimab patent portfolio includes one pending U.S. patent application and six non-U.S. patent applications directed to combinations of entinostat and axatilimab. If any one of these applications were to issue as one or more patents, these patents would expire in May 2038 or later should patent term extension be granted. Our owned axatilimab patent portfolio also consists of patent applications directed to the treatment regimens and methods of using axatilimab includes one pending U.S. patent application and 18 non-U.S. patent applications. If any one of these applications were to issue as one or more patents, these patents would expire in December 2040 or later should patent term extension be granted.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Menin Asset Patent Portfolio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in-licensed from Vitae Pharmaceuticals, LLC (formerly Vitae Pharmaceuticals, Inc., "Vitae") a subsidiary of AbbVie Inc., a patent portfolio directed to a series of selective preclinical inhibitors targeting the binding interaction of menin with MLL-r. As of December 31, 2023, the in-licensed portfolio includes four granted U.S. patents, U.S. Patent Nos. 11,479,557, 10,683,302, 11,739,085 and 10,899,758, 20 granted non-U.S patents, including a granted European patent, which was validated in 30 member states and another granted European patent which was validated in 15 member states, two pending U.S. applications and 25 non-U.S. pending patent applications covering composition of matter and methods of treating, e.g., MLL. The in-licensed granted patents, and any pending application should they issue, are expected to expire between June 2037 and September 2037 or later should patent term extension be granted.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owned menin patent portfolio consists of twelve pending non-U.S. patent applications and one pending U.S. patent application, directed to combinations of a menin inhibitor and a CYP3A inhibitor for the treatment of various cancers. Our owned menin patent portfolio also consists of one U.S. provisional applications directed to the salts and polymorphic forms of menin inhibitors and pharmaceutical combinations thereof and one pending PCT patent application directed to methods of treating colorectal cancer in a subject in need thereof with a menin-MLL inhibitor. If any of these pending applications were to issue as one or more patents, these patents would expire between April 2041 and November 20244 or later should patent term extension be granted.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co-own with Vitae and/or Syngene International Limited seventeen pending non-U.S. patent applications, two pending U.S. patent application, and two pending U.S. provisional applications, covering composition of matter and methods of treating cancer and other diseases mediated by the menin-MLL interaction. Syngene International Limited is obligated to assign their rights to 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also co-own with Board of Regents, The University of Texas System six pending non-U.S. patent applications, one pending U.S. patent application, covering methods of treating cancer with combinations, including menin inhibitors and Bcl-2 inhibitors.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Entinostat Patent Portfolio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strive to protect entinostat with multiple layers of patents. As of December 31, 2023, our portfolio included four owned pending U.S. non-provisional patent applications, three owned granted U.S. patents, U.S. Patent Nos. 10,226,472, 11,324,822, and 11,397,184 which expire in August 2032, March 2036 and October 2036, respectively, or later should patent term extension be granted, directed to methods of treating a patient with combinations of entinostat and pembrolizumab or other therapeutic agents, 19 granted non-U.S. patents (including one European patent validated in countries), and 39 owned non-U.S. pending patent applications. Our owned entinostat patent portfolio includes pending U.S. and non-U.S. patent applications directed to methods of treating cancer patients by administration of entinostat and exemestane, methods of treating cancer patients by administration of entinostat in combination with an HER2 inhibitor, treatments with entinostat combined with anti PD-1 or anti PD-L1 antibodies, entinostat and CSF-1 or CSF-1R combination therapies (also discussed above in the Axatilimab Patent Portfolio) and patient selection for combination therapy comprising entinostat and a second therapeutic agent. The granted patents, and any pending applications should they issue as one or more patents, these patents would expire between August 2032 and May 2039 or later should patent term extension be granted.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patent portfolio we licensed from Bayer contains a number of issued U.S. and foreign patents as well as patent applications pending outside the United States. A number of the patents and patent applications we licensed from Bayer are directed to entinostat while other patents and patent applications are directed to compounds other than entinostat. As of December 31, 2023, the portfolio we licensed from Bayer included seven issued U.S. patents, 62 granted non-U.S. patents and 17 patent applications pending in non-U.S. patent offices.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portfolio we licensed from Bayer also includes U.S. Patent 7,973,166, or the ’166- patent, which covers a crystalline polymorph of entinostat which is referred to as crystalline polymorph- B, the crystalline polymorph used in the clinical development of entinostat. Many compounds can exist in different crystalline forms. A compound which in the solid state may exhibit multiple different crystalline forms is called polymorphic, and each crystalline form of the same chemical compound is termed a polymorph. A new crystalline form of a compound may arise, for example, due to a change in the chemical process or the introduction of an impurity. Such new crystalline forms may be patented. By comparison, the U.S. Patent RE39,754, which expired in September 2017, covers the chemical entity of entinostat and any crystalline or non-crystalline form of entinostat. On March 7, 2014, our licensor Bayer applied for reissue of the ‘166 patent. The reissue application sought to add three additional inventors to the ‘166 patent. The reissue was granted as RE45,499 on April 28, 2015, at which time the original ‘166 patent was surrendered. The reissue patent has the same force and effect as the original ‘166 patent and the same August 2029 expiration date.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Of the unexpired foreign-granted patents we licensed from Bayer, there are 33 granted foreign counterparts of the ‘166 patent (now RE45,499) that cover crystalline polymorph B, including the European patent and Eurasian patent. The granted European patent comprises 37 national countries that have all been validated, and the granted Eurasian patent comprises nine countries that have all been validated. Likewise, there are 3 pending foreign counterparts of the ‘166 crystalline polymorph B patent. Other patents and patent applications in the licensed Bayer portfolio are expired and covered methods of treatment by administration of entinostat.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Patent Term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term of individual patents depends upon the legal term of the patents in the countries in which they are obtained. In most countries in which we file, the patent term is 20 years from the date of filing the earliest non-provisional application or PCT application.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United States, a patent’s term may be lengthened by patent term adjustment, which compensates a patentee for administrative delays by the U.S. Patent and Trademark Office, or USPTO in granting a patent, or may be shortened if a patent is terminally disclaimed over an earlier-filed patent. The term of a patent that covers an approved drug may also be eligible for patent term extension, which permits patent term restoration as compensation for the patent term lost during the development and regulatory review process. To obtain a patent extension in the United States, the term of the relevant patent must not have expired before the extension application, the patent cannot have been extended previously under this law, an application for extension must be submitted, the product must be subject to regulatory review prior to its commercialization, and the permission for the commercial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marketing or use of the product after such regulatory review period is the first permitted commercial marketing or use of the product. If our future products contain active ingredients which have not been previously approved, we may be eligible for a patent term extension in the United States. In the United States, we expect to seek extension of patent terms under the Drug Price Competition and Patent Term Restoration Act of 1984, which permits a patent term extension of up to five years beyond the expiration of the patent for patent claims covering a new chemical entity. If patent extensions are available to us outside of the United States, we would expect to file for a patent term extension in applicable jurisdictions.</w:t>
      </w:r>
    </w:p>
    <w:p>
      <w:pPr>
        <w:pStyle w:val="TextBody"/>
        <w:bidi w:val="0"/>
        <w:spacing w:before="360" w:after="283"/>
        <w:jc w:val="left"/>
        <w:rPr>
          <w:rFonts w:ascii="Times New Roman" w:hAnsi="Times New Roman"/>
          <w:sz w:val="20"/>
        </w:rPr>
      </w:pPr>
      <w:r>
        <w:rPr>
          <w:rFonts w:ascii="Times New Roman" w:hAnsi="Times New Roman"/>
          <w:b/>
          <w:i/>
          <w:color w:val="000000"/>
          <w:sz w:val="20"/>
        </w:rPr>
        <w:t>Confidential Information and Inventions Assignment Agreements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require our employees and consultants to execute confidentiality agreements upon the commencement of employment, consulting or collaborative relationships with us. These agreements provide that all confidential information developed or made known during the course of the relationship with us be kept confidential and not disclosed to third parties except in specific circumstances.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case of employees, the agreements provide that all inventions resulting from work performed for us, utilizing our property or relating to our business and conceived or completed by the individual during employment shall be our exclusive property to the extent permitted by applicable law. Our consulting and service agreements also provide for assignment to us of any intellectual property resulting from services performed for us.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Government Regulation and Product Approval</w:t>
      </w:r>
    </w:p>
    <w:p>
      <w:pPr>
        <w:pStyle w:val="TextBody"/>
        <w:bidi w:val="0"/>
        <w:spacing w:before="120" w:after="283"/>
        <w:jc w:val="left"/>
        <w:rPr>
          <w:rFonts w:ascii="Times New Roman" w:hAnsi="Times New Roman"/>
          <w:sz w:val="20"/>
        </w:rPr>
      </w:pPr>
      <w:r>
        <w:rPr>
          <w:rFonts w:ascii="Times New Roman" w:hAnsi="Times New Roman"/>
          <w:b/>
          <w:i/>
          <w:color w:val="000000"/>
          <w:sz w:val="20"/>
        </w:rPr>
        <w:t>United States Government Regulation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United States, the FDA regulates drugs and biologics under the Federal Food, Drug, and Cosmetic Act, or FDCA, the Public Health Service Act, and related regulations. Drugs and biologics are also subject to other federal, state and local statutes and regulations. The FDA and comparable regulatory agencies in state and local jurisdictions impose substantial requirements upon, among other things, the testing, development, manufacture, quality control, safety, purity, potency, labeling, storage, distribution, record keeping and reporting, approval, import and export, advertising and promotion, and postmarket surveillance of drugs and biologics. </w:t>
      </w:r>
    </w:p>
    <w:p>
      <w:pPr>
        <w:pStyle w:val="TextBody"/>
        <w:bidi w:val="0"/>
        <w:spacing w:before="360" w:after="283"/>
        <w:jc w:val="left"/>
        <w:rPr>
          <w:rFonts w:ascii="Times New Roman" w:hAnsi="Times New Roman"/>
          <w:sz w:val="20"/>
        </w:rPr>
      </w:pPr>
      <w:r>
        <w:rPr>
          <w:rFonts w:ascii="Times New Roman" w:hAnsi="Times New Roman"/>
          <w:b/>
          <w:i/>
          <w:color w:val="000000"/>
          <w:sz w:val="20"/>
        </w:rPr>
        <w:t>Biopharmaceutical Product Development Process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process required by the FDA before biopharmaceutical products may be marketed in the United States generally involves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completion of extensive preclinical laboratory tests and animal studies in accordance with applicable regulations, including the FDA’s good laboratory practice, or GLP regulations;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submission of an Investigational New Drug, or IND, application which must become effective before clinical trials may begin;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performance of adequate and well-controlled human clinical trials in accordance with applicable regulations, including the FDA’s current good clinical practice, or GCP, regulations to establish the safety and efficacy of the proposed drug for its intended use or uses;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submission to the FDA of an NDA for a new drug product or a Biologics License Application, or BLA, for biologics;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determination by the FDA within 60 days of its receipt of an NDA or BLA to accept the application for filing and review;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satisfactory completion of an FDA inspection of the manufacturing facility or facilities where the drug or biologic is produced to assess compliance with the FDA’s current Good Manufacturing Practices, or cGMP, regulations to assure that the facilities, methods and controls are adequate to preserve the product’s identity, strength, quality and purity;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potential FDA audit of the preclinical and/or clinical trial sites that generated the data in support of an NDA or BLA;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FDA review and approval of an NDA or BLA prior to any commercial marketing or sale of the biopharmaceutical product in the United States.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Before testing any compounds with potential therapeutic value in humans, the product candidate enters the preclinical testing stage. Preclinical tests include laboratory evaluations of product chemistry and formulation, as well as animal studies to assess the potential safety, toxicity profile and activity of the product candidate. The conduct of the preclinical tests must comply with federal regulations and requirements including GLPs.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Prior to commencing the first clinical trial in humans, an IND must be submitted to the FDA, and the IND must become effective. A sponsor must submit preclinical testing results to the FDA as part of the IND and the FDA must evaluate whether there is an adequate basis for testing the drug in humans. The IND automatically becomes effective 30 days after receipt by the FDA unless the FDA within the 30-day time period raises concerns or questions about the submitted data or the conduct of the proposed clinical trial and places the IND on clinical hold. In such case, the IND application sponsor must resolve any outstanding concerns with the FDA before the clinical trial may begin. A separate submission to the existing IND application must be made for each successive clinical trial to be conducted during product development. Further, an independent Institutional Review Board, or IRB, for each site proposing to conduct the clinical trial must review and approve the protocol and informed consent for any clinical trial before it commences at that site. Informed consent must also be obtained from each study subject. Regulatory authorities, an IRB, a data safety monitoring board or the trial sponsor may suspend or terminate a clinical trial at any time on various grounds, including a finding that the participants are being exposed to an unacceptable health risk.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Human clinical trials are typically conducted in three sequential phases that may overlap: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Phase 1—The drug is initially given to healthy human subjects or patients and tested for safety, dosage tolerance, absorption, metabolism, distribution and excretion, the side effects associated with increasing doses, and if possible, to gain early evidence on effectiveness.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Phase 2—The drug is evaluated in a limited patient population to identify possible adverse effects and safety risks, to preliminarily evaluate the efficacy of the product for specific targeted diseases or conditions and to determine dosage tolerance, optimal dosage and dosing schedule.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Phase 3—Clinical trials are undertaken to further evaluate dosage, clinical efficacy and safety at geographically dispersed clinical trial sites. These clinical trials are intended to establish the overall benefit-risk ratio of the product and to provide an adequate basis for product approval by the FDA.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Post-approval studies, or Phase 4 clinical trials, may be conducted after initial marketing approval. These studies may be required by the FDA as a condition of approval and are used to gain additional experience from the treatment of patients in the intended therapeutic indication. The FDA also has express statutory authority to require post-market clinical studies to address safety issues.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Some clinical trials are overseen by an independent group of qualified experts organized by the clinical trial sponsor, known as a data monitoring board or committee. This group provides recommendations for whether or not a trial may move forward at designated checkpoints based on access to certain data from the study. A sponsor may also suspend or terminate a clinical trial based on evolving business objectives and/or competitive climate.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Concurrent with clinical trials, companies usually complete additional animal studies and must also develop additional information about the chemistry and physical characteristics of the product candidate as well as finalize a process for manufacturing the product in commercial quantities in accordance with cGMP requirements. The manufacturing process must be capable of consistently producing quality batches of the drug candidate and, among other things, must include developed methods for testing the identity, strength, quality and purity of the finished product. Additionally, appropriate packaging must be selected and tested and stability studies must be conducted to demonstrate that the product candidate does not undergo unacceptable deterioration over its shelf life. </w:t>
      </w:r>
    </w:p>
    <w:p>
      <w:pPr>
        <w:pStyle w:val="TextBody"/>
        <w:bidi w:val="0"/>
        <w:spacing w:before="360" w:after="283"/>
        <w:jc w:val="left"/>
        <w:rPr>
          <w:rFonts w:ascii="Times New Roman" w:hAnsi="Times New Roman"/>
          <w:sz w:val="20"/>
        </w:rPr>
      </w:pPr>
      <w:r>
        <w:rPr>
          <w:rFonts w:ascii="Times New Roman" w:hAnsi="Times New Roman"/>
          <w:b/>
          <w:i/>
          <w:color w:val="000000"/>
          <w:sz w:val="20"/>
        </w:rPr>
        <w:t>FDA Review and Approval Processes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order to obtain approval to market a biopharmaceutical product in the United States, a marketing application must be submitted to the FDA that provides data establishing to the FDA’s satisfaction the safety and effectiveness of the investigational drug for the proposed indication. Each NDA or BLA submission requires a substantial user fee payment unless a waiver or exemption applies. The application includes all relevant data available from pertinent nonclinical studies and clinical trials, including negative or ambiguous results as well as positive findings, together with detailed information relating to the product’s chemistry, manufacturing, controls and proposed labeling, among other things. Data can come from company-sponsored clinical trials intended to test the safety and effectiveness of a use of a product, or from a number of alternative sources, including studies initiated by investigators.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FDA will initially review an NDA or BLA for completeness before it accepts it for filing. The FDA has 60 days from its receipt of an application to determine whether the application will be accepted for filing based on the agency’s threshold determination that the application is sufficiently complete to permit substantive review. If it is not, the FDA may refuse to file the application and request additional information, in which case the application must be resubmitted with the supplemental information, and review of the application is delayed. After an NDA or BLA submission is accepted for filing, the FDA reviews the application to determine, among other things, whether the proposed product is safe and effective for its intended use, and whether the product is being manufactured in accordance with cGMP to assure and preserve the product’s identity, strength, quality and purity. The FDA may refer applications for novel drug products or drug products that present difficult questions of safety or efficacy to an advisory committee, typically a panel that includes clinicians and other experts, for review, evaluation and a recommendation as to whether the application should be approved and, if so, under what conditions. The FDA is not bound by the recommendations of an advisory committee, but it considers such recommendations carefully when making decisions.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Upon the filing of an NDA or BLA, the FDA may grant a priority review designation to a product, which sets the target date for FDA action on the application at 6 months, rather than the standard 10 months. Priority review is given for drug that treats a serious condition and, if approved, would provide a significant improvement in safety or effectiveness. Priority review designation does not change the scientific or medical standard for approval or the quality of evidence necessary to support approval.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Before approving an NDA or BLA, the FDA will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 Additionally, before approving an NDA or BLA, the FDA may inspect one or more clinical sites to assure compliance with GCP.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After the FDA completes its initial review of an NDA or BLA, it will communicate to the sponsor that the product is approved, or it will issue a complete response letter to communicate that the application will not be approved in its current form and inform the sponsor of changes that must be made or additional clinical, nonclinical or manufacturing data that must be received before the application can be approved.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Even if a product candidate receives regulatory approval, the approval may be limited to specific disease states, patient populations and dosages, or might contain significant limitations on use in the form of warnings, precautions or contraindications, or in the form of onerous risk management plans, restrictions on distribution, or post-marketing study requirements. For example, the FDA may require Phase 4 testing, which involves clinical trials designed to further assess a drug’s safety and effectiveness and may require testing and surveillance programs to monitor the safety of approved products that have been commercialized. The FDA may also determine that a risk evaluation and mitigation strategy, or REMS, is necessary to assure the safe use of the drug. If the FDA concludes a REMS is needed, the sponsor of an NDA must submit a proposed REMS, and the FDA will not approve an NDA without an approved REMS, if required. </w:t>
      </w:r>
    </w:p>
    <w:p>
      <w:pPr>
        <w:pStyle w:val="TextBody"/>
        <w:bidi w:val="0"/>
        <w:spacing w:before="360" w:after="283"/>
        <w:jc w:val="left"/>
        <w:rPr>
          <w:rFonts w:ascii="Times New Roman" w:hAnsi="Times New Roman"/>
          <w:sz w:val="20"/>
        </w:rPr>
      </w:pPr>
      <w:r>
        <w:rPr>
          <w:rFonts w:ascii="Times New Roman" w:hAnsi="Times New Roman"/>
          <w:b/>
          <w:i/>
          <w:color w:val="000000"/>
          <w:sz w:val="20"/>
        </w:rPr>
        <w:t>Expedited Review Programs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Among other programs, the FDA may expedite the review of a product candidate designated as a breakthrough therapy, which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A sponsor may request the FDA to designate a drug as a breakthrough therapy at the time of, or any time after, the submission of an IND application for the drug. If the FDA designates a drug as a breakthrough therapy, it may take actions appropriate to expedite the development and review of the application, which may include holding meetings with the sponsor and the review team throughout the development of the drug; providing timely advice to, and interactive communication with, the sponsor regarding the development of the drug to ensure that the development program to gather the nonclinical and clinical data necessary for approval is as efficient as practicable; involving senior managers and experienced review staff, as appropriate, in a collaborative, cross-disciplinary review; assigning a cross-disciplinary project lead for the FDA review team to facilitate an efficient review of the development program and to serve as a scientific liaison between the review team and the sponsor; and taking steps to ensure that the design of the clinical trials is as efficient as practicable, when scientifically appropriate, such as by minimizing the number of patients exposed to a potentially less efficacious treatment. The FDA may rescind a breakthrough therapy designation in the future if further clinical development later shows that the criteria for designation are no longer met.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Breakthrough therapy designation does not change the standards for approval but may expedite the development or review process. </w:t>
      </w:r>
    </w:p>
    <w:p>
      <w:pPr>
        <w:pStyle w:val="TextBody"/>
        <w:bidi w:val="0"/>
        <w:spacing w:before="360" w:after="283"/>
        <w:jc w:val="left"/>
        <w:rPr>
          <w:rFonts w:ascii="Times New Roman" w:hAnsi="Times New Roman"/>
          <w:sz w:val="20"/>
        </w:rPr>
      </w:pPr>
      <w:r>
        <w:rPr>
          <w:rFonts w:ascii="Times New Roman" w:hAnsi="Times New Roman"/>
          <w:b/>
          <w:i/>
          <w:color w:val="000000"/>
          <w:sz w:val="20"/>
        </w:rPr>
        <w:t>Post-Approval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and when approved, any products manufactured or distributed by us or on our behalf will be subject to continuing regulation by the FDA, including requirements for record-keeping, reporting of adverse experiences and submitting annual reports.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Biopharmaceutical manufacturers are required to register their facilities with the FDA and certain state agencies, and are subject to periodic unannounced inspections by the FDA and certain state agencies for compliance with cGMPs, which impose certain quality processes, manufacturing controls and documentation requirements upon us and our third-party manufacturers in order to ensure that the product is safe, has the identity and strength, and meets the quality and purity characteristics that it purports to have. The FDA and certain states also impose requirements on manufacturers and distributors to establish the pedigree of product in the chain of distribution, including technology capable of tracking and tracing product as it moves through the distribution chain. We cannot be certain that we or our present or future suppliers will be able to comply with the cGMP and other FDA regulatory requirements. If our present or future suppliers are not able to comply with these requirements, the FDA may halt our clinical trials, fail to approve any application, shut down manufacturing operations or withdraw approval of an application, or we may recall the product from distribution. Noncompliance with cGMP or other requirements can result in issuance of warning letters, civil and criminal penalties, seizures and injunctive action.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FDA closely regulates the labeling, marketing and promotion of drugs and biologics. While doctors are free to prescribe any drug approved by the FDA for any use based on the doctor’s independent medical judgment, a company can only make claims relating to safety and efficacy of a drug that are consistent with FDA approval, and a company is allowed to actively market a drug only for the particular use and treatment approved by the FDA.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addition, any claims we make for our products in advertising or promotion must be appropriately balanced with important safety information and otherwise be adequately substantiated. Failure to comply with these requirements can result in adverse publicity, warning letters, corrective advertising, injunctions and potential civil and criminal penalties. Government regulators recently have increased their scrutiny of the promotion and marketing of drugs. </w:t>
      </w:r>
    </w:p>
    <w:p>
      <w:pPr>
        <w:pStyle w:val="TextBody"/>
        <w:bidi w:val="0"/>
        <w:spacing w:before="360" w:after="283"/>
        <w:jc w:val="left"/>
        <w:rPr>
          <w:rFonts w:ascii="Times New Roman" w:hAnsi="Times New Roman"/>
          <w:sz w:val="20"/>
        </w:rPr>
      </w:pPr>
      <w:r>
        <w:rPr>
          <w:rFonts w:ascii="Times New Roman" w:hAnsi="Times New Roman"/>
          <w:b/>
          <w:i/>
          <w:color w:val="000000"/>
          <w:sz w:val="20"/>
        </w:rPr>
        <w:t>Coverage and Reimbursement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both domestic and foreign markets, sales of any products for which we may receive regulatory approval will depend in part upon the availability of coverage and adequate reimbursement to healthcare providers from third-party payors. Such third-party payors include government health programs, such as Medicare and Medicaid, as well as managed care organizations, private health insurers and other organizations. Coverage decisions may depend upon clinical and economic standards that disfavor new drug products when more established or lower cost therapeutic alternatives are available. Assuming coverage is granted, the reimbursement rates paid for covered products might not be adequate. Even if favorable coverage status and adequate reimbursement rates are attained, less favorable coverage policies and reimbursement rates may be implemented in the future. The marketability of any products for which we may receive regulatory approval for commercial sale may suffer if the government and other third-party payors fail to provide coverage and adequate reimbursement to allow us to sell such products on a competitive and profitable basis. For example, under these circumstances, physicians may limit how much or under what circumstances they will prescribe or administer such products, and patients may decline to purchase them. This, in turn, could affect our ability to successfully commercialize our products and impact our profitability, results of operations, financial condition, and future success.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United States, the European Union and other potentially significant markets for our product candidates, government authorities and third-party payors are increasingly attempting to limit or regulate the price of medical products and services, particularly for new and innovative products and therapies. Such pressure, along with the increased emphasis on managed healthcare in the United States and on country and regional pricing and reimbursement controls in the European Union, will likely put additional downward pressure on product pricing, reimbursement and usage, which may adversely affect our future product sales and results of operations. These pressures can arise from rules and practices of managed care groups, judicial decisions, governmental laws and regulations related to government healthcare programs, healthcare reform, and pharmaceutical coverage and reimbursement policies.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market for any product candidates for which we may receive regulatory approval will depend significantly on the degree to which these products are listed on third-party payors’ drug formularies or lists of medications for which third-party payors provide coverage and reimbursement to the extent products for which we may receive regulatory approval are covered under a pharmacy benefit or are otherwise subject to a formulary. The industry competition to be included on such formularies often leads to downward pricing pressures on pharmaceutical companies. Also, third-party payors may refuse to include a particular branded drug on their formularies or otherwise restrict patient access to a branded drug when a less costly generic equivalent or other alternative is available. In addition, because each third-party payor individually approves coverage and reimbursement levels, obtaining coverage and adequate reimbursement is a time-consuming and costly process. Further, one payor’s determination to provide coverage for a drug product does not assure that other payors will also provide coverage for the drug product. We may be required to provide scientific and clinical support for the use of any product to each third-party payor separately with no assurance that approval would be obtained, and we may need to conduct expensive pharmacoeconomic studies in order to demonstrate the cost-effectiveness of our products. We cannot be certain that our product candidates will be considered cost-effective. This process could delay the market acceptance of any product candidates for which we may receive approval and could have a negative effect on our future revenues and operating results.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Federal and State Fraud and Abuse and Data Privacy and Security Laws and Regulations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FDA restrictions on marketing of pharmaceutical products, federal and state laws restrict business practices in the pharmaceutical industry. These laws include anti-kickback and false claims laws and regulations as well as data privacy and security laws and regulations. The laws that will affect our operations include, but are not limited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Anti-Kickback Statute, which prohibits, among other things, persons or entities from knowingly and willfully soliciting, receiving, offering or paying any remuneration (including any kickback, bribe or rebate), directly or indirectly, overtly or covertly, in cash or in kind, in return for the purchase, recommendation, leasing or furnishing of an item or service reimbursable under a federal healthcare program, such as the Medicare and Medicaid programs. This statute has been interpreted to apply to arrangements between pharmaceutical manufacturers on the one hand, and prescribers, purchasers and formulary managers on the other. The Patient Protection and Affordable Care Act, as amended by the Health Care and Education Reconciliation Act, collectively, the Affordable Care Act, amended the intent requirement of the federal Anti-Kickback Statute so that a person or entity no longer needs to have actual knowledge of this statute or specific intent to violate it in order to have committed a violation;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federal civil and criminal false claims laws, including, without limitation, the False Claims Act, and civil monetary penalty laws which prohibit, among other things, individuals or entities from knowingly presenting, or causing to be presented, claims for payment or approval from Medicare, Medicaid or other government payors that are false or fraudulent or making a false statement to avoid, decrease or conceal an obligation to pay money to the federal government. The Affordable Care Act provides, and recent government cases against pharmaceutical manufacturers support, the view that federal Anti-Kickback Statute violations and certain marketing practices, including off-label promotion, may implicate the False Claims Act;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Health Insurance Portability and Accountability Act of 1996, or HIPAA, which created additional federal criminal statutes that prohibit a person from knowingly and willfully executing a scheme or making false or fraudulent statements to defraud any healthcare benefit program, regardless of the payor (e.g., public or private);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HIPAA, as amended by the Health Information Technology for Economic and Clinical Health Act, or HITECH, and their implementing regulations, which imposes certain requirements relating to the privacy, security and transmission of individually identifiable health information without appropriate authorization by entities subject to the rule, such as health plans, healthcare clearinghouses and certain healthcare providers, known as covered entities, and their respective business associates, individuals or entities that perform certain services on behalf of a covered entity that involves the use or disclosure of individually identifiable health information, and their covered subcontractors;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Physician Payments Sunshine Act, which requires certain manufacturers of drugs, devices, biologics and medical supplies for which payment is available under Medicare, Medicaid or the Children’s Health Insurance Program, with specific exceptions, to report annually to the Centers for Medicare &amp; Medicaid Services, or CMS, information related to: (i) payments or other “transfers of value” made to physicians (defined to include doctors, dentists, optometrists, podiatrists and chiropractors), other healthcare professionals (such as physician assistants and nurse practitioners), and teaching hospitals; and (ii) ownership and investment interests held by physicians and their immediate family members;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state law equivalents of each of the above federal laws, state laws that require manufacturers to report information related to payments and other transfers of value to physicians and other healthcare providers or marketing expenditures, state laws that require pharmaceutical companies to comply with the pharmaceutical industry’s voluntary compliance guidelines and the relevant compliance guidance promulgated by the federal government or to adopt compliance programs as prescribed by state laws and regulations, or that otherwise restrict payments that may be made to healthcare providers, state laws that require manufactures to report pricing information regarding certain drugs, state and local laws that require the registration of pharmaceutical sales representatives, and state laws that govern the privacy and security of health information, which differ from each other in significant ways and often are not preempted by HIPAA, thus complicating compliance efforts.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also be subject to federal and state laws that govern the privacy and security of other personal information, including federal and state consumer protection laws, state data security laws, and data breach notification laws. A data breach affecting sensitive personal information, including health information, could result in significant legal and financial exposure and reputational damages.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Because of the breadth of these laws and the narrowness of available statutory and regulatory exemptions, it is possible that some of our business activities could be subject to challenge, investigation or legal action under one or more of such laws. If our operations are found to be in violation of any of the federal and state laws described above or any other governmental regulations that apply to us, we may be subject to significant civil, criminal, and administrative penalties, including, without limitation, damages, fines, imprisonment, disgorgement, exclusion from participation in government healthcare programs, additional reporting requirements and oversight if we become subject to a corporate integrity agreement or similar agreement to resolve allegations of non-compliance with these laws, and the curtailment or restructuring of our operations.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the extent that any of our product candidates receive approval and are sold in a foreign country, we may be subject to similar foreign laws and regulations, which may include, for instance, applicable post-marketing requirements, including safety surveillance, anti-fraud and abuse laws, international data protection laws (including the General Data Protection Directive ((EU) 2016/679) on the protection of individuals with regard to the processing of personal data and on the free movement of such data as well as EU member state implementing legislation), and implementation of corporate compliance programs and reporting of payments or transfers of value to healthcare professionals.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Healthcare Reform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 candidates for which we obtain marketing approval. Among policy makers and payors in the United States and elsewhere, there is significant interest in promoting changes in healthcare systems with the stated goals of containing healthcare costs, improving quality and expanding access. In the United States, the pharmaceutical industry has been a particular focus of these efforts and has been significantly affected by major legislative initiatives. In March 2010, then President Obama signed into law the Affordable Care Act, which substantially changed the way healthcare will be financed by both governmental and private insurers, and significantly impacts the pharmaceutical industry. Among the provisions of the Affordable Care Act of importance to our business, including, without limitation, our ability to commercialize, and the prices we may obtain for, any of our product candidates that are approved for sale, are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annual, nondeductible fee payable by any entity that manufactures or imports specified branded prescription drugs and biologic agents;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in the statutory minimum rebates a manufacturer must pay under the Medicaid Drug Rebate Program;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expansion of healthcare fraud and abuse laws, including the federal False Claims Act and the federal Anti-Kickback Statute, new government investigative powers and enhanced penalties for noncompliance;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new Medicare Part D coverage gap discount program, in which manufacturers must now agree to offer 70% point-of- sale discounts off negotiated prices;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extension of manufacturers’ Medicaid rebate liability;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expansion of eligibility criteria for Medicaid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expansion of the entities eligible for discounts under the Public Health Service pharmaceutical pricing program;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new requirements to report financial arrangements with physicians and teaching hospitals;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new requirement to annually report drug samples that manufacturers and distributors provide to physicians;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new Patient-Centered Outcomes Research Institute to oversee, identify priorities in and conduct comparative clinical effectiveness research, along with funding for such research.</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have been executive, judicial and Congressional challenges to certain aspects of the Affordable Care Act. For example, the Tax Cuts and Jobs Act of 2017, or Tax Act, included a provision which repealed, effective January 1, 2019, the tax-based shared responsibility payment imposed by the Affordable Care Act on certain individuals who fail to maintain qualifying health coverage for all or part of a year that is commonly referred to as the “individual mandate”. In addition, the 2020 federal spending package permanently eliminated, effective January 1, 2020, the Affordable Care Act’s mandated “Cadillac” tax on high-cost employer-sponsored health coverage and medical device tax and, effective January 1, 2021, also eliminated the health insurer tax. On June 17, 2021, the U.S. Supreme Court dismissed a challenge on procedural grounds that argued the Affordable Care Act is unconstitutional in its entirety because the “individual mandate” was repealed by Congress. Further, on August 16, 2022, President Biden signed the Inflation Reduction Act of 2022, or IRA, into law, which among other things, extends enhanced subsidies for individuals purchasing health insurance coverage in Affordable Care Act marketplaces through plan year 2025. The IRA also eliminates the “donut hole” under the Medicare Part D program beginning in 2025 by significantly lowering the beneficiary maximum out-of-pocket cost and creating a new manufacturer discount program. It is possible that the Affordable Care Act will be subject to judicial or Congressional challenges in the future. It is unclear how any such challenges and the healthcare reform measures of the Biden administration will impact the Affordable Care Act.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has been increasing legislative and enforcement interest in the United States with respect to specialty drug pricing practices. Specifically, there have been several recent U.S. Congressional inquiries, Presidential executive orders, and proposed and enacted federal and state legislation designed to, among other things, bring more transparency to drug pricing, review the relationship between pricing and manufacturer patient programs, reduce the cost of drugs under Medicare, and reform government program reimbursement methodologies for drugs. At the federal level, in July 2021, the Biden administration released an executive order, “Promoting Competition in the American Economy,” with multiple provisions aimed at prescription drugs. In response to Biden’s executive order, on September 9, 2021, the U.S. Department of Health and Human Services, or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Further, the IRA, among other things (i) directs HHS to negotiate the price of certain high-expenditure, single-source drugs and biologics covered under Medicare and (ii) imposes rebates under Medicare Part B and Medicare Part D to penalize price increases that outpace inflation. These provisions take effect progressively starting in fiscal year 2023. On August 29, 2023, HHS announced the list of the first ten drugs that will be subject to price negotiations, although the Medicare drug price negotiation program is currently subject to legal challenges. In response to the Biden administration’s October 2022 executive order, on February 14, 2023, HHS released a report outlining three new models for testing by the CMS Innovation Center which will be evaluated on their ability to lower the cost of drugs, promote accessibility, and improve quality of care. It is unclear whether the models will be utilized in any health reform measures in the future. Further, on December 7, 2023, the Biden administration announced an initiative to control the price of prescription drugs through the use of march-in rights under the Bayh-Dole Act. On December 8, 2023,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 While march-in rights have not previously been exercised, it is uncertain if that will continue under the new framework. 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on January 5, 2024, the FDA approved Florida’s Section 804 Importation Program, or SIP, proposal to import certain drugs from Canada for specific state healthcare programs. It is unclear how this program will be implemented, including which drugs will be chosen, and whether it will be subject to legal challenges in the United States or Canada. Other states have also submitted SIP proposals that are pending review by the FDA. Any such approved importation plans, when implemented, may result in lower drug prices for products covered by those programs.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full impact on our business of the Affordable Care Act and other new laws is uncertain but may result in additional reductions in Medicare and other healthcare funding. Nor is it clear whether other legislative changes will be adopted, if any, or how such changes would affect the demand for our products once commercialized. </w:t>
      </w:r>
    </w:p>
    <w:p>
      <w:pPr>
        <w:pStyle w:val="TextBody"/>
        <w:bidi w:val="0"/>
        <w:spacing w:before="360" w:after="283"/>
        <w:jc w:val="left"/>
        <w:rPr>
          <w:rFonts w:ascii="Times New Roman" w:hAnsi="Times New Roman"/>
          <w:sz w:val="20"/>
        </w:rPr>
      </w:pPr>
      <w:r>
        <w:rPr>
          <w:rFonts w:ascii="Times New Roman" w:hAnsi="Times New Roman"/>
          <w:b/>
          <w:i/>
          <w:color w:val="000000"/>
          <w:sz w:val="20"/>
        </w:rPr>
        <w:t>Regulations Outside of the United States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regulations in the United States, we will be subject to a variety of foreign regulations governing clinical trials and commercial sales and distribution of our product candidates to the extent we choose to sell any products outside of the United States. Whether or not we obtain FDA approval for a product, we must obtain approval of a product by the comparable regulatory authorities of foreign countries before we can commence clinical trials or marketing of the product in those countries. The approval process varies from country to country and the time may be longer or shorter than that required for FDA approval. The requirements governing the conduct of clinical trials, product licensing, pricing and reimbursement vary greatly from country to country. As in the United States, post-approval regulatory requirements, such as those regarding product manufacture, marketing, or distribution would apply to any product that is approved outside the United States. </w:t>
      </w:r>
    </w:p>
    <w:p>
      <w:pPr>
        <w:pStyle w:val="TextBody"/>
        <w:bidi w:val="0"/>
        <w:spacing w:before="360" w:after="283"/>
        <w:jc w:val="left"/>
        <w:rPr>
          <w:rFonts w:ascii="Times New Roman" w:hAnsi="Times New Roman"/>
          <w:sz w:val="20"/>
        </w:rPr>
      </w:pPr>
      <w:r>
        <w:rPr>
          <w:rFonts w:ascii="Times New Roman" w:hAnsi="Times New Roman"/>
          <w:b/>
          <w:i/>
          <w:color w:val="000000"/>
          <w:sz w:val="20"/>
        </w:rPr>
        <w:t>Other Regulations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also subject to numerous federal, state and local laws relating to such matters as safe working conditions, manufacturing practices, environmental protection, fire hazard control, and disposal of hazardous or potentially hazardous substances. We may incur significant costs to comply with such laws and regulations now or in the future.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Employees and Human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February 19, 2024, we had 184 full-time employees. Of the full-time employees, 112 were primarily engaged in research and development activities and 44 have an M.D., Ph.D., or PharmD degree. None of our employees are represented by labor unions or covered by collective bargaining agreements. We consider our relationship with our employees to be good. To allow us flexibility in meeting varying workflow demands, we also engage consultants and temporary workers when needed.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human capital resources objectives include, as applicable, identifying, recruiting, retaining, incentivizing and integrating our existing and additional employees. The principal purposes of our equity incentive plans are to attract, retain and motivate selected employees and directors through the granting of equity-based compensation awards and cash-based compensation awards, in order to increase stockholder value and the success of our company by motivating such individuals to perform to the best of their abilities and achieve our objectives.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Compensation and Benefits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consider a number of measures and objectives in managing our human capital assets, including, among others, employee engagement, development, and training, talent acquisition and retention, employee safety and wellness, diversity and inclusion, and compensation and pay equity. We provide our employees with salaries and bonuses intended to be competitive for our industry, opportunities for equity ownership, development programs that enable continued learning and growth and a robust benefits package to promote well-being across all aspects of their lives, including health care, retirement planning and paid time off. In addition, we have conducted employee surveys to gauge employee engagement and identify areas of future focus for our human capital practices and benefits offerings.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Diversity, Equity and Inclusion (DEI)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that a diverse workforce is critical to our success and we are fundamentally committed to creating and maintaining a work environment in which employees are treated fairly, with dignity, decency, respect and in accordance with all applicable laws. We understand that varied perspectives lead to the best ideas and outcomes. We believe that by creating a workplace where every individual can feel welcome and valued, we will be better able to achieve our corporate objectives. All employees must adhere to a code of business conduct and ethics and our employee handbook, which combined, define standards for appropriate behavior and are annually trained to help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prevent, identify, report, and stop any type of discrimination and harassment. Our recruitment, hiring, development, training, compensation, and advancement is based on qualifications, performance, skills, and experience without regard to gender, race or ethnicity.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Environmental, Social and Governance Commitment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highly committed to policies and practices focused on environmental, social and governance, or ESG, positively impacting our social community and maintaining and cultivating good corporate governance. By focusing on ESG policies and practices, we believe that we can affect a meaningful and positive change in our communities and continue to cultivate our open and inclusive collaborative culture. Some of the initiatives that we were most proud of in 2023 included continuing support for the scientific, medical, patient and local communities in which we operate, including disease awareness and supporting community needs through participation in events within the community at large. We are committed to reducing our environmental footprint. Electric car charging stations are available to employees at our Massachusetts office location. We have been methodically minimizing our use of paper records in favor of electronic records and have a robust recycling program in each office for paper, batteries and electronic equipment. We enable our employees to participate in various charity events, including walks, races and other events that impact change in the communities of the patients that we serve. This allows our employees to support causes that are meaningful to them and their families and aligns with our mission, goals and vision. </w:t>
      </w:r>
    </w:p>
    <w:p>
      <w:pPr>
        <w:pStyle w:val="TextBody"/>
        <w:bidi w:val="0"/>
        <w:spacing w:before="360" w:after="283"/>
        <w:jc w:val="left"/>
        <w:rPr>
          <w:rFonts w:ascii="Times New Roman" w:hAnsi="Times New Roman"/>
          <w:sz w:val="20"/>
        </w:rPr>
      </w:pPr>
      <w:r>
        <w:rPr>
          <w:rFonts w:ascii="Times New Roman" w:hAnsi="Times New Roman"/>
          <w:b/>
          <w:color w:val="000000"/>
          <w:sz w:val="20"/>
        </w:rPr>
        <w:t>Corporate and Other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were incorporated in Delaware in 2005. In 2011, we established a wholly owned subsidiary in the United Kingdom, in 2014 we established a wholly owned U.S. subsidiary, and in 2021, we established a wholly owned subsidiary in the Netherlands. There have been no material activities for these entities to date. We currently operate in one segment.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principal office is located in Waltham, Massachusetts, where we lease approximately 12,000 square feet of office space pursuant to a lease that expires in February 2025. We also lease approximately 16,000 square feet of office space in New York, New York pursuant to leases that expires in August 2025. We believe our facilities are adequate to meet our current needs, although we may seek to negotiate new leases or evaluate additional or alternate space for our operations. We believe appropriate alternative space will be readily available on commercially reasonable terms.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We file electronically with the SEC, our annual reports on Form 10-K, quarterly reports on Form 10-Q, current reports on Form 8-K, and amendments to those reports filed or furnished pursuant to Section 13(a) or 15(d) of the Exchange Act. We make available on our website at </w:t>
      </w:r>
      <w:r>
        <w:rPr>
          <w:rFonts w:ascii="Times New Roman" w:hAnsi="Times New Roman"/>
          <w:color w:val="000000"/>
          <w:sz w:val="20"/>
          <w:u w:val="single"/>
        </w:rPr>
        <w:t>www.syndax.com</w:t>
      </w:r>
      <w:r>
        <w:rPr>
          <w:rFonts w:ascii="Times New Roman" w:hAnsi="Times New Roman"/>
          <w:color w:val="000000"/>
          <w:sz w:val="20"/>
        </w:rPr>
        <w:t xml:space="preserve">, under “Investors,” free of charge, copies of these reports as soon as reasonably practicable after filing or furnishing these reports with the SEC. </w:t>
      </w:r>
    </w:p>
    <w:p>
      <w:pPr>
        <w:pStyle w:val="TextBody"/>
        <w:bidi w:val="0"/>
        <w:spacing w:before="360" w:after="283"/>
        <w:jc w:val="left"/>
        <w:rPr>
          <w:rFonts w:ascii="Times New Roman" w:hAnsi="Times New Roman"/>
          <w:sz w:val="20"/>
        </w:rPr>
      </w:pPr>
      <w:bookmarkStart w:id="5" w:name="item_1a_risk_factors"/>
      <w:bookmarkEnd w:id="5"/>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This Annual Report contains forward-looking information based on our current expectations. Because our business is subject to many risks and our actual results may differ materially from any forward-looking statements made by or on behalf of us, this section includes a discussion of important factors that could affect our business, operating results, financial condition and the trading price of our common stock. You should carefully consider these risk factors, together with all of the other information included in this Annual Report as well as our other publicly available filings with the Securities and Exchange Commission.</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Summary of Selected Risks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business is subject to numerous risks and uncertainties, of which you should be aware before making a decision to invest in our securities. These risks and uncertainties include, among others,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currently developing several product candidates. If we are unable to successfully complete clinical development of, obtain regulatory approval for and commercialize our product candidates, our business prospects will be significantly harmed.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Revumenib and axatilimab has undergone limited clinical testing and we may fail to show that it is well tolerated and provides sufficient clinical benefit for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Interim top-line and preliminary data from our clinical trials that we announce or publish from time to time may change as more patient data become available and are subject to audit and verification procedures that could result in material changes to the final data.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incur additional costs or experience delays in completing, or ultimately be unable to complete, the development and commercialization of any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Incyte may fail to perform its obligations as expected under the collaboration or may deprioritize its investment to further develop and commercialize axatilimab.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or our collaborators are unable to enroll patients in clinical trials, these clinical trials may not be completed on a timely basis or at all.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regulatory approval processes of the FDA and foreign regulatory authorities are lengthy, time-consuming and inherently unpredictable. Our inability to obtain regulatory approval for our product candidates would harm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product candidates may not achieve adequate market acceptance among physicians, patients, healthcare payors and others in the medical community to be commercially successful.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on third-party suppliers as well as Incyte to manufacture and distribute our clinical drug supplies for our product candidates, we intend to rely on third parties for commercial manufacturing and distribution of our product candidates and we expect to rely on third parties for manufacturing and distribution of preclinical, clinical and commercial supplies of any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Even if our product candidates receive regulatory approval, they may still face future development and regulatory difficulties.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product candidates may cause undesirable side effects or have other properties that could delay or prevent their regulatory approval, limit the commercial scope of their approved use, or result in significant negative consequences following any marketing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incurred net losses since our inception, except 2021, and anticipate that we will continue to incur net losses for the foreseeable future.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have no source of product revenue and may never achieve or maintain profitability.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require additional capital to finance our planned operations, which may not be available to us on acceptable terms, or at all. As a result, we may not complete the development and commercialization of, or obtain regulatory approval for our existing product candidates or develop new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unable to obtain or protect intellectual property rights, we may not be able to compete effectively in our market.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be able to protect our intellectual property rights throughout the world.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market price of our stock may be volatile and you could lose all or part of your investment.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sell additional equity or debt securities or enter into other arrangements to fund our operations, which may result in dilution to our stockholders and impose restrictions or limitations on our business.</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Risks Related to Our Business and Industry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are currently developing several product candidates. If we are unable to successfully complete clinical development of, obtain regulatory approval for and commercialize our product candidates, our business prospects will be significantly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financial success will depend substantially on our ability to effectively and profitably commercialize our product candidates. In order to commercialize our product candidates, we will be required to obtain regulatory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approvals by establishing that each of them is sufficiently safe and effective. The clinical and commercial success of our product candidates will depend on a number of factors, including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initiation, cost, timing, progress and results of our research and development activities, clinical trials and preclinical studies;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timely completion of any future clinical trials of revumenib and axatilimab;</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interruption of key clinical trial activities, in connection with public health threats or any future geopolitical tensions, such as the ongoing war between Russia and Ukraine and the war in Israel;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whether we are required by the FDA or foreign regulatory authorities to conduct additional clinical trials prior to receiving marketing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prevalence and severity of adverse drug reactions in any of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to demonstrate safety and efficacy of our product candidates for their proposed indications and the timely receipt of necessary marketing approvals from the FDA and foreign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successfully meeting the endpoints in the clinical trials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achieving and maintaining compliance with all applicable regulatory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potential use of our product candidates to treat various cancer indications and fibrotic diseases;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availability, perceived advantages, relative cost, relative safety and relative efficacy of alternative and competing treatments;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effectiveness of our own or our potential strategic collaborators’ marketing, sales and distribution strategy and operations in the United States and abroad;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of our collaboration partner and of third-party contract manufacturers to produce trial supplies and to develop, validate and maintain a commercially viable manufacturing process that is compliant with cGMP;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successfully commercialize our product candidates in the United States and abroad, whether alone or in collaboration with others;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prevent any significant disruptions of our information technology systems and protect the security of our data;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enforce our intellectual property rights in and to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fail to obtain regulatory approval for our product candidates, we will not be able to generate product sales, which will have a material adverse effect on our business and our prospects. </w:t>
      </w:r>
    </w:p>
    <w:p>
      <w:pPr>
        <w:pStyle w:val="TextBody"/>
        <w:bidi w:val="0"/>
        <w:spacing w:before="240" w:after="283"/>
        <w:jc w:val="left"/>
        <w:rPr>
          <w:rFonts w:ascii="Times New Roman" w:hAnsi="Times New Roman"/>
          <w:sz w:val="20"/>
        </w:rPr>
      </w:pPr>
      <w:r>
        <w:rPr>
          <w:rFonts w:ascii="Times New Roman" w:hAnsi="Times New Roman"/>
          <w:b/>
          <w:i/>
          <w:color w:val="000000"/>
          <w:sz w:val="20"/>
        </w:rPr>
        <w:t>Revumenib has undergone limited clinical testing and we may fail to show that it is well tolerated and provides sufficient clinical benefit for patients</w:t>
      </w:r>
      <w:r>
        <w:rPr>
          <w:rFonts w:ascii="Times New Roman" w:hAnsi="Times New Roman"/>
          <w:i/>
          <w:color w:val="000000"/>
          <w:sz w:val="2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Research suggests that certain acute leukemias, such as lysine methyltransferase 2A rearranged, or KMT2Ar, acute myeloid or lymphoid leukemia, AML or ALL, and nucleophosmin 1, or NPM1, mutant AML, are driven by the interaction of menin, a nuclear protein involved in transcription, with the N-terminus of KMT2A protein. In NPM1 mutant AML the interaction with menin occurs via the wild type KMT2A protein, and in KMT2Ar acute leukemia, the interaction occurs via a mutant form of KMT2A, a fusion protein known as KMT2Ar. KMT2Ar results from a rare, spontaneous fusion between the N-terminus of the KMT2A gene and a host of signaling molecules and nuclear transcription factors. This fusion produces an aberrant transcription program that drives leukemic transformation. In pre-clinical animal models, small molecule inhibitors of the menin-KMT2Ar interaction, such as revumenib, which bind to, and block the interaction of menin with either KMT2A rearranged or wildtype, have demonstrated deep and durable single agent treatment effects in multiple leukemic xenograft models harboring KMT2A fusions or NPM1 mutations. Our strategy for developing revumenib is to conduct a Phase 1/2 clinical trial in r/r patients with KMT2Ar and NPM1 mutant acute leukemias and determine if the observed clinical efficacy supports further development. The Phase 1 portion of the trial is assessing the safety, tolerability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pharmacokinetics of revumenib, and seeks to establish a recommended Phase 2 dose. It is open label, and we have released and may in the future release results from time to time that reflect small numbers of patients which may not be accurately predictive of safety or efficacy results later in the trial or in subsequent trials. The Phase 2 portion is evaluating the efficacy of revumenib across three expansion cohorts enrolling pediatric and adult R/R patients with KMT2Ar ALL, KMT2Ar AML, and NPM1 mutant AML. In October 2023, we announced positive topline data in patients with R/R KMT2Ar acute leukemia and that we have submitted an NDA under the FDA’s RTOR program. Neither breakthrough therapy designation nor RTOR review change the standards for approval and may not ultimately expedite the approval process or lead to approval. While we believe that we have established sufficient efficacy to warrant an NDA submission and continued development in these indications, we may not yet have sufficiently demonstrated a favorable risk-benefit of revumenib in patients.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Axatilimab has undergone limited clinical testing and we may fail to show that it is well tolerated and provides sufficient clinical benefit for patients.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Preclinical studies suggest that CSF-1/CSF-1R signaling may be the key regulatory pathway involved in the expansion and infiltration of donor derived macrophages that mediate the disease processes involved in cGVHD and other fibrotic or inflammatory diseases. Nonclinical studies and analysis of patient samples indicates that the cGVHD inflammatory disease process is a result of a complex interaction between host and donor immune cells including B cells, and regulatory T cells with M2 differentiated macrophages in target tissue appearing to represent the common distal mediator of fibrosis. Therefore, we hypothesize that a CSF-1R signal inhibitor such as axatilimab may play a meaningful role as a monotherapy agent in the treatment of cGVHD. In 2018, we commenced a Phase 1/2 clinical trial with axatilimab in subjects with active cGVHD who had failed at least two prior lines of therapy. Following our end of Phase 1 meeting with the FDA, we aligned on a regulatory path for axatilimab for the treatment of cGVHD and commenced a pivotal Phase 2 clinical trial, AGAVE-201, to assess the safety and efficacy of different doses and schedules of axatilimab for the treatment of patients with cGVHD. In July 2023, we announced that AGAVE-201 met its primary endpoint across all three doses in the trial. In January 2024, we announced that, along with Incyte, we have submitted a BLA, the previous December. While we believe that we have established sufficient efficacy to warrant a BLA submission and continued development in this indication, we may not yet have sufficiently demonstrated a favorable risk-benefit of axatilimab in patients.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Interim top-line and preliminary data from our clinical trials that we announce or publish from time to time may change as more patient data become available and are subject to audit and verification procedures that could result in material changes to the final data.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publish interim top-line or preliminary data from our clinical trials. For example, in each of November 2022 and 2023, we announced interim data from our Phase 1/2 clinical trial of revumenib. Interim data from clinical trials that we may complete are subject to the risk that one or more of the clinical outcomes may materially change as patient enrollment continues and more patient data become available. Preliminary or top-line data also remain subject to audit and verification procedures that may result in the final data being materially different from the preliminary data we previously published. Preliminary or top-line data may include, for example, data regarding a small percentage of the patients enrolled in a clinical trial, and such preliminary data should not be viewed as an indication, belief or guarantee that other patients enrolled in such clinical trial will achieve similar results or that the preliminary results from such patients will be maintained. As a result, interim and preliminary data should be viewed with caution until the final data are available. Differences between preliminary or interim data and final data could significantly harm our business prospects and may cause the trading price of our common stock to fluctuate significantly.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may incur additional costs or experience delays in completing, or ultimately be unable to complete, the development and commercialization of any of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Before obtaining marketing approval from regulatory authorities for the sale of any of our product candidates, we or our collaborators must conduct extensive trials to demonstrate the safety and efficacy of the product candidates in humans. Clinical testing is expensive and difficult to design and implement, can take many years to complete and is inherently uncertain as to the outcome. A failure of one or more trials can occur at any stage of testing. The outcome of preclinical studies and early clinical trials may not accurately predict the success of later trials, and interim results of a trial do not necessarily predict final results.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We are dependent upon our collaboration with Incyte to further develop and commercialize axatilimab. If we or Incyte fail to perform as expected the potential for us to generate future revenues under the collaboration could be significantly reduced, the development and/or commercialization of axatilimab may be terminated or substantially delayed, and our business could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numerous risks related to the Incyte Collaboration Agreement to collaborate on the development and commercialization of axatilimab.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example, there is no assurance that the parties will achieve any of the regulatory development or sales milestones, that we will receive any future milestone or royalty payments under the collaboration agreement. Incyte’s activities may be influenced by, among other things, the efforts and allocation of resources by Incyte, which we cannot control. If Incyte does not perform in the manner we expect or fulfill its responsibilities in a timely manner, or at all, the clinical development, manufacturing, regulatory approval, and commercialization efforts related to axatilimab could be delayed or terminated. In addition, our license with Incyte may be unsuccessful due to other factors, including, without limitation,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Incyte may terminate the agreement for convenience upon 90 or 180 days’ notice depending on whether or not the parties have commercialized axatilimab in an indication in the respective territory;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Incyte may change the focus of its development and commercialization efforts or prioritize other programs more highly and, accordingly, reduce the efforts and resources allocated to axatilimab</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Incyte may, within its commercially reasonable discretion, choose not to develop and commercialize axatilimab in all relevant markets or for one or more indications, if at all;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Incyte is acquired during the term of our collaboration, the acquirer may have competing programs or different strategic priorities that could cause it to reduce its commitment to our collaboration or to terminate the collaboration.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cannot ensure that the potential strategic benefits and opportunities expected from this collaboration with be realized on our anticipated timeline or at all.</w:t>
      </w:r>
    </w:p>
    <w:p>
      <w:pPr>
        <w:pStyle w:val="TextBody"/>
        <w:bidi w:val="0"/>
        <w:spacing w:before="240" w:after="283"/>
        <w:jc w:val="left"/>
        <w:rPr>
          <w:rFonts w:ascii="Times New Roman" w:hAnsi="Times New Roman"/>
          <w:sz w:val="20"/>
        </w:rPr>
      </w:pPr>
      <w:r>
        <w:rPr>
          <w:rFonts w:ascii="Times New Roman" w:hAnsi="Times New Roman"/>
          <w:b/>
          <w:i/>
          <w:color w:val="000000"/>
          <w:sz w:val="20"/>
        </w:rPr>
        <w:t>If we or our collaborators are unable to enroll patients in clinical trials, these clinical trials may not be completed on a timely basis or at all.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timely completion of clinical trials largely depends on patient enrollment. Many factors affect patient enrollment,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public health crises, or geopolitical tensions, such as the ongoing war between Russia and Ukraine and the war in Israel;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perception about the relative efficacy of our product candidates versus other compounds in clinical development or commercially available;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evolving standard of care in treating cancer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size and nature of the patient population, especially in the case of an orphan indication, we are pursuing;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and location of clinical trial sites enrolled;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competition with other organizations or our own clinical trials for clinical trial sites or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eligibility and exclusion criteria for the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design of the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ability to obtain and maintain patient consent;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risk that enrolled subjects will drop out before completion.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a result of the above factors, there is a risk that our or our collaborators’ clinical trials may not be completed on a timely basis or at all.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be required to relinquish important rights to and control over the development and commercialization of our product candidates to our current or future collaborators.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collaborations, including any future strategic collaborations we enter into, could subject us to a number of risks,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required to undertake the expenditure of substantial operational, financial and management resources;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required to issue equity securities that would dilute our existing stockholders’ percentage of ownership;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required to assume substantial actual or contingent liabilities;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be able to control the amount and timing of resources that our strategic collaborators devote to the development or commercialization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strategic collaborators may delay clinical trials, provide insufficient funding, terminate a clinical trial or abandon a product candidate, repeat or conduct new clinical trials or require a new version of a product candidate for clinical testing;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strategic collaborators may not pursue further development and commercialization of products resulting from the strategic collaboration arrangement or may elect to discontinue research and development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strategic collaborators may not commit adequate resources to the marketing, sales and distribution of our product candidates, limiting our potential revenues from these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disputes may arise between us and our strategic collaborators that result in the delay or termination of the research, development or commercialization of our product candidates or that result in costly litigation or arbitration that diverts management’s attention and consumes resources;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strategic collaborators may experience financial difficulties;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strategic collaborators may not properly maintain or defend our intellectual property rights or may use our proprietary information in a manner that could jeopardize or invalidate our proprietary information or expose us to potential litigation;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business combinations or significant changes in a strategic collaborator’s business strategy may also adversely affect a strategic collaborator’s willingness or ability to complete its obligations under any arrangement;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strategic collaborators could decide to move forward with a competing product candidate developed either independently or in collaboration with others, including our competitors;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strategic collaborators could terminate the arrangement or allow it to expire, which would delay the development and may increase the cost of developing, our product candidates.</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explore strategic collaborations that may never materialize or may fail.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periodically explore a variety of possible strategic collaborations in an effort to gain access to additional product candidates or resources. At the current time, we cannot predict what form such a strategic collaboration might take. We are likely to face significant competition in seeking appropriate strategic collaborators, and strategic collaborations can be complicated and time consuming to negotiate and document. We may enter into strategic collaborations that we subsequently no longer wish to pursue, and we may not be able to negotiate strategic collaborations on acceptable terms, or at all. We are unable to predict when, if ever, we will enter into any additional strategic collaborations because of the numerous risks and uncertainties associated with establishing them.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The regulatory approval processes of the FDA and foreign regulatory authorities are lengthy, time-consuming and inherently unpredictable. Our inability to obtain regulatory approval for our product candidates would harm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and comparable foreign regulatory authorities extensively and rigorously regulate and evaluate the manufacture, testing, distribution, advertising and marketing of drug products prior to granting marketing approvals with respect to such products. This approval process generally requires, at minimum, testing of any product candidate in preclinical studies and clinical trials to establish its safety and effectiveness, and confirmation by the FDA and comparable foreign regulatory authorities that any such product candidate, and any parties involved in its manufacturing, testing and development, complied with current Good Manufacturing Practices, or cGMP, current Good Laboratory Practices and current Good Clinical Practices, regulations, standards and guidelines during such manufacturing, testing and development. The time required to obtain approval by the FDA and foreign regulatory authorities is unpredictable, but typically takes many years following the commencement of preclinical studies and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We have not obtained regulatory approval for any of our product candidates and it is possible that we will never obtain regulatory approval for our existing product candidates or any future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our product candidates could fail to receive regulatory approval from the FDA or foreign regulatory authorities for other reasons, including but not limited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to demonstrate that our product candidates are effective for their proposed indication and have an acceptable safety profile;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of clinical trials to meet the primary endpoints or level of statistical significance required for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to demonstrate that the clinical and other benefits of a product candidate outweigh any of its safety risks;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disagreement with our interpretation of data from preclinical studies or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disagreement with the design, size, conduct or implementation of our or our collaborators’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insufficiency of data collected from trials of our product candidates to support the submission and filing of an NDA, BLA or other submission or to obtain regulatory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to obtain approval of the manufacturing and testing processes or facilities of third-party manufacturers with whom we contract for clinical and commercial supplies;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receipt of a negative opinion from an advisory committee due to a change in the standard of care regardless of the outcome of the clinical trials;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approval policies or regulations that render our preclinical and clinical data insufficient for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or foreign regulatory authorities may require more information, including additional preclinical or clinical data, to support approval, which may delay or prevent approval and our commercialization plans, or may cause us to decide to abandon our development program. Even if we were to obtain approval, regulatory authorities may approve one or more of our product candidates for a more limited patient population than we request, may grant approval contingent on the performance of costly post-marketing trials, may impose a risk evaluation and mitigation strategy, or REMS, or foreign regulatory authorities may require the establishment or modification of a similar strategy that may, for instance, restrict distribution of one or more of our product candidates and impose burdensome implementation requirements on us, or may approve it with a label that does not include the labeling claims necessary or desirable for the successful commercialization of one or more of our product candidates, all of which could limit our ability to successfully commercialize our product candidates. Moreover, if adopted in the form proposed, the recent European Commission proposals to revise the existing European Union, or EU, laws governing authorization of medicinal products may result in a decrease in data and market exclusivity for our product candidates in the EU.</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Our product candidates may not achieve adequate market acceptance among physicians, patients, healthcare payors and others in the medical community to be commercially successful</w:t>
      </w:r>
      <w:r>
        <w:rPr>
          <w:rFonts w:ascii="Times New Roman" w:hAnsi="Times New Roman"/>
          <w:i/>
          <w:color w:val="000000"/>
          <w:sz w:val="20"/>
        </w:rPr>
        <w: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our product candidates receive regulatory approval, they may not gain sufficient market acceptance among physicians, patients, healthcare payors and others in the medical community. Our commercial success also depends on coverage and adequate reimbursement by third-party payors, including government payors, which may be difficult or time-consuming to obtain, may be limited in scope and may not be obtained in all jurisdictions in which we may seek to market our product candidates. The degree of market acceptance will depend on a number of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efficacy and safety profile as demonstrated in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of market introduction as well as competitive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clinical indications for which the product candidate is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acceptance of the product candidate as a safe and effective treatment by physicians, clinics and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potential and perceived advantages of our product candidates over alternative treatments;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treatment in relation to alternative treatments;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pricing and the availability of coverage and adequate reimbursement by third-party payors, including government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relative convenience and ease of administration;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frequency and severity of adverse events;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effectiveness of sales and marketing;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unfavorable publicity relating to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our product candidates are approved but do not achieve an adequate level of acceptance by physicians, hospitals, healthcare payors and patients, we may not generate sufficient revenue to become or remain profitable. </w:t>
      </w:r>
    </w:p>
    <w:p>
      <w:pPr>
        <w:pStyle w:val="TextBody"/>
        <w:bidi w:val="0"/>
        <w:spacing w:before="240" w:after="283"/>
        <w:jc w:val="left"/>
        <w:rPr>
          <w:rFonts w:ascii="Times New Roman" w:hAnsi="Times New Roman"/>
          <w:sz w:val="20"/>
        </w:rPr>
      </w:pPr>
      <w:r>
        <w:rPr>
          <w:rFonts w:ascii="Times New Roman" w:hAnsi="Times New Roman"/>
          <w:b/>
          <w:i/>
          <w:color w:val="000000"/>
          <w:sz w:val="20"/>
        </w:rPr>
        <w:t>We rely on third-party suppliers as well as Incyte to manufacture and distribute our clinical drug supplies for our product candidates, we intend to rely on third parties for commercial manufacturing and distribution of our product candidates and we expect to rely on third parties for manufacturing and distribution of preclinical, clinical and commercial supplies of any future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currently have, nor do we plan to acquire, the infrastructure or capability to manufacture or distribute preclinical, clinical or commercial quantities of drug substance or drug product, including our existing product candidates. While we expect to continue to depend on third-party manufacturers and Incyte for the foreseeable future, we do not have direct control over the ability of these parties to maintain adequate manufacturing capacity and capabilities to serve our needs, including quality control, quality assurance and qualified personnel. In addition, public health crises, may impact the ability of our existing or future manufacturers to perform their obligations to 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dependent on our third-party manufacturers and Incyte for compliance with cGMPs and for manufacture of both active drug substances and finished drug products. Facilities used by our third-party manufacturers and Incyte to manufacture drug substance and drug product for commercial sale must be approved by the FDA or other relevant foreign regulatory agencies pursuant to inspections that will be conducted after we submit our NDA or relevant foreign regulatory submission to the applicable regulatory agency. If our third-party manufacturers or Incyte cannot successfully manufacture materials that conform to our specifications and/or the strict regulatory requirements of the FDA or foreign regulatory agencies, they will not be able to secure and/or maintain regulatory approval for their manufacturing facilities. Furthermore, these third-party manufacturers are engaged with other companies to supply and/or manufacture materials or products for such companies, which also exposes our third-party manufacturers to regulatory risks for the production of such materials and products. As a result, failure to meet the regulatory requirements for the production of those materials and products may also affect the regulatory clearance of a third-party manufacturers’ facility. If the FDA or a foreign regulatory agency does not approve these facilities for the manufacture of our product candidates, or if it withdraws its approval in the future,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need to find alternative manufacturing facilities, which would impede or delay our ability to develop, obtain regulatory approval for or market our product candidates, if approved. </w:t>
      </w:r>
    </w:p>
    <w:p>
      <w:pPr>
        <w:pStyle w:val="TextBody"/>
        <w:bidi w:val="0"/>
        <w:spacing w:before="240" w:after="283"/>
        <w:jc w:val="left"/>
        <w:rPr>
          <w:rFonts w:ascii="Times New Roman" w:hAnsi="Times New Roman"/>
          <w:sz w:val="20"/>
        </w:rPr>
      </w:pPr>
      <w:r>
        <w:rPr>
          <w:rFonts w:ascii="Times New Roman" w:hAnsi="Times New Roman"/>
          <w:b/>
          <w:i/>
          <w:color w:val="000000"/>
          <w:sz w:val="20"/>
        </w:rPr>
        <w:t>Even if our product candidates receive regulatory approval, they may still face future development and regulatory difficulties.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we obtain regulatory approval for our product candidates, they would be subject to ongoing requirements by the FDA and foreign regulatory authorities governing the manufacture, quality control, further development, labeling, packaging, storage, distribution, safety surveillance, import, export, advertising, promotion, recordkeeping and reporting of safety and other post-market information. The FDA and foreign regulatory authorities will continue to monitor closely the safety profile of any product even after approval. If the FDA or foreign regulatory authorities become aware of new safety information after approval of a product candidate, they may require labeling changes or establishment of a REMS or similar strategy, impose significant restrictions on its indicated uses or marketing, or impose ongoing requirements for potentially costly post-approval studies or post-market surveillance.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manufacturers of drug products and their facilities are subject to continual review and periodic inspections by the FDA and other regulatory authorities for compliance with cGMP regulations and standards. If we or a regulatory agency discover previously unknown problems with a product, such as adverse events of unanticipated severity or frequency, or problems with the facility where the product is manufactured, a regulatory agency may impose restrictions on that product, the manufacturing facility or us, including withdrawal of the product from the market or suspension of manufacturing, or we may recall the product from distribution. If we, or our third-party manufacturers, fail to comply with applicable regulatory requirements, a regulatory agency may: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issue warning letters or untitled letters;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mandate modifications to promotional materials or require us to provide corrective information to healthcare practitioners;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us to enter into a consent decree, which can include imposition of various fines, reimbursements for inspection costs, required due dates for specific actions and penalties for noncompliance;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 an injunction or impose civil or criminal penalties or monetary fines;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suspend or withdraw regulatory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suspend any ongoing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refuse to approve pending applications or supplements to applications filed by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suspend or impose restrictions on operations, including costly new manufacturing requirements;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seize or detain products, or refuse to permit the import or export of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occurrence of any event or penalty described above may inhibit our ability to commercialize and generate revenue from the sale of our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Advertising and promotion of any product candidate that obtains approval in the United States is heavily scrutinized by the FDA’s Office of Prescription Drug Promotion, the Department of Justice, the Department of Health and Human Services’ Office of Inspector General, state attorneys general, members of Congress, other government agencies and the public. While physicians may prescribe products for off-label uses as the FDA and other regulatory agencies do not regulate a physician’s choice of drug treatment made in the physician’s independent medical judgment, they do restrict promotional communications from companies or their sales force with respect to off-label uses of products for which marketing clearance has not been issued. Companies may only share truthful and not misleading information that is otherwise consistent with a product’s FDA approved labeling. Violations, including promotion of our products for unapproved (or off-label) uses, may be subject to enforcement letters, inquiries and investigations, and civil and criminal sanctions by the government. Additionally, foreign regulatory authorities will heavily scrutinize advertising and promotion of any product candidate that obtains approval in their respective jurisdictions.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United States, engaging in the impermissible promotion of our products for off-label uses can also subject us to false claims litigation under federal and state statutes, which can lead to administrative, civil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criminal penalties, damages, monetary fines, disgorgement, individual imprisonment, exclusion from participation in Medicare, Medicaid and other federal healthcare programs, curtailment or restructuring of our operations and agreements that materially restrict the manner in which a company promotes or distributes drug products. These false claims statutes include, but are not limited to, the federal civil False Claims Act, which allows any individual to bring a lawsuit against an individual or entity, including a pharmaceutical or biopharmaceutical company on behalf of the federal government alleging the knowing submission of false or fraudulent claims, or causing to present such false or fraudulent claims, for payment or approval by a federal program such as Medicare or Medicaid. These False Claims Act lawsuits against pharmaceutical or biopharmaceutical companies have increased significantly in number and breadth, leading to several substantial civil and criminal settlements regarding certain sales practices, including promoting off-label drug uses involving fines in excess of $1.0 billion. This growth in litigation has increased the risk that a pharmaceutical company will have to defend a false claim action, pay settlement fines or restitution, agree to comply with burdensome reporting and compliance obligations, and be excluded from participation in Medicare, Medicaid and other federal and state healthcare programs. If we, or any partner that we may engage, do not lawfully promote our approved products, we may become subject to such litigation, which may have a material adverse effect on our business, financial condition and results of operations. </w:t>
      </w:r>
    </w:p>
    <w:p>
      <w:pPr>
        <w:pStyle w:val="TextBody"/>
        <w:bidi w:val="0"/>
        <w:spacing w:before="240" w:after="283"/>
        <w:jc w:val="left"/>
        <w:rPr>
          <w:rFonts w:ascii="Times New Roman" w:hAnsi="Times New Roman"/>
          <w:sz w:val="20"/>
        </w:rPr>
      </w:pPr>
      <w:r>
        <w:rPr>
          <w:rFonts w:ascii="Times New Roman" w:hAnsi="Times New Roman"/>
          <w:b/>
          <w:i/>
          <w:color w:val="000000"/>
          <w:sz w:val="20"/>
        </w:rPr>
        <w:t>Our product candidates may cause undesirable side effects or have other properties that could delay or prevent their regulatory approval, limit the commercial scope of their approved use, or result in significant negative consequences following any marketing approval.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Undesirable side effects caused by our product candidates could cause the interruption, delay or halting of the trials and could result in a more restrictive label or the delay or denial of regulatory approval by the FDA or other foreign regulatory authorities. Results of the clinical trials may reveal a high and unacceptable severity and prevalence of side effects or other unexpected characteristics. In such event, the trials could be suspended or terminated, or the FDA or foreign regulatory authorities could deny approval of our product candidates for any or all targeted indications. Drug-related side effects could affect patient recruitment or the ability of enrolled subjects to complete the trial or result in potential product liability claims. Any of these occurrences may harm our business, financial condition and prospects.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if our product candidates receive marketing approval, and we or others later identify undesirable side effects, a number of potentially significant negative consequences could result,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suspend marketing of, or withdraw or recall, the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authorities may withdraw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authorities may require additional warnings on the product labels;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or other regulatory authorities may issue safety alerts, Dear Healthcare Provider letters, press releases or other communications containing warnings about the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may require the establishment or modification of a REMS or foreign regulatory authorities may require the establishment or modification of a similar strategy that may, for instance, restrict distribution of the product and impose burdensome implementation requirements on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authorities may require that we conduct post-marketing studies;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could be sued and held liable for harm caused to subjects or patients;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reputation may suffer.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of these events could prevent us from achieving or maintaining market acceptance of our product candidates for use in targeted indications or otherwise materially harm its commercial prospects, if approved, and could harm our business, results of operations and prospects. </w:t>
      </w:r>
    </w:p>
    <w:p>
      <w:pPr>
        <w:pStyle w:val="TextBody"/>
        <w:bidi w:val="0"/>
        <w:spacing w:before="240" w:after="283"/>
        <w:jc w:val="left"/>
        <w:rPr>
          <w:rFonts w:ascii="Times New Roman" w:hAnsi="Times New Roman"/>
          <w:sz w:val="20"/>
        </w:rPr>
      </w:pPr>
      <w:r>
        <w:rPr>
          <w:rFonts w:ascii="Times New Roman" w:hAnsi="Times New Roman"/>
          <w:b/>
          <w:i/>
          <w:color w:val="000000"/>
          <w:sz w:val="20"/>
        </w:rPr>
        <w:t>Our failure to obtain regulatory approval in international jurisdictions would prevent us from marketing our product candidates outside the United States.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order to market and sell our product candidates in other jurisdictions, we must obtain separate marketing approvals for those jurisdictions and comply with their numerous and varying regulatory requirements. We may not obtain foreign regulatory approvals on a timely basis, or at all. The approval procedure varies among countries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product reimbursement approvals must be secured before regulatory authorities will approve the product for sale in that country. Obtaining foreign regulatory approvals and compliance with foreign regulatory requirements could result in significant delays, difficulties and costs for us and could delay or prevent the introduction of our product candidates in certain countries. Further, clinical trials conducted in one country may not be accepted by regulatory authorities in other countries and regulatory approval in one country does not ensure approval in any other country, while a failure or delay in obtaining regulatory approval in one country may have a negative effect on the regulatory approval process in others. Our failure to obtain approval of our product candidates by foreign regulatory authorities may negatively impact the commercial prospects of such product candidates and our business prospects could decline. Also, if regulatory approval for our product candidates is granted, it may be later withdrawn. If we fail to comply with the regulatory requirements in international jurisdictions and receive applicable marketing approvals, our target market will be reduced and our ability to realize the full market potential for our product candidates will be harmed and our business may be adversely affected. </w:t>
      </w:r>
    </w:p>
    <w:p>
      <w:pPr>
        <w:pStyle w:val="TextBody"/>
        <w:bidi w:val="0"/>
        <w:spacing w:before="240" w:after="283"/>
        <w:jc w:val="left"/>
        <w:rPr>
          <w:rFonts w:ascii="Times New Roman" w:hAnsi="Times New Roman"/>
          <w:sz w:val="20"/>
        </w:rPr>
      </w:pPr>
      <w:r>
        <w:rPr>
          <w:rFonts w:ascii="Times New Roman" w:hAnsi="Times New Roman"/>
          <w:b/>
          <w:i/>
          <w:color w:val="000000"/>
          <w:sz w:val="20"/>
        </w:rPr>
        <w:t>We face significant competition from other biotechnology and pharmaceutical companies, and our operating results will suffer if we fail to compete effectively.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Even if any of our product candidates received regulatory approval, such product candidates would face competition from other therapies in the relevant indication. For example, chronic graft versus host disease has historically been managed by off-label treatments. However, in the past several years, the FDA has approved three drugs, ibrutinib (</w:t>
      </w:r>
      <w:r>
        <w:rPr>
          <w:rFonts w:ascii="Times New Roman" w:hAnsi="Times New Roman"/>
          <w:i/>
          <w:color w:val="000000"/>
          <w:sz w:val="20"/>
        </w:rPr>
        <w:t>Imbruvica</w:t>
      </w:r>
      <w:r>
        <w:rPr>
          <w:rFonts w:ascii="Times New Roman" w:hAnsi="Times New Roman"/>
          <w:i/>
          <w:color w:val="000000"/>
          <w:sz w:val="13"/>
        </w:rPr>
        <w:t>®</w:t>
      </w:r>
      <w:r>
        <w:rPr>
          <w:rFonts w:ascii="Times New Roman" w:hAnsi="Times New Roman"/>
          <w:color w:val="000000"/>
          <w:sz w:val="20"/>
        </w:rPr>
        <w:t>), belomosidil (</w:t>
      </w:r>
      <w:r>
        <w:rPr>
          <w:rFonts w:ascii="Times New Roman" w:hAnsi="Times New Roman"/>
          <w:i/>
          <w:color w:val="000000"/>
          <w:sz w:val="20"/>
        </w:rPr>
        <w:t>Rezurock</w:t>
      </w:r>
      <w:r>
        <w:rPr>
          <w:rFonts w:ascii="Times New Roman" w:hAnsi="Times New Roman"/>
          <w:color w:val="000000"/>
          <w:sz w:val="13"/>
        </w:rPr>
        <w:t>®</w:t>
      </w:r>
      <w:r>
        <w:rPr>
          <w:rFonts w:ascii="Times New Roman" w:hAnsi="Times New Roman"/>
          <w:color w:val="000000"/>
          <w:sz w:val="20"/>
        </w:rPr>
        <w:t>) and ruxolitinib (</w:t>
      </w:r>
      <w:r>
        <w:rPr>
          <w:rFonts w:ascii="Times New Roman" w:hAnsi="Times New Roman"/>
          <w:i/>
          <w:color w:val="000000"/>
          <w:sz w:val="20"/>
        </w:rPr>
        <w:t>Jakafi</w:t>
      </w:r>
      <w:r>
        <w:rPr>
          <w:rFonts w:ascii="Times New Roman" w:hAnsi="Times New Roman"/>
          <w:color w:val="000000"/>
          <w:sz w:val="13"/>
        </w:rPr>
        <w:t>®</w:t>
      </w:r>
      <w:r>
        <w:rPr>
          <w:rFonts w:ascii="Times New Roman" w:hAnsi="Times New Roman"/>
          <w:color w:val="000000"/>
          <w:sz w:val="20"/>
        </w:rPr>
        <w:t>), for use in patients with cGVHD after failure of one or more lines of systemic therapy. All three of these drugs may compete with axatilimab in patients diagnosed with cGVHD.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Revumenib is being developed for the treatment of R/R adult and pediatric patients with KMT2Ar ALL, KMT2Ar AML and NPM1 mutant AML. At this time, there are no drugs approved for these defined populations and patients are managed using the standard of care treatment regimens developed for general AML and ALL populations. While there are other agents in early development for similar populations, revumenib has the potential to be the first defined therapy for patients with KMT2Ar ALL, KMT2Ar AML and/or NPM1 mutant AML.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Existing or potential competitors have substantially greater financial, technical and human resources than we do and significantly greater experience in the discovery and development of product candidates, obtaining FDA and other regulatory approvals of products and the commercialization of those products. Our competitors may be more successful than us in obtaining FDA approval for drugs and achieving widespread market acceptance. Our competitors’ drugs may be more effective or more effectively marketed and sold than any drug we may commercialize and may render our product candidates obsolete or non-competitive before we can recover the expenses of developing and commercializing any of our product candidates. Our competitors may also obtain FDA or other regulatory approval for their products more rapidly than we may obtain approval for ours. We anticipate that we will face intense and increasing competition as new drugs enter the market and advanced technologies become available.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our ability to successfully compete will depend on, among other things: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efficacy and safety profile of our product candidates relative to marketed products and product candidates in development by third parties;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time it takes for our product candidates to complete clinical development and receive marketing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commercialize our product candidates if they receive regulatory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price of our product candidates, including in comparison to branded or generic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whether coverage and adequate levels of reimbursement are available under private and governmental health insurance plans, including Medicare;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manufacture commercial quantities of our product candidates if they receive regulatory approval; and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negotiate preferential formulary status for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we obtain regulatory approval of our product candidates, the availability, commercial formulary placement, and price of our competitors’ products could limit the demand and the price we are able to charge. We may not be able to implement our business plan if the acceptance of our product candidates is inhibited by price competition or the reluctance of physicians to switch from existing methods of treatment, or if physicians switch to other new drug or biologic products or choose to reserve our drugs for use in limited circumstances.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Certain of our investigational products may require companion diagnostics in certain indications. Failure to successfully develop, validate and obtain regulatory clearance or approval for such tests could harm our product development strategy or prevent us from realizing the full commercial potential of our investigational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Companion diagnostics are subject to regulation by the FDA and comparable foreign regulatory authorities as a medical device and may require separate regulatory authorization prior to commercialization. Certain of our revumenib clinical trials include the use of an investigational or laboratory developed diagnostic test to help identify eligible patients. We currently do not have any plans to develop diagnostic tests internally. We are therefore dependent on the sustained cooperation and effort of third-party collaborators in developing and, if our investigational products are approved for use only with an approved companion diagnostic test, obtaining approval and commercializing these tests. If these parties are unable to successfully develop companion diagnostics for our investigational products, or experience delays in doing so, the development of our investigational products may be adversely affected and we may not be able to obtain marketing authorization for these investigational products. Furthermore, our ability to market and sell, as well as the commercial success, of any of our investigational products that require a companion diagnostic will be tied to, and dependent upon, the receipt of required regulatory authorization and the continued ability of such third parties to make the companion diagnostic commercially available on reasonable terms in the relevant geographies. Any failure to develop, validate, obtain and maintain marketing authorization and supply for a companion diagnostic we need may harm our business prospects.</w:t>
      </w:r>
    </w:p>
    <w:p>
      <w:pPr>
        <w:pStyle w:val="TextBody"/>
        <w:bidi w:val="0"/>
        <w:spacing w:before="240" w:after="283"/>
        <w:jc w:val="left"/>
        <w:rPr>
          <w:rFonts w:ascii="Times New Roman" w:hAnsi="Times New Roman"/>
          <w:sz w:val="20"/>
        </w:rPr>
      </w:pPr>
      <w:r>
        <w:rPr>
          <w:rFonts w:ascii="Times New Roman" w:hAnsi="Times New Roman"/>
          <w:b/>
          <w:i/>
          <w:color w:val="000000"/>
          <w:sz w:val="20"/>
        </w:rPr>
        <w:t>We are dependent on UCB Biopharma Sprl, or UCB, to comply with the terms of our license agreement for axatilimab.</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commercial success also depends upon our ability to develop, manufacture, market and sell axatilimab. We have a worldwide, sublicensable, exclusive license to axatilimab pursuant to a license agreement with UCB. Certain of the rights licensed to us under the UCB license agreement are in-licensed by UCB from third parties. We are dependent on UCB maintaining the applicable third-party license agreements in full force and effect, which may include activities and performance obligations that are not within our control. If any of these third-party license agreements terminate, certain of our rights to develop, manufacture, commercialize or sell axatilimab may be terminated as well. The occurrence of any of these events could adversely affect the development and commercialization of axatilimab, and materially harm our business.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employees, consultants and collaborators may engage in misconduct or other improper activities, including insider trading and non-compliance with regulatory standards and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exposed to the risk that our employees, consultants, distributors, and collaborators may engage in fraudulent or illegal activity. Misconduct by these parties could include intentional, reckless or negligent conduct or disclosure of unauthorized activities to us that violates the regulations of the FDA and non-U.S. regulators, including those laws requiring the reporting of true, complete and accurate information to such regulators, manufacturing standards, healthcare fraud and abuse laws and regulations in the United States and abroad or laws that require the true, complete and accurate reporting of financial information or data. In particular, sales, marketing and business arrangements in the healthcare industry, including the sale of pharmaceuticals,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It is not always possible to identify and deter misconduct by our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result in the imposition of significant fines or other sanctions, including the imposition of civil, criminal and administrative penalties, damages, monetary fines, disgorgement, individual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imprisonment, possible exclusion from participation in Medicare, Medicaid and other federal healthcare programs, additional reporting obligations and oversight if we become subject to a corporate integrity agreement or other agreement to resolve allegations of non-compliance with these laws, contractual damages, reputational harm, diminished profits and future earnings and curtailment of operations, any of which could adversely affect our ability to operate our business and our results of operations. Whether or not we are successful in defending against such actions or investigations, we could incur substantial costs, including legal fees, and divert the attention of management in defending ourselves against any of these claims or investigations.</w:t>
      </w:r>
    </w:p>
    <w:p>
      <w:pPr>
        <w:pStyle w:val="TextBody"/>
        <w:bidi w:val="0"/>
        <w:spacing w:before="240" w:after="283"/>
        <w:jc w:val="left"/>
        <w:rPr>
          <w:rFonts w:ascii="Times New Roman" w:hAnsi="Times New Roman"/>
          <w:sz w:val="20"/>
        </w:rPr>
      </w:pPr>
      <w:r>
        <w:rPr>
          <w:rFonts w:ascii="Times New Roman" w:hAnsi="Times New Roman"/>
          <w:b/>
          <w:i/>
          <w:color w:val="000000"/>
          <w:sz w:val="20"/>
        </w:rPr>
        <w:t>We must attract and retain additional highly skilled employees in order to succeed.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succeed, we must recruit, retain, manage and motivate qualified clinical, scientific, technical, commercial and management personnel and we face significant competition for experienced personnel. If we do not succeed in attracting and retaining qualified personnel, particularly at the management level, it could adversely affect our ability to execute our business plan and harm our operating results. In particular, the loss of one or more of our executive officers could be detrimental to us if we cannot recruit suitable replacements in a timely manner. The competition for qualified personnel in the pharmaceutical and biopharmaceutical industries is intense and as a result, we may be unable to continue to attract and retain qualified personnel necessary for the development of our business or to recruit suitable replacement personnel.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at which we can discover and develop product candidates and our business will be limited.</w:t>
      </w:r>
    </w:p>
    <w:p>
      <w:pPr>
        <w:pStyle w:val="TextBody"/>
        <w:bidi w:val="0"/>
        <w:spacing w:before="240" w:after="283"/>
        <w:jc w:val="left"/>
        <w:rPr>
          <w:rFonts w:ascii="Times New Roman" w:hAnsi="Times New Roman"/>
          <w:sz w:val="20"/>
        </w:rPr>
      </w:pPr>
      <w:r>
        <w:rPr>
          <w:rFonts w:ascii="Times New Roman" w:hAnsi="Times New Roman"/>
          <w:b/>
          <w:i/>
          <w:color w:val="000000"/>
          <w:sz w:val="20"/>
        </w:rPr>
        <w:t>Even if we commercialize our product candidates, they or any other product candidates that we develop, may become subject to unfavorable pricing regulations or third-party coverage or reimbursement practices, which could harm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successfully commercialize our existing product candidates, or any other product candidates that we develop, will depend in part on the extent to which coverage and adequate reimbursement for these products and related treatments will be available from third-party payors, including government healthcare programs, private health insurers, pharmacy benefit managers, managed care plans and other organizations. Third-party payors determine which medications they will cover and establish reimbursement levels. Third-party payors have attempted to control costs by limiting coverage and the amount of reimbursement for particular medications. Increasingly, third-party payors are requiring that drug companies provide them with predetermined rebates and discounts from list prices and are challenging the prices charged for medical products.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cannot be sure that coverage and reimbursement will be available for any product that we commercialize and, if reimbursement is available, what the level of reimbursement will be. Limitation on coverage and reimbursement may impact the demand for, or the price of, and our ability to successfully commercialize any product candidates that we develop.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may be significant delays in obtaining adequate coverage and reimbursement for newly approved drugs, and coverage may be more limited than the indications for which the drug is approved by the FDA or foreign regulatory authorities. Moreover, eligibility for coverage and reimbursement does not imply that a drug will be paid for in all cases or at a rate that covers our costs, including research, development, manufacture, marketing, sale and distribution expenses. Interim reimbursement levels for new drugs, if applicable, may also not be sufficient to cover our costs and may only be temporary.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Private payors often follow decisions by Center for Medicare &amp; Medicaid Services, or CMS, regarding coverage and reimbursement to a substantial degree. However, one payor’s determination to provide coverage for a drug product does not assure that other payors will also provide coverage for the drug product. As a result,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 Our inability to promptly obtain coverage and adequate reimbursement rates from both government-funded and private payors for any approved products that we develop could have an adverse effect on our operating results, our ability to raise capital needed to commercialize products and our overall financial condition.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regulations that govern marketing approvals,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may obtain marketing approval for our product candidates in a particular country, but be subject to price regulations that delay our commercial launch of the product, possibly for lengthy time periods, which could negatively impact the revenues we generate from the sale of the product in that particular country. Adverse pricing limitations may hinder our ability to recoup our investment even if our product candidates obtain marketing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can be no assurance that our product candidates, if they are approved for sale in the United States or in other countries, will be considered medically reasonable and necessary for a specific indication, that it will be considered cost effective by third-party payors, that coverage and an adequate level of reimbursement will be available, or that third-party payors’ reimbursement policies will not adversely affect our ability to sell our product candidates profitably. Even if favorable coverage status and adequate reimbursement rates are attained, less favorable coverage policies and reimbursement rates may be implemented in the future.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Current and future legislation may increase the difficulty and cost for us to commercialize our product candidates and affect the prices we may obtain.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United States and many foreign jurisdictions have enacted or proposed legislative and regulatory changes affecting the healthcare system that could prevent or delay marketing approval of our product candidates, restrict or regulate post-approval activities and affect our ability to profitably sell any product candidate for which we obtain marketing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example, then President Obama signed into law the Affordable Care Act. Among other cost containment measures, the Affordable Care Act established an annual, nondeductible fee on any entity that manufactures or imports branded prescription drugs and biologic agents, a Medicare Part D coverage gap discount program, and a formula that increased the rebates a manufacturer must pay under the Medicaid Drug Rebate Program.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have been executive, judicial and Congressional challenges to certain aspects of the Affordable Care Act.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While Congress has not passed comprehensive repeal legislation, several bills affecting the implementation of certain taxes under the Affordable Care Act have been signed into law. The Tax Cuts and Jobs Act of 2017 includes a provision that repealed, effective January 1, 2019, the tax-based shared responsibility payment imposed by the Affordable Care Act on certain individuals who fail to maintain qualifying health coverage for all or part of a year that is commonly referred to as the “individual mandate.” On June 17, 2021, the U.S. Supreme Court dismissed a challenge on procedural grounds that argued the Affordable Care Act is unconstitutional in its entirety because the “individual mandate” was repealed by Congress. On August 16, 2022, President Biden signed the Inflation Reduction Act of 2022 or IRA, into law, which among other things, extends enhanced subsidies for individuals purchasing health insurance coverage in Affordable Care Act marketplaces through plan year 2025. The IRA also eliminates the “donut hole” under the Medicare Part D program beginning in 2025 by significantly lowering the beneficiary maximum out-of-pocket costs through a newly established manufacturer discount program. It is possible that the Affordable Care Act will be subject to judicial or Congressional challenges in the future. It is unclear how any such challenges and the healthcare reform measures of the Biden administration will impact the Affordable Care Act and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legislative changes have been proposed and adopted since the Affordable Care Act was enacted. These changes include aggregate reductions to Medicare payments to providers of up to 2% per fiscal year, which began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2013, and due to subsequent legislative amendments to the statute, will remain in effect through 2032 unless additional Congressional action is taken.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 changes that may affect our business include the expansion of new programs such as Medicare payment for performance initiatives for physicians under the Medicare Access and CHIP Reauthorization Act of 2015, or MACRA, which ended the use of the statutory formula and established a quality payment program, also referred to as the Quality Payment Program. Under both APMs and MIPS, performance data collected each performance year will affect Medicare payments in later years, including potentially reducing payments.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Also, there has been heightened governmental scrutiny recently over the manner in which drug manufacturers set prices for their marketed products, which have resulted in several, Presidential executive orders,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At the federal level, in July 2021, the Biden administration released an executive order, “Promoting Competition in the American Economy,” with multiple provisions aimed at prescription drugs. In response to President Biden’s executive order, on September 9, 2021, the U.S. Department of Health and Human Services, or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In addition, the IRA, among other things, (i) directs the Secretary of HHS to negotiate the price of certain high-expenditure, single-source drugs and biologics covered under Medicare Part B and Medicare Part D, and subjects drug manufacturers to civil monetary penalties and a potential excise tax by offering a price that is not equal to or less than the negotiated “maximum fair price” under the law, and (ii) imposes rebates under Medicare Part B and Medicare Part D to penalize price increases that outpace inflation. These provisions take effect progressively starting in fiscal year 2023. On August 29, 2023, HHS announced the list of the first ten drugs that will be subject to price negotiations, although the Medicare drug price negotiation program is currently subject to legal challenges. In response to the Biden administration’s October 2022 executive order, on February 14, 2023, HHS released a report outlining three new models for testing by the CMS Innovation Center which will be evaluated on their ability to lower the cost of drugs, promote accessibility, and improve quality of care. It is unclear whether the models will be utilized in any health reform measures in the future. Further, on December 7, 2023, the Biden administration announced an initiative to control the price of prescription drugs through the use of march-in rights under the Bayh-Dole Act. On December 8, 2023,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 While march-in rights have not previously been exercised, it is uncertain if that will continue under the new framework. At the state level, legislatures have increasingly passed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on January 5, 2024, the FDA approved Florida’s Section 804 Importation Program, or SIP, proposal to import certain drugs from Canada for specific state healthcare programs. It is unclear how this program will be implemented, including which drugs will be chosen, and whether it will be subject to legal challenges in the United States or Canada. Other states have also submitted SIP proposals that are pending review by the FDA. Any such approved importation plans, when implemented, may result in lower drug prices for products covered by those programs.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these and other healthcare reform measures that may be adopted in the future, may result in more rigorous coverage criteria and in additional downward pressure on the price that we receive for any approved drug. For example, based on a recent executive order, the Biden administration expressed its intent to pursue certain policy initiatives to reduce drug prices.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are in the process of building our sales, marketing and distribution infrastructure.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order to market any approved product candidate in the future, we must build our sales, marketing, distribution, managerial and other non-technical capabilities or make arrangements with third parties to perform these services, as we do not presently have all of these capabilities. To develop our internal sales, distribution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marketing capabilities, we must invest significant amounts of financial and management resources in the future. For drugs where we decide to perform sales, marketing and distribution functions ourselves, we could face a number of challenges, including that: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be able to attract and build an effective marketing or sales organization;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establishing, training and providing regulatory oversight for a marketing or sales force may not be justifiable in light of the revenues generated by any particular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direct or indirect sales and marketing efforts may not be successful;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are significant legal and regulatory risks in drug marketing and sales that we have never faced, and any failure to comply with all legal and regulatory requirements for sales, marketing and distribution could result in enforcement action by the FDA or other authorities that could jeopardize our ability to market the product or could subject us to substantial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Alternatively, we may rely on third parties to launch and market our product candidates, if approved. We may have limited or no control over the sales, marketing and distribution activities of these third parties and our future revenue may depend on the success of these third parties. Additionally, if these third parties fail to comply with all applicable legal or regulatory requirements, the FDA or another governmental agency could take enforcement action that could jeopardize their ability and our ability to market our product candidates. </w:t>
      </w:r>
    </w:p>
    <w:p>
      <w:pPr>
        <w:pStyle w:val="TextBody"/>
        <w:bidi w:val="0"/>
        <w:spacing w:before="240" w:after="283"/>
        <w:jc w:val="left"/>
        <w:rPr>
          <w:rFonts w:ascii="Times New Roman" w:hAnsi="Times New Roman"/>
          <w:sz w:val="20"/>
        </w:rPr>
      </w:pPr>
      <w:r>
        <w:rPr>
          <w:rFonts w:ascii="Times New Roman" w:hAnsi="Times New Roman"/>
          <w:b/>
          <w:i/>
          <w:color w:val="000000"/>
          <w:sz w:val="20"/>
        </w:rPr>
        <w:t>Product liability lawsuits against us could cause us to incur substantial liabilities and to limit commercialization of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face an inherent risk of product liability exposure related to the testing of our product candidates in human trials and will face an even greater risk if we commercially sell any products that we may develop. Product liability claims may be brought against us by subjects enrolled in our trials, patients, healthcare providers or others using, administering or selling our products. If we cannot successfully defend ourselves against claims that our product candidates or other products that we may develop caused injuries, we could incur substantial liabilities. Regardless of merit or eventual outcome, liability claims may result in: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decreased demand for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termination of clinical trial sites or entire trial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injury to our reputation and significant negative media attention;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withdrawal of trial participants;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significant costs to defend the related litigation;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substantial monetary awards to trial subjects or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diversion of management and scientific resources from our business operations;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inability to commercialize any products that we may develop.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While we currently hold trial liability insurance coverage consistent with industry standards, this may not adequately cover all liabilities that we may incur. We also may not be able to maintain insurance coverage at a reasonable cost or in an amount adequate to satisfy any liability that may arise in the future. We intend to expand our insurance coverage for products to include the sale of commercial products if we obtain marketing approval for our product candidates, but we may be unable to obtain commercially reasonable product liability insurance. A successful product liability claim or series of claims brought against us, particularly if judgments exceed our insurance coverage, could decrease our cash and adversely affect our business and financial condition. </w:t>
      </w:r>
    </w:p>
    <w:p>
      <w:pPr>
        <w:pStyle w:val="TextBody"/>
        <w:bidi w:val="0"/>
        <w:spacing w:before="120" w:after="283"/>
        <w:jc w:val="left"/>
        <w:rPr/>
      </w:pPr>
      <w:r>
        <w:rPr/>
        <w:t> </w:t>
      </w:r>
    </w:p>
    <w:p>
      <w:pPr>
        <w:pStyle w:val="TextBody"/>
        <w:bidi w:val="0"/>
        <w:jc w:val="left"/>
        <w:rPr>
          <w:rFonts w:ascii="Times New Roman" w:hAnsi="Times New Roman"/>
          <w:sz w:val="20"/>
        </w:rPr>
      </w:pPr>
      <w:r>
        <w:rPr>
          <w:rFonts w:ascii="Times New Roman" w:hAnsi="Times New Roman"/>
          <w:b/>
          <w:i/>
          <w:color w:val="000000"/>
          <w:sz w:val="20"/>
        </w:rPr>
        <w:t>Our relationships with healthcare providers, customers and third-party payors will be subject to applicable anti-kickback, fraud and abuse, transparency and other healthcare laws and regulations as well as privacy and data security laws and regulations, which could expose us to criminal sanctions, civil penalties, contractual damages,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reputational harm, fines, exclusion from participation in government healthcare programs, curtailments or restrictions of our operations, administrative burdens and diminished profits and future earnings.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Healthcare providers, including physicians and third-party payors play a primary role in the recommendation and prescription of any product candidates for which we obtain marketing approval. Our current and future arrangements with healthcare providers, third-party payors and customers may expose us to broadly applicable fraud and abuse and other healthcare laws and regulations that may constrain the business or financial arrangements and relationships through which we conduct clinical research and market, sell and distribute our products for which we obtain marketing approval. Restrictions under applicable federal and state healthcare laws and regulations, include, but are not limited to,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Anti-Kickback Statute prohibits persons from, among other things, knowingly and willfully soliciting, offering, receiving or providing remuneration, directly or indirectly, in cash or in kind, to induce or reward, or in return for, the referral of an individual for the furnishing or arranging for the furnishing, or the purchase, lease or order, or arranging for or recommending purchase, lease or order, or any good or service for which payment may be made under a federal healthcare program such as Medicare and Medicaid;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Anti-Kickback Statute has been interpreted to apply to arrangements between pharmaceutical manufacturers on the one hand, and prescribers, purchasers and formulary managers on the other.;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Affordable Care Act amended the intent requirement of the federal Anti-Kickback Statute so that a person or entity no longer needs to have actual knowledge of this statute or specific intent to violate it in order to have committed a violation;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false claims, including the federal civil False Claims Act, impose criminal and civil penalties, including through civil whistleblower or qui tam actions, and civil monetary penalties laws, which prohibit knowingly presenting, or causing to be presented, to the federal government, claims for payment that are false or fraudulent or making a false statement to avoid, decrease or conceal an obligation to pay money to the federal government;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Health Insurance Portability and Accountability Act of 1996, or HIPAA, which prohibits, among other things, knowingly and willfully executing, or attempting to execute, a scheme or artifice to defraud any healthcare benefit program or obtain, by means of false or fraudulent pretenses, representations, or promises, any of the money or property owned by, or under the custody or control of, any healthcare benefit program, regardless of the payor (e.g., public or private), willfully obstructing a criminal investigation of a healthcare offense, and knowingly and willfully falsifying, concealing or covering up by any trick or device a material fact or making any materially false, fictitious or fraudulent statements in connection with the delivery of, or payment for, healthcare benefits, items or services relating to healthcare matters;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HIPAA, as amended by the Health Information Technology for Economic and Clinical Health Act of 2009, or HITECH, also imposes obligations on covered entities, including certain health care providers, health plans and health care clearinghouses as well as their business associates that perform certain services involving the use or disclosure of individually identifiable health information for or on behalf of such covered entities, and their covered subcontractors, with respect to safeguarding the privacy, security and transmission of individually identifiable health information;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Physician Payments Sunshine Act requires certain manufacturers of drugs, devices, biologics and medical supplies for which payment is available under Medicare, Medicaid or the Children’s Health Insurance Program to report annually to CMS information related to “payments or other transfers of value” made to physicians (defined to include doctors, dentists, optometrists, podiatrists and chiropractors), other healthcare professionals (such as physician assistants and nurse practitioners), and teaching hospitals and applicable manufacturers and applicable group purchasing organizations to report annually to CMS ownership and investment interests held by physicians (as defined above) and their immediate family members;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analogous state and foreign laws and regulations, such as state anti-kickback and false claims laws, which may apply to sales or marketing arrangements and claims involving healthcare items or services reimbursed by non-governmental third-party payors, including private insurers; state and foreign laws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that require pharmaceutical companies to comply with the pharmaceutical industry’s voluntary compliance guidelines and the relevant compliance guidance promulgated by the federal government or otherwise restrict payments that may be made to healthcare providers; state and foreign laws that require drug manufacturers to report information related to payments and other transfers of value to physicians and other healthcare providers or marketing expenditures; state laws that require manufacturers to report pricing information regarding certain drugs; state and local laws that require the registration of pharmaceutical sales representatives; state and foreign laws that govern the privacy and security of health information in certain circumstances, many of which differ from each other in significant ways and often are not preempted by HIPAA, thus complicating compliance efforts; and federal, state, and foreign laws that govern the privacy and security of other personal information, including federal and state consumer protection laws, state data security laws, and data breach notification laws (a data breach affecting sensitive personal information, including health information, could result in significant legal and financial exposure and reputational damages).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Efforts to ensure that our business arrangements with third parties and our business generally, will comply with applicable healthcare laws and regulations will involve substantial costs. It is possible that governmental authorities will conclude that our business practices may not comply with current or future statutes, regulations or case law interpreting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disgorgement, imprisonment, exclusion from government funded healthcare programs, such as Medicare and Medicaid, contractual damages, reputational harm, additional reporting requirements and oversight if we become subject to a corporate integrity agreement or similar agreement to resolve allegations of non-compliance with these laws,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physician or other healthcare provider or entity with whom we expect to do business is found not to be in compliance with applicable laws, that person or entity may be subject to criminal, civil or administrative sanctions, including exclusions from government-funded healthcare programs.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are subject to stringent and evolving U.S. and foreign laws, regulations, and rules, contractual obligations, industry standards, policies and other obligations related to data privacy and security. Our actual or perceived failure to comply with such obligations could lead to regulatory investigations or actions; litigation (including class claims) and mass arbitration demands; fines and penalties; disruptions of our business operations; reputational harm; loss of revenue or profits; and other adverse business consequences.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ordinary course of business, we collect, receive, store, process, generate, use, transfer, disclose, make accessible, protect, secure, dispose of, transmit, and share, or collectively, process, personal data and other sensitive information, including proprietary and confidential business data, trade secrets, intellectual property, sensitive third-party data, business plans, transactions, clinical trial data and financial information or collectively, sensitive data.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data processing activities subject us to numerous data privacy and security obligations, such as various laws, regulations, guidance, industry standards, external and internal privacy and security policies, contractual requirements, and other obligations relating to data privacy and security.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 For example, the federal Health Insurance Portability and Accountability Act of 1996, or HIPAA, as amended by the Health Information Technology for Economic and Clinical Health Act, or HITECH, imposes specific requirements relating to the privacy, security, and transmission of individually identifiable protected health information. For more information regarding risks associated with HIPAA, please refer to the section above that discusses risks associated with healthcare laws and regulations.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past few years, numerous U.S. states—including California, Virginia, Colorado, Connecticut, and Utah—have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information, such as conducting data privacy impact assessments. These state laws allow for statutory fines for noncompliance. For example, the California Consumer Privacy Act of 2018, as amended by the California Privacy Rights Act of 2020, or CPRA and collectively, CCPA, applies to personal data of consumers, business representatives, and employees who are California residents, and requires businesses to provide specific disclosures in privacy notices and honor requests of such individuals to exercise certain privacy rights. The CCPA provides for fines of up to $7,500 per intentional violation and allows private litigants affected by certain data breaches to recover significant statutory damages. Although there are limited exemptions for clinical trial data under the CCPA, the CCPA and other similar laws may impact (possibly significantly) our business activities depending on how it is interpreted, should we become subject to the CCPA in the future. Similar laws are being considered in several other states, as well as at the federal and local levels, and we expect more states to pass similar laws in the future. These developments may further complicate compliance efforts and increase legal risk and compliance costs for us and the third parties upon whom we rely.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Outside the United States, an increasing number of laws, regulations, and industry standards may govern data privacy and security. For example, the European Union’s General Data Protection Regulation, or EU GDPR, and the United Kingdom’s GDPR, or UK GDPR, impose strict requirements for processing personal data. For example, under GDPR, companies may face temporary or definitive bans on data processing and other corrective actions; fines of up to 20 million Euros under the EU GDPR, 17.5 million pounds sterling under the UK GDPR or, in each case, 4% of annual global revenue, whichever is greater; or private litigation related to processing of personal data brought by classes of data subjects or consumer protection organizations authorized at law to represent their interests.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subject to new laws governing the privacy of consumer health data, including reproductive, sexual orientation, and gender identity privacy rights. For example, Washington’s My Health My Data Act, or MHMD, broadly defines consumer health data, places restrictions on processing consumer health data (including imposing stringent requirements for consents), provides consumers certain rights with respect to their health data, and creates a private right of action to allow individuals to sue for violations of the law. Other states are considering and may adopt similar laws.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employees and personnel may occasionally use generative artificial intelligence, or AI, technologies to perform their work, and the disclosure and use of personal data in generative AI technologies is subject to various privacy laws and other privacy obligations. Governments have passed and are likely to pass additional laws regulating generative AI. Our use of this technology could result in additional compliance costs, regulatory investigations and actions, and lawsuits. If we are unable to use generative AI, it could make our business less efficient and result in competitive disadvantages.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we may be unable to transfer personal data from Europe and other jurisdictions to the United States or other countries due to data localization requirements or limitations on cross-border data flows. Europe and other jurisdictions have enacted laws requiring data to be localized or limiting the transfer of personal data to other countries. In particular, the European Economic Area, or EEA, and the United Kingdom, or UK, have significantly restricted the transfer of personal data to the United States and other countries whose privacy laws it generally believes are inadequate. Other jurisdictions may adopt similarly stringent interpretations of their data localization and cross-border data transfer laws. Although there are currently various mechanisms that may be used to transfer personal data from the EEA and UK to the United States in compliance with law, such as the EEA’s standard contractual clauses, the UK’s International Data Transfer Agreement / Addendum, and the EU-U.S. Data Privacy Framework and the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United States. If there is no lawful manner for us to transfer personal data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(such as Europe)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UK to other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jurisdictions, particularly to the United States, are subject to increased scrutiny from regulators, individual litigants, and activities groups. Some European regulators have ordered certain companies to suspend or permanently cease certain transfers of personal data out of Europe for allegedly violating the GDPR’s cross-border data transfer limitations.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data privacy and security laws, we are bound by other contractual obligations related to data privacy and security, and our efforts to comply with such obligations may not be successful. We also publish privacy policies, marketing materials, and other statements regarding data privacy and security and if these policies, materials, or statements are found to be deficient, lacking in transparency, deceptive, unfair, or misrepresentative of our practices, we may be subject to investigation, enforcement actions by regulators, or other adverse consequences.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Obligations related to data privacy and security (and consumers’ data privacy expectations)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and may necessitate changes to our services, information technologies, systems, and practices and to those of any third parties that process personal data on our behalf.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at times fail (or be perceived to have failed) in our efforts to comply with our data privacy and security obligations. Moreover, despite our efforts, our personnel or third parties on whom we rely may fail to comply with such obligations, which could negatively impact our business operations. If we or the third parties on which we rely fail, or are perceived to have failed, to address or comply with applicable data privacy and security obligations, we could face significant consequences, including but not limited to: government enforcement actions (e.g., investigations, fines, penalties, audits, inspections, and similar); litigation (including class-action claims) and mass arbitration demands; additional reporting requirements and/or oversight; bans on processing personal data (including clinical trial data); and orders to destroy or not use personal data.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loss of customers; inability to process personal data or to operate in certain jurisdictions; limited ability to develop or commercialize our products; expenditure of time and resources to defend any claim or inquiry; adverse publicity; or substantial changes to our business model or operations. </w:t>
      </w:r>
    </w:p>
    <w:p>
      <w:pPr>
        <w:pStyle w:val="TextBody"/>
        <w:bidi w:val="0"/>
        <w:spacing w:before="240" w:after="283"/>
        <w:jc w:val="left"/>
        <w:rPr>
          <w:rFonts w:ascii="Times New Roman" w:hAnsi="Times New Roman"/>
          <w:sz w:val="20"/>
        </w:rPr>
      </w:pPr>
      <w:r>
        <w:rPr>
          <w:rFonts w:ascii="Times New Roman" w:hAnsi="Times New Roman"/>
          <w:b/>
          <w:i/>
          <w:color w:val="000000"/>
          <w:sz w:val="20"/>
        </w:rPr>
        <w:t>If our information technology systems, or our data are or were compromised, we could experience adverse consequences resulting from such compromise, including but not limited to regulatory investigations or actions; fines and penalties; disruptions of our business operations; reputational harm;</w:t>
      </w:r>
      <w:r>
        <w:rPr>
          <w:rFonts w:ascii="Times New Roman" w:hAnsi="Times New Roman"/>
          <w:color w:val="000000"/>
          <w:sz w:val="20"/>
        </w:rPr>
        <w:t xml:space="preserve"> </w:t>
      </w:r>
      <w:r>
        <w:rPr>
          <w:rFonts w:ascii="Times New Roman" w:hAnsi="Times New Roman"/>
          <w:b/>
          <w:i/>
          <w:color w:val="000000"/>
          <w:sz w:val="20"/>
        </w:rPr>
        <w:t>loss of revenue or profits; and other adverse consequences.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increasingly dependent on information technology systems and infrastructure, including mobile technologies, to operate our business. In the ordinary course of our business, we collect, store, process and transmit large amounts of sensitive data, and, as a result, we and the third parties upon which we rely face a variety of evolving threats that could cause security incidents. We have also outsourced elements of our operations (including elements of our information technology infrastructure) to third parties, and as a result, we manage a number of third-party vendors who may or could have access to our computer networks and our sensitive data. In addition, those third-party vendors may in turn subcontract or outsource some of their responsibilities to other parties. While all information technology operations are inherently vulnerable to inadvertent or intentional security breaches, incidents, attacks and exposures, the accessibility and distributed nature of our information technology systems, and the sensitive data stored on those systems, make such systems vulnerable to unintentional or malicious, internal and external attacks on our technology environment. Furthermore, our ability to monitor the aforementioned third parties’ information security practices is limited, and 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we currently offer a hybrid-work environment, which may make us more vulnerable to cyberattacks as more of our employees utilize network connections, computers, and devices outside our premises or network, including working at home, while in transit and in public locations. Additionally,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vulnerabilities can be exploited from inadvertent or intentional actions of our employees, third-party vendors, business partners, or by malicious third parties. We take steps designed to detect, mitigate, and remediate vulnerabilities in our information systems (such as our hardware and/or software, including that of third parties upon which we rely); however, we may not detect and remediate all such vulnerabilities including on a timely basis. Further, we may experience delays in deploying remedial measures and patches designed to address identified vulnerabilities. Vulnerabilities could be exploited and result in a security incident.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Cyberattacks, malicious internet-based activity, online and offline fraud, and other similar activities are increasing in their frequency, levels of persistence, sophistication and intensity, and are also being conducted by sophisticated and organized groups and individuals with a wide range of motives (including, but not limited to, industrial espionage) and expertise, including organized criminal groups, “hacktivists,” nation states and others. Such attacks could include the deployment of harmful malware (including as a result of advanced persistent threat intrusions), ransomware attacks, denial-of-service attacks, credential stuffing and/or harvesting, social engineering (including through deep fakes, which may be increasingly more difficult to identify as fake, and phishing attacks), supply-chain attacks, software bugs, server malfunctions, software or hardware failures, loss of sensitive data or other information technology assets, adware, attacks enhanced or facilitated by AI, telecommunications failures, earthquakes, fires, floods and other means to affect service reliability and threaten the confidentiality, integrity and availability of our information systems and sensitive data. In particular, severe ransomware attacks are becoming increasingly prevalent and can lead to significant interruptions in our operations, ability to provide our products or services,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Significant disruptions of our, our third-party vendors’ and/or business partners’ information technology systems or other similar data security incidents could adversely affect our business operations and/or result in the loss, misappropriation and/or unauthorized access, use or disclosure of, or the prevention of access to, sensitive data, which could result in financial, legal, regulatory, business and reputational harm to us. In addition, information technology system disruptions, whether from attacks on our technology environment or from computer viruses, natural disasters, terrorism, war and telecommunication and electrical failures, could result in a material disruption of our development programs and our business operations. For example, the loss of clinical trial data from completed or future clinical trials could result in delays in our regulatory approval efforts and significantly increase our costs to recover or reproduce the data.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expend significant resources or modify our business activities to try to protect against security incidents. Additionally, certain data privacy and security obligations may require us to implement and maintain specific security measures or industry-standard or reasonable security measures to protect our information technology systems and sensitive data.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Applicable data privacy and security obligations may require us to notify relevant stakeholders, including affected individuals, customers, regulators, and investors, of security incidents. Such disclosures are costly, and the disclosure or the failure to comply with such requirements could lead to adverse consequences.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(or a third party upon whom we rely) experience a security incident or are perceived to have experienced a security incident, including but not limited to a security incident involving personal information regarding employees or clinical trial patients, we may experience adverse consequences, such as disruptions to our business, harm to our reputation, government enforcement actions (for example, investigations, fines, penalties, audits, and inspections), additional reporting requirements and/or oversight, or we may otherwise be subject to liability under laws, regulations, and contractual obligations, including those that protect the privacy and security of personal information. This could result in increased costs to us and result in significant legal and financial exposure and/or reputational harm. Any failure or perceived failure by us or our vendors or business partners to comply with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privacy, confidentiality or data security-related legal or other obligations to third parties, or any further security incidents or other inappropriate access events resulting in the unauthorized access, release or transfer of sensitive data, may result in governmental investigations, enforcement actions, regulatory fines, litigation, or public statements against us by advocacy groups or others, and could cause third parties, including clinical sites, regulators or current and potential partners, to lose trust in us or we could be subject to claims by third parties that we have breached our privacy or confidentiality-related obligations, which could materially and adversely affect our business and prospects. Moreover, data security incidents and other inappropriate access can be difficult to detect and any delay in identifying them may lead to increased harm of the type described above.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While we have implemented security measures to protect our information technology systems and infrastructure, there can be no assurance that such measures will be effective. 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experiencing a security incident, third parties may gather, collect, or infer sensitive data about us from public sources, data brokers, or other means that reveals competitively sensitive details about our organization and could be used to undermine our competitive advantage or market position. Additionally, sensitive data of the Company or our customers could be leaked, disclosed, or revealed as a result of or in connection with our employees’, personnel’s, or vendors’ potential use of generative AI technologies.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Social media platforms and AI-based platforms present new risks and challenges to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social media continues to expand, it also presents us with new risks and challenges. Social media is increasingly being used to communicate information about us, our programs and the diseases our product candidates are being developed to treat. Social media practices in the biopharmaceutical industry are evolving, creating uncertainty and risk of noncompliance with regulations applicable to our business. For example, patients may use social media platforms to comment on the effectiveness of, or adverse experiences with, a product or a product candidate, which could result in reporting obligations or other consequences. Further, the accidental or intentional disclosure of non-public information by our workforce or others through media channels could lead to information loss. In addition, there is a risk of inappropriate disclosure of sensitive information or negative or inaccurate posts or comments about us, our products, or our product candidates on any social media platform. The nature of social media prevents us from having real-time control over postings about us on social media. We may not be able to reverse damage to our reputation from negative publicity or adverse information posted on social media platforms or similar mediums. If any of these events were to occur or we otherwise fail to comply with application regulations, we could incur liability, face restrictive regulatory actions or incur other harm to our business including quick and irreversible damage to our reputation, brand image and goodwill. Additionally, AI-based platforms are increasingly being used in the biopharmaceutical industry. The use of AI platforms by people, including our vendors, suppliers and contractors, with access to our proprietary and confidential information, including trade secrets, may continue to increase and may lead to the release of such information, which may negatively impact our company, including our ability to realize the benefit of our intellectual property.</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Risks Related to Our Financial Position and Capital Needs</w:t>
      </w:r>
    </w:p>
    <w:p>
      <w:pPr>
        <w:pStyle w:val="TextBody"/>
        <w:bidi w:val="0"/>
        <w:spacing w:before="240" w:after="283"/>
        <w:jc w:val="left"/>
        <w:rPr>
          <w:rFonts w:ascii="Times New Roman" w:hAnsi="Times New Roman"/>
          <w:sz w:val="20"/>
        </w:rPr>
      </w:pPr>
      <w:r>
        <w:rPr>
          <w:rFonts w:ascii="Times New Roman" w:hAnsi="Times New Roman"/>
          <w:b/>
          <w:i/>
          <w:color w:val="000000"/>
          <w:sz w:val="20"/>
        </w:rPr>
        <w:t>We have incurred net losses since our inception, except 2021, and anticipate that we will continue to incur net losses for the foreseeable future.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Investment in biopharmaceutical product development is highly speculative because it entails substantial upfront capital expenditures and significant risk that any potential product candidate will fail to demonstrate adequate efficacy or an acceptable safety profile, gain regulatory approval or be commercially viable. We are a clinical-stage biopharmaceutical company with limited operating history. We have no products approved for commercial sale and have not generated any product revenues to date, and we continue to incur significant research and development and other expenses related to our ongoing operations and clinical development of our product candidates. As a result, we are not and have never been profitable and have incurred losses in each period since our inception in 2005, except in 2021.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year ended December 31, 2023, we reported a net loss of $209.4 million. As of December 31, 2023, we had an accumulated deficit of $902.4 million, which included non-cash charges for stock-based compensation, preferred stock accretion and historical extinguishment charges. We expect to continue to incur significant losses for the foreseeable future, and we expect these losses to increase as we continue our pre-commercialization activities for, and our research and development of, and seek regulatory approvals for, our product candidates. We may also encounter unforeseen expenses, difficulties, complications, delays and other unknown factors that may adversely affect our business. The size of our future net losses will depend, in part, on the rate of growth of our expenses and our ability to generate revenues, if any. Our prior losses and expected future losses have had and will continue to have an adverse effect on our stockholders’ equity and working capital. </w:t>
      </w:r>
    </w:p>
    <w:p>
      <w:pPr>
        <w:pStyle w:val="TextBody"/>
        <w:bidi w:val="0"/>
        <w:spacing w:before="240" w:after="283"/>
        <w:jc w:val="left"/>
        <w:rPr>
          <w:rFonts w:ascii="Times New Roman" w:hAnsi="Times New Roman"/>
          <w:sz w:val="20"/>
        </w:rPr>
      </w:pPr>
      <w:r>
        <w:rPr>
          <w:rFonts w:ascii="Times New Roman" w:hAnsi="Times New Roman"/>
          <w:b/>
          <w:i/>
          <w:color w:val="000000"/>
          <w:sz w:val="20"/>
        </w:rPr>
        <w:t>We currently have no source of product revenue and may never achieve or maintain profitability.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generate product revenue and become profitable depends upon our ability to successfully commercialize our product candidates. We do not anticipate generating revenue from the sale of our product candidates for the foreseeable future. Our ability to generate future product revenue also depends on a number of additional factors, including, but not limited to, our ability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successfully complete the research and clinical development of, and receive regulatory approval for,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launch, commercialize and achieve market acceptance of our product candidates, and if launched independently, successfully establish a sales, marketing and distribution infrastructure;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continue to build a portfolio of product candidates through the acquisition or in-license of products, product candidates or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initiate preclinical and clinical trials for any additional product candidates that we may pursue in the future;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and maintain supplier and manufacturing relationships with third parties, and ensure adequate and legally compliant manufacturing of bulk drug substances and drug products to maintain that supply;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 coverage and adequate product reimbursement from third-party payors, including government payors;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maintain, expand and protect our intellectual property rights;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attract, hire and retain additional qualified personnel.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because of the numerous risks and uncertainties associated with drug development, we are unable to predict the timing or amount of increased expenses, and if or when we will achieve or maintain profitability. In addition, our expenses could increase beyond expectations if we decide to or are required by the FDA or foreign regulatory authorities to perform studies or trials in addition to those that we currently anticipate. Even if we complete the development and regulatory processes described above, we anticipate incurring significant costs associated with launching and commercializing our current product candidates and any other product candidates we may develop.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we generate revenues from the sale of our product candidates, we may not become profitable and may need to obtain additional funding to continue operations or acquire additional products that will require additional funding to develop them. If we fail to become profitable or do not sustain profitability on a continuing basis, then we may be unable to continue our operations at planned levels and be forced to reduce our operations or even shut down. </w:t>
      </w:r>
    </w:p>
    <w:p>
      <w:pPr>
        <w:pStyle w:val="TextBody"/>
        <w:bidi w:val="0"/>
        <w:spacing w:before="240" w:after="283"/>
        <w:jc w:val="left"/>
        <w:rPr>
          <w:rFonts w:ascii="Times New Roman" w:hAnsi="Times New Roman"/>
          <w:sz w:val="20"/>
        </w:rPr>
      </w:pPr>
      <w:r>
        <w:rPr>
          <w:rFonts w:ascii="Times New Roman" w:hAnsi="Times New Roman"/>
          <w:b/>
          <w:i/>
          <w:color w:val="000000"/>
          <w:sz w:val="20"/>
        </w:rPr>
        <w:t>We will require additional capital to finance our planned operations, which may not be available to us on acceptable terms, or at all. As a result, we may not complete the development and commercialization of, or obtain regulatory approval for our existing product candidates or develop new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operations have consumed substantial amounts of cash since our inception, primarily due to our research and development efforts. We expect our research and development expenses to increase substantially in connection with our ongoing and planned activities. We believe that our existing cash, cash equivalents and short-term investments will fund our projected operating expenses and capital expenditure requirements for at least the next 12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months. Unexpected circumstances may cause us to consume capital more rapidly than we currently anticipate, including as a result of the global economic slowdown, including any recessions that have occurred or may occur in the future. In addition, we may discover that we need to conduct additional activities that exceed our current budget to achieve appropriate rates of patient enrollment, which would increase our development costs.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any event, we will require additional capital to continue the development of, obtain regulatory approval for, and to commercialize our existing product candidates and any future product candidates. Any efforts to secure additional financing may divert our management from our day-to-day activities, which may adversely affect our ability to develop and commercialize our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While the long-term economic impacts associated with public health crises and global geopolitical tensions, like the ongoing war between Russia and Ukraine and the war in Israel, are difficult to assess or predict, each of these events has caused significant disruptions to the global financial markets and contributed to a general global economic slowdown. Furthermore, inflation rates have increased recently to levels not seen in decades. Increased inflation may result in increased operating costs (including labor costs) and may affect our operating budgets. In addition, the U.S. Federal Reserve has raised and is expected to further raise, interest rates in response to concerns about inflation. Increases in interest rates, especially if coupled with reduced government spending and volatility in financial markets, may further increase economic uncertainty and heighten these risks. If the disruptions and slowdown deepen or persist, we may not be able to access additional capital on favorable terms, or at all, which could in the future negatively affect our financial condition and our ability to pursue our business strategy. We cannot guarantee that future financing will be available in sufficient amounts or on terms acceptable to us, if at all. If we do not raise additional capital when required or on acceptable terms, we may need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 scale back or discontinue the development or commercialization of our product candidates or cease operations altogether;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 strategic alliances for our existing product candidates on terms less favorable than might otherwise be available;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relinquish, or license on unfavorable terms, our rights to technologies or any future product candidates that we otherwise would seek to develop or commercialize ourselves.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need to conduct additional fundraising activities and we do not raise additional capital in sufficient amounts or on terms acceptable to us, we may be unable to pursue development and commercialization efforts, which will harm our business, operating results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future funding requirements, both short- and long-term, will depend on many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initiation, progress, timing, costs and results of clinical trials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outcome, timing and cost of seeking and obtaining regulatory approvals from the FDA and comparable foreign regulatory authorities, including the potential for such authorities to require that we perform more trials than we currently expect;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to establish, maintain, expand and defend the scope of our intellectual property portfolio, including the amount and timing of any payments we may be required to make, or that we may receive, in connection with licensing, preparing, filing, prosecuting, defending and enforcing any patents or other intellectual property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market acceptance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and timing of selecting, auditing and developing manufacturing capabilities, and potentially validating manufacturing sites for commercial-scale manufacturing;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and timing for obtaining pricing, and coverage and reimbursement by third-party payors, which may require additional trials to address pharmacoeconomic benefit;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establishing sales, marketing and distribution capabilities for our product candidates if any candidate receives regulatory approval and we determine to commercialize it ourselves;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acquiring, licensing or investing in additional businesses, products, product candidates and technologies;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 of competing technological and market developments;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need to implement additional internal systems and infrastructure, including financial and reporting systems, as we grow our company;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business interruptions resulting from geo-political actions, including war or the perception that hostilities may be imminent (such as the ongoing war between Russia and Ukraine and the war in Israel), terrorism, natural disasters, including earthquakes, typhoons, floods and fires, or public health crises.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cannot expand our operations or otherwise capitalize on our business opportunities because we cannot secure sufficient capital, our business, financial condition and results of operations could be materially adversely affected.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Changes in tax laws or regulations could materially adversely affect our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New tax laws or regulations could be enacted at any time, and existing tax laws or regulations could be interpreted, modified or applied in a manner that is adverse to us, which could adversely affect our business and financial condition. For example, legislation enacted in 2017, informally titled the Tax Cuts and Jobs Act, or the Tax Act, enacted many significant changes to the U.S. tax laws, including changes in corporate tax rates, which collectively may impact the utilization of our NOLs and other deferred tax assets, the deductibility of expenses, and the taxation of foreign earnings. Future guidance from the Internal Revenue Service and other tax authorities with respect to the Tax Act may affect us, and certain aspects of the Tax Act could be repealed or modified in future legislation. For example, the Coronavirus Aid, Relief and Economic Security Act, or the CARES Act, modified certain provisions of the Tax Act. In addition, it is uncertain if and to what extent various states will conform to the Tax Act, the CARES Act, or any newly enacted federal tax legislation. Most recently, the IRA included a number of significant drug pricing reforms, including the establishment of a drug price negotiation program within the U.S. Department of Health and Human Services that would require pharmaceutical manufacturers to charge a negotiated “maximum fair price” for certain selected drugs or pay an excise tax for noncompliance, the establishment of rebate payment requirements on manufacturers under Medicare Parts B and D to penalize price increases that outpace inflation, and a redesign of the Part D benefit, as part of which manufacturers are required to provide discounts on Part D drugs and Part D beneficiaries’ annual out-of-pocket spending will be capped at $2,000 beginning in 2025. The impact of changes under the Tax Act, the CARES Act, the IRA, or future reform legislation could increase our future U.S. tax expense and could have a material adverse impact on our business and financial condition.</w:t>
      </w:r>
    </w:p>
    <w:p>
      <w:pPr>
        <w:pStyle w:val="TextBody"/>
        <w:bidi w:val="0"/>
        <w:spacing w:before="240" w:after="283"/>
        <w:jc w:val="left"/>
        <w:rPr>
          <w:rFonts w:ascii="Times New Roman" w:hAnsi="Times New Roman"/>
          <w:sz w:val="20"/>
        </w:rPr>
      </w:pPr>
      <w:r>
        <w:rPr>
          <w:rFonts w:ascii="Times New Roman" w:hAnsi="Times New Roman"/>
          <w:b/>
          <w:i/>
          <w:color w:val="000000"/>
          <w:sz w:val="20"/>
        </w:rPr>
        <w:t>Our ability to use our net operating loss carryforwards and certain other tax attributes may be limited.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incurred substantial losses during our history. We do not expect to become profitable in the near future, and we may never achieve profitability. Unused losses generally are available to be carried forward to offset future taxable income, if any. Under Sections 382 and 383 of the Code if a corporation undergoes an “ownership change,” generally defined as a greater than 50% change (by value) in its equity ownership over a three-year period, the corporation’s ability to use its pre-change net operating loss carryforwards, or NOLs, and other pre-change tax attributes (such as research tax credits) to offset its post-change taxable income or taxes may be limited. We last completed an analysis from January 1, 2021 through December 31, 2022 and determined that no ownership changes had occurred in that period. Prior analyses determined that on March 30, 2007, August 21, 2015, and May 4, 2020, ownership changes had occurred. We may also experience ownership changes in the future as a result of shifts in our stock ownership, some of which may be outside of our control. As a result, our ability to use our pre-change NOLs to offset U.S. federal taxable income may be subject to limitations, which could potentially result in increased future tax liability to us. In addition, at the state level, there may be periods during which the use of NOLs is suspended or otherwise limited, which could accelerate or permanently increase state taxes owed.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Risks Related to Intellectual Property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are unable to obtain or protect intellectual property rights in and to our product candidates, we may not be able to compete effectively in our market.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success depends in significant part on our and our licensors’ and licensees’ ability to establish, maintain and protect patents and other intellectual property rights and operate without infringing the intellectual property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rights of others. We have filed patent applications both in the United States and in foreign jurisdictions to obtain patent rights to inventions we have discovered. We have also licensed from third parties rights to patent portfolios. Some of these licenses give us the right to prepare, file and prosecute patent applications and maintain and enforce patents we have licensed, and other licenses may not give us such rights.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patent prosecution process is expensive and time-consuming, and we and our current or future licensors and licensees may not be able to prepare, file and prosecute all necessary or desirable patent applications at a reasonable cost or in a timely manner. It is also possible that we or our licensors or licensees will fail to identify patentable aspects of inventions made in the course of development and commercialization activities before it is too late to obtain patent protection on them. Moreover, in some circumstances, we may not have the right to control the preparation, filing and prosecution of patent applications, or to maintain the patents, covering technology that we license from or license to third parties and are reliant on our licensors or licensees. Therefore, these patents and applications may not be prosecuted and enforced in a manner consistent with the best interests of our business. If our current or future licensors or licensees fail to establish, maintain or protect such patents and other intellectual property rights, such rights may be reduced or eliminated. If our licensors or licensees are not fully cooperative or disagree with us as to the prosecution, maintenance or enforcement of any patent rights, such patent rights could be compromised.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patent position of biotechnology and pharmaceutical companies generally is highly uncertain, involves complex legal and factual questions and has in recent years been the subject of much litigation. As a result, the issuance, scope, validity, enforceability and commercial value of our and our current or future licensors’ or licensees’ patent rights are highly uncertain. Our and our licensors’ or licensees’ pending and future patent applications may not result in patents being issued which protect our technology or products, in whole or in part, or which effectively prevent others from commercializing competitive technologies and products. The patent examination process may require us or our licensors or licensees to narrow the scope of the claims of our or our licensors’ or licensees’ pending and future patent applications, which may limit the scope of patent protection that may be obtained. It is possible that third parties with products that are very similar to ours will circumvent our or our licensors’ or licensees’ patents by means of alternate designs or processes. We cannot be certain that we are the first to invent the inventions covered by pending patent applications and, if we are not, we may be subject to priority disputes. We may be required to disclaim part or all of the term of certain patents or all of the term of certain patent applications. There may be prior art of which we are not aware that may affect the validity or enforceability of a patent claim. There also may be prior art of which we are aware, but which we do not believe affects the validity or enforceability of a claim, which may, nonetheless, ultimately be found to affect the validity or enforceability of a claim. No assurance can be given that if challenged, our patents would be declared by a court to be valid or enforceable or that even if found valid and enforceable, a competitor’s technology or product would be found by a court to infringe our patents. We may analyze patents or patent applications of our competitors that we believe are relevant to our activities, and consider that we are free to operate in relation to our product candidate, but our competitors may achieve issued claims, including in patents we consider to be unrelated, which block our efforts or may potentially result in our product candidate or our activities infringing such claims. The possibility exists that others will develop products which have the same effect as our products on an independent basis which do not infringe our patents or other intellectual property rights, or will design around the claims of patents that we have had issued that cover our products. Our and our licensors’ or licensees’ patent applications cannot be enforced against third parties practicing the technology claimed in such applications unless and until a patent issues from such applications, and then only to the extent the issued claims cover the technology.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Furthermore,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portfolio that we licensed from UCB includes granted patents and applications with pending claims directed to the composition of matter of axatilimab (a humanized, full-length IgG4 (kappa light chain) antibody with high affinity for the CSF-1R) as well as claims directed to methods of use of axatilimab. There is no guarantee that any further patents will be granted based on the pending applications we licensed from UCB or even if one or more patents are granted that the claims issued in those patents would cover axatilimab, methods of using axatilimab, or formulations of axatilimab. Based on the priority date and filing date of the applications in the portfolio we licensed from UCB, we expect that additional patents, if any, granted based on the currently pending applications would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expire in 2036. The actual term of any patents granted based on the pending applications we licensed from UCB can only be determined after such patents are granted.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portfolio that we licensed from Vitae Pharmaceuticals, which is now a subsidiary of AbbVie Inc., or AbbVie, includes granted patents and applications with pending claims directed to inhibitors of the interaction of menin with MLL and MLL fusion proteins, pharmaceutical compositions containing the same, and their use in the treatment of cancer and other diseases mediated by the menin-MLL interaction. There is no guarantee that any additional patents will be granted based on the pending applications that we licensed from AbbVie or even if one or more patents are granted that the claims issued in those patents would cover the desired lead compounds, compositions, and methods of use thereof. Based on the priority date and filing date of the applications in the portfolio that we licensed from AbbVie, we expect that a patent, if any, granted based on the currently pending applications would expire in 2037. The actual term of any patents granted based on the pending applications that we licensed from AbbVie can only be determined after such patents are granted.</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not be able to protect our intellectual property rights throughout the world.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Filing, prosecuting, enforcing and defending patents on product candidates in all countries throughout the world is prohibitively expensive, and our or our licensors’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and our licensors may not be able to prevent third parties from practicing our and our licensors’ inventions in countries outside the United States, or from selling or importing products made using our and our licensors’ inventions in and into the United States or other jurisdictions. Competitors may use our and our licensors’ technologies in jurisdictions where we have not obtained patent protection to develop their own products and may export otherwise infringing products to territories where we and our licensors have patent protection, but enforcement is not as strong as that in the United States. These products may compete with our product candidates and our and our licensors’ patents or other intellectual property rights may not be effective or sufficient to prevent them from competing.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us and our licensors to stop the infringement of our and our licensors’ patents or marketing of competing products in violation of our and our licensors’ proprietary rights generally. Proceedings to enforce our and our licensors’ patent rights in foreign jurisdictions could result in substantial costs and divert our attention from other aspects of our business, could put our and our licensors’ patents at risk of being invalidated or interpreted narrowly and our and our licensors’ patent applications at risk of not issuing and could provoke third parties to assert claims against us or our licensors. We or our licensors may not prevail in any lawsuits that we or our licensors initiate and the damages or other remedies awarded, if any, may not be commercially meaningful.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requirements for patentability may differ in certain countries, particularly developing countries. For example, unlike other countries, China has a heightened requirement for patentability, and specifically requires a detailed description of medical uses of a claimed drug. In India, unlike the United States, there is no link between regulatory approval of a drug and its patent status. Furthermore, generic drug manufacturers or other competitors may challenge the scope, validity or enforceability of our or our licensors’ patents, requiring us or our licensors to engage in complex, lengthy and costly litigation or other proceedings. Generic drug manufacturers may develop, seek approval for, and launch generic versions of our products. In addition to India, certain countries in Europe and developing countries, including China, have compulsory licensing laws under which a patent owner may be compelled to grant licenses to third parties. In those countries, we and our licensors may have limited remedies if patents are infringed or if we or our licensors are compelled to grant a license to a third party, which could materially diminish the value of those patents. This could limit our potential revenue opportunities. Accordingly, our and our licensors’ efforts to enforce intellectual property rights around the world may be inadequate to obtain a significant commercial advantage from the intellectual property that we own or license.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breach the UCB license agreement related to axatilimab or if the UCB license agreement is otherwise terminated, we could lose the ability to continue the development and commercialization of axatilimab.</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commercial success depends upon our ability to develop, manufacture, market and sell axatilimab. Subject to the achievement of certain milestone events, we may be required to pay UCB up to $119.5 million in one-time development and regulatory milestone payments over the term of the UCB license agreement. If we or any of our affiliates or sublicensees commercializes axatilimab, we will also be obligated to pay UCB low double-digit royalties on sales, subject to reduction in certain circumstances, as well as up to an aggregate of $250.0 million in potential one-time sales-based milestone payments based on achievement of certain annual sales thresholds. Under certain circumstances, we may be required to share a percentage of non-royalty income from sublicensees, subject to certain deductions, with UCB.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Either party may terminate the UCB license agreement in its entirety or with respect to certain countries in the event of an uncured material breach by the other party. Either party may terminate the UCB license agreement if voluntary or involuntary bankruptcy proceedings are instituted against the other party, if the other party makes an assignment for the benefit of creditors, or upon the occurrence of other specific events relating to the insolvency or dissolution of the other party. UCB may terminate the UCB license agreement if we seek to revoke or challenge the validity of any patent licensed to us by UCB under the UCB license agreement or if we procure or assist a third party to take any such action.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Unless terminated earlier in accordance with its terms, the UCB license agreement will continue on a country-by-country and product-by-product basis until the later of: (i) the expiration of all of the licensed patent rights in such country; (ii) the expiration of all regulatory exclusivity applicable to the product in such country; and (iii) 10 years from the date of the first commercial sale of the product in such country. We cannot determine the date on which our royalty payment obligations to UCB would expire because no commercial sales of axatilimab have occurred and the last-to-expire relevant patent covering axatilimab in a given country may change in the future.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the UCB license agreement is terminated, we would not be able to develop, manufacture, market or sell axatilimab and would need to negotiate a new or reinstated agreement, which may not be available to us on equally favorable terms, or at all. In addition, our collaboration with Incyte to further develop and commercialize axatilimab is dependent upon the effectiveness of the UCB license agreement. If the UCB license agreement is terminated, Incyte may terminate our collaboration and our business could be adversely affected. </w:t>
      </w:r>
    </w:p>
    <w:p>
      <w:pPr>
        <w:pStyle w:val="TextBody"/>
        <w:bidi w:val="0"/>
        <w:spacing w:before="240" w:after="283"/>
        <w:jc w:val="left"/>
        <w:rPr>
          <w:rFonts w:ascii="Times New Roman" w:hAnsi="Times New Roman"/>
          <w:sz w:val="20"/>
        </w:rPr>
      </w:pPr>
      <w:r>
        <w:rPr>
          <w:rFonts w:ascii="Times New Roman" w:hAnsi="Times New Roman"/>
          <w:b/>
          <w:i/>
          <w:color w:val="000000"/>
          <w:sz w:val="20"/>
        </w:rPr>
        <w:t>If we breach the license agreement related to revumenib or if the license agreement is otherwise terminated, we could lose the ability to continue the development and commercialization of revumenib.</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commercial success depends upon our ability to develop, manufacture, market and sell revumenib. Subject to the achievement of certain milestone events, we may be required to pay Vitae, which is now a subsidiary of AbbVie, up to $99.0 million in one-time development and regulatory milestone payments over the term of the AbbVie license agreement. In the event that we or any of our affiliates or sublicensees commercializes revumenib, we will also be obligated to pay AbbVie low single to low double-digit royalties on sales, subject to reduction in certain circumstances, as well as up to an aggregate of $70.0 million in potential one-time sales-based milestone payments based on achievement of certain annual sales thresholds. Under certain circumstances, we may be required to share a percentage of non-royalty income from sublicensees, subject to certain deductions, with AbbVie.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Either party may terminate the license agreement in its entirety or with respect to certain countries in the event of an uncured material breach by the other party. Either party may terminate the license agreement if voluntary or involuntary bankruptcy proceedings are instituted against the other party, if the other party makes an assignment for the benefit of creditors, or upon the occurrence of other specific events relating to the insolvency or dissolution of the other party. AbbVie may terminate the license agreement if we seek to revoke or challenge the validity of any patent licensed to us by AbbVie under the license agreement or if we procure or assist a third party to take any such action.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Unless terminated earlier in accordance with its terms, the license agreement will continue on a country-by-country and product-by-product basis until the later of: (i) the expiration of all of the licensed patent rights in such country; (ii) the expiration of all regulatory exclusivity applicable to the product in such country; and (iii) 10 years from the date of the first commercial sale of the product in such country. We cannot determine the date on which our royalty payment obligations to AbbVie would expire because no commercial sales of revumenib have occurred and the last-to-expire relevant patent covering revumenib in a given country may change in the future.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the license agreement is terminated, we would not be able to develop, manufacture, market or sell revumenib and would need to negotiate a new or reinstated agreement, which may not be available to us on equally favorable terms, or at all.</w:t>
      </w:r>
    </w:p>
    <w:p>
      <w:pPr>
        <w:pStyle w:val="TextBody"/>
        <w:bidi w:val="0"/>
        <w:spacing w:before="240" w:after="283"/>
        <w:jc w:val="left"/>
        <w:rPr>
          <w:rFonts w:ascii="Times New Roman" w:hAnsi="Times New Roman"/>
          <w:sz w:val="20"/>
        </w:rPr>
      </w:pPr>
      <w:r>
        <w:rPr>
          <w:rFonts w:ascii="Times New Roman" w:hAnsi="Times New Roman"/>
          <w:b/>
          <w:i/>
          <w:color w:val="000000"/>
          <w:sz w:val="20"/>
        </w:rPr>
        <w:t>Changes in patent law could diminish the value of patents in general, thereby impairing our ability to protect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is the case with other biotechnology and pharmaceutical companies, our success is heavily dependent on intellectual property, particularly patents. Obtaining and enforcing patents in the biopharmaceutical industry involve technological and legal complexity, and obtaining and enforcing biopharmaceutical patents is costly, time-consuming, and inherently uncertain. The Supreme Court has ruled on several patent cases in recent years, either narrowing the scope of patent protection available in certain circumstances or weakening the rights of patent owners in certain situations. In addition to increasing uncertainty with regard to our and our licensors’ ability to obtain patents in the future, this combination of events has created uncertainty with respect to the value of patents, once obtained. Depending on decisions by Congress, the federal courts, and the USPTO, the laws and regulations governing patents could change in unpredictable ways that may weaken our and our licensors’ ability to obtain new patents or to enforce existing patents and patents we and our licensors or collaborators may obtain in the future. In view of recent developments in U.S. patent laws, in spite of our efforts and the efforts of our licensors, we may face difficulties in obtaining allowance of our biomarker based patient selection patent claims or if we are successful in obtaining allowance of our biomarker based patient selection claims, we or our licensor may be unsuccessful in defending the validity of such claims if challenged before a competent court.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Recent patent reform legislation could increase the uncertainties and costs surrounding the prosecution of our and our licensors’ patent applications and the enforcement or defense of our or our licensors’ issued patents. On September 16, 2011, the Leahy-Smith America Invents Act, or the America Invents Act, was signed into law. The America Invents Act includes a number of significant changes to U.S. patent law. These include provisions that affect the way patent applications are prosecuted and may also affect patent litigation. The USPTO recently developed new regulations and procedures to govern administration of the America Invents Act, and many of the substantive changes to patent law associated with the America Invents Act and in particular, the first to file provisions, only became effective on March 16, 2013. Accordingly, it is not clear what, if any, impact the America Invents Act will have on the operation of our business. However, the America Invents Act and its implementation could increase the uncertainties and costs surrounding the prosecution of our or our licensors’ patent applications and the enforcement or defense of our or our licensors’ issued patents, all of which could harm our business and financial condition.</w:t>
      </w:r>
    </w:p>
    <w:p>
      <w:pPr>
        <w:pStyle w:val="TextBody"/>
        <w:bidi w:val="0"/>
        <w:spacing w:before="240" w:after="283"/>
        <w:jc w:val="left"/>
        <w:rPr>
          <w:rFonts w:ascii="Times New Roman" w:hAnsi="Times New Roman"/>
          <w:sz w:val="20"/>
        </w:rPr>
      </w:pPr>
      <w:r>
        <w:rPr>
          <w:rFonts w:ascii="Times New Roman" w:hAnsi="Times New Roman"/>
          <w:b/>
          <w:i/>
          <w:color w:val="000000"/>
          <w:sz w:val="20"/>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Periodic maintenance and annuity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we or our licensors fail to maintain the patents and patent applications covering our product candidates, our competitors might be able to enter the market, which would harm our business.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become involved in lawsuits to protect or enforce our intellectual property, which could be expensive, time-consuming and unsuccessful and have an adverse effect on the success of our business and on our stock price.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 parties may infringe our or our licensors’ patents or misappropriate or otherwise violate our or our licensors’ intellectual property rights. In the future, we or our licensors may initiate legal proceedings to enforce or defend our or our licensors’ intellectual property rights, to protect our or our licensors’ trade secrets or to determine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validity or scope of intellectual property rights we own or control. Also, third parties may initiate legal proceedings against us or our licensors to challenge the validity or scope of intellectual property rights we own or control. The proceedings can be expensive and time-consuming and many of our or our licensors’ adversaries in these proceedings may have the ability to dedicate substantially greater resources to prosecuting these legal actions than we or our licensors can. Accordingly, despite our or our licensors’ efforts, we or our licensors may not be able to prevent third parties from infringing upon or misappropriating intellectual property rights we own or control, particularly in countries where the laws may not protect our rights as fully as in the United States. Litigation could result in substantial costs and diversion of management resources, which could harm our business and financial results. In addition, in an infringement proceeding, a court may decide that a patent owned by or licensed to us is invalid or unenforceable or may refuse to stop the other party from using the technology at issue on the grounds that our or our licensors’ patents do not cover the technology in question. An adverse result in any litigation proceeding could put one or more of our or our licensors’ patents at risk of being invalidated, held unenforceable or interpreted narrowly.</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Third-party pre-issuance submission of prior art to the USPTO, or opposition, derivation, reexamination, </w:t>
      </w:r>
      <w:r>
        <w:rPr>
          <w:rFonts w:ascii="Times New Roman" w:hAnsi="Times New Roman"/>
          <w:i/>
          <w:color w:val="000000"/>
          <w:sz w:val="20"/>
        </w:rPr>
        <w:t xml:space="preserve">inter partes </w:t>
      </w:r>
      <w:r>
        <w:rPr>
          <w:rFonts w:ascii="Times New Roman" w:hAnsi="Times New Roman"/>
          <w:color w:val="000000"/>
          <w:sz w:val="20"/>
        </w:rPr>
        <w:t>review or interference proceedings, or other pre-issuance or post-grant proceedings in the United States or other jurisdictions provoked by third parties or brought by us or our licensors or collaborators may be necessary to determine the priority of inventions with respect to our or our licensors’ patents or patent applications. An unfavorable outcome could require us or our licensors to cease using the related technology and commercializing our product candidates, or to attempt to license rights to it from the prevailing party. Our business could be harmed if the prevailing party does not offer us or our licensors a license on commercially reasonable terms or at all. Even if we or our licensors obtain a license, it may be non-exclusive, thereby giving our competitors access to the same technologies licensed to us or our licensors. In addition, if the breadth or strength of protection provided by our or our licensors’ patents and patent applications is threatened, it could dissuade companies from collaborating with us to license, develop or commercialize current or future product candidates. Even if we successfully defend such litigation or proceeding, we may incur substantial costs and it may distract our management and other employees. We could be found liable for monetary damages, including treble damages and attorneys’ fees, if we are found to have willfully infringed a patent.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Furthermore, because of the substantial amount of discovery required in connection with intellectual property litigation, there is a risk that some of our confidential information could be compromised by disclosure during this process. There could also be public announcements of the results of hearings, motions or other interim proceedings or developments. If securities analysts or investors perceive these results to be negative, it could have a downward effect on the price of shares of our common stock. </w:t>
      </w:r>
    </w:p>
    <w:p>
      <w:pPr>
        <w:pStyle w:val="TextBody"/>
        <w:bidi w:val="0"/>
        <w:spacing w:before="240" w:after="283"/>
        <w:jc w:val="left"/>
        <w:rPr>
          <w:rFonts w:ascii="Times New Roman" w:hAnsi="Times New Roman"/>
          <w:sz w:val="20"/>
        </w:rPr>
      </w:pPr>
      <w:r>
        <w:rPr>
          <w:rFonts w:ascii="Times New Roman" w:hAnsi="Times New Roman"/>
          <w:b/>
          <w:i/>
          <w:color w:val="000000"/>
          <w:sz w:val="20"/>
        </w:rPr>
        <w:t>Third parties may initiate legal proceedings against us alleging that we infringe their intellectual property rights or we may initiate legal proceedings against third parties to challenge the validity or scope of intellectual property rights controlled by third parties, the outcome of which would be uncertain and could have an adverse effect on the success of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Third parties may initiate legal proceedings against us or our licensors or collaborators alleging that we or our licensors or collaborators infringe their intellectual property rights or we or our licensors or collaborators may initiate legal proceedings against third parties to challenge the validity or scope of intellectual property rights controlled by third parties, including in oppositions, interferences, reexaminations, </w:t>
      </w:r>
      <w:r>
        <w:rPr>
          <w:rFonts w:ascii="Times New Roman" w:hAnsi="Times New Roman"/>
          <w:i/>
          <w:color w:val="000000"/>
          <w:sz w:val="20"/>
        </w:rPr>
        <w:t>inter partes</w:t>
      </w:r>
      <w:r>
        <w:rPr>
          <w:rFonts w:ascii="Times New Roman" w:hAnsi="Times New Roman"/>
          <w:color w:val="000000"/>
          <w:sz w:val="20"/>
        </w:rPr>
        <w:t xml:space="preserve"> reviews or derivation proceedings before the United States or other jurisdictions. These proceedings can be expensive and time-consuming and many of our or our licensors’ adversaries in these proceedings may have the ability to dedicate substantially greater resources to prosecuting these legal actions than we or our licensors or collaborators can.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unfavorable outcome could require us or our licensors or collaborators to cease using the related technology or developing or commercializing our product candidates, or to attempt to license rights to it from the prevailing party. Our business could be harmed if the prevailing party does not offer us or our licensors or collaborators a license on commercially reasonable terms or at all. Even if we or our licensors or collaborators obtain a license, it may be non-exclusive, thereby giving our competitors access to the same technologies licensed to us or our licensors or collaborators.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be subject to claims by third parties asserting that we or our employees have misappropriated their intellectual property, or claiming ownership of what we regard as our own intellectual property.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Many of our employees, including our senior management, were previously employed at universities or at other biotechnology or pharmaceutical companies, including our competitors or potential competitors. Some of these employees executed proprietary rights, non-disclosure and non-competition agreements in connection with such previous employment. Although we try to ensure that our employees do not use the proprietary information or know-how of others in their work for us, we may be subject to claims that we or these employees have used or disclosed confidential information or intellectual property, including trade secrets or other proprietary information, of any such employee’s former employer. Litigation may be necessary to defend against these claims.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for some of our in-licensed patents and patent applications, we do not have access to every patent assignments or employee agreements demonstrating that all inventors have assigned their rights to the inventions or related patents. As a result, we may be subject to claims of ownership by such inventors.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fail in prosecuting or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our technology or products. Such a license may not be available on commercially reasonable terms or at all. Even if we successfully prosecute or defend against such claims, litigation could result in substantial costs and distract management. </w:t>
      </w:r>
    </w:p>
    <w:p>
      <w:pPr>
        <w:pStyle w:val="TextBody"/>
        <w:bidi w:val="0"/>
        <w:spacing w:before="240" w:after="283"/>
        <w:jc w:val="left"/>
        <w:rPr>
          <w:rFonts w:ascii="Times New Roman" w:hAnsi="Times New Roman"/>
          <w:sz w:val="20"/>
        </w:rPr>
      </w:pPr>
      <w:r>
        <w:rPr>
          <w:rFonts w:ascii="Times New Roman" w:hAnsi="Times New Roman"/>
          <w:b/>
          <w:i/>
          <w:color w:val="000000"/>
          <w:sz w:val="20"/>
        </w:rPr>
        <w:t>Our inability to protect our confidential information and trade secrets would harm our business and competitive position.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seeking patents for some of our technology and products,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third-party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both within and outside the United States may be less willing or unwilling to protect trade secrets. If a competitor lawfully obtained or independently developed any of our trade secrets, we would have no right to prevent such competitor from using that technology or information to compete with us, which could harm our competitive position.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Risks Related to Ownership of Our Common Stock and Other General Matters</w:t>
      </w:r>
    </w:p>
    <w:p>
      <w:pPr>
        <w:pStyle w:val="TextBody"/>
        <w:bidi w:val="0"/>
        <w:spacing w:before="240" w:after="283"/>
        <w:jc w:val="left"/>
        <w:rPr>
          <w:rFonts w:ascii="Times New Roman" w:hAnsi="Times New Roman"/>
          <w:sz w:val="20"/>
        </w:rPr>
      </w:pPr>
      <w:r>
        <w:rPr>
          <w:rFonts w:ascii="Times New Roman" w:hAnsi="Times New Roman"/>
          <w:b/>
          <w:i/>
          <w:color w:val="000000"/>
          <w:sz w:val="20"/>
        </w:rPr>
        <w:t>The market price of our stock may be volatile and you could lose all or part of your investment.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trading price of our common stock is highly volatile and subject to wide fluctuations in response to various factors, some of which we cannot control. In addition to the factors discussed in this “Risk Factors” section and elsewhere in this Annual Report, these factors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of competitive products or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actions with respect to our products or our competitors’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actual or anticipated changes in our growth rate relative to our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announcements by us or our competitors of significant acquisitions, strategic collaborations, joint ventures, collaborations or capital commitments;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results of trials of our product candidates or those of our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or legal developments in the United States and other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developments or disputes concerning patent applications, issued patents or other proprietary rights;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recruitment or departure of key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level of expenses related to our product candidates or clinical development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actual or anticipated changes in estimates as to financial results, development timelines or recommendations by securities analysts;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variations in our financial results or those of companies that are perceived to be similar to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fluctuations in the valuation of companies perceived by investors to be comparable to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share price and volume fluctuations attributable to inconsistent trading volume levels of our shares;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 or expectation of additional financing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of our common stock by us, our insiders or our other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structure of healthcare payment systems;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market conditions in the pharmaceutical and biotechnology sectors;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economic, industry, political and market conditions, including, but not limited to new or ongoing public health crises and the war between Russia and Ukraine and the war in Israel.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the stock market in general, and the Nasdaq Global Select Market, or Nasdaq, and biopharmaceutical companies in particular, frequently experiences extreme price and volume fluctuations that have often been unrelated or disproportionate to the operating performance of such companies. Broad market and industry factors, including potentially worsening economic conditions and other adverse effects or developments may negatively affect the market price of our common stock, regardless of our actual operating performance. The realization of any of the above risks or any of a broad range of other risks, including those described in this “Risk Factors” section, could have a dramatic and negative impact on the market price of our common stock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Unstable market and economic conditions may have serious adverse consequences on our business, financial condition and share price.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global economy, including credit and financial markets, has experienced extreme volatility and disruptions, including severely diminished liquidity and credit availability, bank failures, declines in consumer confidence, declines in economic growth, increases in unemployment rates, increases in inflation rates and uncertainty about economic stability. For example, the COVID-19 pandemic resulted in widespread unemployment, economic slowdown and extreme volatility in the global capital markets. Similarly, the current Russia-Ukraine war exacerbated volatility in the global capital markets and continues to disrupt the global supply chain and energy markets. Any such volatility and disruptions may have adverse consequences on us or the third parties on whom we rely. If the equity and credit markets deteriorate, including as a result of political unrest or war, it may make any necessary debt or equity financing more difficult to obtain in a timely manner or on favorable terms, more costly or more dilutive. Inflation can adversely affect us by increasing our costs, including personnel costs (wages). Any significant increases in inflation and related increase in interest rates could have a material adverse effect on our business, results of operations and financial condition.</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sell additional equity or debt securities or enter into other arrangements to fund our operations, which may result in dilution to our stockholders and impose restrictions or limitations on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Until we can generate a sufficient amount of profit from our products, if ever, we expect to finance future cash needs through public or private equity or debt offerings. If we raise additional funds through the issuance of additional equity or debt securities, it may result in dilution to our existing stockholders and/or increased fixed payment obligations. For example, in December 2023, we sold a total of 12,432,431 shares of our common stock in a public offering. The issuance of these shares of our common stock resulted, and any future issuance pursuant to sales under the 2023 ATM Program will result, in dilution to our stockholders.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shares of common stock into which the warrants may be exercised are considered outstanding for the purposes of computing earnings per share. Additionally, in November 2023, we sold 2,719,744 common shares under the 2023 ATM Program, with net proceeds of approximately $42.1 million. The issuance of these shares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common stock resulted, and any future issuance pursuant to the exercise of the outstanding pre-funded warrants or sales under the 2023 ATM Program will result, in dilution to our stockholders.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also seek additional funding through government or other third-party funding and other collaborations, strategic alliances and licensing arrangements. These financing activities may have an adverse impact on our stockholders’ rights as well as on our operations, and such additional funding may not be available on reasonable terms, if at all. Furthermore, these securities may have rights senior to those of our common stock and could contain covenants that would restrict our operations and potentially impair our competitiveness, such as limitations on our ability to incur additional debt, limitations on our ability to acquire, sell or license intellectual property rights and other operating restrictions that could adversely impact our ability to conduct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if we seek funds through arrangements with collaborative partners, these arrangements may require us to relinquish rights to some of our technologies or product candidates or otherwise agree to terms unfavorable to us. Any of these events could significantly harm our business, financial condition and prospects.</w:t>
      </w:r>
    </w:p>
    <w:p>
      <w:pPr>
        <w:pStyle w:val="TextBody"/>
        <w:bidi w:val="0"/>
        <w:spacing w:before="240" w:after="283"/>
        <w:jc w:val="left"/>
        <w:rPr>
          <w:rFonts w:ascii="Times New Roman" w:hAnsi="Times New Roman"/>
          <w:sz w:val="20"/>
        </w:rPr>
      </w:pPr>
      <w:r>
        <w:rPr>
          <w:rFonts w:ascii="Times New Roman" w:hAnsi="Times New Roman"/>
          <w:b/>
          <w:i/>
          <w:color w:val="000000"/>
          <w:sz w:val="20"/>
        </w:rPr>
        <w:t>If securities or industry analysts do not publish research or reports about our business, or if they issue an adverse or misleading opinion regarding our stock, our stock price and trading volume could decline.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trading market for our common stock is influenced by the research and reports that industry or securities analysts publish about us or our business. If no or few securities or industry analysts continue coverage of us, the trading price for our stock could be negatively impacted. If any of the analysts who cover us issue an adverse or misleading opinion regarding us, our business model, our intellectual property or our stock performance, or if our trials or operating results fail to meet the expectations of analysts, our stock price could decline. If one or more of these analysts cease coverage of us or fail to publish reports on us regularly, we could lose visibility in the financial markets, which in turn could cause our stock price or trading volume to decline. </w:t>
      </w:r>
    </w:p>
    <w:p>
      <w:pPr>
        <w:pStyle w:val="TextBody"/>
        <w:bidi w:val="0"/>
        <w:spacing w:before="240" w:after="283"/>
        <w:jc w:val="left"/>
        <w:rPr>
          <w:rFonts w:ascii="Times New Roman" w:hAnsi="Times New Roman"/>
          <w:sz w:val="20"/>
        </w:rPr>
      </w:pPr>
      <w:r>
        <w:rPr>
          <w:rFonts w:ascii="Times New Roman" w:hAnsi="Times New Roman"/>
          <w:b/>
          <w:i/>
          <w:color w:val="000000"/>
          <w:sz w:val="20"/>
        </w:rPr>
        <w:t>Our principal stockholders and management own a significant percentage of our stock and will be able to exert significant influence control over matters subject to stockholder approval.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2023, our executive officers, directors, and holders of 5% or more of our capital stock and their respective affiliates beneficially owned approximately 37.3% of our outstanding voting stock and options. As a result, these stockholders will continue to have a significant influence over all matters requiring stockholder approval. For example, these stockholders may be able to influence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be subject to securities litigation, which is expensive and could divert management attention.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market price of our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pStyle w:val="TextBody"/>
        <w:bidi w:val="0"/>
        <w:spacing w:before="240" w:after="283"/>
        <w:jc w:val="left"/>
        <w:rPr>
          <w:rFonts w:ascii="Times New Roman" w:hAnsi="Times New Roman"/>
          <w:sz w:val="20"/>
        </w:rPr>
      </w:pPr>
      <w:r>
        <w:rPr>
          <w:rFonts w:ascii="Times New Roman" w:hAnsi="Times New Roman"/>
          <w:b/>
          <w:i/>
          <w:color w:val="000000"/>
          <w:sz w:val="20"/>
        </w:rPr>
        <w:t>If we fail to maintain an effective system of internal control over financial reporting in the future, we may not be able to accurately report our financial condition, results of operations or cash flows, which may adversely affect investor confidence in us and, as a result, the value of our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Sarbanes-Oxley Act requires, among other things, that we maintain effective internal controls for financial reporting and disclosure controls and procedures. Commencing after the filing of our initial annual report on Form 10-K, we have been required, under Section 404 of the Sarbanes-Oxley Act, to furnish a report by management on, among other things, the effectiveness of our internal control over financial reporting. This assessment needs to include disclosure of any material weaknesses identified by our management in our internal control over financial reporting. A material weakness is a deficiency, or combination of deficiencies, in internal control over financial reporting that results in more than a reasonable possibility that a material misstatement of annual or interim financial statements will not be prevented or detected on a timely basis. Section 404 of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Sarbanes-Oxley Act also generally requires an attestation from our independent registered public accounting firm on the effectiveness of our internal control over financial reporting.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required to get an attestation from our independent registered public accounting firm on the effectiveness of our internal control over financial reporting. Our compliance with Section 404 requires that we incur substantial expense and expend significant management efforts. We currently do not have an internal audit group, and we may need to hire additional accounting and financial staff with appropriate public company experience and technical accounting knowledge and compile the system and process documentation necessary to perform the evaluation needed to comply with Section 404. We may not be able to complete our evaluation, testing and any required remediation in a timely fashion. During the evaluation and testing process, if we identify one or more material weaknesses in our internal control over financial reporting, we will be unable to assert that our internal control over financial reporting is effective.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or significant deficiency in our internal control over financial reporting once that firm begin its Section 404 reviews, we could lose investor confidence in the accuracy and completeness of our financial reports, the market price of our common stock could decline, and we could be subject to sanctions or investigations by the Nasdaq Global Select Market, the SEC or other regulatory authorities. Failure to remedy any material weakness in our internal control over financial reporting, or to implement or maintain other effective control systems required of public companies, could also restrict our future access to the capital markets. </w:t>
      </w:r>
    </w:p>
    <w:p>
      <w:pPr>
        <w:pStyle w:val="TextBody"/>
        <w:bidi w:val="0"/>
        <w:spacing w:before="240" w:after="283"/>
        <w:jc w:val="left"/>
        <w:rPr>
          <w:rFonts w:ascii="Times New Roman" w:hAnsi="Times New Roman"/>
          <w:sz w:val="20"/>
        </w:rPr>
      </w:pPr>
      <w:r>
        <w:rPr>
          <w:rFonts w:ascii="Times New Roman" w:hAnsi="Times New Roman"/>
          <w:b/>
          <w:i/>
          <w:color w:val="000000"/>
          <w:sz w:val="20"/>
        </w:rPr>
        <w:t>Some provisions of our charter documents and Delaware law may have anti-takeover effects that could discourage an acquisition of us by others, even if an acquisition would benefit our stockholders and may prevent attempts by our stockholders to replace or remove our current management.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Provisions in our amended and restated certificate of incorporation and amended and restated bylaws, as well as provisions of Delaware law, could make it more difficult for a third party to acquire us or increase the cost of acquiring us, even if doing so would benefit our stockholders, or remove our current management. These provisions include a classified board of directors, a prohibition on actions by written consent of our stockholders and the ability of our board of directors to issue preferred stock without stockholder approval. These provisions may frustrate or prevent any attempts by our stockholders to replace or remove our current management by making it more difficult for stockholders to replace members of our board of directors, who are responsible for appointing the members of our management. Because we are incorporated in Delaware, we are governed by the provisions of Section 203 of the Delaware General Corporation Law, or the DGCL, which may discourage, delay or prevent someone from acquiring us or merging with us whether or not it is desired by or beneficial to our stockholders. Under the DGCL, a corporation may not, in general, engage in a business combination with any holder of 15% or more of its capital stock unless the holder has held the stock for three years or, among other things, the board of directors has approved the transaction. Any provision of our amended and restated certificate of incorporation or amended and restated bylaws or Delaware law that has the effect of delaying or deterring a change of control could limit the opportunity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our stockholders to receive a premium for their shares of our common stock and could also affect the price that some investors are willing to pay for our common stock. </w:t>
      </w:r>
    </w:p>
    <w:p>
      <w:pPr>
        <w:pStyle w:val="TextBody"/>
        <w:bidi w:val="0"/>
        <w:spacing w:before="360" w:after="283"/>
        <w:jc w:val="left"/>
        <w:rPr>
          <w:rFonts w:ascii="Times New Roman" w:hAnsi="Times New Roman"/>
          <w:sz w:val="20"/>
        </w:rPr>
      </w:pPr>
      <w:bookmarkStart w:id="6" w:name="item_1b_unresolved_staff_comments"/>
      <w:bookmarkEnd w:id="6"/>
      <w:r>
        <w:rPr>
          <w:rFonts w:ascii="Times New Roman" w:hAnsi="Times New Roman"/>
          <w:b/>
          <w:color w:val="000000"/>
          <w:sz w:val="20"/>
        </w:rPr>
        <w:t>Item 1B. Unresolved Staff Comments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360" w:after="283"/>
        <w:jc w:val="left"/>
        <w:rPr>
          <w:rFonts w:ascii="Times New Roman" w:hAnsi="Times New Roman"/>
          <w:sz w:val="20"/>
        </w:rPr>
      </w:pPr>
      <w:bookmarkStart w:id="7" w:name="item_1c_cybersecurity"/>
      <w:bookmarkEnd w:id="7"/>
      <w:r>
        <w:rPr>
          <w:rFonts w:ascii="Times New Roman" w:hAnsi="Times New Roman"/>
          <w:b/>
          <w:color w:val="000000"/>
          <w:sz w:val="20"/>
        </w:rPr>
        <w:t>Item 1C. Cyber Security</w:t>
      </w:r>
      <w:r>
        <w:rPr>
          <w:rFonts w:ascii="Times New Roman" w:hAnsi="Times New Roman"/>
          <w:color w:val="000000"/>
          <w:sz w:val="20"/>
        </w:rPr>
        <w:t xml:space="preserv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 Management and Strategy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implemented and maintain various information security processes designed to identify, assess and manage material risks from cybersecurity threats to our critical computer networks, third party hosted services, communications systems, hardware and software, and our critical data, including intellectual property, confidential information that is proprietary, strategic or competitive in nature, and our clinical trial and related data, or Information Systems and Data.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information security function, which is led by our Vice President of Information Technology, or VP of IT, helps identify, assess and manage our cybersecurity threats and risks. The information security function identifies and assesses cybersecurity threats and risks by monitoring and evaluating our threat environment and the our risk profile using various methods including, for example manual and automated tools, subscribing to reports and services that identify cybersecurity threats, analyzing reports of threats, evaluating threats reported to us, internal and external audits, leveraging third party threat assessments, conducting vulnerability identification assessments, and leveraging external threat intelligence.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Depending on the environment or system, we implement and maintain various technical, physical, and organizational measures, processes, standards and policies designed to manage and mitigate material risks from cybersecurity threats to our Information Systems and Data, including, for example: incident detection and response, disaster recovery and business continuity plans, encryption of certain data, network security controls, data segregation for certain data, access controls, physical controls, systems monitoring, penetration testing, and cybersecurity insurance. Certain information about our assessment and management of material risks from cybersecurity threats is included in risk management reports as applicable to senior leadership and the audit committee.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use third-party service providers to assist us from time to time to identify, assess, and manage material risks from cybersecurity threats, including for example cybersecurity consultants, managed cybersecurity service providers, professional service firms, including legal counsel, forensic investigators, and penetration testing service providers.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use third-party service providers to perform a variety of functions throughout our business, such as software-as-a-service providers, hosting companies, supply chain resources, contract research organizations, and contract manufacturing organizations. Depending on the nature of the services provided, the sensitivity of the critical systems, information and assets at issue, and the identity of the provider, we may conduct a review of security assessments provided by the vendor.</w:t>
      </w:r>
    </w:p>
    <w:p>
      <w:pPr>
        <w:pStyle w:val="TextBody"/>
        <w:bidi w:val="0"/>
        <w:spacing w:before="120" w:after="283"/>
        <w:jc w:val="left"/>
        <w:rPr>
          <w:rFonts w:ascii="Times New Roman" w:hAnsi="Times New Roman"/>
          <w:sz w:val="20"/>
        </w:rPr>
      </w:pPr>
      <w:r>
        <w:rPr>
          <w:rFonts w:ascii="Times New Roman" w:hAnsi="Times New Roman"/>
          <w:color w:val="000000"/>
          <w:sz w:val="20"/>
        </w:rPr>
        <w:t>For a description of the risks from cybersecurity threats that may materially affect the Company and how they may do so, see our risk factors under Part 1. Item 1A. “Risk Factors” in this Annual Report, including “</w:t>
      </w:r>
      <w:r>
        <w:rPr>
          <w:rFonts w:ascii="Times New Roman" w:hAnsi="Times New Roman"/>
          <w:i/>
          <w:color w:val="000000"/>
          <w:sz w:val="20"/>
        </w:rPr>
        <w:t>If our information technology systems, or our data are or were compromised, we could experience adverse consequences resulting from such compromise, including but not limited to regulatory investigations or actions; fines and penalties; disruptions of our business operations; reputational harm; loss of revenue or profits; and other adverse consequences.”</w:t>
      </w:r>
      <w:r>
        <w:rPr>
          <w:rFonts w:ascii="Times New Roman" w:hAnsi="Times New Roman"/>
          <w:color w:val="000000"/>
          <w:sz w:val="24"/>
        </w:rPr>
        <w:br/>
      </w:r>
      <w:r>
        <w:rPr>
          <w:rFonts w:ascii="Times New Roman" w:hAnsi="Times New Roman"/>
          <w:color w:val="000000"/>
          <w:sz w:val="20"/>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Governance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board of directors addresses the Company’s cybersecurity risk management as part of its general oversight function. Our board of directors’ audit committee is responsible for overseeing the Company’s cybersecurity risk management processes.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cybersecurity risk assessment and management processes are implemented and maintained by certain Company management, including our VP of IT, who has 25 years of experience in information technology including IT leadership in Department of Defense Research, who reports to our Chief Financial Officer, or CFO, who has over 20 years of experience as a CFO, including supervisory responsibility over IT and cybersecurity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VP of IT is responsible for hiring appropriate personnel, helping to integrate cybersecurity risk considerations into the Company’s overall risk management strategy, and communicating key priorities to relevant personnel. Our VP of IT is also responsible for approving budgets, helping prepare for cybersecurity incidents, approving cybersecurity processes, and reviewing security assessments and other security-related reports.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cybersecurity incident processes are designed to escalate certain cybersecurity incidents to members of management depending on the circumstances, including our CFO, General Counsel, or GC, and Chief Executive Officer, or CEO. Our GC, CFO, and other leadership personnel work with our incident response team to help assess impact and mitigate and remediate cybersecurity incidents of which they are notified, in addition to notifying the audit committee of our board of directors, as appropriate.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board of directors’ audit committee receives annual reports from our CFO, concerning our significant cybersecurity threats and risk and the processes the Company has implemented to address them. Our audit committee also has access to various reports, summaries or presentations related to cybersecurity threats, risk and mitigation. </w:t>
      </w:r>
    </w:p>
    <w:p>
      <w:pPr>
        <w:pStyle w:val="TextBody"/>
        <w:bidi w:val="0"/>
        <w:spacing w:before="360" w:after="283"/>
        <w:jc w:val="left"/>
        <w:rPr>
          <w:rFonts w:ascii="Times New Roman" w:hAnsi="Times New Roman"/>
          <w:sz w:val="20"/>
        </w:rPr>
      </w:pPr>
      <w:bookmarkStart w:id="8" w:name="item_2_properties"/>
      <w:bookmarkEnd w:id="8"/>
      <w:r>
        <w:rPr>
          <w:rFonts w:ascii="Times New Roman" w:hAnsi="Times New Roman"/>
          <w:b/>
          <w:color w:val="000000"/>
          <w:sz w:val="20"/>
        </w:rPr>
        <w:t>Item 2. Properties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headquarters is located in Waltham, Massachusetts, and consists of 12,000 square feet of leased office space under a lease that expires on February 28, 2025. We also have 16,000 square feet of leased office space in New York, New York, under a lease that expires on August 31, 2025. We believe that our existing facilities are sufficient for our needs for the foreseeable future. If we determine that additional or new facilities are needed in the future, we believe that appropriate alternative space would be available to us on commercially reasonable terms. </w:t>
      </w:r>
    </w:p>
    <w:p>
      <w:pPr>
        <w:pStyle w:val="TextBody"/>
        <w:bidi w:val="0"/>
        <w:spacing w:before="360" w:after="283"/>
        <w:jc w:val="left"/>
        <w:rPr>
          <w:rFonts w:ascii="Times New Roman" w:hAnsi="Times New Roman"/>
          <w:sz w:val="20"/>
        </w:rPr>
      </w:pPr>
      <w:bookmarkStart w:id="9" w:name="item_3_legal_proceedings"/>
      <w:bookmarkEnd w:id="9"/>
      <w:r>
        <w:rPr>
          <w:rFonts w:ascii="Times New Roman" w:hAnsi="Times New Roman"/>
          <w:b/>
          <w:color w:val="000000"/>
          <w:sz w:val="20"/>
        </w:rPr>
        <w:t>Item 3. Legal</w:t>
      </w:r>
      <w:r>
        <w:rPr>
          <w:rFonts w:ascii="Times New Roman" w:hAnsi="Times New Roman"/>
          <w:color w:val="000000"/>
          <w:sz w:val="20"/>
        </w:rPr>
        <w:t xml:space="preserve"> </w:t>
      </w:r>
      <w:r>
        <w:rPr>
          <w:rFonts w:ascii="Times New Roman" w:hAnsi="Times New Roman"/>
          <w:b/>
          <w:color w:val="000000"/>
          <w:sz w:val="20"/>
        </w:rPr>
        <w:t>Proceedings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not currently a party to any material legal proceedings. </w:t>
      </w:r>
    </w:p>
    <w:p>
      <w:pPr>
        <w:pStyle w:val="TextBody"/>
        <w:bidi w:val="0"/>
        <w:spacing w:before="360" w:after="283"/>
        <w:jc w:val="left"/>
        <w:rPr>
          <w:rFonts w:ascii="Times New Roman" w:hAnsi="Times New Roman"/>
          <w:sz w:val="20"/>
        </w:rPr>
      </w:pPr>
      <w:bookmarkStart w:id="10" w:name="item_4_mine_safety_disclosures"/>
      <w:bookmarkEnd w:id="10"/>
      <w:r>
        <w:rPr>
          <w:rFonts w:ascii="Times New Roman" w:hAnsi="Times New Roman"/>
          <w:b/>
          <w:color w:val="000000"/>
          <w:sz w:val="20"/>
        </w:rPr>
        <w:t>Item 4. Mine Safety Disclosures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120" w:after="283"/>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1" w:name="part_ii"/>
      <w:bookmarkEnd w:id="11"/>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II</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12" w:name="item_5_market_for_registrants_common_equ"/>
      <w:bookmarkEnd w:id="12"/>
      <w:r>
        <w:rPr>
          <w:rFonts w:ascii="Times New Roman" w:hAnsi="Times New Roman"/>
          <w:b/>
          <w:color w:val="000000"/>
          <w:sz w:val="20"/>
        </w:rPr>
        <w:t>Item 5. Market for Registrant’s Common Equity, Related Stockholder Matters and Issuer Purchases of Equity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Market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common stock began trading on the Nasdaq Global Select Market on March 2, 2016, under the symbol “SNDX.” Prior to that time, there was no public market for our common stock.</w:t>
      </w:r>
    </w:p>
    <w:p>
      <w:pPr>
        <w:pStyle w:val="TextBody"/>
        <w:bidi w:val="0"/>
        <w:spacing w:before="240" w:after="283"/>
        <w:jc w:val="left"/>
        <w:rPr>
          <w:rFonts w:ascii="Times New Roman" w:hAnsi="Times New Roman"/>
          <w:sz w:val="20"/>
        </w:rPr>
      </w:pPr>
      <w:r>
        <w:rPr>
          <w:rFonts w:ascii="Times New Roman" w:hAnsi="Times New Roman"/>
          <w:b/>
          <w:color w:val="000000"/>
          <w:sz w:val="20"/>
        </w:rPr>
        <w:t>Holders of Record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February 19, 2024, we had approximately 20 holders of record of our common stock. Certain shares are held in “street” name and accordingly, the number of beneficial owners of such shares is not known or included in the foregoing number. This number of holders of record also does not include stockholders whose shares may be held in trust by other entities. </w:t>
      </w:r>
    </w:p>
    <w:p>
      <w:pPr>
        <w:pStyle w:val="TextBody"/>
        <w:bidi w:val="0"/>
        <w:spacing w:before="240" w:after="283"/>
        <w:jc w:val="left"/>
        <w:rPr>
          <w:rFonts w:ascii="Times New Roman" w:hAnsi="Times New Roman"/>
          <w:sz w:val="20"/>
        </w:rPr>
      </w:pPr>
      <w:r>
        <w:rPr>
          <w:rFonts w:ascii="Times New Roman" w:hAnsi="Times New Roman"/>
          <w:b/>
          <w:color w:val="000000"/>
          <w:sz w:val="20"/>
        </w:rPr>
        <w:t>Dividend Policy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never declared or paid any cash dividends on our common stock. We currently intend to retain future earnings to fund the development and growth of our business. We do not expect to pay any cash dividends in the foreseeable future. Any future determination to pay dividends will be made at the discretion of our board of directors and will depend on then-existing conditions, including our financial conditions, operating results, contractual restrictions, capital requirements, business prospects and other factors our board of directors may deem relevant.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Performance Graph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performance graph shown below compares the annual change in cumulative total stockholder return on our common shares with the Nasdaq Composite Index and the Nasdaq Biotechnology Index from December 31, 2018, through the year ended December 31, 2023. The graph assumes an investment of $100 on December 31, 2018 in our common shares, the Nasdaq Composite Index and the Nasdaq Biotechnology Index and assumes that any dividends are reinvested. All index values are weighted by the capitalization of the companies included in the index. The comparisons shown in the graph below are based upon historical data. The stock price performance included in this graph is not necessarily indicative of future stock price performance. The following performance graph and related information shall not be deemed to be “soliciting material” or to be “filed” with the Securities and Exchange Commission, or SEC, for purposes of Section 18 of the Securities Exchange Act of 1934, as amended, or the Exchange Act, nor shall such information be incorporated by reference into any future filing under the Exchange Act or Securities Act, except to the extent that we specifically incorporate it by reference into such filing.</w:t>
      </w:r>
    </w:p>
    <w:p>
      <w:pPr>
        <w:pStyle w:val="TextBody"/>
        <w:bidi w:val="0"/>
        <w:spacing w:before="12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drawing>
          <wp:inline distT="0" distB="0" distL="0" distR="0">
            <wp:extent cx="5791200" cy="47625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791200" cy="4762500"/>
                    </a:xfrm>
                    <a:prstGeom prst="rect">
                      <a:avLst/>
                    </a:prstGeom>
                  </pic:spPr>
                </pic:pic>
              </a:graphicData>
            </a:graphic>
          </wp:inline>
        </w:drawing>
      </w: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3" w:name="item_6_reserved"/>
      <w:bookmarkEnd w:id="13"/>
      <w:r>
        <w:rPr>
          <w:rFonts w:ascii="Times New Roman" w:hAnsi="Times New Roman"/>
          <w:b/>
          <w:color w:val="000000"/>
          <w:sz w:val="20"/>
        </w:rPr>
        <w:t>Item 6. [Reserved]</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4" w:name="item_7_managements_discussion_analysis_f"/>
      <w:bookmarkEnd w:id="14"/>
      <w:r>
        <w:rPr>
          <w:rFonts w:ascii="Times New Roman" w:hAnsi="Times New Roman"/>
          <w:b/>
          <w:color w:val="000000"/>
          <w:sz w:val="20"/>
        </w:rPr>
        <w:t>Item 7. Management’s Discussion and Analysis of</w:t>
      </w:r>
      <w:r>
        <w:rPr>
          <w:rFonts w:ascii="Times New Roman" w:hAnsi="Times New Roman"/>
          <w:color w:val="000000"/>
          <w:sz w:val="20"/>
        </w:rPr>
        <w:t xml:space="preserve"> </w:t>
      </w:r>
      <w:r>
        <w:rPr>
          <w:rFonts w:ascii="Times New Roman" w:hAnsi="Times New Roman"/>
          <w:b/>
          <w:color w:val="000000"/>
          <w:sz w:val="20"/>
        </w:rPr>
        <w:t>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The following discussion and analysis should be read in conjunction with our consolidated financial statements and related notes included elsewhere in this Annual Report. This discussion and analysis and other parts of this Annual Report contain forward-looking statements based upon current beliefs, plans and expectations that involve risks, uncertainties and assumptions, such as statements regarding our plans, objectives, expectations, intentions and projections. Our actual results and the timing of selected events could differ materially from those anticipated in these forward-looking statements as a result of several factors, including those set forth under “Risk Factors” and elsewhere in this Annual Report. You should carefully read the “Risk Factors” section of this Annual Report to gain an understanding of the important factors that could cause actual results to differ materially from our forward-looking statements. Please also see the section entitled “Special Note Regarding Forward-Looking Statements.”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For the discussion of the financial condition and results of operations for the year ended December 31, 2022 compared to the year ended December 31, 2021, refer to "Management's Discussion and Analysis of Financial Condition and Results of Operations—Results of Operations" and "—Liquidity and Capital Resources" included in the Annual Report on Form 10-K filed with the SEC on February 28, 2023.</w:t>
      </w:r>
    </w:p>
    <w:p>
      <w:pPr>
        <w:pStyle w:val="TextBody"/>
        <w:bidi w:val="0"/>
        <w:spacing w:before="36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clinical-stage biopharmaceutical company developing an innovative pipeline of cancer therapies. Our two lead product candidates are revumenib, and axatilimab. We are developing revumenib, a potent, selective, small molecule inhibitor of the menin-MLL binding interaction for the treatment of KMT2A rearranged, or KMT2Ar, also known as mixed lineage leukemia rearranged or MLLr, acute leukemias including acute lymphoblastic leukemia, or ALL, and acute myeloid leukemia, or AML, and necleophosmin 1, also known as NPM1, mutant AML. We are also exploring the use of revumenib as a treatment in solid tumors, specifically its activity in metastatic colorectal cancer. We are developing axatilimab, a monoclonal antibody that blocks the colony stimulating factor 1 receptor, or CSF-1, in chronic graft-versus-host disease, or cGVHD, as well as idiopathic pulmonary fibrosis, or IPF. We plan to continue to leverage the technical and business expertise of our management team and scientific collaborators to license, acquire and develop additional therapeutics to expand our pipeline.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no products approved for commercial sale and have not generated any product revenues from product sales to date. We continue to incur significant research and development and other expenses related to our ongoing operations. Except for 2021, we have not been profitable and have incurred losses in each period since our inception in 2005. For the years ended December 31, 2023 and 2022, we reported a net loss of $209.4 million and $149.3 million, respectively. For the year ended December 31, 2021, we reported a net profit of $24.9 million. As of December 31, 2023, we had an accumulated deficit of $902.4 million, which included non-cash charges for stock-based compensation, preferred stock accretion and extinguishment charges. As of December 31, 2023, we had cash, cash equivalents and short-term and long-term investments of $600.5 million.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Significant Risks and Uncertainties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current inflationary environment may materially affect our business and operating results by increasing the cost of our clinical trial materials and supplies, driving the U.S. Federal Reserve system to increase interest rates, which in turn increased our overhead costs. Rising interest rates could make it more difficult for us to obtain traditional financing on acceptable terms, if at all. Additionally, the ongoing recession risk together with the foregoing, could result in further economic uncertainty and volatility in the capital markets in the near term and, as a result could negatively affect our operations. Furthermore, such economic conditions have produced downward pressure on share prices. Although we do not believe that inflation has had a material impact on our financial position or results of operations to date, additional high inflation could increase our operating costs, including our labor costs and research and development costs. These costs may also be negatively impacted due to supply chain constraints, global geopolitical tensions as a result of the ongoing war between Russia and Ukraine and the war in Israel, worsening macroeconomic conditions and employee availability and wage increases, which may result in additional stress on our working capital.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we are subject to other challenges and risks specific to our business and our ability to execute on our strategy, as well as risks and uncertainties common to companies in the pharmaceutical industry with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development and commercial operations, including, without limitation, risks and uncertainties associated with: obtaining regulatory approval of our late-stage product candidate; identifying, acquiring or in-licensing additional products or product candidates; pharmaceutical product development and the inherent uncertainty of clinical success; the challenges of protecting and enhancing our intellectual property rights; and complying with applicable regulatory requirements. </w:t>
      </w:r>
    </w:p>
    <w:p>
      <w:pPr>
        <w:pStyle w:val="TextBody"/>
        <w:bidi w:val="0"/>
        <w:spacing w:before="360" w:after="283"/>
        <w:jc w:val="left"/>
        <w:rPr>
          <w:rFonts w:ascii="Times New Roman" w:hAnsi="Times New Roman"/>
          <w:sz w:val="20"/>
        </w:rPr>
      </w:pPr>
      <w:r>
        <w:rPr>
          <w:rFonts w:ascii="Times New Roman" w:hAnsi="Times New Roman"/>
          <w:b/>
          <w:color w:val="000000"/>
          <w:sz w:val="20"/>
        </w:rPr>
        <w:t>Financial Overview</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date, we have not generated any product revenues. Our ability to generate revenue and become profitable depends upon our ability to obtain marketing approval of and successfully commercialize our product candidates. Our revenues for the year ended December 31, 2021, have been solely derived from our license, development and commercialization agreements with Kyowa Kirin Co., Ltd., or KKC, and with Incyte Corporation, or Incyte. We generated no revenue during the years ended December 31, 2023 and 2022.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September 2021, we entered into a collaboration and license agreement with Incyte or the Incyte Collaboration Agreement, with Incyte for the worldwide development and commercialization of axatilimab. Additionally, in September 2021, we entered into a share purchase agreement with Incyte, or the Incyte Share Purchase Agreement. Under the terms of the Incyte Collaboration Agreement, Incyte received exclusive commercialization rights outside of the United States, and we and Incyte will, subject to the exercise of our co-promotion option, have co-commercialization rights in the United States, with respect to axatilimab. Incyte is responsible for leading commercialization strategy and booking all revenue from worldwide sales of axatilimab, subject to its royalty payment obligations set forth below. The parties will share equally the profits and losses from the co-commercialization efforts. We and Incyte are co-developing axatilimab and sharing development costs associated with global and U.S.-specific clinical trials, with Incyte responsible for 55% of such costs and we are responsible for 45% of such costs. Each company is responsible for funding any independent development activities. All development costs related to the collaboration are subject to a joint development plan. A joint development committee between us and Incyte will govern future development of axatilimab. Incyte is responsible for 100% of future development costs for trials that are specific to ex-U.S. countries. All development costs related to the collaboration will be subject to a joint development plan. In December 2021, we received an upfront cash payment of $117 million and issued 1,421,523 shares of common stock for an aggregate purchase price of $35 million. We allocated $126.6 million of the total consideration received to the license, and such amount was recognized as license revenue upon transfer of license to Incyte.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granted KKC an exclusive license to develop and commercialize entinostat in Japan and Korea, or the KKC license agreement. In 2015, we received a $25.0 million upfront payment from KKC, inclusive of an equity investment. We allocated $17.3 million of the upfront payment to the license fee, and such fee is being recognized as revenue ratably over our expected performance period (expected to be through 2029). The balance of the upfront payment of $7.7 million was allocated to KKC’s purchase of shares of our convertible preferred stock. In September 2021, KKC informed us that they discontinued the entinostat program and cancelled the license to develop and commercialize entinostat. As a result, we recognized $12.4 million in revenue which was previously deferred in the third quarter of 2021. </w:t>
      </w:r>
    </w:p>
    <w:p>
      <w:pPr>
        <w:pStyle w:val="TextBody"/>
        <w:bidi w:val="0"/>
        <w:spacing w:before="240" w:after="283"/>
        <w:jc w:val="left"/>
        <w:rPr>
          <w:rFonts w:ascii="Times New Roman" w:hAnsi="Times New Roman"/>
          <w:sz w:val="20"/>
        </w:rPr>
      </w:pPr>
      <w:r>
        <w:rPr>
          <w:rFonts w:ascii="Times New Roman" w:hAnsi="Times New Roman"/>
          <w:b/>
          <w:i/>
          <w:color w:val="000000"/>
          <w:sz w:val="20"/>
        </w:rPr>
        <w:t>Research and Development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our inception, we have primarily focused on our clinical development programs. Research and development expenses consist primarily of costs incurred for the development of our product candidates and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expenses incurred under agreements related to our clinical trials, including the costs for investigative sites and contract research organizations, or CROs, that conduct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employee-related expenses associated with our research and development activities, including salaries, benefits, travel and non-cash stock-based compensation expenses;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manufacturing process-development, clinical supplies and technology-transfer expenses;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license fees and milestone payments under our license agreements;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consulting fees paid to third parties;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allocated facilities and overhead expenses;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associated with regulatory operations and regulatory compliance requirements.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Internal and external research and development costs are expensed as they are incurred. Cost-sharing amounts received by us are recorded as reductions to research and development expense. Costs for certain development activities, such as clinical trials, are recognized based on an evaluation of the progress to completion of specific tasks using data such as patient enrollment, clinical site activations or other information provided to us by our vendors.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activities are central to our business model. Drug candidates in late stages of clinical development generally have higher development costs than those in earlier stages of clinical development, primarily due to the increased size and duration of late-stage clinical trials. We plan to continue to spend a significant amount of our resources on research and development activities for the foreseeable future as we continue to advance the development of our drug candidates. The amount of research and development expenses allocated to external spending will continue to grow, while we expect our internal spending to grow at a slower and more controlled pace.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difficult to determine, with certainty, the duration and completion costs of our current or future preclinical programs, research studies and clinical trials of our product candidates. The duration, costs and timing of research studies and clinical trials of our product candidates will depend on a variety of factors that include, but are not limited to,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 patient costs;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of patients that participate;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of clinical trial sites;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countries in which the trials are conducted;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length of time required to enroll eligible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potential additional safety monitoring or other studies requested by regulatory agencies;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duration of patient monitoring;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efficacy and safety profile of the product candidates;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timing and receipt of any regulatory approvals.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the probability of success for each drug product candidate will depend on numerous factors, including competition, manufacturing capability and commercial viability. The successful development of our product candidates is highly uncertain. At this time, we cannot reasonably estimate the nature, timing or costs of the efforts that will be necessary to complete the remainder of the development of our product candidates for the period, if any, in which material net cash inflows from these potential product candidates may commence. Clinical development timelines, the probability of success and development costs can differ materially from expectations. </w:t>
      </w:r>
    </w:p>
    <w:p>
      <w:pPr>
        <w:pStyle w:val="TextBody"/>
        <w:bidi w:val="0"/>
        <w:spacing w:before="240" w:after="283"/>
        <w:jc w:val="left"/>
        <w:rPr>
          <w:rFonts w:ascii="Times New Roman" w:hAnsi="Times New Roman"/>
          <w:sz w:val="20"/>
        </w:rPr>
      </w:pPr>
      <w:r>
        <w:rPr>
          <w:rFonts w:ascii="Times New Roman" w:hAnsi="Times New Roman"/>
          <w:b/>
          <w:i/>
          <w:color w:val="000000"/>
          <w:sz w:val="20"/>
        </w:rPr>
        <w:t>Selling, General and Administrative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Selling, general and administrative expenses consist primarily of employee-related expenses, including salaries, benefits, non-cash stock-based compensation and travel expenses, for our employees in executive, finance, human resources, business development and support functions. Other selling, general and administrative expenses include facility-related costs not otherwise allocated to research and development expenses and accounting, tax, legal, information technology and consulting services. We anticipate that our selling, general and administrative expenses will further increase in the future as we continue to increase our headcount to support our continued research and development and anticipated commercialization of our product candidates. Additionally, in anticipation of expected regulatory approvals of the our drug candidates, we expect an increase in employee-related expenses and other commercial expenses in 2024 as a result of our preparation for the commercial launch, especially as it relates to the sales and marketing of our drug product candidates.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Interest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Interest expense consists primarily of interest expense on our operational and capital leases and in prior years consisted of our term loan, which was paid off in 2022. </w:t>
      </w:r>
    </w:p>
    <w:p>
      <w:pPr>
        <w:pStyle w:val="TextBody"/>
        <w:bidi w:val="0"/>
        <w:spacing w:before="240" w:after="283"/>
        <w:jc w:val="left"/>
        <w:rPr>
          <w:rFonts w:ascii="Times New Roman" w:hAnsi="Times New Roman"/>
          <w:sz w:val="20"/>
        </w:rPr>
      </w:pPr>
      <w:r>
        <w:rPr>
          <w:rFonts w:ascii="Times New Roman" w:hAnsi="Times New Roman"/>
          <w:b/>
          <w:i/>
          <w:color w:val="000000"/>
          <w:sz w:val="20"/>
        </w:rPr>
        <w:t>Interest Income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Interest income consists of income earned on our cash, cash equivalents and short and long-term investment balances.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Other (Expense) Income,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(expense) income net includes income (expense), net consisting of revaluation of foreign currency related to trade payables.</w:t>
      </w:r>
    </w:p>
    <w:p>
      <w:pPr>
        <w:pStyle w:val="TextBody"/>
        <w:bidi w:val="0"/>
        <w:spacing w:before="240" w:after="283"/>
        <w:jc w:val="left"/>
        <w:rPr>
          <w:rFonts w:ascii="Times New Roman" w:hAnsi="Times New Roman"/>
          <w:sz w:val="20"/>
        </w:rPr>
      </w:pPr>
      <w:r>
        <w:rPr>
          <w:rFonts w:ascii="Times New Roman" w:hAnsi="Times New Roman"/>
          <w:b/>
          <w:color w:val="000000"/>
          <w:sz w:val="20"/>
        </w:rPr>
        <w:t>Recent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new accounting pronouncements are issued by the Financial Accounting Standards Board, or FASB, or other standard setting bodies and adopted by us as of the specified effective date. Unless otherwise discussed in "Summary of Significant Accounting Policies" (Note 3) to our audited consolidated financial statements included in this Annual Report, we believe that the impact of recently issued standards that are not yet effective will not have a material impact on our financial position or results of operations upon adoption.</w:t>
      </w:r>
    </w:p>
    <w:p>
      <w:pPr>
        <w:pStyle w:val="TextBody"/>
        <w:bidi w:val="0"/>
        <w:spacing w:before="240" w:after="283"/>
        <w:jc w:val="left"/>
        <w:rPr>
          <w:rFonts w:ascii="Times New Roman" w:hAnsi="Times New Roman"/>
          <w:sz w:val="20"/>
        </w:rPr>
      </w:pPr>
      <w:r>
        <w:rPr>
          <w:rFonts w:ascii="Times New Roman" w:hAnsi="Times New Roman"/>
          <w:b/>
          <w:i/>
          <w:color w:val="000000"/>
          <w:sz w:val="20"/>
        </w:rPr>
        <w:t>Critical Accounting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our consolidated financial statements, which have been prepared in accordance with accounting principles generally accepted in the United States, or U.S. GAAP, requires us to make estimates, judgments and assumptions that may affect the reported amounts of assets, liabilities, equity, revenue and expense and related disclosure of contingent assets and liabilities. On an ongoing basis we evaluate our estimates, judgments and assumptions. We base our estimates on historical experience, known trends and events and various other factors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In making estimates and judgments, management employs critical accounting policies. Other significant accounting policies are outlined in "Summary of Significant Accounting Policies" (Note 3) to our consolidated financial statements included in this Annual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listed below our critical accounting estimates that we believe to have the greatest potential impact on our consolidated financial statements. Historically, our assumptions, judgments and estimates relative to our critical accounting estimates have not differed materially from actual results.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Revenue from Contracts with Customers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enter into license agreements for the development and commercialization of our product candidates. License agreements may include non-refundable upfront payments, contingent payments based on the occurrence of specified events under our license arrangements, partial or complete reimbursement of research and development expenses, license fees and royalties on sales of entinostat if they are successfully approved and commercialized. Our performance obligations under the license agreements may include the transfer of intellectual property rights in the form of licenses, obligations to provide research and development services and related materials and participation on certain development and/or commercialization committees.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Revenue is recognized when, or as, performance obligations are satisfied, which occurs when control of the promised products or services is transferred to customers. Revenue is measured as the amount of consideration we expect to receive in exchange for transferring products or services to a customer, or the transaction price. To the extent that the transaction price includes variable consideration, we estimate the amount of variable consideration that should be included in the transaction price utilizing the most likely amount method. Variable consideration is included in the transaction price if, in our judgment, it is probable that a significant future reversal of cumulative revenue under the contract will not occur. Estimates of variable consideration and determination of whether to include estimated amounts in the transaction price are based largely on an assessment of our anticipated performance and all information (historical, current and forecasted) that is reasonably available.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assessed the promises to determine if they are distinct performance obligations. Once the performance obligations are determined, the transaction price is allocated based on a relative standalone selling price basis. Milestone payments and royalties are typically considered variable consideration at the outset of the contract and are recognized in the transaction price either upon occurrence or when the constraint of a probable reversal is no longer applicable.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2021, we recorded revenue of $126.6 million relating to the Incyte Collaboration Agreement and $13.3 million relating to the KKC Agreement. For the years ended December 31, 2023 and 2022, no revenue has been recognized relating to either agreement.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applied significant judgment to our Incyte Collaboration Agreement. We evaluated whether our contractual obligations represented distinct performance obligations. Such evaluation required judgment since it was made from the customer’s perspective. We determined that the transfer of the license to Incyte was a distinct performance obligation, separate from the ongoing collaboration activities. As such, we estimated the standalone selling price to be $126.6 million which we recognized as $126.6 million of license revenue for the year ended December 31, 2021.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applied significant judgment to our KKC Agreement. We evaluated whether our contractual obligations represented distinct performance obligations. Such evaluation required judgment since it was made from the customer’s perspective. We determined that our performance obligations under the collaboration at contract inception were not distinct and represented a single performance obligation. In September 2021, KKC informed us, that they have discontinued the entinostat program and have cancelled the license to develop and commercialize entinostat. As a result, we recognized $12.4 million in revenue, which was previously deferred in the third quarter of 2021. </w:t>
      </w:r>
    </w:p>
    <w:p>
      <w:pPr>
        <w:pStyle w:val="TextBody"/>
        <w:bidi w:val="0"/>
        <w:spacing w:before="240" w:after="283"/>
        <w:jc w:val="left"/>
        <w:rPr>
          <w:rFonts w:ascii="Times New Roman" w:hAnsi="Times New Roman"/>
          <w:sz w:val="20"/>
        </w:rPr>
      </w:pPr>
      <w:r>
        <w:rPr>
          <w:rFonts w:ascii="Times New Roman" w:hAnsi="Times New Roman"/>
          <w:b/>
          <w:i/>
          <w:color w:val="000000"/>
          <w:sz w:val="20"/>
        </w:rPr>
        <w:t>Accrued Research and Development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part of the process of preparing our consolidated financial statements, we are required to estimate our accrued research and development expenses. This process involves reviewing contracts and vendor agreements, communicating with our applicable personnel to identify services that have been performed on our behalf and estimating the level of service performed and the associated cost incurred for the service when we have not yet been invoiced or otherwise notified of actual cost. We make estimates of our accrued and prepaid clinical expenses as of each balance sheet date in our consolidated financial statements based on facts and circumstances known to us at that time. Examples of estimated accrued research and development expenses include fees paid to contract research organizations, or CROs, and investigative sites in connection with clinical studies and to vendors related to product manufacturing and development of clinical supplies.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base our expenses related to clinical study and trial costs on our estimates of the services received and efforts expended pursuant to contracts with multiple research institutions and CROs that conduct and manage clinical studies on our behalf. The financial terms of these agreements are subject to negotiation, vary from contract to contract and may result in uneven payment flows and expense recognition. Payments under some of these contracts depend on factors out of our control, such as the successful enrollment of patients and the completion of clinical trial milestones. In accruing service fees, we estimate the time period over which services will be performed and the level of effort to be expended in each period. If the actual timing of the performance of services or the level of effort varies from our estimate, we adjust the accrual accordingly. Although we do not expect our estimates to be materially different from amounts actually incurred, if our estimates of the status and timing of services performed differ from the actual status and timing of services performed, we may report amounts that are too high or too low in any particular period. To date, we have not experienced any significant adjustments to our estimates.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Comparison of the years ended December 31, 2023, 2022 and 2021:</w:t>
      </w:r>
    </w:p>
    <w:p>
      <w:pPr>
        <w:pStyle w:val="TextBody"/>
        <w:bidi w:val="0"/>
        <w:spacing w:before="240" w:after="283"/>
        <w:jc w:val="left"/>
        <w:rPr/>
      </w:pPr>
      <w:r>
        <w:rPr/>
        <w:t> </w:t>
      </w:r>
    </w:p>
    <w:tbl>
      <w:tblPr>
        <w:tblW w:w="10584" w:type="dxa"/>
        <w:jc w:val="left"/>
        <w:tblInd w:w="0" w:type="dxa"/>
        <w:tblLayout w:type="fixed"/>
        <w:tblCellMar>
          <w:top w:w="28" w:type="dxa"/>
          <w:left w:w="28" w:type="dxa"/>
          <w:bottom w:w="28" w:type="dxa"/>
          <w:right w:w="28" w:type="dxa"/>
        </w:tblCellMar>
      </w:tblPr>
      <w:tblGrid>
        <w:gridCol w:w="1491"/>
        <w:gridCol w:w="146"/>
        <w:gridCol w:w="211"/>
        <w:gridCol w:w="841"/>
        <w:gridCol w:w="166"/>
        <w:gridCol w:w="146"/>
        <w:gridCol w:w="211"/>
        <w:gridCol w:w="841"/>
        <w:gridCol w:w="166"/>
        <w:gridCol w:w="146"/>
        <w:gridCol w:w="211"/>
        <w:gridCol w:w="781"/>
        <w:gridCol w:w="166"/>
        <w:gridCol w:w="146"/>
        <w:gridCol w:w="211"/>
        <w:gridCol w:w="736"/>
        <w:gridCol w:w="166"/>
        <w:gridCol w:w="146"/>
        <w:gridCol w:w="146"/>
        <w:gridCol w:w="421"/>
        <w:gridCol w:w="331"/>
        <w:gridCol w:w="146"/>
        <w:gridCol w:w="211"/>
        <w:gridCol w:w="841"/>
        <w:gridCol w:w="166"/>
        <w:gridCol w:w="146"/>
        <w:gridCol w:w="146"/>
        <w:gridCol w:w="526"/>
        <w:gridCol w:w="576"/>
      </w:tblGrid>
      <w:tr>
        <w:trPr/>
        <w:tc>
          <w:tcPr>
            <w:tcW w:w="1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14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372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w:t>
              <w:br/>
              <w:t>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2023 - 2022 Increase</w:t>
              <w:br/>
              <w:t>(Decrease)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2022 - 2021 Increase</w:t>
              <w:br/>
              <w:t>(Decrease)</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91" w:type="dxa"/>
            <w:tcBorders/>
            <w:shd w:fill="FFFFFF" w:val="cle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vAlign w:val="center"/>
          </w:tcPr>
          <w:p>
            <w:pPr>
              <w:pStyle w:val="TableContents"/>
              <w:bidi w:val="0"/>
              <w:spacing w:before="0" w:after="283"/>
              <w:jc w:val="righ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67" w:type="dxa"/>
            <w:gridSpan w:val="2"/>
            <w:tcBorders/>
            <w:shd w:fill="CFF0FC" w:val="clear"/>
            <w:vAlign w:val="center"/>
          </w:tcPr>
          <w:p>
            <w:pPr>
              <w:pStyle w:val="TableContents"/>
              <w:bidi w:val="0"/>
              <w:spacing w:before="0" w:after="283"/>
              <w:jc w:val="right"/>
              <w:rPr/>
            </w:pPr>
            <w:r>
              <w:rPr/>
              <w:t> </w:t>
            </w:r>
          </w:p>
        </w:tc>
        <w:tc>
          <w:tcPr>
            <w:tcW w:w="33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672" w:type="dxa"/>
            <w:gridSpan w:val="2"/>
            <w:tcBorders/>
            <w:shd w:fill="CFF0FC" w:val="clear"/>
            <w:vAlign w:val="center"/>
          </w:tcPr>
          <w:p>
            <w:pPr>
              <w:pStyle w:val="TableContents"/>
              <w:bidi w:val="0"/>
              <w:spacing w:before="0" w:after="283"/>
              <w:jc w:val="right"/>
              <w:rPr/>
            </w:pPr>
            <w:r>
              <w:rPr/>
              <w:t> </w:t>
            </w:r>
          </w:p>
        </w:tc>
        <w:tc>
          <w:tcPr>
            <w:tcW w:w="576" w:type="dxa"/>
            <w:tcBorders/>
            <w:shd w:fill="CFF0FC" w:val="clear"/>
            <w:vAlign w:val="center"/>
          </w:tcPr>
          <w:p>
            <w:pPr>
              <w:pStyle w:val="TableContents"/>
              <w:bidi w:val="0"/>
              <w:spacing w:before="0" w:after="283"/>
              <w:ind w:left="0" w:right="0" w:firstLine="200"/>
              <w:jc w:val="right"/>
              <w:rPr/>
            </w:pPr>
            <w:r>
              <w:rPr/>
              <w:t> </w:t>
            </w:r>
          </w:p>
        </w:tc>
      </w:tr>
      <w:tr>
        <w:trPr/>
        <w:tc>
          <w:tcPr>
            <w:tcW w:w="149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License fees</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vAlign w:val="center"/>
          </w:tcPr>
          <w:p>
            <w:pPr>
              <w:pStyle w:val="TableContents"/>
              <w:bidi w:val="0"/>
              <w:spacing w:before="0" w:after="283"/>
              <w:jc w:val="righ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67" w:type="dxa"/>
            <w:gridSpan w:val="2"/>
            <w:tcBorders/>
            <w:shd w:fill="FFFFFF" w:val="clear"/>
            <w:vAlign w:val="center"/>
          </w:tcPr>
          <w:p>
            <w:pPr>
              <w:pStyle w:val="TableContents"/>
              <w:bidi w:val="0"/>
              <w:spacing w:before="0" w:after="283"/>
              <w:jc w:val="right"/>
              <w:rPr/>
            </w:pPr>
            <w:r>
              <w:rPr/>
              <w:t> </w:t>
            </w:r>
          </w:p>
        </w:tc>
        <w:tc>
          <w:tcPr>
            <w:tcW w:w="33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72" w:type="dxa"/>
            <w:gridSpan w:val="2"/>
            <w:tcBorders/>
            <w:shd w:fill="FFFFFF" w:val="clear"/>
            <w:vAlign w:val="center"/>
          </w:tcPr>
          <w:p>
            <w:pPr>
              <w:pStyle w:val="TableContents"/>
              <w:bidi w:val="0"/>
              <w:spacing w:before="0" w:after="283"/>
              <w:jc w:val="right"/>
              <w:rPr/>
            </w:pPr>
            <w:r>
              <w:rPr/>
              <w:t> </w:t>
            </w:r>
          </w:p>
        </w:tc>
        <w:tc>
          <w:tcPr>
            <w:tcW w:w="576" w:type="dxa"/>
            <w:tcBorders/>
            <w:shd w:fill="FFFFFF" w:val="clear"/>
            <w:vAlign w:val="center"/>
          </w:tcPr>
          <w:p>
            <w:pPr>
              <w:pStyle w:val="TableContents"/>
              <w:bidi w:val="0"/>
              <w:spacing w:before="0" w:after="283"/>
              <w:ind w:left="0" w:right="0" w:firstLine="200"/>
              <w:jc w:val="right"/>
              <w:rPr/>
            </w:pPr>
            <w:r>
              <w:rPr/>
              <w:t> </w:t>
            </w:r>
          </w:p>
        </w:tc>
      </w:tr>
      <w:tr>
        <w:trPr/>
        <w:tc>
          <w:tcPr>
            <w:tcW w:w="149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163,032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118,499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88,248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44,533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331"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30,251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576" w:type="dxa"/>
            <w:tcBorders/>
            <w:shd w:fill="CFF0FC" w:val="cle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w:t>
            </w:r>
          </w:p>
        </w:tc>
      </w:tr>
      <w:tr>
        <w:trPr/>
        <w:tc>
          <w:tcPr>
            <w:tcW w:w="149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r>
      <w:tr>
        <w:trPr/>
        <w:tc>
          <w:tcPr>
            <w:tcW w:w="14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229,954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151,757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5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r>
      <w:tr>
        <w:trPr/>
        <w:tc>
          <w:tcPr>
            <w:tcW w:w="14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income from operations</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(229,954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(151,757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26,220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(78,197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33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(177,977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w:t>
            </w:r>
          </w:p>
        </w:tc>
        <w:tc>
          <w:tcPr>
            <w:tcW w:w="5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CFF0FC" w:val="clear"/>
            <w:vAlign w:val="center"/>
          </w:tcPr>
          <w:p>
            <w:pPr>
              <w:pStyle w:val="TableContents"/>
              <w:bidi w:val="0"/>
              <w:spacing w:before="0" w:after="283"/>
              <w:jc w:val="righ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67" w:type="dxa"/>
            <w:gridSpan w:val="2"/>
            <w:tcBorders/>
            <w:shd w:fill="CFF0FC" w:val="clear"/>
            <w:vAlign w:val="center"/>
          </w:tcPr>
          <w:p>
            <w:pPr>
              <w:pStyle w:val="TableContents"/>
              <w:bidi w:val="0"/>
              <w:spacing w:before="0" w:after="283"/>
              <w:jc w:val="right"/>
              <w:rPr/>
            </w:pPr>
            <w:r>
              <w:rPr/>
              <w:t> </w:t>
            </w:r>
          </w:p>
        </w:tc>
        <w:tc>
          <w:tcPr>
            <w:tcW w:w="33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672" w:type="dxa"/>
            <w:gridSpan w:val="2"/>
            <w:tcBorders/>
            <w:shd w:fill="CFF0FC" w:val="clear"/>
            <w:vAlign w:val="center"/>
          </w:tcPr>
          <w:p>
            <w:pPr>
              <w:pStyle w:val="TableContents"/>
              <w:bidi w:val="0"/>
              <w:spacing w:before="0" w:after="283"/>
              <w:jc w:val="right"/>
              <w:rPr/>
            </w:pPr>
            <w:r>
              <w:rPr/>
              <w:t> </w:t>
            </w:r>
          </w:p>
        </w:tc>
        <w:tc>
          <w:tcPr>
            <w:tcW w:w="576" w:type="dxa"/>
            <w:tcBorders/>
            <w:shd w:fill="CFF0FC" w:val="clear"/>
            <w:vAlign w:val="center"/>
          </w:tcPr>
          <w:p>
            <w:pPr>
              <w:pStyle w:val="TableContents"/>
              <w:bidi w:val="0"/>
              <w:spacing w:before="0" w:after="283"/>
              <w:ind w:left="0" w:right="0" w:firstLine="200"/>
              <w:jc w:val="right"/>
              <w:rPr/>
            </w:pPr>
            <w:r>
              <w:rPr/>
              <w:t> </w:t>
            </w:r>
          </w:p>
        </w:tc>
      </w:tr>
      <w:tr>
        <w:trPr/>
        <w:tc>
          <w:tcPr>
            <w:tcW w:w="149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576" w:type="dxa"/>
            <w:tcBorders/>
            <w:shd w:fill="FFFFFF" w:val="cle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w:t>
            </w:r>
          </w:p>
        </w:tc>
      </w:tr>
      <w:tr>
        <w:trPr/>
        <w:tc>
          <w:tcPr>
            <w:tcW w:w="149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21,163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15,291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331"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1357</w:t>
            </w:r>
          </w:p>
        </w:tc>
        <w:tc>
          <w:tcPr>
            <w:tcW w:w="576" w:type="dxa"/>
            <w:tcBorders/>
            <w:shd w:fill="CFF0FC" w:val="cle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w:t>
            </w:r>
          </w:p>
        </w:tc>
      </w:tr>
      <w:tr>
        <w:trPr/>
        <w:tc>
          <w:tcPr>
            <w:tcW w:w="149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(expense) income</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 (expense)</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w:t>
            </w:r>
          </w:p>
        </w:tc>
        <w:tc>
          <w:tcPr>
            <w:tcW w:w="5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(209,360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(149,338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(174,264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w:t>
            </w:r>
          </w:p>
        </w:tc>
        <w:tc>
          <w:tcPr>
            <w:tcW w:w="5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360" w:after="283"/>
        <w:jc w:val="left"/>
        <w:rPr>
          <w:rFonts w:ascii="Times New Roman" w:hAnsi="Times New Roman"/>
          <w:sz w:val="20"/>
        </w:rPr>
      </w:pPr>
      <w:r>
        <w:rPr>
          <w:rFonts w:ascii="Times New Roman" w:hAnsi="Times New Roman"/>
          <w:b/>
          <w:i/>
          <w:color w:val="000000"/>
          <w:sz w:val="20"/>
        </w:rPr>
        <w:t>Research and Development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research and development expenses for the full years ended December 31, 2023, 2022 and 2021:</w:t>
      </w:r>
    </w:p>
    <w:p>
      <w:pPr>
        <w:pStyle w:val="TextBody"/>
        <w:bidi w:val="0"/>
        <w:spacing w:before="120" w:after="283"/>
        <w:jc w:val="left"/>
        <w:rPr/>
      </w:pPr>
      <w:r>
        <w:rPr/>
        <w:t> </w:t>
      </w:r>
    </w:p>
    <w:tbl>
      <w:tblPr>
        <w:tblW w:w="10314" w:type="dxa"/>
        <w:jc w:val="left"/>
        <w:tblInd w:w="0" w:type="dxa"/>
        <w:tblLayout w:type="fixed"/>
        <w:tblCellMar>
          <w:top w:w="28" w:type="dxa"/>
          <w:left w:w="28" w:type="dxa"/>
          <w:bottom w:w="28" w:type="dxa"/>
          <w:right w:w="28" w:type="dxa"/>
        </w:tblCellMar>
      </w:tblPr>
      <w:tblGrid>
        <w:gridCol w:w="1881"/>
        <w:gridCol w:w="146"/>
        <w:gridCol w:w="211"/>
        <w:gridCol w:w="781"/>
        <w:gridCol w:w="146"/>
        <w:gridCol w:w="146"/>
        <w:gridCol w:w="211"/>
        <w:gridCol w:w="781"/>
        <w:gridCol w:w="146"/>
        <w:gridCol w:w="146"/>
        <w:gridCol w:w="211"/>
        <w:gridCol w:w="676"/>
        <w:gridCol w:w="146"/>
        <w:gridCol w:w="146"/>
        <w:gridCol w:w="211"/>
        <w:gridCol w:w="676"/>
        <w:gridCol w:w="166"/>
        <w:gridCol w:w="146"/>
        <w:gridCol w:w="146"/>
        <w:gridCol w:w="421"/>
        <w:gridCol w:w="331"/>
        <w:gridCol w:w="146"/>
        <w:gridCol w:w="211"/>
        <w:gridCol w:w="676"/>
        <w:gridCol w:w="166"/>
        <w:gridCol w:w="146"/>
        <w:gridCol w:w="146"/>
        <w:gridCol w:w="376"/>
        <w:gridCol w:w="576"/>
      </w:tblGrid>
      <w:tr>
        <w:trPr/>
        <w:tc>
          <w:tcPr>
            <w:tcW w:w="1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18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345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w:t>
              <w:br/>
              <w:t>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2023 - 2022 Increase</w:t>
              <w:br/>
              <w:t>(Decrease)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2022 - 2021 Increase</w:t>
              <w:br/>
              <w:t>(Decrease)</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81" w:type="dxa"/>
            <w:tcBorders/>
            <w:shd w:fill="FFFFFF" w:val="cle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18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Revumenib-related costs</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31,054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16,807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33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16,261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576" w:type="dxa"/>
            <w:tcBorders/>
            <w:shd w:fill="FFFFFF" w:val="cle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w:t>
            </w:r>
          </w:p>
        </w:tc>
      </w:tr>
      <w:tr>
        <w:trPr/>
        <w:tc>
          <w:tcPr>
            <w:tcW w:w="18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Axatilimab-related costs</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32,114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576" w:type="dxa"/>
            <w:tcBorders/>
            <w:shd w:fill="CFF0FC" w:val="cle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w:t>
            </w:r>
          </w:p>
        </w:tc>
      </w:tr>
      <w:tr>
        <w:trPr/>
        <w:tc>
          <w:tcPr>
            <w:tcW w:w="18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R&amp;D programs</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57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8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Personnel cost and other expenses</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47,208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15,998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21,686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331"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576" w:type="dxa"/>
            <w:tcBorders/>
            <w:shd w:fill="CFF0FC" w:val="cle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w:t>
            </w:r>
          </w:p>
        </w:tc>
      </w:tr>
      <w:tr>
        <w:trPr/>
        <w:tc>
          <w:tcPr>
            <w:tcW w:w="18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r>
      <w:tr>
        <w:trPr/>
        <w:tc>
          <w:tcPr>
            <w:tcW w:w="18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163,032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118,499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5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r>
    </w:tbl>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year ended December 31, 2023, our total research and development expenses increased by $44.5 million or 38 % from the prior year. The increase is primarily due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increase in $16.8 million in revumenib related costs due to increases in expenses associated with registrational trials, the initiation of frontline/combination trials, clinical diagnostic test development costs, and regulatory expenses associated with New Drug Applications, or NDA, submission.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decrease of $1.2 million in axatilimab-related costs is due to lower registrational trial costs, lower costs for the IPF trial that were driven by start-up costs in 2022, and lower CMC-related expenses, net of expense reimbursement from Incyte, our co-development partner, of $12.3 million in 2023 and $25.9 million in 2022.</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increase of $29.8 million in personnel costs, including non-cash stock-based compensation, and other expenses related to increases in headcount to support of on-going clinical trials and regulatory expenses, NDA activities and related expenses and overhead expenses (e.g. information technology and facilities).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internal and external research and development expenses for the full years ended December 31, 2023 and 2022:</w:t>
      </w:r>
    </w:p>
    <w:p>
      <w:pPr>
        <w:pStyle w:val="TextBody"/>
        <w:bidi w:val="0"/>
        <w:spacing w:before="120" w:after="283"/>
        <w:jc w:val="left"/>
        <w:rPr/>
      </w:pPr>
      <w:r>
        <w:rPr/>
        <w:t> </w:t>
      </w:r>
    </w:p>
    <w:tbl>
      <w:tblPr>
        <w:tblW w:w="8482" w:type="dxa"/>
        <w:jc w:val="left"/>
        <w:tblInd w:w="0" w:type="dxa"/>
        <w:tblLayout w:type="fixed"/>
        <w:tblCellMar>
          <w:top w:w="28" w:type="dxa"/>
          <w:left w:w="28" w:type="dxa"/>
          <w:bottom w:w="28" w:type="dxa"/>
          <w:right w:w="28" w:type="dxa"/>
        </w:tblCellMar>
      </w:tblPr>
      <w:tblGrid>
        <w:gridCol w:w="3751"/>
        <w:gridCol w:w="146"/>
        <w:gridCol w:w="211"/>
        <w:gridCol w:w="781"/>
        <w:gridCol w:w="146"/>
        <w:gridCol w:w="146"/>
        <w:gridCol w:w="211"/>
        <w:gridCol w:w="781"/>
        <w:gridCol w:w="146"/>
        <w:gridCol w:w="146"/>
        <w:gridCol w:w="211"/>
        <w:gridCol w:w="676"/>
        <w:gridCol w:w="146"/>
        <w:gridCol w:w="146"/>
        <w:gridCol w:w="146"/>
        <w:gridCol w:w="316"/>
        <w:gridCol w:w="376"/>
      </w:tblGrid>
      <w:tr>
        <w:trPr/>
        <w:tc>
          <w:tcPr>
            <w:tcW w:w="3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7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w:t>
              <w:br/>
              <w:t>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w:t>
              <w:br/>
              <w:t>(Decrease)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1" w:type="dxa"/>
            <w:tcBorders/>
            <w:shd w:fill="FFFFFF" w:val="cle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research and development expenses</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105,978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89,788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16,190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37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r>
      <w:tr>
        <w:trPr/>
        <w:tc>
          <w:tcPr>
            <w:tcW w:w="37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Internal research and development expenses</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r>
      <w:tr>
        <w:trPr/>
        <w:tc>
          <w:tcPr>
            <w:tcW w:w="37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163,032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118,499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44,533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research and development expenses to fluctuate from quarter to quarter depending on the timing of clinical trial activities, clinical manufacturing, and other development activities. </w:t>
      </w:r>
    </w:p>
    <w:p>
      <w:pPr>
        <w:pStyle w:val="TextBody"/>
        <w:bidi w:val="0"/>
        <w:spacing w:before="240" w:after="283"/>
        <w:jc w:val="left"/>
        <w:rPr>
          <w:rFonts w:ascii="Times New Roman" w:hAnsi="Times New Roman"/>
          <w:sz w:val="20"/>
        </w:rPr>
      </w:pPr>
      <w:r>
        <w:rPr>
          <w:rFonts w:ascii="Times New Roman" w:hAnsi="Times New Roman"/>
          <w:b/>
          <w:i/>
          <w:color w:val="000000"/>
          <w:sz w:val="20"/>
        </w:rPr>
        <w:t>Selling, General and Administrative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selling, general and administrative expenses for the full years ended December 31, 2023, 2022 and 2021:</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2082"/>
        <w:gridCol w:w="146"/>
        <w:gridCol w:w="211"/>
        <w:gridCol w:w="676"/>
        <w:gridCol w:w="146"/>
        <w:gridCol w:w="146"/>
        <w:gridCol w:w="211"/>
        <w:gridCol w:w="676"/>
        <w:gridCol w:w="146"/>
        <w:gridCol w:w="146"/>
        <w:gridCol w:w="211"/>
        <w:gridCol w:w="676"/>
        <w:gridCol w:w="146"/>
        <w:gridCol w:w="146"/>
        <w:gridCol w:w="211"/>
        <w:gridCol w:w="676"/>
        <w:gridCol w:w="146"/>
        <w:gridCol w:w="146"/>
        <w:gridCol w:w="146"/>
        <w:gridCol w:w="421"/>
        <w:gridCol w:w="331"/>
        <w:gridCol w:w="146"/>
        <w:gridCol w:w="211"/>
        <w:gridCol w:w="571"/>
        <w:gridCol w:w="146"/>
        <w:gridCol w:w="146"/>
        <w:gridCol w:w="146"/>
        <w:gridCol w:w="421"/>
        <w:gridCol w:w="576"/>
      </w:tblGrid>
      <w:tr>
        <w:trPr/>
        <w:tc>
          <w:tcPr>
            <w:tcW w:w="20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208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324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w:t>
              <w:br/>
              <w:t>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2023 - 2022 Increase</w:t>
              <w:br/>
              <w:t>(Decrease)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2022 - 2021 Increase</w:t>
              <w:br/>
              <w:t>(Decrease)</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2" w:type="dxa"/>
            <w:tcBorders/>
            <w:shd w:fill="FFFFFF" w:val="cle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208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Commercial related expenses</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13,115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10,999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w:t>
            </w:r>
          </w:p>
        </w:tc>
        <w:tc>
          <w:tcPr>
            <w:tcW w:w="331"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w:t>
            </w:r>
          </w:p>
        </w:tc>
        <w:tc>
          <w:tcPr>
            <w:tcW w:w="576" w:type="dxa"/>
            <w:tcBorders/>
            <w:shd w:fill="CFF0FC" w:val="cle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w:t>
            </w:r>
          </w:p>
        </w:tc>
      </w:tr>
      <w:tr>
        <w:trPr/>
        <w:tc>
          <w:tcPr>
            <w:tcW w:w="208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SG&amp;A expenses</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14,105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9,838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33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576" w:type="dxa"/>
            <w:tcBorders/>
            <w:shd w:fill="FFFFFF" w:val="cle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w:t>
            </w:r>
          </w:p>
        </w:tc>
      </w:tr>
      <w:tr>
        <w:trPr/>
        <w:tc>
          <w:tcPr>
            <w:tcW w:w="208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Personnel cost and other expenses</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22,898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11,301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11,597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331"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576" w:type="dxa"/>
            <w:tcBorders/>
            <w:shd w:fill="CFF0FC" w:val="cle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w:t>
            </w:r>
          </w:p>
        </w:tc>
      </w:tr>
      <w:tr>
        <w:trPr/>
        <w:tc>
          <w:tcPr>
            <w:tcW w:w="208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r>
      <w:tr>
        <w:trPr/>
        <w:tc>
          <w:tcPr>
            <w:tcW w:w="208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selling, general and administrative expenses</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33,258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33,664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5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r>
    </w:tbl>
    <w:p>
      <w:pPr>
        <w:pStyle w:val="TextBody"/>
        <w:bidi w:val="0"/>
        <w:spacing w:before="120" w:after="283"/>
        <w:jc w:val="left"/>
        <w:rPr/>
      </w:pPr>
      <w:r>
        <w:rPr/>
        <w:t> </w:t>
      </w:r>
    </w:p>
    <w:p>
      <w:pPr>
        <w:pStyle w:val="TextBody"/>
        <w:bidi w:val="0"/>
        <w:spacing w:before="120" w:after="283"/>
        <w:jc w:val="left"/>
        <w:rPr>
          <w:rFonts w:ascii="Times New Roman" w:hAnsi="Times New Roman"/>
          <w:sz w:val="20"/>
        </w:rPr>
      </w:pPr>
      <w:r>
        <w:rPr>
          <w:rFonts w:ascii="Times New Roman" w:hAnsi="Times New Roman"/>
          <w:color w:val="2E2E2E"/>
          <w:sz w:val="20"/>
        </w:rPr>
        <w:t>For the year ended December 31, 2023, our total selling, general and administrative expenses increased by $33.7 million</w:t>
      </w:r>
      <w:r>
        <w:rPr>
          <w:rFonts w:ascii="Times New Roman" w:hAnsi="Times New Roman"/>
          <w:color w:val="000000"/>
          <w:sz w:val="20"/>
        </w:rPr>
        <w:t>, or 101%, from the prior year. The increase primarily is due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of $11.0 million in commercialization activities for the revumenib and axatilimab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increase of $4.3 million related to increases in rent, information technology, human resources and legal related expenses.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increase of $18.4 million in personnel costs, including non-cash stock-based compensation, and related costs related to increases in headcount to support a growing research and development organization and preparation for commercial launch.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Interest Expense and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year end December 31, 2023, interest expense decreased by $2.9 million, or 93%, from the prior year. The decrease is primarily due to the elimination of interest expense related to the amended loan agreement by and between the Company and Hercules, which was terminated in September 2022.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year ended December 31, 2023, interest income increased by $15.3 million, or 260%, from the prior year. This increase was primarily due to higher interest rates and increased average balance on cash equivalents and short and long-term investments.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Other (Expense) Income,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year ended December 31, 2023, the total other (expense) income, net increased from the comparable period in the prior year primarily due to an increase in revaluation of foreign currency related to trade payables.</w:t>
      </w:r>
    </w:p>
    <w:p>
      <w:pPr>
        <w:pStyle w:val="TextBody"/>
        <w:bidi w:val="0"/>
        <w:spacing w:before="360" w:after="283"/>
        <w:jc w:val="left"/>
        <w:rPr>
          <w:rFonts w:ascii="Times New Roman" w:hAnsi="Times New Roman"/>
          <w:b/>
          <w:color w:val="000000"/>
          <w:sz w:val="20"/>
        </w:rPr>
      </w:pPr>
      <w:bookmarkStart w:id="15" w:name="results_of_operations_for_2018_vs_2017"/>
      <w:bookmarkEnd w:id="15"/>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2023, we had cash, cash equivalents and short-term and long-term investments totaling $600.5 million. Since our inception, our operations have been primarily financed by net proceeds from our public stock offerings, and revenue from our license agreements. We believe that our cash, cash equivalents and short and long-term investments as of December 31, 2023, will fund our projected operating expenses and capital expenditure requirements for at least the next 12 months. In addition to our existing cash, cash equivalents, short and long-term investments, we are eligible to receive research and development funding and to earn milestone and other contingent payments for the achievement of defined collaboration objectives and certain development, regulatory and commercial milestones, and royalty payments under our collaboration agreements. Our ability to earn these milestone and contingent payments and the timing of achieving these milestones is primarily dependent upon the outcome of our collaborators’ research and development activities and is uncertain at this time.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Loan and Security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February 2020, we entered into a loan and security agreement, with Hercules, as amended in December 2021, which we refer to as the Amended Loan Agreement. We terminated the Amended Loan Agreement in September 2022. On September 23, 2022, we made a prepayment of $21.5 million to satisfy in full all of our principal and interest obligations and related fees under the Amended Loan Agreement. The payoff amount paid by us in connection with the termination of the Amended Loan Agreement was pursuant to a payoff letter with Hercules and included payment of (a) $1.0 million as an end-of term fee and (b) $0.4 million as a pre-payment fee. Hercules released all security interests held on our assets.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additional details on our Amended Loan Agreement, see "Loan Payable" (Note 14) to our consolidated financial statements in this Annual Report. </w:t>
      </w:r>
    </w:p>
    <w:p>
      <w:pPr>
        <w:pStyle w:val="TextBody"/>
        <w:bidi w:val="0"/>
        <w:spacing w:before="360" w:after="283"/>
        <w:jc w:val="left"/>
        <w:rPr>
          <w:rFonts w:ascii="Times New Roman" w:hAnsi="Times New Roman"/>
          <w:sz w:val="20"/>
        </w:rPr>
      </w:pPr>
      <w:r>
        <w:rPr>
          <w:rFonts w:ascii="Times New Roman" w:hAnsi="Times New Roman"/>
          <w:b/>
          <w:i/>
          <w:color w:val="000000"/>
          <w:sz w:val="20"/>
        </w:rPr>
        <w:t>Future Funding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that our available cash, cash equivalents, short-term and long-term investments are sufficient to fund existing and planned cash requirements. Our primary uses of capital are, and we expect will continue to be, compensation and related expenses, third-party clinical research and development services, clinical costs, legal and other regulatory expenses and general overhead costs. We have based our estimates on assumptions that may prove to be incorrect, and we could use our capital resources sooner than we currently expect.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Additionally, the process of testing drug candidates in clinical trials is costly, and the timing of progress in these trials is uncertain. We cannot estimate the actual amounts necessary to successfully complete the development and commercialization of our product candidates or whether, or when, we may achieve profitability. Our future capital requirements will depend on many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initiation, progress, timing, costs and results of clinical trials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outcome, timing and cost of seeking and obtaining regulatory approvals from the FDA and comparable foreign regulatory authorities, including the potential for such authorities to require that we perform more trials than we currently expect;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to establish, maintain, expand and defend the scope of our intellectual property portfolio, including the amount and timing of any payments we may be required to make, or that we may receive, in connection with licensing, preparing, filing, prosecuting, defending and enforcing any patents or other intellectual property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market acceptance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and timing of selecting, auditing and developing manufacturing capabilities, and potentially validating manufacturing sites for commercial-scale manufacturing;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and timing for obtaining pricing and reimbursement, which may require additional trials to address pharmacoeconomic benefit;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establishing sales, marketing and distribution capabilities for our product candidates if either candidate receives regulatory approval and we determine, in the case of revumenib to commercialize it ourselves, or in the case of axatilimab to co-commercialize it with Incyte;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of acquiring, licensing or investing in additional businesses, products, product candidates and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interruption of key clinical trial activities, such as clinical trial site monitoring;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disruption to our supply chain and operations, and associated delays in the manufacturing and supply of our products, which would adversely impact our ability to continue our clinical trial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 of competing technological and market developments;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need to implement additional internal systems and infrastructure, including financial and reporting systems, as we grow our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no products approved for commercial sale and have not generated any product revenues from product sales to date. Until such time, if ever, as we can generate substantial product revenues, we expect to finance our cash needs through a combination of equity offerings, debt financings and additional funding from license and collaboration arrangements. Except for any obligations of our collaborators to reimburse us for research and development expenses or to make milestone or royalty payments under our agreements with them, we will not have any committed external source of liquidity.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Our material cash requirements include the following contractual obligations as of December 31, 2023, and the effects that such obligations are expected to have on our liquidity and cash flows in future periods. For additional information, see our consolidated financial statements.</w:t>
      </w:r>
    </w:p>
    <w:tbl>
      <w:tblPr>
        <w:tblW w:w="8204" w:type="dxa"/>
        <w:jc w:val="left"/>
        <w:tblInd w:w="0" w:type="dxa"/>
        <w:tblLayout w:type="fixed"/>
        <w:tblCellMar>
          <w:top w:w="28" w:type="dxa"/>
          <w:left w:w="28" w:type="dxa"/>
          <w:bottom w:w="28" w:type="dxa"/>
          <w:right w:w="28" w:type="dxa"/>
        </w:tblCellMar>
      </w:tblPr>
      <w:tblGrid>
        <w:gridCol w:w="3076"/>
        <w:gridCol w:w="146"/>
        <w:gridCol w:w="211"/>
        <w:gridCol w:w="571"/>
        <w:gridCol w:w="146"/>
        <w:gridCol w:w="146"/>
        <w:gridCol w:w="211"/>
        <w:gridCol w:w="571"/>
        <w:gridCol w:w="146"/>
        <w:gridCol w:w="146"/>
        <w:gridCol w:w="211"/>
        <w:gridCol w:w="421"/>
        <w:gridCol w:w="146"/>
        <w:gridCol w:w="146"/>
        <w:gridCol w:w="211"/>
        <w:gridCol w:w="346"/>
        <w:gridCol w:w="146"/>
        <w:gridCol w:w="146"/>
        <w:gridCol w:w="329"/>
        <w:gridCol w:w="541"/>
        <w:gridCol w:w="191"/>
      </w:tblGrid>
      <w:tr>
        <w:trPr/>
        <w:tc>
          <w:tcPr>
            <w:tcW w:w="3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76" w:type="dxa"/>
            <w:tcBorders/>
            <w:shd w:fill="FFFFFF" w:val="cle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 than</w:t>
              <w:br/>
              <w:t>1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 to 3</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 to 5</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More than</w:t>
              <w:br/>
              <w:t>5 Years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7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Operating leases for office space </w:t>
            </w:r>
            <w:r>
              <w:rPr>
                <w:rFonts w:ascii="Times New Roman" w:hAnsi="Times New Roman"/>
                <w:color w:val="000000"/>
                <w:sz w:val="13"/>
              </w:rPr>
              <w:t>(1)</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2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1"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307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Capital lease for office equipment </w:t>
            </w:r>
            <w:r>
              <w:rPr>
                <w:rFonts w:ascii="Times New Roman" w:hAnsi="Times New Roman"/>
                <w:color w:val="000000"/>
                <w:sz w:val="13"/>
              </w:rPr>
              <w:t>(2)</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7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August 2021, we signed a 36-month extension of the lease for the office space in Waltham, MA. In August 2022, we signed a 36-month extension of the lease for the office space in New York, NY. In May 2023, we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signed a 27-month lease for an additional space in New York, NY. The minimum lease payments above do not include any related common area maintenance charges or real estate taxes.</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January 2022, we entered into two four-year non-cancelable leases for office equipment. In June 2023, we entered into one two-year non-cancelable lease for office equipment. All three leases are accounted for as a capital lease. The leased assets are included in property, plant and equipment, at cost.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incurred losses and cumulative negative cash flows from operations since our inception, excluding year ending December 31, 2021. As of December 31, 2023, we had an accumulated deficit of $902.4 million. We anticipate that we will continue to incur significant losses for at least the next several years. We expect that our research and development and selling, general and administrative expenses will continue to increase. As a result, we will need additional capital to fund our operations, which we may raise through a combination of the sale of equity, debt financings, or other sources, including potential collaborations. To the extent that we raise additional capital through the future sale of equity or debt, the ownership interest of our stockholders will be diluted, and the terms of these securities may include liquidation or other preferences that adversely affect the rights of our existing common stockholders. If we raise additional funds through collaboration arrangements in the future, we may have to relinquish valuable rights to our technologies, future revenue streams or drug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drug candidates that we would otherwise prefer to develop and market ourselves.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At-the-Market Offering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March 2021, we entered into a sales agreement with Cowen and Company, LLC, or TD Cowen, under which we could, from time to time, issue and sell shares of our common stock having aggregate sales proceeds of up to $75.0 million, in a series of one or more at-the-market, or ATM, equity offerings, or the 2021 ATM Program. On May 26, 2023, we terminated the 2021 ATM Program. Prior to termination, we sold shares under the 2021 ATM Program for aggregate net proceeds of approximately $25.0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May 2023, we entered into a new sales agreement with TD Cowen under which we could, from time to time, issue and sell shares of our common stock having aggregate sales proceeds of up to $200.0 million, in a series of one or more ATM equity offerings, or the 2023 ATM Program. TD Cowen is not required to sell any specific share amounts but acts as the Company’s sales agent, using commercially reasonable efforts consistent with its normal trading and sales practices. Pursuant to the sales agreement, shares will be sold under the shelf registration statement on Form S-3ASR (Registration No. 333-254661), which became automatically effective upon the filing on March 24, 2021. Our common stock will be sold at prevailing market prices at the time of the sale, and as a result, prices may vary. As of December 31, 2023, we sold 2,719,744 shares of common stock under the 2023 ATM Program for net proceeds of approximately $42.1 million.</w:t>
      </w:r>
    </w:p>
    <w:p>
      <w:pPr>
        <w:pStyle w:val="TextBody"/>
        <w:bidi w:val="0"/>
        <w:spacing w:before="360" w:after="283"/>
        <w:jc w:val="left"/>
        <w:rPr>
          <w:rFonts w:ascii="Times New Roman" w:hAnsi="Times New Roman"/>
          <w:sz w:val="20"/>
        </w:rPr>
      </w:pPr>
      <w:r>
        <w:rPr>
          <w:rFonts w:ascii="Times New Roman" w:hAnsi="Times New Roman"/>
          <w:b/>
          <w:i/>
          <w:color w:val="000000"/>
          <w:sz w:val="20"/>
        </w:rPr>
        <w:t>Cash Flows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is a summary of cash flows: </w:t>
      </w:r>
    </w:p>
    <w:tbl>
      <w:tblPr>
        <w:tblW w:w="8398" w:type="dxa"/>
        <w:jc w:val="left"/>
        <w:tblInd w:w="0" w:type="dxa"/>
        <w:tblLayout w:type="fixed"/>
        <w:tblCellMar>
          <w:top w:w="28" w:type="dxa"/>
          <w:left w:w="28" w:type="dxa"/>
          <w:bottom w:w="28" w:type="dxa"/>
          <w:right w:w="28" w:type="dxa"/>
        </w:tblCellMar>
      </w:tblPr>
      <w:tblGrid>
        <w:gridCol w:w="4321"/>
        <w:gridCol w:w="146"/>
        <w:gridCol w:w="211"/>
        <w:gridCol w:w="841"/>
        <w:gridCol w:w="166"/>
        <w:gridCol w:w="146"/>
        <w:gridCol w:w="211"/>
        <w:gridCol w:w="841"/>
        <w:gridCol w:w="166"/>
        <w:gridCol w:w="146"/>
        <w:gridCol w:w="211"/>
        <w:gridCol w:w="781"/>
        <w:gridCol w:w="211"/>
      </w:tblGrid>
      <w:tr>
        <w:trPr/>
        <w:tc>
          <w:tcPr>
            <w:tcW w:w="4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3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372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1" w:type="dxa"/>
            <w:tcBorders/>
            <w:shd w:fill="FFFFFF" w:val="cle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provided by operating activities</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(160,601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(133,675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29,131</w:t>
            </w:r>
          </w:p>
        </w:tc>
        <w:tc>
          <w:tcPr>
            <w:tcW w:w="211" w:type="dxa"/>
            <w:tcBorders/>
            <w:shd w:fill="CFF0FC" w:val="clear"/>
            <w:vAlign w:val="center"/>
          </w:tcPr>
          <w:p>
            <w:pPr>
              <w:pStyle w:val="TableContents"/>
              <w:bidi w:val="0"/>
              <w:spacing w:before="0" w:after="283"/>
              <w:jc w:val="left"/>
              <w:rPr/>
            </w:pPr>
            <w:r>
              <w:rPr/>
              <w:t> </w:t>
            </w:r>
          </w:p>
        </w:tc>
      </w:tr>
      <w:tr>
        <w:trPr/>
        <w:tc>
          <w:tcPr>
            <w:tcW w:w="43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investing activities</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117,609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(186,188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(40,873</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264,132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172,254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118,464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(decrease) in cash and cash equivalents</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221,140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(147,609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106,722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b/>
          <w:i/>
          <w:color w:val="000000"/>
          <w:sz w:val="20"/>
        </w:rPr>
        <w:t>Net Cash (Used in) Provided by Operating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used in operating activities for the year ended December 31, 2023, was $160.6 million and primarily consisted of our net loss of $209.4 million adjusted for non-cash items including stock-based compensation of $31.0 million, an investment increase of $14.8 million, a net increase in operating assets and liabilities of $32.0 million and non-cash operating lease expense of $0.7 million. The significant items in the increase in operating assets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liabilities include an increase in accrued expenses and other liabilities of $14.9 million, an increase in collaboration payable of $10.7 million, an increase in accounts payable of $5.7 million, and an increase in prepaid expenses and other assets of $0.7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used in operating activities for the year ended December 31, 2022 was $133.7 million and primarily consisted of our net loss of $149.3 million adjusted for non-cash items including stock-based compensation of $16.0 million, an investment increase of $3.4 million, a net increase in operating assets and liabilities of $1.7 million, an increase in interest expense associated with the term loan of $1.1 million, and non-cash operating lease expense of $0.4 million. The significant items in the increase in operating assets and liabilities include an increase in accrued expenses and other liabilities of $9.4 million, an increase in collaboration receivable of $3.5 million, partially offset by a decrease in prepaid expenses and other assets of $3.0 million, and a decrease in accounts payable of $1.3 million. </w:t>
      </w:r>
    </w:p>
    <w:p>
      <w:pPr>
        <w:pStyle w:val="TextBody"/>
        <w:bidi w:val="0"/>
        <w:spacing w:before="240" w:after="283"/>
        <w:jc w:val="left"/>
        <w:rPr>
          <w:rFonts w:ascii="Times New Roman" w:hAnsi="Times New Roman"/>
          <w:sz w:val="20"/>
        </w:rPr>
      </w:pPr>
      <w:r>
        <w:rPr>
          <w:rFonts w:ascii="Times New Roman" w:hAnsi="Times New Roman"/>
          <w:b/>
          <w:i/>
          <w:color w:val="000000"/>
          <w:sz w:val="20"/>
        </w:rPr>
        <w:t>Net Cash Provided by (Used in) Investing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in investing activities for the year ended December 31, 2023 was $117.6 million and was due to $472.2 million in proceeds from the maturities of available-for-sale marketable securities, partially offset by the purchase of $354.6 million of available-for-sale marketable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used in investing activities for the year ended December 31, 2022, was $186.2 million and was primarily due to the purchase of $495.3 million of available-for-sale marketable securities partially offset by $308.9 million in proceeds from the maturities of available-for-sale marketable securities. </w:t>
      </w:r>
    </w:p>
    <w:p>
      <w:pPr>
        <w:pStyle w:val="TextBody"/>
        <w:bidi w:val="0"/>
        <w:spacing w:before="240" w:after="283"/>
        <w:jc w:val="left"/>
        <w:rPr>
          <w:rFonts w:ascii="Times New Roman" w:hAnsi="Times New Roman"/>
          <w:sz w:val="20"/>
        </w:rPr>
      </w:pPr>
      <w:r>
        <w:rPr>
          <w:rFonts w:ascii="Times New Roman" w:hAnsi="Times New Roman"/>
          <w:b/>
          <w:i/>
          <w:color w:val="000000"/>
          <w:sz w:val="20"/>
        </w:rPr>
        <w:t>Net Cash Provided by Financing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financing activities for the year ended December 31, 2023, was $264.1 million and was primarily due to proceeds of $215.9 million from the issuance of common stock in a follow-up offering, $42.1 million from the issuance of common in at-the-market offering, and $6.0 million of proceeds from the stock option exercises and ESPP purchases.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provided by financing activities for the year ended December 31, 2022, was $172.3 million and was primarily due proceeds of $162.0 million from the issuance of common stock in a public offering, $19.4 million of proceeds from at-the-market offerings, and $11.9 million of proceeds from the stock option exercises and ESPP purchases, partially offset by payment on the term loan of $21.0 million.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Net Operating Loss and Research and Development Tax Credit Carryforwards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 December 31, 2023, we had federal and state tax net operating loss carryforwards, or NOLs, of approximately $136.4 million and $63.5 million, respectively. We have generated federal NOLs of $114.3 million and state NOLs of $0.9 million which have an indefinite carryforward period. The remaining $22.1 million of federal NOLs and the $62.6 million of state NOLs will begin to expire at various dates starting in 2026. At December 31, 2023, we had available income tax credits of approximately $12.7 million, with $8.9 million attributable to Federal R&amp;D Credits and $3.8 million attributable to state R&amp;D Credits, which are available to reduce future income taxes, if any. These income tax credits began to expire in 2024.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Utilization of the net operating losses and credits may be subject to a substantial annual limitation due to ownership change limitations provided by the Internal Revenue Code of 1986, as amended. The annual limitation may result in the expiration of our net operating losses and credits before we can use them. We have recorded a valuation allowance on all of our deferred tax assets, including our deferred tax assets related to our net operating loss and research and development tax credit carryforwards.</w:t>
      </w:r>
    </w:p>
    <w:p>
      <w:pPr>
        <w:pStyle w:val="TextBody"/>
        <w:bidi w:val="0"/>
        <w:spacing w:before="360" w:after="283"/>
        <w:jc w:val="left"/>
        <w:rPr>
          <w:rFonts w:ascii="Times New Roman" w:hAnsi="Times New Roman"/>
          <w:sz w:val="20"/>
        </w:rPr>
      </w:pPr>
      <w:bookmarkStart w:id="16" w:name="item_7a_quantitative_qualitative_disclos"/>
      <w:bookmarkEnd w:id="16"/>
      <w:r>
        <w:rPr>
          <w:rFonts w:ascii="Times New Roman" w:hAnsi="Times New Roman"/>
          <w:b/>
          <w:color w:val="000000"/>
          <w:sz w:val="20"/>
        </w:rPr>
        <w:t>Item 7A. Quantitative and Qualitative Disclosures about Market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market risk inherent in our financial instruments and in our financial position represents the potential loss arising from adverse changes in interest rates. As of December 31, 2023, we had cash, cash equivalents and short-term and long-term investments of $600.5 million, consisting of overnight investments, interest-bearing money market funds and highly rated federal bonds and short and long-term investments including commercial paper, highly rated corporate bonds and treasuries. Our primary exposure to market risk is interest rate sensitivity, which is affected by changes in the general level of U.S. interest rates. The primary objectives of our investment activities are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ensure liquidity and to preserve principal while at the same time maximizing the interest income, we receive from our marketable securities without significantly increasing risk. We have established guidelines regarding approved investments and maturities of investments, which are designed to maintain safety and liquidity. Due to the relative short-term maturities of our cash equivalents and the low risk profile of our short and long-term investments, an immediate 100 basis point change in interest rates would not have a material effect on the fair market value of our cash equivalents and short and long-term investments. We have the ability to hold our investments until maturity, and therefore, we would not expect our operating results or cash flows to be affected to any significant degree by the effect of a change in market interest rates on our investment portfolio.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believe that inflation and changing prices had a significant impact on our results of operations for any periods presented herein.</w:t>
      </w:r>
    </w:p>
    <w:p>
      <w:pPr>
        <w:pStyle w:val="TextBody"/>
        <w:bidi w:val="0"/>
        <w:spacing w:before="360" w:after="283"/>
        <w:jc w:val="left"/>
        <w:rPr>
          <w:rFonts w:ascii="Times New Roman" w:hAnsi="Times New Roman"/>
          <w:sz w:val="20"/>
        </w:rPr>
      </w:pPr>
      <w:bookmarkStart w:id="17" w:name="item_8_financial_statements_supplementar"/>
      <w:bookmarkEnd w:id="17"/>
      <w:r>
        <w:rPr>
          <w:rFonts w:ascii="Times New Roman" w:hAnsi="Times New Roman"/>
          <w:b/>
          <w:color w:val="000000"/>
          <w:sz w:val="20"/>
        </w:rPr>
        <w:t>Item 8. Financial Statements and Supplementary Data</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consolidated financial statements, together with the report of our independent registered public accounting firm, appear in this Annual Report on Form 10-K beginning on page F-1. </w:t>
      </w:r>
    </w:p>
    <w:p>
      <w:pPr>
        <w:pStyle w:val="TextBody"/>
        <w:bidi w:val="0"/>
        <w:spacing w:before="240" w:after="283"/>
        <w:jc w:val="left"/>
        <w:rPr>
          <w:rFonts w:ascii="Times New Roman" w:hAnsi="Times New Roman"/>
          <w:sz w:val="20"/>
        </w:rPr>
      </w:pPr>
      <w:bookmarkStart w:id="18" w:name="item_9_changes_in_disagreements_with_acc"/>
      <w:bookmarkEnd w:id="18"/>
      <w:r>
        <w:rPr>
          <w:rFonts w:ascii="Times New Roman" w:hAnsi="Times New Roman"/>
          <w:b/>
          <w:color w:val="000000"/>
          <w:sz w:val="20"/>
        </w:rPr>
        <w:t>Item 9. Changes in and Disagreements with Accountants on Accounting and Financial Disclosure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240" w:after="283"/>
        <w:jc w:val="left"/>
        <w:rPr>
          <w:rFonts w:ascii="Times New Roman" w:hAnsi="Times New Roman"/>
          <w:sz w:val="20"/>
        </w:rPr>
      </w:pPr>
      <w:bookmarkStart w:id="19" w:name="item_9a_controls_procedures"/>
      <w:bookmarkEnd w:id="19"/>
      <w:r>
        <w:rPr>
          <w:rFonts w:ascii="Times New Roman" w:hAnsi="Times New Roman"/>
          <w:b/>
          <w:color w:val="000000"/>
          <w:sz w:val="20"/>
        </w:rPr>
        <w:t>Item 9A. Controls</w:t>
      </w:r>
      <w:r>
        <w:rPr>
          <w:rFonts w:ascii="Times New Roman" w:hAnsi="Times New Roman"/>
          <w:color w:val="000000"/>
          <w:sz w:val="20"/>
        </w:rPr>
        <w:t xml:space="preserve"> </w:t>
      </w:r>
      <w:r>
        <w:rPr>
          <w:rFonts w:ascii="Times New Roman" w:hAnsi="Times New Roman"/>
          <w:b/>
          <w:color w:val="000000"/>
          <w:sz w:val="20"/>
        </w:rPr>
        <w:t>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Evaluation of our Disclosure Controls 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management, with the participation of our principal executive officer and our principal financial officer, evaluated, the effectiveness of our disclosure controls and procedures as of December 31, 2023. The term “disclosure controls and procedures,” as defined in Rules 13a-15(e) and 15d-15(e) under the Securities Exchange Act of 1934, as amended, or the Exchange Act, means controls and other procedures of a company that are designed to ensure that information required to be disclosed by a company in the reports that it files or submits under the Exchange Act are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Based on an evaluation of our disclosure controls and procedures as of December 31, 2023, our principal executive officer and principal financial officer concluded that, as of such date, our disclosure controls and procedures were effective at the reasonable assurance level. </w:t>
      </w:r>
    </w:p>
    <w:p>
      <w:pPr>
        <w:pStyle w:val="TextBody"/>
        <w:bidi w:val="0"/>
        <w:spacing w:before="240" w:after="283"/>
        <w:jc w:val="left"/>
        <w:rPr>
          <w:rFonts w:ascii="Times New Roman" w:hAnsi="Times New Roman"/>
          <w:sz w:val="20"/>
        </w:rPr>
      </w:pPr>
      <w:r>
        <w:rPr>
          <w:rFonts w:ascii="Times New Roman" w:hAnsi="Times New Roman"/>
          <w:b/>
          <w:color w:val="000000"/>
          <w:sz w:val="20"/>
        </w:rPr>
        <w:t>Management’s Annual Report on Internal Control Over Financial Reporting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management is responsible for establishing and maintaining adequate internal control over financial reporting, as such term is defined in Rules 13a-15(f) and 15d-15(f) promulgated under the Exchange Act as a process designed by, or under the supervision of, the company’s principal executive and principal financial officers to provide reasonable assurance regarding the reliability of financial reporting and the preparation of financial statements for external purposes in accordance with generally accepted accounting principles. Because of its inherent limitations, internal control over financial reporting may not prevent or detect misstatements. Therefore, even those systems determined to be effective can provide only reasonable assurance with respect to financial statement preparation and presentation. Projections of any evaluation of effectiveness to future periods are subject to the risk that controls may become inadequate because of changes in conditions, or that the degree of compliance with the policies or procedures may deteriorate.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Our management assessed the effectiveness of our internal control over financial reporting as of December 31, 2023. In making this assessment, management used the criteria set forth by the Committee of Sponsoring Organizations of the Treadway Commission (COSO) in Internal Control – </w:t>
      </w:r>
      <w:r>
        <w:rPr>
          <w:rFonts w:ascii="Times New Roman" w:hAnsi="Times New Roman"/>
          <w:i/>
          <w:color w:val="000000"/>
          <w:sz w:val="20"/>
        </w:rPr>
        <w:t>Integrated Framework (2013)</w:t>
      </w:r>
      <w:r>
        <w:rPr>
          <w:rFonts w:ascii="Times New Roman" w:hAnsi="Times New Roman"/>
          <w:color w:val="000000"/>
          <w:sz w:val="20"/>
        </w:rPr>
        <w:t xml:space="preserve">. Based 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that assessment, our management concluded that, as of December 31, 2023, our internal control over financial reporting was effective.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Attestation Report of the Registered Public Accounting Firm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Deloitte &amp; Touche LLP, the independent registered public accounting firm that audited the consolidated financial statements included in this Annual Report on Form 10-K, has issued an attestation report on the effectiveness of internal control over financial reporting as of December 31, 2023, included herein. </w:t>
      </w:r>
    </w:p>
    <w:p>
      <w:pPr>
        <w:pStyle w:val="TextBody"/>
        <w:bidi w:val="0"/>
        <w:spacing w:before="240" w:after="283"/>
        <w:jc w:val="left"/>
        <w:rPr>
          <w:rFonts w:ascii="Times New Roman" w:hAnsi="Times New Roman"/>
          <w:sz w:val="20"/>
        </w:rPr>
      </w:pPr>
      <w:r>
        <w:rPr>
          <w:rFonts w:ascii="Times New Roman" w:hAnsi="Times New Roman"/>
          <w:b/>
          <w:color w:val="000000"/>
          <w:sz w:val="20"/>
        </w:rPr>
        <w:t>Changes in Internal Control Over Financial Reporting</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No change in our internal control over financial reporting (as defined in Rules 13a-15(f) and 15d-15(f) under the Exchange Act) occurred during the fiscal quarter ended December 31, 2023 that has materially affected, or is reasonably likely to materially affect, our internal control over financial reporting.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REPORT OF INDEPENDENT REGISTERED PUBLIC ACCOUNTING FIRM</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 xml:space="preserve">To the stockholders and the Board of Directors of Syndax Pharmaceuticals, Inc. </w:t>
      </w:r>
    </w:p>
    <w:p>
      <w:pPr>
        <w:pStyle w:val="TextBody"/>
        <w:bidi w:val="0"/>
        <w:spacing w:before="240" w:after="200"/>
        <w:jc w:val="left"/>
        <w:rPr>
          <w:rFonts w:ascii="Times New Roman" w:hAnsi="Times New Roman"/>
          <w:b/>
          <w:color w:val="000000"/>
          <w:sz w:val="20"/>
        </w:rPr>
      </w:pPr>
      <w:r>
        <w:rPr>
          <w:rFonts w:ascii="Times New Roman" w:hAnsi="Times New Roman"/>
          <w:b/>
          <w:color w:val="000000"/>
          <w:sz w:val="20"/>
        </w:rPr>
        <w:t>Opinion on Internal Control over Financial Reporting</w:t>
      </w:r>
    </w:p>
    <w:p>
      <w:pPr>
        <w:pStyle w:val="TextBody"/>
        <w:bidi w:val="0"/>
        <w:spacing w:before="240" w:after="200"/>
        <w:jc w:val="left"/>
        <w:rPr>
          <w:rFonts w:ascii="Times New Roman" w:hAnsi="Times New Roman"/>
          <w:sz w:val="20"/>
        </w:rPr>
      </w:pPr>
      <w:r>
        <w:rPr>
          <w:rFonts w:ascii="Times New Roman" w:hAnsi="Times New Roman"/>
          <w:color w:val="000000"/>
          <w:sz w:val="20"/>
        </w:rPr>
        <w:t xml:space="preserve">We have audited the internal control over financial reporting of Syndax Pharmaceuticals, Inc. and subsidiaries (the “Company”) as of December 31, 2023, based on criteria established in </w:t>
      </w:r>
      <w:r>
        <w:rPr>
          <w:rFonts w:ascii="Times New Roman" w:hAnsi="Times New Roman"/>
          <w:i/>
          <w:color w:val="000000"/>
          <w:sz w:val="20"/>
        </w:rPr>
        <w:t>Internal Control — Integrated Framework (2013)</w:t>
      </w:r>
      <w:r>
        <w:rPr>
          <w:rFonts w:ascii="Times New Roman" w:hAnsi="Times New Roman"/>
          <w:color w:val="000000"/>
          <w:sz w:val="20"/>
        </w:rPr>
        <w:t xml:space="preserve"> issued by the Committee of Sponsoring Organizations of the Treadway Commission (COSO). In our opinion, the Company maintained, in all material respects, effective internal control over financial reporting as of December 31, 2023, based on criteria established in </w:t>
      </w:r>
      <w:r>
        <w:rPr>
          <w:rFonts w:ascii="Times New Roman" w:hAnsi="Times New Roman"/>
          <w:i/>
          <w:color w:val="000000"/>
          <w:sz w:val="20"/>
        </w:rPr>
        <w:t>Internal Control — Integrated Framework (2013)</w:t>
      </w:r>
      <w:r>
        <w:rPr>
          <w:rFonts w:ascii="Times New Roman" w:hAnsi="Times New Roman"/>
          <w:color w:val="000000"/>
          <w:sz w:val="20"/>
        </w:rPr>
        <w:t xml:space="preserve"> issued by COSO.</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We have also audited, in accordance with the standards of the Public Company Accounting Oversight Board (United States) (PCAOB), the consolidated financial statements as of and for the year ended December 31, 2023, of the Company and our report dated February 27, 2024, expressed an unqualified opinion on those financial statements.</w:t>
      </w:r>
    </w:p>
    <w:p>
      <w:pPr>
        <w:pStyle w:val="TextBody"/>
        <w:bidi w:val="0"/>
        <w:spacing w:before="240" w:after="200"/>
        <w:jc w:val="left"/>
        <w:rPr>
          <w:rFonts w:ascii="Times New Roman" w:hAnsi="Times New Roman"/>
          <w:b/>
          <w:color w:val="000000"/>
          <w:sz w:val="20"/>
        </w:rPr>
      </w:pPr>
      <w:r>
        <w:rPr>
          <w:rFonts w:ascii="Times New Roman" w:hAnsi="Times New Roman"/>
          <w:b/>
          <w:color w:val="000000"/>
          <w:sz w:val="20"/>
        </w:rPr>
        <w:t>Basis for Opinion</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00"/>
        <w:jc w:val="left"/>
        <w:rPr>
          <w:rFonts w:ascii="Times New Roman" w:hAnsi="Times New Roman"/>
          <w:b/>
          <w:color w:val="000000"/>
          <w:sz w:val="20"/>
        </w:rPr>
      </w:pPr>
      <w:r>
        <w:rPr>
          <w:rFonts w:ascii="Times New Roman" w:hAnsi="Times New Roman"/>
          <w:b/>
          <w:color w:val="000000"/>
          <w:sz w:val="20"/>
        </w:rPr>
        <w:t>Definition and Limitations of Internal Control over Financial Reporting</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 Deloitte &amp; Touche LLP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Boston, Massachusetts</w:t>
        <w:br/>
        <w:t xml:space="preserve">February 27, 2024 </w:t>
      </w:r>
    </w:p>
    <w:p>
      <w:pPr>
        <w:pStyle w:val="TextBody"/>
        <w:bidi w:val="0"/>
        <w:jc w:val="left"/>
        <w:rPr/>
      </w:pPr>
      <w:r>
        <w:rPr/>
        <w:t> </w:t>
      </w:r>
    </w:p>
    <w:p>
      <w:pPr>
        <w:pStyle w:val="TextBody"/>
        <w:bidi w:val="0"/>
        <w:jc w:val="left"/>
        <w:rPr>
          <w:rFonts w:ascii="Times New Roman" w:hAnsi="Times New Roman"/>
          <w:b/>
          <w:color w:val="000000"/>
          <w:sz w:val="20"/>
        </w:rPr>
      </w:pPr>
      <w:bookmarkStart w:id="20" w:name="item_9b_otherinformation"/>
      <w:bookmarkEnd w:id="20"/>
      <w:r>
        <w:rPr>
          <w:rFonts w:ascii="Times New Roman" w:hAnsi="Times New Roman"/>
          <w:b/>
          <w:color w:val="000000"/>
          <w:sz w:val="20"/>
        </w:rPr>
        <w:t>Item 9B. Other Information</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Change in Control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February 27, 2024, several of our named executive officers entered into amendments to their employment agreements providing, in part, for increases in their change in control benefits. For Mr. Metzger, in the event of an involuntary termination without cause or resignation for good reason within three (3) months prior to, or within twelve (12) months following, a change in control, he will receive (i) an amount equal to 24 months of base salary, payable in a lump sum, (ii) an amount equal to 24 months of the target annual incentive award, payable in a lump sum, and (iii) continuation of health benefits for 24 months. For Drs. Gallagher and Madigan and Messrs. Albrecht and Goldan, in the event of an involuntary termination without cause or resignation for good reason within three (3) months prior to, or within twelve (12) months following, a change in control, each will receive (i) an amount equal to 18 months of base salary, payable in a lump sum, (ii) an amount equal to 18 months of the target annual incentive award, payable in a lump sum, and (iii) continuation of health benefits for 18 months.</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Trading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our last fiscal quarter, none of our directors and officers (as defined in Rule 16a-1(f) under the Exchange Act) adopted or terminated a “Rule 10b5-1 trading arrangement” or a “non-Rule 10b5-1 trading arrangement,” as defined in Regulation S-K Item 408 for the purchase or sale of our securities, except as set forth below:</w:t>
      </w:r>
    </w:p>
    <w:tbl>
      <w:tblPr>
        <w:tblW w:w="10205" w:type="dxa"/>
        <w:jc w:val="left"/>
        <w:tblInd w:w="0" w:type="dxa"/>
        <w:tblLayout w:type="fixed"/>
        <w:tblCellMar>
          <w:top w:w="28" w:type="dxa"/>
          <w:left w:w="28" w:type="dxa"/>
          <w:bottom w:w="28" w:type="dxa"/>
          <w:right w:w="28" w:type="dxa"/>
        </w:tblCellMar>
      </w:tblPr>
      <w:tblGrid>
        <w:gridCol w:w="2242"/>
        <w:gridCol w:w="1526"/>
        <w:gridCol w:w="992"/>
        <w:gridCol w:w="1132"/>
        <w:gridCol w:w="259"/>
        <w:gridCol w:w="1389"/>
        <w:gridCol w:w="146"/>
        <w:gridCol w:w="2519"/>
      </w:tblGrid>
      <w:tr>
        <w:trPr/>
        <w:tc>
          <w:tcPr>
            <w:tcW w:w="2242"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9" w:type="dxa"/>
            <w:tcBorders/>
            <w:vAlign w:val="center"/>
          </w:tcPr>
          <w:p>
            <w:pPr>
              <w:pStyle w:val="TableContents"/>
              <w:bidi w:val="0"/>
              <w:spacing w:before="0" w:after="283"/>
              <w:jc w:val="left"/>
              <w:rPr>
                <w:sz w:val="4"/>
                <w:szCs w:val="4"/>
              </w:rPr>
            </w:pPr>
            <w:r>
              <w:rPr>
                <w:sz w:val="4"/>
                <w:szCs w:val="4"/>
              </w:rPr>
            </w:r>
          </w:p>
        </w:tc>
      </w:tr>
      <w:tr>
        <w:trPr/>
        <w:tc>
          <w:tcPr>
            <w:tcW w:w="2242" w:type="dxa"/>
            <w:tcBorders>
              <w:top w:val="single" w:sz="4" w:space="0" w:color="000000"/>
              <w:left w:val="single" w:sz="4" w:space="0" w:color="000000"/>
              <w:bottom w:val="single" w:sz="4" w:space="0" w:color="000000"/>
              <w:right w:val="single" w:sz="4" w:space="0" w:color="000000"/>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 and Title</w:t>
            </w:r>
          </w:p>
        </w:tc>
        <w:tc>
          <w:tcPr>
            <w:tcW w:w="152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Type of Plan</w:t>
            </w:r>
          </w:p>
        </w:tc>
        <w:tc>
          <w:tcPr>
            <w:tcW w:w="992"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Adoption Date</w:t>
            </w:r>
          </w:p>
        </w:tc>
        <w:tc>
          <w:tcPr>
            <w:tcW w:w="1132"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Duration or End Date</w:t>
            </w:r>
          </w:p>
        </w:tc>
        <w:tc>
          <w:tcPr>
            <w:tcW w:w="1648"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Aggregate Number of Securities to be Sold</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519" w:type="dxa"/>
            <w:tcBorders>
              <w:top w:val="single" w:sz="4" w:space="0" w:color="000000"/>
              <w:left w:val="single" w:sz="4" w:space="0" w:color="000000"/>
              <w:bottom w:val="single" w:sz="4" w:space="0" w:color="000000"/>
              <w:right w:val="single" w:sz="4" w:space="0" w:color="000000"/>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Description of Trading Arrangement</w:t>
            </w:r>
          </w:p>
        </w:tc>
      </w:tr>
      <w:tr>
        <w:trPr/>
        <w:tc>
          <w:tcPr>
            <w:tcW w:w="2242"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 xml:space="preserve">Michael Metzger - Chief Executive Officer and Director </w:t>
            </w:r>
            <w:r>
              <w:rPr>
                <w:rFonts w:ascii="Times New Roman" w:hAnsi="Times New Roman"/>
                <w:color w:val="000000"/>
                <w:sz w:val="13"/>
              </w:rPr>
              <w:t>(1)</w:t>
            </w:r>
          </w:p>
        </w:tc>
        <w:tc>
          <w:tcPr>
            <w:tcW w:w="152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Rule 10b5-1 trading arrangement</w:t>
            </w:r>
          </w:p>
        </w:tc>
        <w:tc>
          <w:tcPr>
            <w:tcW w:w="992"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01/05/2023</w:t>
            </w:r>
          </w:p>
        </w:tc>
        <w:tc>
          <w:tcPr>
            <w:tcW w:w="1132"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12/22/2023</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19"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Sales of shares intended to satisfy the affirmative defense of Rule 10b5–1(c)</w:t>
            </w:r>
          </w:p>
        </w:tc>
      </w:tr>
      <w:tr>
        <w:trPr/>
        <w:tc>
          <w:tcPr>
            <w:tcW w:w="2242"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 xml:space="preserve">Briggs W. Morrison, M.D. - Director </w:t>
            </w:r>
            <w:r>
              <w:rPr>
                <w:rFonts w:ascii="Times New Roman" w:hAnsi="Times New Roman"/>
                <w:color w:val="000000"/>
                <w:sz w:val="13"/>
              </w:rPr>
              <w:t>(1)</w:t>
            </w:r>
          </w:p>
        </w:tc>
        <w:tc>
          <w:tcPr>
            <w:tcW w:w="152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Rule 10b5-1 trading arrangement</w:t>
            </w:r>
          </w:p>
        </w:tc>
        <w:tc>
          <w:tcPr>
            <w:tcW w:w="992"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02/09/2023</w:t>
            </w:r>
          </w:p>
        </w:tc>
        <w:tc>
          <w:tcPr>
            <w:tcW w:w="1132"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12/06/2023</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466,167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19"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Sales of shares intended to satisfy the affirmative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3333" w:type="dxa"/>
        <w:jc w:val="left"/>
        <w:tblInd w:w="0" w:type="dxa"/>
        <w:tblLayout w:type="fixed"/>
        <w:tblCellMar>
          <w:top w:w="28" w:type="dxa"/>
          <w:left w:w="28" w:type="dxa"/>
          <w:bottom w:w="28" w:type="dxa"/>
          <w:right w:w="28" w:type="dxa"/>
        </w:tblCellMar>
      </w:tblPr>
      <w:tblGrid>
        <w:gridCol w:w="161"/>
        <w:gridCol w:w="146"/>
        <w:gridCol w:w="146"/>
        <w:gridCol w:w="146"/>
        <w:gridCol w:w="146"/>
        <w:gridCol w:w="146"/>
        <w:gridCol w:w="146"/>
        <w:gridCol w:w="2296"/>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000000"/>
              <w:left w:val="single" w:sz="4" w:space="0" w:color="000000"/>
              <w:bottom w:val="single" w:sz="4" w:space="0" w:color="000000"/>
              <w:right w:val="single" w:sz="4" w:space="0" w:color="000000"/>
            </w:tcBorders>
            <w:shd w:fill="FFFFFF" w:val="clear"/>
            <w:vAlign w:val="center"/>
          </w:tcPr>
          <w:p>
            <w:pPr>
              <w:pStyle w:val="TableContents"/>
              <w:bidi w:val="0"/>
              <w:spacing w:before="0" w:after="283"/>
              <w:jc w:val="left"/>
              <w:rPr/>
            </w:pPr>
            <w:r>
              <w:rPr/>
              <w:t> </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296" w:type="dxa"/>
            <w:tcBorders>
              <w:top w:val="single" w:sz="4" w:space="0" w:color="000000"/>
              <w:left w:val="single" w:sz="4" w:space="0" w:color="000000"/>
              <w:bottom w:val="single" w:sz="4" w:space="0" w:color="000000"/>
              <w:right w:val="single" w:sz="4" w:space="0" w:color="000000"/>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defense of Rule 10b5–1(c)</w:t>
            </w:r>
          </w:p>
        </w:tc>
      </w:tr>
    </w:tbl>
    <w:p>
      <w:pPr>
        <w:pStyle w:val="TextBody"/>
        <w:bidi w:val="0"/>
        <w:jc w:val="left"/>
        <w:rPr>
          <w:rFonts w:ascii="Times New Roman" w:hAnsi="Times New Roman"/>
          <w:sz w:val="20"/>
        </w:rPr>
      </w:pPr>
      <w:r>
        <w:rPr>
          <w:rFonts w:ascii="Times New Roman" w:hAnsi="Times New Roman"/>
          <w:color w:val="000000"/>
          <w:sz w:val="20"/>
        </w:rPr>
        <w:t xml:space="preserve">(1) </w:t>
      </w:r>
      <w:r>
        <w:rPr>
          <w:rFonts w:ascii="Times New Roman" w:hAnsi="Times New Roman"/>
          <w:color w:val="000000"/>
          <w:sz w:val="22"/>
        </w:rPr>
        <w:t>Termination</w:t>
      </w:r>
      <w:r>
        <w:rPr>
          <w:rFonts w:ascii="Times New Roman" w:hAnsi="Times New Roman"/>
          <w:color w:val="000000"/>
          <w:sz w:val="20"/>
        </w:rPr>
        <w:t xml:space="preserve"> </w:t>
      </w:r>
      <w:r>
        <w:rPr>
          <w:rFonts w:ascii="Times New Roman" w:hAnsi="Times New Roman"/>
          <w:color w:val="000000"/>
          <w:sz w:val="22"/>
        </w:rPr>
        <w:t>of Rule 10b5-1 trading arrangement, each of which the reporting person terminated prior to the sale of all plan securities.</w:t>
      </w:r>
    </w:p>
    <w:p>
      <w:pPr>
        <w:pStyle w:val="TextBody"/>
        <w:bidi w:val="0"/>
        <w:spacing w:before="240" w:after="283"/>
        <w:jc w:val="left"/>
        <w:rPr>
          <w:rFonts w:ascii="Times New Roman" w:hAnsi="Times New Roman"/>
          <w:b/>
          <w:color w:val="000000"/>
          <w:sz w:val="20"/>
        </w:rPr>
      </w:pPr>
      <w:bookmarkStart w:id="21" w:name="item_9c_disclosure_regarding_foreign_jur"/>
      <w:bookmarkEnd w:id="21"/>
      <w:r>
        <w:rPr>
          <w:rFonts w:ascii="Times New Roman" w:hAnsi="Times New Roman"/>
          <w:b/>
          <w:color w:val="000000"/>
          <w:sz w:val="20"/>
        </w:rPr>
        <w:t>Item 9C. Disclosure Regarding Foreign Jurisdictions that Prevent Inspections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2" w:name="part_iii"/>
      <w:bookmarkEnd w:id="22"/>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III</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Certain information required by Part III is omitted from this Annual Report because we will file with the SEC a definitive proxy statement pursuant to Regulation 14A, or the 2024 Proxy Statement, no later than 120 days after the end of our fiscal year ended December 31, 2023, and certain information included therein is incorporated herein by reference. </w:t>
      </w:r>
    </w:p>
    <w:p>
      <w:pPr>
        <w:pStyle w:val="TextBody"/>
        <w:bidi w:val="0"/>
        <w:spacing w:before="240" w:after="283"/>
        <w:jc w:val="left"/>
        <w:rPr>
          <w:rFonts w:ascii="Times New Roman" w:hAnsi="Times New Roman"/>
          <w:sz w:val="20"/>
        </w:rPr>
      </w:pPr>
      <w:bookmarkStart w:id="23" w:name="item_10_directors_executive_ficers_corpo"/>
      <w:bookmarkEnd w:id="23"/>
      <w:r>
        <w:rPr>
          <w:rFonts w:ascii="Times New Roman" w:hAnsi="Times New Roman"/>
          <w:b/>
          <w:color w:val="000000"/>
          <w:sz w:val="20"/>
        </w:rPr>
        <w:t>Item 10. Directors, Executive Officers, and Corporate Governance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information required by this item is incorporated by reference to the information set forth in the sections titled “Information About Our Board of Directors,” “Executive Officers” and “The Board of Directors and Its Committees” and “Delinquent Section 16(a) Reports,” if applicable, in our 2024 Proxy Statement. </w:t>
      </w:r>
    </w:p>
    <w:p>
      <w:pPr>
        <w:pStyle w:val="TextBody"/>
        <w:bidi w:val="0"/>
        <w:spacing w:before="360" w:after="283"/>
        <w:jc w:val="left"/>
        <w:rPr>
          <w:rFonts w:ascii="Times New Roman" w:hAnsi="Times New Roman"/>
          <w:sz w:val="20"/>
        </w:rPr>
      </w:pPr>
      <w:bookmarkStart w:id="24" w:name="item_11_executive_compensation"/>
      <w:bookmarkEnd w:id="24"/>
      <w:r>
        <w:rPr>
          <w:rFonts w:ascii="Times New Roman" w:hAnsi="Times New Roman"/>
          <w:b/>
          <w:color w:val="000000"/>
          <w:sz w:val="20"/>
        </w:rPr>
        <w:t>Item 11. Executive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information required by this item is incorporated by reference to the information set forth in the sections titled "Compensation Discussion and Analysis", “Executive Officer” and “Director Compensation”, "Pay Versus Performance" and "The Board of Directors and its Committees-Compensation Committee Interlocks and Insider Participation" in our 2024 Proxy Statement.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Information regarding our Code of Business Conduct and Ethics, or the Code of Conduct, required by this item will be contained in our 2024 Proxy Statement under the caption “The Board of Directors and Its Committees – Code of Business Conduct and Ethics,” and is hereby incorporated by reference. If we make any substantive amendments to the Code of Conduct or grants any waiver from a provision of the Code of Conduct to any executive officer or director, we will promptly disclose the nature of the amendment or waiver on its website. The full text of our Code of Conduct is available at the investors section of our website at www.syndax.com. The reference to our website address does not constitute incorporation by reference of the information contained at or available through our website, and you should not consider it to be a part of this Annual Report.</w:t>
      </w:r>
    </w:p>
    <w:p>
      <w:pPr>
        <w:pStyle w:val="TextBody"/>
        <w:bidi w:val="0"/>
        <w:spacing w:before="360" w:after="283"/>
        <w:jc w:val="left"/>
        <w:rPr>
          <w:rFonts w:ascii="Times New Roman" w:hAnsi="Times New Roman"/>
          <w:sz w:val="20"/>
        </w:rPr>
      </w:pPr>
      <w:bookmarkStart w:id="25" w:name="item_12_security_ownership_certain_benef"/>
      <w:bookmarkEnd w:id="25"/>
      <w:r>
        <w:rPr>
          <w:rFonts w:ascii="Times New Roman" w:hAnsi="Times New Roman"/>
          <w:b/>
          <w:color w:val="000000"/>
          <w:sz w:val="20"/>
        </w:rPr>
        <w:t>Item 12. Security Ownership of Certain Beneficial Owners and Management and Related Stockholder Matters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information required by this item is incorporated by reference to the information set forth in the section titled “Security Ownership of Certain Beneficial Owners and Management and Related Stockholder Matters” and "Securities Authorized for Issuance Under Equity Compensation Plans" in our 2024 Proxy Statement. </w:t>
      </w:r>
    </w:p>
    <w:p>
      <w:pPr>
        <w:pStyle w:val="TextBody"/>
        <w:bidi w:val="0"/>
        <w:spacing w:before="360" w:after="283"/>
        <w:jc w:val="left"/>
        <w:rPr>
          <w:rFonts w:ascii="Times New Roman" w:hAnsi="Times New Roman"/>
          <w:sz w:val="20"/>
        </w:rPr>
      </w:pPr>
      <w:bookmarkStart w:id="26" w:name="item_13_certain_relationships_related_tr"/>
      <w:bookmarkEnd w:id="26"/>
      <w:r>
        <w:rPr>
          <w:rFonts w:ascii="Times New Roman" w:hAnsi="Times New Roman"/>
          <w:b/>
          <w:color w:val="000000"/>
          <w:sz w:val="20"/>
        </w:rPr>
        <w:t>Item 13. Certain Relationships and Related Transactions and Director Independence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information required by this item is incorporated by reference to the information set forth in the sections titled “The Board of Directors and Its Committees – Board Independence” and “Certain Relationships and Related Party Transactions” in our 2024 Proxy Statement. </w:t>
      </w:r>
    </w:p>
    <w:p>
      <w:pPr>
        <w:pStyle w:val="TextBody"/>
        <w:bidi w:val="0"/>
        <w:spacing w:before="360" w:after="283"/>
        <w:jc w:val="left"/>
        <w:rPr>
          <w:rFonts w:ascii="Times New Roman" w:hAnsi="Times New Roman"/>
          <w:sz w:val="20"/>
        </w:rPr>
      </w:pPr>
      <w:bookmarkStart w:id="27" w:name="item_14_principal_accountant_fees_servic"/>
      <w:bookmarkEnd w:id="27"/>
      <w:r>
        <w:rPr>
          <w:rFonts w:ascii="Times New Roman" w:hAnsi="Times New Roman"/>
          <w:b/>
          <w:color w:val="000000"/>
          <w:sz w:val="20"/>
        </w:rPr>
        <w:t>Item 14. Principal Accountant Fees and Services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information required by this item is incorporated by reference to the information set forth in the sections titled “Independent Registered Public Accounting Firm Fees” and “Pre-Approval Policies and Procedures” contained in Proposal 3 in our 2024 Proxy Statement.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8" w:name="part_iv"/>
      <w:bookmarkEnd w:id="28"/>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IV</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29" w:name="item_15_exhibits_financial_statements_sc"/>
      <w:bookmarkEnd w:id="29"/>
      <w:r>
        <w:rPr>
          <w:rFonts w:ascii="Times New Roman" w:hAnsi="Times New Roman"/>
          <w:b/>
          <w:color w:val="000000"/>
          <w:sz w:val="20"/>
        </w:rPr>
        <w:t>Item 15. Exhibits and Financial</w:t>
      </w:r>
      <w:r>
        <w:rPr>
          <w:rFonts w:ascii="Times New Roman" w:hAnsi="Times New Roman"/>
          <w:color w:val="000000"/>
          <w:sz w:val="20"/>
        </w:rPr>
        <w:t xml:space="preserve"> </w:t>
      </w:r>
      <w:r>
        <w:rPr>
          <w:rFonts w:ascii="Times New Roman" w:hAnsi="Times New Roman"/>
          <w:b/>
          <w:color w:val="000000"/>
          <w:sz w:val="20"/>
        </w:rPr>
        <w:t>Statement Schedules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(a)(1) Financial Statements. </w:t>
      </w:r>
    </w:p>
    <w:tbl>
      <w:tblPr>
        <w:tblW w:w="10082" w:type="dxa"/>
        <w:jc w:val="left"/>
        <w:tblInd w:w="0" w:type="dxa"/>
        <w:tblLayout w:type="fixed"/>
        <w:tblCellMar>
          <w:top w:w="28" w:type="dxa"/>
          <w:left w:w="28" w:type="dxa"/>
          <w:bottom w:w="28" w:type="dxa"/>
          <w:right w:w="28" w:type="dxa"/>
        </w:tblCellMar>
      </w:tblPr>
      <w:tblGrid>
        <w:gridCol w:w="9436"/>
        <w:gridCol w:w="646"/>
      </w:tblGrid>
      <w:tr>
        <w:trPr/>
        <w:tc>
          <w:tcPr>
            <w:tcW w:w="943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r>
      <w:tr>
        <w:trPr/>
        <w:tc>
          <w:tcPr>
            <w:tcW w:w="9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Pages</w:t>
            </w:r>
          </w:p>
        </w:tc>
      </w:tr>
      <w:tr>
        <w:trPr/>
        <w:tc>
          <w:tcPr>
            <w:tcW w:w="9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Report of Independent Registered Public Accounting Firm (PCAOB ID 34)</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F-2</w:t>
            </w:r>
          </w:p>
        </w:tc>
      </w:tr>
      <w:tr>
        <w:trPr/>
        <w:tc>
          <w:tcPr>
            <w:tcW w:w="943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balance_sheets">
              <w:r>
                <w:rPr>
                  <w:rStyle w:val="InternetLink"/>
                  <w:rFonts w:ascii="Times New Roman" w:hAnsi="Times New Roman"/>
                  <w:color w:val="0000FF"/>
                  <w:sz w:val="20"/>
                  <w:u w:val="single"/>
                </w:rPr>
                <w:t>Consolidated Balance Sheets as of December 31, 2023 and 2022</w:t>
              </w:r>
            </w:hyperlink>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F-4</w:t>
            </w:r>
          </w:p>
        </w:tc>
      </w:tr>
      <w:tr>
        <w:trPr/>
        <w:tc>
          <w:tcPr>
            <w:tcW w:w="943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operations">
              <w:r>
                <w:rPr>
                  <w:rStyle w:val="InternetLink"/>
                  <w:rFonts w:ascii="Times New Roman" w:hAnsi="Times New Roman"/>
                  <w:color w:val="0000FF"/>
                  <w:sz w:val="20"/>
                  <w:u w:val="single"/>
                </w:rPr>
                <w:t>Consolidated Statements of Operations for the Years Ended December 31, 2023, 2022 and 2021</w:t>
              </w:r>
            </w:hyperlink>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F-5</w:t>
            </w:r>
          </w:p>
        </w:tc>
      </w:tr>
      <w:tr>
        <w:trPr/>
        <w:tc>
          <w:tcPr>
            <w:tcW w:w="943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comprehensive_lo">
              <w:r>
                <w:rPr>
                  <w:rStyle w:val="InternetLink"/>
                  <w:rFonts w:ascii="Times New Roman" w:hAnsi="Times New Roman"/>
                  <w:color w:val="0000FF"/>
                  <w:sz w:val="20"/>
                  <w:u w:val="single"/>
                </w:rPr>
                <w:t>Consolidated Statements of Comprehensive (Loss) Income for the Years Ended December 31, 2023, 2022 and 2021</w:t>
              </w:r>
            </w:hyperlink>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F-6</w:t>
            </w:r>
          </w:p>
        </w:tc>
      </w:tr>
      <w:tr>
        <w:trPr/>
        <w:tc>
          <w:tcPr>
            <w:tcW w:w="943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convertible_pref">
              <w:r>
                <w:rPr>
                  <w:rStyle w:val="InternetLink"/>
                  <w:rFonts w:ascii="Times New Roman" w:hAnsi="Times New Roman"/>
                  <w:color w:val="0000FF"/>
                  <w:sz w:val="20"/>
                  <w:u w:val="single"/>
                </w:rPr>
                <w:t>Consolidated Statements of Stockholders’ Equity for the Years Ended December 31, 2023, 2022 and 2021</w:t>
              </w:r>
            </w:hyperlink>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F-7</w:t>
            </w:r>
          </w:p>
        </w:tc>
      </w:tr>
      <w:tr>
        <w:trPr/>
        <w:tc>
          <w:tcPr>
            <w:tcW w:w="943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cash_flows">
              <w:r>
                <w:rPr>
                  <w:rStyle w:val="InternetLink"/>
                  <w:rFonts w:ascii="Times New Roman" w:hAnsi="Times New Roman"/>
                  <w:color w:val="0000FF"/>
                  <w:sz w:val="20"/>
                  <w:u w:val="single"/>
                </w:rPr>
                <w:t>Consolidated Statements of Cash Flows for the Years Ended December 31, 2023, 2022 and 2021</w:t>
              </w:r>
            </w:hyperlink>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F-8</w:t>
            </w:r>
          </w:p>
        </w:tc>
      </w:tr>
      <w:tr>
        <w:trPr/>
        <w:tc>
          <w:tcPr>
            <w:tcW w:w="943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consolidated_financial_statemen">
              <w:r>
                <w:rPr>
                  <w:rStyle w:val="InternetLink"/>
                  <w:rFonts w:ascii="Times New Roman" w:hAnsi="Times New Roman"/>
                  <w:color w:val="0000FF"/>
                  <w:sz w:val="20"/>
                  <w:u w:val="single"/>
                </w:rPr>
                <w:t>Notes to Consolidated Financial Statements</w:t>
              </w:r>
            </w:hyperlink>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F-10</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(a)(2) Financial Statement Schedules.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All schedules have been omitted because they are not required or because the required information is given in the Consolidated Financial Statements or Notes thereto.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(a)(3) Exhibits. </w:t>
      </w:r>
    </w:p>
    <w:tbl>
      <w:tblPr>
        <w:tblW w:w="10205" w:type="dxa"/>
        <w:jc w:val="left"/>
        <w:tblInd w:w="0" w:type="dxa"/>
        <w:tblLayout w:type="fixed"/>
        <w:tblCellMar>
          <w:top w:w="28" w:type="dxa"/>
          <w:left w:w="28" w:type="dxa"/>
          <w:bottom w:w="28" w:type="dxa"/>
          <w:right w:w="28" w:type="dxa"/>
        </w:tblCellMar>
      </w:tblPr>
      <w:tblGrid>
        <w:gridCol w:w="646"/>
        <w:gridCol w:w="146"/>
        <w:gridCol w:w="9413"/>
      </w:tblGrid>
      <w:tr>
        <w:trPr/>
        <w:tc>
          <w:tcPr>
            <w:tcW w:w="6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413" w:type="dxa"/>
            <w:tcBorders/>
            <w:shd w:fill="FFFFFF" w:val="clear"/>
            <w:vAlign w:val="center"/>
          </w:tcPr>
          <w:p>
            <w:pPr>
              <w:pStyle w:val="TableContents"/>
              <w:bidi w:val="0"/>
              <w:spacing w:before="0" w:after="283"/>
              <w:jc w:val="left"/>
              <w:rPr>
                <w:sz w:val="4"/>
                <w:szCs w:val="4"/>
              </w:rPr>
            </w:pPr>
            <w:r>
              <w:rPr>
                <w:sz w:val="4"/>
                <w:szCs w:val="4"/>
              </w:rPr>
            </w:r>
          </w:p>
        </w:tc>
      </w:tr>
      <w:tr>
        <w:trPr/>
        <w:tc>
          <w:tcPr>
            <w:tcW w:w="64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Exhibit</w:t>
              <w:br/>
              <w:t>No.</w:t>
            </w:r>
            <w:r>
              <w:rPr>
                <w:rFonts w:ascii="Times New Roman" w:hAnsi="Times New Roman"/>
                <w:color w:val="000000"/>
                <w:sz w:val="16"/>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41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Description</w:t>
            </w:r>
            <w:r>
              <w:rPr>
                <w:rFonts w:ascii="Times New Roman" w:hAnsi="Times New Roman"/>
                <w:color w:val="000000"/>
                <w:sz w:val="16"/>
              </w:rPr>
              <w:t xml:space="preserve"> </w:t>
            </w:r>
          </w:p>
        </w:tc>
      </w:tr>
      <w:tr>
        <w:trPr/>
        <w:tc>
          <w:tcPr>
            <w:tcW w:w="6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413" w:type="dxa"/>
            <w:tcBorders/>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vAlign w:val="center"/>
          </w:tcPr>
          <w:p>
            <w:pPr>
              <w:pStyle w:val="TableContents"/>
              <w:bidi w:val="0"/>
              <w:spacing w:before="0" w:after="283"/>
              <w:jc w:val="left"/>
              <w:rPr/>
            </w:pPr>
            <w:r>
              <w:rPr/>
              <w:t> </w:t>
            </w:r>
          </w:p>
        </w:tc>
        <w:tc>
          <w:tcPr>
            <w:tcW w:w="9413" w:type="dxa"/>
            <w:tcBorders/>
            <w:vAlign w:val="center"/>
          </w:tcPr>
          <w:p>
            <w:pPr>
              <w:pStyle w:val="TableContents"/>
              <w:bidi w:val="0"/>
              <w:spacing w:before="0" w:after="283"/>
              <w:jc w:val="left"/>
              <w:rPr/>
            </w:pPr>
            <w:hyperlink r:id="rId7">
              <w:r>
                <w:rPr>
                  <w:rStyle w:val="InternetLink"/>
                  <w:rFonts w:ascii="Times New Roman" w:hAnsi="Times New Roman"/>
                  <w:color w:val="0000FF"/>
                  <w:sz w:val="20"/>
                  <w:u w:val="single"/>
                </w:rPr>
                <w:t>Amended and Restated Certificate of Incorporation of the Company (incorporated herein by reference to Exhibit 3.1 to the Company’s Current Report on Form 8-K (File No. 001-37708), as filed with the SEC on March 8, 2016).</w:t>
              </w:r>
            </w:hyperlink>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413" w:type="dxa"/>
            <w:tcBorders/>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vAlign w:val="center"/>
          </w:tcPr>
          <w:p>
            <w:pPr>
              <w:pStyle w:val="TableContents"/>
              <w:bidi w:val="0"/>
              <w:spacing w:before="0" w:after="283"/>
              <w:jc w:val="left"/>
              <w:rPr/>
            </w:pPr>
            <w:r>
              <w:rPr/>
              <w:t> </w:t>
            </w:r>
          </w:p>
        </w:tc>
        <w:tc>
          <w:tcPr>
            <w:tcW w:w="9413" w:type="dxa"/>
            <w:tcBorders/>
            <w:vAlign w:val="center"/>
          </w:tcPr>
          <w:p>
            <w:pPr>
              <w:pStyle w:val="TableContents"/>
              <w:bidi w:val="0"/>
              <w:spacing w:before="0" w:after="283"/>
              <w:jc w:val="left"/>
              <w:rPr/>
            </w:pPr>
            <w:hyperlink r:id="rId8">
              <w:r>
                <w:rPr>
                  <w:rStyle w:val="InternetLink"/>
                  <w:rFonts w:ascii="Times New Roman" w:hAnsi="Times New Roman"/>
                  <w:color w:val="0000FF"/>
                  <w:sz w:val="20"/>
                  <w:u w:val="single"/>
                </w:rPr>
                <w:t>Certificate of Amendment to the Amended and Restated Certificate of Incorporation of the Company (incorporated herein by reference to Exhibit 3.1 to the Company’s Current Report on Form 8-K (File No. 001-37708), as filed with the SEC on May 18, 2023).</w:t>
              </w:r>
            </w:hyperlink>
          </w:p>
        </w:tc>
      </w:tr>
      <w:tr>
        <w:trPr/>
        <w:tc>
          <w:tcPr>
            <w:tcW w:w="6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413" w:type="dxa"/>
            <w:tcBorders/>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w:t>
            </w:r>
          </w:p>
        </w:tc>
        <w:tc>
          <w:tcPr>
            <w:tcW w:w="146" w:type="dxa"/>
            <w:tcBorders/>
            <w:vAlign w:val="center"/>
          </w:tcPr>
          <w:p>
            <w:pPr>
              <w:pStyle w:val="TableContents"/>
              <w:bidi w:val="0"/>
              <w:spacing w:before="0" w:after="283"/>
              <w:jc w:val="left"/>
              <w:rPr/>
            </w:pPr>
            <w:r>
              <w:rPr/>
              <w:t> </w:t>
            </w:r>
          </w:p>
        </w:tc>
        <w:tc>
          <w:tcPr>
            <w:tcW w:w="9413" w:type="dxa"/>
            <w:tcBorders/>
            <w:vAlign w:val="center"/>
          </w:tcPr>
          <w:p>
            <w:pPr>
              <w:pStyle w:val="TableContents"/>
              <w:bidi w:val="0"/>
              <w:spacing w:before="0" w:after="283"/>
              <w:jc w:val="left"/>
              <w:rPr/>
            </w:pPr>
            <w:hyperlink r:id="rId9">
              <w:r>
                <w:rPr>
                  <w:rStyle w:val="InternetLink"/>
                  <w:rFonts w:ascii="Times New Roman" w:hAnsi="Times New Roman"/>
                  <w:color w:val="0000FF"/>
                  <w:sz w:val="20"/>
                  <w:u w:val="single"/>
                </w:rPr>
                <w:t>Amended and Restated Bylaws of the Company (incorporated herein by reference to Exhibit 3.2 to the Company’s Current Report on Form 8-K (File No. 001-37708), as filed with the SEC on March 8, 2016).</w:t>
              </w:r>
            </w:hyperlink>
          </w:p>
        </w:tc>
      </w:tr>
      <w:tr>
        <w:trPr/>
        <w:tc>
          <w:tcPr>
            <w:tcW w:w="6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413" w:type="dxa"/>
            <w:tcBorders/>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vAlign w:val="center"/>
          </w:tcPr>
          <w:p>
            <w:pPr>
              <w:pStyle w:val="TableContents"/>
              <w:bidi w:val="0"/>
              <w:spacing w:before="0" w:after="283"/>
              <w:jc w:val="left"/>
              <w:rPr/>
            </w:pPr>
            <w:r>
              <w:rPr/>
              <w:t> </w:t>
            </w:r>
          </w:p>
        </w:tc>
        <w:tc>
          <w:tcPr>
            <w:tcW w:w="9413" w:type="dxa"/>
            <w:tcBorders/>
            <w:vAlign w:val="center"/>
          </w:tcPr>
          <w:p>
            <w:pPr>
              <w:pStyle w:val="TableContents"/>
              <w:bidi w:val="0"/>
              <w:spacing w:before="0" w:after="283"/>
              <w:jc w:val="left"/>
              <w:rPr/>
            </w:pPr>
            <w:hyperlink r:id="rId10">
              <w:r>
                <w:rPr>
                  <w:rStyle w:val="InternetLink"/>
                  <w:rFonts w:ascii="Times New Roman" w:hAnsi="Times New Roman"/>
                  <w:color w:val="0000FF"/>
                  <w:sz w:val="20"/>
                  <w:u w:val="single"/>
                </w:rPr>
                <w:t>Specimen Common Stock Certificate of the Company (incorporated herein by reference to Exhibit 4.1 to the Company’s Registration Statement on Form S-1/A (File No. 333-208861), as filed with the SEC on February 20, 2016).</w:t>
              </w:r>
            </w:hyperlink>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413" w:type="dxa"/>
            <w:tcBorders/>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w:t>
            </w:r>
          </w:p>
        </w:tc>
        <w:tc>
          <w:tcPr>
            <w:tcW w:w="146" w:type="dxa"/>
            <w:tcBorders/>
            <w:vAlign w:val="center"/>
          </w:tcPr>
          <w:p>
            <w:pPr>
              <w:pStyle w:val="TableContents"/>
              <w:bidi w:val="0"/>
              <w:spacing w:before="0" w:after="283"/>
              <w:jc w:val="left"/>
              <w:rPr/>
            </w:pPr>
            <w:r>
              <w:rPr/>
              <w:t> </w:t>
            </w:r>
          </w:p>
        </w:tc>
        <w:tc>
          <w:tcPr>
            <w:tcW w:w="9413" w:type="dxa"/>
            <w:tcBorders/>
            <w:vAlign w:val="center"/>
          </w:tcPr>
          <w:p>
            <w:pPr>
              <w:pStyle w:val="TableContents"/>
              <w:bidi w:val="0"/>
              <w:spacing w:before="0" w:after="283"/>
              <w:jc w:val="left"/>
              <w:rPr/>
            </w:pPr>
            <w:hyperlink r:id="rId11">
              <w:r>
                <w:rPr>
                  <w:rStyle w:val="InternetLink"/>
                  <w:rFonts w:ascii="Times New Roman" w:hAnsi="Times New Roman"/>
                  <w:color w:val="0000FF"/>
                  <w:sz w:val="20"/>
                  <w:u w:val="single"/>
                </w:rPr>
                <w:t>Form of Pre-Funded Warrant issued pursuant to the securities purchase agreement between the Company and Certain Purchasers, dated December 16, 2021 (incorporated by reference to Exhibit 4.1 to the Company’s Current Report on Form 8-K (File No. 001-37708), as filed with the SEC on December 17, 2021).</w:t>
              </w:r>
            </w:hyperlink>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413" w:type="dxa"/>
            <w:tcBorders/>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4.3</w:t>
            </w:r>
          </w:p>
        </w:tc>
        <w:tc>
          <w:tcPr>
            <w:tcW w:w="146" w:type="dxa"/>
            <w:tcBorders/>
            <w:vAlign w:val="center"/>
          </w:tcPr>
          <w:p>
            <w:pPr>
              <w:pStyle w:val="TableContents"/>
              <w:bidi w:val="0"/>
              <w:spacing w:before="0" w:after="283"/>
              <w:jc w:val="left"/>
              <w:rPr/>
            </w:pPr>
            <w:r>
              <w:rPr/>
              <w:t> </w:t>
            </w:r>
          </w:p>
        </w:tc>
        <w:tc>
          <w:tcPr>
            <w:tcW w:w="9413" w:type="dxa"/>
            <w:tcBorders/>
            <w:vAlign w:val="center"/>
          </w:tcPr>
          <w:p>
            <w:pPr>
              <w:pStyle w:val="TableContents"/>
              <w:bidi w:val="0"/>
              <w:spacing w:before="0" w:after="283"/>
              <w:jc w:val="left"/>
              <w:rPr/>
            </w:pPr>
            <w:hyperlink w:anchor="sndx-ex4_3.htm">
              <w:r>
                <w:rPr>
                  <w:rStyle w:val="InternetLink"/>
                  <w:rFonts w:ascii="Times New Roman" w:hAnsi="Times New Roman"/>
                  <w:color w:val="0000FF"/>
                  <w:sz w:val="20"/>
                  <w:u w:val="single"/>
                </w:rPr>
                <w:t>Description of Capital Stock.</w:t>
              </w:r>
            </w:hyperlink>
          </w:p>
        </w:tc>
      </w:tr>
      <w:tr>
        <w:trPr/>
        <w:tc>
          <w:tcPr>
            <w:tcW w:w="6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413" w:type="dxa"/>
            <w:tcBorders/>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vAlign w:val="center"/>
          </w:tcPr>
          <w:p>
            <w:pPr>
              <w:pStyle w:val="TableContents"/>
              <w:bidi w:val="0"/>
              <w:spacing w:before="0" w:after="283"/>
              <w:jc w:val="left"/>
              <w:rPr/>
            </w:pPr>
            <w:r>
              <w:rPr/>
              <w:t> </w:t>
            </w:r>
          </w:p>
        </w:tc>
        <w:tc>
          <w:tcPr>
            <w:tcW w:w="9413" w:type="dxa"/>
            <w:tcBorders/>
            <w:vAlign w:val="center"/>
          </w:tcPr>
          <w:p>
            <w:pPr>
              <w:pStyle w:val="TableContents"/>
              <w:bidi w:val="0"/>
              <w:spacing w:before="0" w:after="283"/>
              <w:jc w:val="left"/>
              <w:rPr/>
            </w:pPr>
            <w:hyperlink r:id="rId12">
              <w:r>
                <w:rPr>
                  <w:rStyle w:val="InternetLink"/>
                  <w:rFonts w:ascii="Times New Roman" w:hAnsi="Times New Roman"/>
                  <w:color w:val="0000FF"/>
                  <w:sz w:val="20"/>
                  <w:u w:val="single"/>
                </w:rPr>
                <w:t>2007 Stock Plan (incorporated herein by reference to Exhibit 10.3 to the Company’s Registration Statement on Form S-1 (File No. 333-208861), as filed with the SEC on January 4, 2016).</w:t>
              </w:r>
            </w:hyperlink>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413" w:type="dxa"/>
            <w:tcBorders/>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vAlign w:val="center"/>
          </w:tcPr>
          <w:p>
            <w:pPr>
              <w:pStyle w:val="TableContents"/>
              <w:bidi w:val="0"/>
              <w:spacing w:before="0" w:after="283"/>
              <w:jc w:val="left"/>
              <w:rPr/>
            </w:pPr>
            <w:r>
              <w:rPr/>
              <w:t> </w:t>
            </w:r>
          </w:p>
        </w:tc>
        <w:tc>
          <w:tcPr>
            <w:tcW w:w="9413" w:type="dxa"/>
            <w:tcBorders/>
            <w:vAlign w:val="center"/>
          </w:tcPr>
          <w:p>
            <w:pPr>
              <w:pStyle w:val="TableContents"/>
              <w:bidi w:val="0"/>
              <w:spacing w:before="0" w:after="283"/>
              <w:jc w:val="left"/>
              <w:rPr/>
            </w:pPr>
            <w:hyperlink r:id="rId13">
              <w:r>
                <w:rPr>
                  <w:rStyle w:val="InternetLink"/>
                  <w:rFonts w:ascii="Times New Roman" w:hAnsi="Times New Roman"/>
                  <w:color w:val="0000FF"/>
                  <w:sz w:val="20"/>
                  <w:u w:val="single"/>
                </w:rPr>
                <w:t>2007 Stock Plan Amendment, dated as of March 8, 2013 (incorporated herein by reference to Exhibit 10.4 to the Company’s Registration Statement on Form S-1 (File No. 333-208861), as filed with the SEC on January 4, 2016).</w:t>
              </w:r>
            </w:hyperlink>
          </w:p>
        </w:tc>
      </w:tr>
      <w:tr>
        <w:trPr/>
        <w:tc>
          <w:tcPr>
            <w:tcW w:w="6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413" w:type="dxa"/>
            <w:tcBorders/>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146" w:type="dxa"/>
            <w:tcBorders/>
            <w:vAlign w:val="center"/>
          </w:tcPr>
          <w:p>
            <w:pPr>
              <w:pStyle w:val="TableContents"/>
              <w:bidi w:val="0"/>
              <w:spacing w:before="0" w:after="283"/>
              <w:jc w:val="left"/>
              <w:rPr/>
            </w:pPr>
            <w:r>
              <w:rPr/>
              <w:t> </w:t>
            </w:r>
          </w:p>
        </w:tc>
        <w:tc>
          <w:tcPr>
            <w:tcW w:w="9413" w:type="dxa"/>
            <w:tcBorders/>
            <w:vAlign w:val="center"/>
          </w:tcPr>
          <w:p>
            <w:pPr>
              <w:pStyle w:val="TableContents"/>
              <w:bidi w:val="0"/>
              <w:spacing w:before="0" w:after="283"/>
              <w:jc w:val="left"/>
              <w:rPr/>
            </w:pPr>
            <w:hyperlink r:id="rId14">
              <w:r>
                <w:rPr>
                  <w:rStyle w:val="InternetLink"/>
                  <w:rFonts w:ascii="Times New Roman" w:hAnsi="Times New Roman"/>
                  <w:color w:val="0000FF"/>
                  <w:sz w:val="20"/>
                  <w:u w:val="single"/>
                </w:rPr>
                <w:t>2007 Stock Plan Amendment, dated as of July 10, 2013 (incorporated herein by reference to Exhibit 10.5 to the Company’s Registration Statement on Form S-1 (File No. 333-208861), as filed with the SEC on January 4, 2016).</w:t>
              </w:r>
            </w:hyperlink>
          </w:p>
        </w:tc>
      </w:tr>
      <w:tr>
        <w:trPr/>
        <w:tc>
          <w:tcPr>
            <w:tcW w:w="6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413" w:type="dxa"/>
            <w:tcBorders/>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63"/>
        <w:gridCol w:w="146"/>
        <w:gridCol w:w="9396"/>
      </w:tblGrid>
      <w:tr>
        <w:trPr/>
        <w:tc>
          <w:tcPr>
            <w:tcW w:w="663"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396" w:type="dxa"/>
            <w:tcBorders/>
            <w:shd w:fill="FFFFFF" w:val="clear"/>
            <w:vAlign w:val="center"/>
          </w:tcPr>
          <w:p>
            <w:pPr>
              <w:pStyle w:val="TableContents"/>
              <w:bidi w:val="0"/>
              <w:spacing w:before="0" w:after="283"/>
              <w:jc w:val="left"/>
              <w:rPr>
                <w:sz w:val="4"/>
                <w:szCs w:val="4"/>
              </w:rPr>
            </w:pPr>
            <w:r>
              <w:rPr>
                <w:sz w:val="4"/>
                <w:szCs w:val="4"/>
              </w:rPr>
            </w:r>
          </w:p>
        </w:tc>
      </w:tr>
      <w:tr>
        <w:trPr/>
        <w:tc>
          <w:tcPr>
            <w:tcW w:w="66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Exhibit</w:t>
              <w:br/>
              <w:t>No.</w:t>
            </w:r>
            <w:r>
              <w:rPr>
                <w:rFonts w:ascii="Times New Roman" w:hAnsi="Times New Roman"/>
                <w:color w:val="000000"/>
                <w:sz w:val="16"/>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3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Description</w:t>
            </w:r>
            <w:r>
              <w:rPr>
                <w:rFonts w:ascii="Times New Roman" w:hAnsi="Times New Roman"/>
                <w:color w:val="000000"/>
                <w:sz w:val="16"/>
              </w:rPr>
              <w:t xml:space="preserve"> </w:t>
            </w:r>
          </w:p>
        </w:tc>
      </w:tr>
      <w:tr>
        <w:trPr/>
        <w:tc>
          <w:tcPr>
            <w:tcW w:w="66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96" w:type="dxa"/>
            <w:tcBorders/>
            <w:vAlign w:val="center"/>
          </w:tcPr>
          <w:p>
            <w:pPr>
              <w:pStyle w:val="TableContents"/>
              <w:bidi w:val="0"/>
              <w:spacing w:before="0" w:after="283"/>
              <w:jc w:val="left"/>
              <w:rPr/>
            </w:pPr>
            <w:r>
              <w:rPr/>
              <w:t> </w:t>
            </w:r>
          </w:p>
        </w:tc>
      </w:tr>
      <w:tr>
        <w:trPr/>
        <w:tc>
          <w:tcPr>
            <w:tcW w:w="6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vAlign w:val="center"/>
          </w:tcPr>
          <w:p>
            <w:pPr>
              <w:pStyle w:val="TableContents"/>
              <w:bidi w:val="0"/>
              <w:spacing w:before="0" w:after="283"/>
              <w:jc w:val="left"/>
              <w:rPr/>
            </w:pPr>
            <w:r>
              <w:rPr/>
              <w:t> </w:t>
            </w:r>
          </w:p>
        </w:tc>
        <w:tc>
          <w:tcPr>
            <w:tcW w:w="9396" w:type="dxa"/>
            <w:tcBorders/>
            <w:vAlign w:val="center"/>
          </w:tcPr>
          <w:p>
            <w:pPr>
              <w:pStyle w:val="TableContents"/>
              <w:bidi w:val="0"/>
              <w:spacing w:before="0" w:after="283"/>
              <w:jc w:val="left"/>
              <w:rPr/>
            </w:pPr>
            <w:hyperlink r:id="rId15">
              <w:r>
                <w:rPr>
                  <w:rStyle w:val="InternetLink"/>
                  <w:rFonts w:ascii="Times New Roman" w:hAnsi="Times New Roman"/>
                  <w:color w:val="0000FF"/>
                  <w:sz w:val="20"/>
                  <w:u w:val="single"/>
                </w:rPr>
                <w:t>2007 Stock Plan Amendment, dated as of January 23, 2014 (incorporated herein by reference to Exhibit 10.6 to the Company’s Registration Statement on Form S-1 (File No. 333-208861), as filed with the SEC on January 4, 2016).</w:t>
              </w:r>
            </w:hyperlink>
          </w:p>
        </w:tc>
      </w:tr>
      <w:tr>
        <w:trPr/>
        <w:tc>
          <w:tcPr>
            <w:tcW w:w="66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96" w:type="dxa"/>
            <w:tcBorders/>
            <w:vAlign w:val="center"/>
          </w:tcPr>
          <w:p>
            <w:pPr>
              <w:pStyle w:val="TableContents"/>
              <w:bidi w:val="0"/>
              <w:spacing w:before="0" w:after="283"/>
              <w:jc w:val="left"/>
              <w:rPr/>
            </w:pPr>
            <w:r>
              <w:rPr/>
              <w:t> </w:t>
            </w:r>
          </w:p>
        </w:tc>
      </w:tr>
      <w:tr>
        <w:trPr/>
        <w:tc>
          <w:tcPr>
            <w:tcW w:w="6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w:t>
            </w:r>
          </w:p>
        </w:tc>
        <w:tc>
          <w:tcPr>
            <w:tcW w:w="146" w:type="dxa"/>
            <w:tcBorders/>
            <w:vAlign w:val="center"/>
          </w:tcPr>
          <w:p>
            <w:pPr>
              <w:pStyle w:val="TableContents"/>
              <w:bidi w:val="0"/>
              <w:spacing w:before="0" w:after="283"/>
              <w:jc w:val="left"/>
              <w:rPr/>
            </w:pPr>
            <w:r>
              <w:rPr/>
              <w:t> </w:t>
            </w:r>
          </w:p>
        </w:tc>
        <w:tc>
          <w:tcPr>
            <w:tcW w:w="9396" w:type="dxa"/>
            <w:tcBorders/>
            <w:vAlign w:val="center"/>
          </w:tcPr>
          <w:p>
            <w:pPr>
              <w:pStyle w:val="TableContents"/>
              <w:bidi w:val="0"/>
              <w:spacing w:before="0" w:after="283"/>
              <w:jc w:val="left"/>
              <w:rPr/>
            </w:pPr>
            <w:hyperlink r:id="rId16">
              <w:r>
                <w:rPr>
                  <w:rStyle w:val="InternetLink"/>
                  <w:rFonts w:ascii="Times New Roman" w:hAnsi="Times New Roman"/>
                  <w:color w:val="0000FF"/>
                  <w:sz w:val="20"/>
                  <w:u w:val="single"/>
                </w:rPr>
                <w:t>2007 Stock Plan Amendment, dated as of December 17, 2014 (incorporated herein by reference to Exhibit 10.7 to the Company’s Registration Statement on Form S-1 (File No. 333-208861), as filed with the SEC on January 4, 2016).</w:t>
              </w:r>
            </w:hyperlink>
          </w:p>
        </w:tc>
      </w:tr>
      <w:tr>
        <w:trPr/>
        <w:tc>
          <w:tcPr>
            <w:tcW w:w="66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96" w:type="dxa"/>
            <w:tcBorders/>
            <w:vAlign w:val="center"/>
          </w:tcPr>
          <w:p>
            <w:pPr>
              <w:pStyle w:val="TableContents"/>
              <w:bidi w:val="0"/>
              <w:spacing w:before="0" w:after="283"/>
              <w:jc w:val="left"/>
              <w:rPr/>
            </w:pPr>
            <w:r>
              <w:rPr/>
              <w:t> </w:t>
            </w:r>
          </w:p>
        </w:tc>
      </w:tr>
      <w:tr>
        <w:trPr/>
        <w:tc>
          <w:tcPr>
            <w:tcW w:w="6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w:t>
            </w:r>
          </w:p>
        </w:tc>
        <w:tc>
          <w:tcPr>
            <w:tcW w:w="146" w:type="dxa"/>
            <w:tcBorders/>
            <w:vAlign w:val="center"/>
          </w:tcPr>
          <w:p>
            <w:pPr>
              <w:pStyle w:val="TableContents"/>
              <w:bidi w:val="0"/>
              <w:spacing w:before="0" w:after="283"/>
              <w:jc w:val="left"/>
              <w:rPr/>
            </w:pPr>
            <w:r>
              <w:rPr/>
              <w:t> </w:t>
            </w:r>
          </w:p>
        </w:tc>
        <w:tc>
          <w:tcPr>
            <w:tcW w:w="9396" w:type="dxa"/>
            <w:tcBorders/>
            <w:vAlign w:val="center"/>
          </w:tcPr>
          <w:p>
            <w:pPr>
              <w:pStyle w:val="TableContents"/>
              <w:bidi w:val="0"/>
              <w:spacing w:before="0" w:after="283"/>
              <w:jc w:val="left"/>
              <w:rPr/>
            </w:pPr>
            <w:hyperlink r:id="rId17">
              <w:r>
                <w:rPr>
                  <w:rStyle w:val="InternetLink"/>
                  <w:rFonts w:ascii="Times New Roman" w:hAnsi="Times New Roman"/>
                  <w:color w:val="0000FF"/>
                  <w:sz w:val="20"/>
                  <w:u w:val="single"/>
                </w:rPr>
                <w:t>2007 Stock Plan Amendment, dated as of May 28, 2015 (incorporated herein by reference to Exhibit 10.8 to the Company’s Registration Statement on Form S-1 (File No. 333-208861), as filed with the SEC on January 4, 2016).</w:t>
              </w:r>
            </w:hyperlink>
          </w:p>
        </w:tc>
      </w:tr>
      <w:tr>
        <w:trPr/>
        <w:tc>
          <w:tcPr>
            <w:tcW w:w="66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96" w:type="dxa"/>
            <w:tcBorders/>
            <w:vAlign w:val="center"/>
          </w:tcPr>
          <w:p>
            <w:pPr>
              <w:pStyle w:val="TableContents"/>
              <w:bidi w:val="0"/>
              <w:spacing w:before="0" w:after="283"/>
              <w:jc w:val="left"/>
              <w:rPr/>
            </w:pPr>
            <w:r>
              <w:rPr/>
              <w:t> </w:t>
            </w:r>
          </w:p>
        </w:tc>
      </w:tr>
      <w:tr>
        <w:trPr/>
        <w:tc>
          <w:tcPr>
            <w:tcW w:w="6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w:t>
            </w:r>
          </w:p>
        </w:tc>
        <w:tc>
          <w:tcPr>
            <w:tcW w:w="146" w:type="dxa"/>
            <w:tcBorders/>
            <w:vAlign w:val="center"/>
          </w:tcPr>
          <w:p>
            <w:pPr>
              <w:pStyle w:val="TableContents"/>
              <w:bidi w:val="0"/>
              <w:spacing w:before="0" w:after="283"/>
              <w:jc w:val="left"/>
              <w:rPr/>
            </w:pPr>
            <w:r>
              <w:rPr/>
              <w:t> </w:t>
            </w:r>
          </w:p>
        </w:tc>
        <w:tc>
          <w:tcPr>
            <w:tcW w:w="9396" w:type="dxa"/>
            <w:tcBorders/>
            <w:vAlign w:val="center"/>
          </w:tcPr>
          <w:p>
            <w:pPr>
              <w:pStyle w:val="TableContents"/>
              <w:bidi w:val="0"/>
              <w:spacing w:before="0" w:after="283"/>
              <w:jc w:val="left"/>
              <w:rPr/>
            </w:pPr>
            <w:hyperlink r:id="rId18">
              <w:r>
                <w:rPr>
                  <w:rStyle w:val="InternetLink"/>
                  <w:rFonts w:ascii="Times New Roman" w:hAnsi="Times New Roman"/>
                  <w:color w:val="0000FF"/>
                  <w:sz w:val="20"/>
                  <w:u w:val="single"/>
                </w:rPr>
                <w:t>2007 Stock Plan Amendment, dated as of August 20, 2015 (incorporated herein by reference to Exhibit 10.9 to the Company’s Registration Statement on Form S-1 (File No. 333-208861), as filed with the SEC on January 4, 2016).</w:t>
              </w:r>
            </w:hyperlink>
          </w:p>
        </w:tc>
      </w:tr>
      <w:tr>
        <w:trPr/>
        <w:tc>
          <w:tcPr>
            <w:tcW w:w="66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96" w:type="dxa"/>
            <w:tcBorders/>
            <w:vAlign w:val="center"/>
          </w:tcPr>
          <w:p>
            <w:pPr>
              <w:pStyle w:val="TableContents"/>
              <w:bidi w:val="0"/>
              <w:spacing w:before="0" w:after="283"/>
              <w:jc w:val="left"/>
              <w:rPr/>
            </w:pPr>
            <w:r>
              <w:rPr/>
              <w:t> </w:t>
            </w:r>
          </w:p>
        </w:tc>
      </w:tr>
      <w:tr>
        <w:trPr/>
        <w:tc>
          <w:tcPr>
            <w:tcW w:w="6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10.8*</w:t>
            </w:r>
          </w:p>
        </w:tc>
        <w:tc>
          <w:tcPr>
            <w:tcW w:w="146" w:type="dxa"/>
            <w:tcBorders/>
            <w:vAlign w:val="center"/>
          </w:tcPr>
          <w:p>
            <w:pPr>
              <w:pStyle w:val="TableContents"/>
              <w:bidi w:val="0"/>
              <w:spacing w:before="0" w:after="283"/>
              <w:jc w:val="left"/>
              <w:rPr/>
            </w:pPr>
            <w:r>
              <w:rPr/>
              <w:t> </w:t>
            </w:r>
          </w:p>
        </w:tc>
        <w:tc>
          <w:tcPr>
            <w:tcW w:w="9396" w:type="dxa"/>
            <w:tcBorders/>
            <w:vAlign w:val="center"/>
          </w:tcPr>
          <w:p>
            <w:pPr>
              <w:pStyle w:val="TableContents"/>
              <w:bidi w:val="0"/>
              <w:spacing w:before="0" w:after="283"/>
              <w:jc w:val="left"/>
              <w:rPr/>
            </w:pPr>
            <w:hyperlink r:id="rId19">
              <w:r>
                <w:rPr>
                  <w:rStyle w:val="InternetLink"/>
                  <w:rFonts w:ascii="Times New Roman" w:hAnsi="Times New Roman"/>
                  <w:color w:val="0000FF"/>
                  <w:sz w:val="20"/>
                  <w:u w:val="single"/>
                </w:rPr>
                <w:t>Form of Incentive Stock Option Agreement under 2007 Stock Plan (incorporated herein by reference to Exhibit 10.10 to the Company’s Registration Statement on Form S-1 (File No. 333-208861), as filed with the SEC on January 4, 2016).</w:t>
              </w:r>
            </w:hyperlink>
          </w:p>
        </w:tc>
      </w:tr>
      <w:tr>
        <w:trPr/>
        <w:tc>
          <w:tcPr>
            <w:tcW w:w="66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96" w:type="dxa"/>
            <w:tcBorders/>
            <w:vAlign w:val="center"/>
          </w:tcPr>
          <w:p>
            <w:pPr>
              <w:pStyle w:val="TableContents"/>
              <w:bidi w:val="0"/>
              <w:spacing w:before="0" w:after="283"/>
              <w:jc w:val="left"/>
              <w:rPr/>
            </w:pPr>
            <w:r>
              <w:rPr/>
              <w:t> </w:t>
            </w:r>
          </w:p>
        </w:tc>
      </w:tr>
      <w:tr>
        <w:trPr/>
        <w:tc>
          <w:tcPr>
            <w:tcW w:w="6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10.9*</w:t>
            </w:r>
          </w:p>
        </w:tc>
        <w:tc>
          <w:tcPr>
            <w:tcW w:w="146" w:type="dxa"/>
            <w:tcBorders/>
            <w:vAlign w:val="center"/>
          </w:tcPr>
          <w:p>
            <w:pPr>
              <w:pStyle w:val="TableContents"/>
              <w:bidi w:val="0"/>
              <w:spacing w:before="0" w:after="283"/>
              <w:jc w:val="left"/>
              <w:rPr/>
            </w:pPr>
            <w:r>
              <w:rPr/>
              <w:t> </w:t>
            </w:r>
          </w:p>
        </w:tc>
        <w:tc>
          <w:tcPr>
            <w:tcW w:w="9396" w:type="dxa"/>
            <w:tcBorders/>
            <w:vAlign w:val="center"/>
          </w:tcPr>
          <w:p>
            <w:pPr>
              <w:pStyle w:val="TableContents"/>
              <w:bidi w:val="0"/>
              <w:spacing w:before="0" w:after="283"/>
              <w:jc w:val="left"/>
              <w:rPr/>
            </w:pPr>
            <w:hyperlink r:id="rId20">
              <w:r>
                <w:rPr>
                  <w:rStyle w:val="InternetLink"/>
                  <w:rFonts w:ascii="Times New Roman" w:hAnsi="Times New Roman"/>
                  <w:color w:val="0000FF"/>
                  <w:sz w:val="20"/>
                  <w:u w:val="single"/>
                </w:rPr>
                <w:t>Form of Non-Statutory Stock Option Agreement under 2007 Stock Plan (incorporated herein by reference to Exhibit 10.11 to the Company’s Registration Statement on Form S-1 (File No. 333-208861), as filed with the SEC on January 4, 2016).</w:t>
              </w:r>
            </w:hyperlink>
          </w:p>
        </w:tc>
      </w:tr>
      <w:tr>
        <w:trPr/>
        <w:tc>
          <w:tcPr>
            <w:tcW w:w="66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96" w:type="dxa"/>
            <w:tcBorders/>
            <w:vAlign w:val="center"/>
          </w:tcPr>
          <w:p>
            <w:pPr>
              <w:pStyle w:val="TableContents"/>
              <w:bidi w:val="0"/>
              <w:spacing w:before="0" w:after="283"/>
              <w:jc w:val="left"/>
              <w:rPr/>
            </w:pPr>
            <w:r>
              <w:rPr/>
              <w:t> </w:t>
            </w:r>
          </w:p>
        </w:tc>
      </w:tr>
      <w:tr>
        <w:trPr/>
        <w:tc>
          <w:tcPr>
            <w:tcW w:w="6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10.10*</w:t>
            </w:r>
          </w:p>
        </w:tc>
        <w:tc>
          <w:tcPr>
            <w:tcW w:w="146" w:type="dxa"/>
            <w:tcBorders/>
            <w:vAlign w:val="center"/>
          </w:tcPr>
          <w:p>
            <w:pPr>
              <w:pStyle w:val="TableContents"/>
              <w:bidi w:val="0"/>
              <w:spacing w:before="0" w:after="283"/>
              <w:jc w:val="left"/>
              <w:rPr/>
            </w:pPr>
            <w:r>
              <w:rPr/>
              <w:t> </w:t>
            </w:r>
          </w:p>
        </w:tc>
        <w:tc>
          <w:tcPr>
            <w:tcW w:w="9396" w:type="dxa"/>
            <w:tcBorders/>
            <w:vAlign w:val="center"/>
          </w:tcPr>
          <w:p>
            <w:pPr>
              <w:pStyle w:val="TableContents"/>
              <w:bidi w:val="0"/>
              <w:spacing w:before="0" w:after="283"/>
              <w:jc w:val="left"/>
              <w:rPr/>
            </w:pPr>
            <w:hyperlink r:id="rId21">
              <w:r>
                <w:rPr>
                  <w:rStyle w:val="InternetLink"/>
                  <w:rFonts w:ascii="Times New Roman" w:hAnsi="Times New Roman"/>
                  <w:color w:val="0000FF"/>
                  <w:sz w:val="20"/>
                  <w:u w:val="single"/>
                </w:rPr>
                <w:t>2015 Omnibus Incentive Plan (incorporated herein by reference to Exhibit 10.12 to the Company’s Registration Statement on Form S-8 (File No. 333-210412), as filed with the SEC on March 25, 2016).</w:t>
              </w:r>
            </w:hyperlink>
          </w:p>
        </w:tc>
      </w:tr>
      <w:tr>
        <w:trPr/>
        <w:tc>
          <w:tcPr>
            <w:tcW w:w="66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96" w:type="dxa"/>
            <w:tcBorders/>
            <w:vAlign w:val="center"/>
          </w:tcPr>
          <w:p>
            <w:pPr>
              <w:pStyle w:val="TableContents"/>
              <w:bidi w:val="0"/>
              <w:spacing w:before="0" w:after="283"/>
              <w:jc w:val="left"/>
              <w:rPr/>
            </w:pPr>
            <w:r>
              <w:rPr/>
              <w:t> </w:t>
            </w:r>
          </w:p>
        </w:tc>
      </w:tr>
      <w:tr>
        <w:trPr/>
        <w:tc>
          <w:tcPr>
            <w:tcW w:w="6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10.11*</w:t>
            </w:r>
          </w:p>
        </w:tc>
        <w:tc>
          <w:tcPr>
            <w:tcW w:w="146" w:type="dxa"/>
            <w:tcBorders/>
            <w:vAlign w:val="center"/>
          </w:tcPr>
          <w:p>
            <w:pPr>
              <w:pStyle w:val="TableContents"/>
              <w:bidi w:val="0"/>
              <w:spacing w:before="0" w:after="283"/>
              <w:jc w:val="left"/>
              <w:rPr/>
            </w:pPr>
            <w:r>
              <w:rPr/>
              <w:t> </w:t>
            </w:r>
          </w:p>
        </w:tc>
        <w:tc>
          <w:tcPr>
            <w:tcW w:w="9396" w:type="dxa"/>
            <w:tcBorders/>
            <w:vAlign w:val="center"/>
          </w:tcPr>
          <w:p>
            <w:pPr>
              <w:pStyle w:val="TableContents"/>
              <w:bidi w:val="0"/>
              <w:spacing w:before="0" w:after="283"/>
              <w:jc w:val="left"/>
              <w:rPr/>
            </w:pPr>
            <w:hyperlink r:id="rId22">
              <w:r>
                <w:rPr>
                  <w:rStyle w:val="InternetLink"/>
                  <w:rFonts w:ascii="Times New Roman" w:hAnsi="Times New Roman"/>
                  <w:color w:val="0000FF"/>
                  <w:sz w:val="20"/>
                  <w:u w:val="single"/>
                </w:rPr>
                <w:t>Form of Incentive Stock Option Agreement under 2015 Omnibus Incentive Plan (incorporated herein by reference to Exhibit 4.13 to the Company’s Registration Statement on Form S-8 (File No. 333-210412), as filed with the SEC on January 4, 2016).</w:t>
              </w:r>
            </w:hyperlink>
          </w:p>
        </w:tc>
      </w:tr>
      <w:tr>
        <w:trPr/>
        <w:tc>
          <w:tcPr>
            <w:tcW w:w="66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96" w:type="dxa"/>
            <w:tcBorders/>
            <w:vAlign w:val="center"/>
          </w:tcPr>
          <w:p>
            <w:pPr>
              <w:pStyle w:val="TableContents"/>
              <w:bidi w:val="0"/>
              <w:spacing w:before="0" w:after="283"/>
              <w:jc w:val="left"/>
              <w:rPr/>
            </w:pPr>
            <w:r>
              <w:rPr/>
              <w:t> </w:t>
            </w:r>
          </w:p>
        </w:tc>
      </w:tr>
      <w:tr>
        <w:trPr/>
        <w:tc>
          <w:tcPr>
            <w:tcW w:w="6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10.12*</w:t>
            </w:r>
          </w:p>
        </w:tc>
        <w:tc>
          <w:tcPr>
            <w:tcW w:w="146" w:type="dxa"/>
            <w:tcBorders/>
            <w:vAlign w:val="center"/>
          </w:tcPr>
          <w:p>
            <w:pPr>
              <w:pStyle w:val="TableContents"/>
              <w:bidi w:val="0"/>
              <w:spacing w:before="0" w:after="283"/>
              <w:jc w:val="left"/>
              <w:rPr/>
            </w:pPr>
            <w:r>
              <w:rPr/>
              <w:t> </w:t>
            </w:r>
          </w:p>
        </w:tc>
        <w:tc>
          <w:tcPr>
            <w:tcW w:w="9396" w:type="dxa"/>
            <w:tcBorders/>
            <w:vAlign w:val="center"/>
          </w:tcPr>
          <w:p>
            <w:pPr>
              <w:pStyle w:val="TableContents"/>
              <w:bidi w:val="0"/>
              <w:spacing w:before="0" w:after="283"/>
              <w:jc w:val="left"/>
              <w:rPr/>
            </w:pPr>
            <w:hyperlink r:id="rId23">
              <w:r>
                <w:rPr>
                  <w:rStyle w:val="InternetLink"/>
                  <w:rFonts w:ascii="Times New Roman" w:hAnsi="Times New Roman"/>
                  <w:color w:val="0000FF"/>
                  <w:sz w:val="20"/>
                  <w:u w:val="single"/>
                </w:rPr>
                <w:t>Form of Non-Qualified Option Agreement under 2015 Omnibus Incentive Plan (incorporated herein by reference to Exhibit 10.14 to the Company’s Registration Statement on Form S-1 (File No. 333-208861), as filed with the SEC on March 25, 2016).</w:t>
              </w:r>
            </w:hyperlink>
          </w:p>
        </w:tc>
      </w:tr>
      <w:tr>
        <w:trPr/>
        <w:tc>
          <w:tcPr>
            <w:tcW w:w="66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96" w:type="dxa"/>
            <w:tcBorders/>
            <w:vAlign w:val="center"/>
          </w:tcPr>
          <w:p>
            <w:pPr>
              <w:pStyle w:val="TableContents"/>
              <w:bidi w:val="0"/>
              <w:spacing w:before="0" w:after="283"/>
              <w:jc w:val="left"/>
              <w:rPr/>
            </w:pPr>
            <w:r>
              <w:rPr/>
              <w:t> </w:t>
            </w:r>
          </w:p>
        </w:tc>
      </w:tr>
      <w:tr>
        <w:trPr/>
        <w:tc>
          <w:tcPr>
            <w:tcW w:w="6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10.13*</w:t>
            </w:r>
          </w:p>
        </w:tc>
        <w:tc>
          <w:tcPr>
            <w:tcW w:w="146" w:type="dxa"/>
            <w:tcBorders/>
            <w:vAlign w:val="center"/>
          </w:tcPr>
          <w:p>
            <w:pPr>
              <w:pStyle w:val="TableContents"/>
              <w:bidi w:val="0"/>
              <w:spacing w:before="0" w:after="283"/>
              <w:jc w:val="left"/>
              <w:rPr/>
            </w:pPr>
            <w:r>
              <w:rPr/>
              <w:t> </w:t>
            </w:r>
          </w:p>
        </w:tc>
        <w:tc>
          <w:tcPr>
            <w:tcW w:w="9396" w:type="dxa"/>
            <w:tcBorders/>
            <w:vAlign w:val="center"/>
          </w:tcPr>
          <w:p>
            <w:pPr>
              <w:pStyle w:val="TableContents"/>
              <w:bidi w:val="0"/>
              <w:spacing w:before="0" w:after="283"/>
              <w:jc w:val="left"/>
              <w:rPr/>
            </w:pPr>
            <w:hyperlink r:id="rId24">
              <w:r>
                <w:rPr>
                  <w:rStyle w:val="InternetLink"/>
                  <w:rFonts w:ascii="Times New Roman" w:hAnsi="Times New Roman"/>
                  <w:color w:val="0000FF"/>
                  <w:sz w:val="20"/>
                  <w:u w:val="single"/>
                </w:rPr>
                <w:t>Form of Stock Unit Agreement under 2015 Omnibus Incentive Plan (incorporated herein by reference to Exhibit 10.1 to the Company’s Quarterly Report on Form 10-Q (File No. 001-37708), as filed with the SEC on August 6, 2020).</w:t>
              </w:r>
            </w:hyperlink>
          </w:p>
        </w:tc>
      </w:tr>
      <w:tr>
        <w:trPr/>
        <w:tc>
          <w:tcPr>
            <w:tcW w:w="66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96" w:type="dxa"/>
            <w:tcBorders/>
            <w:vAlign w:val="center"/>
          </w:tcPr>
          <w:p>
            <w:pPr>
              <w:pStyle w:val="TableContents"/>
              <w:bidi w:val="0"/>
              <w:spacing w:before="0" w:after="283"/>
              <w:jc w:val="left"/>
              <w:rPr/>
            </w:pPr>
            <w:r>
              <w:rPr/>
              <w:t> </w:t>
            </w:r>
          </w:p>
        </w:tc>
      </w:tr>
      <w:tr>
        <w:trPr/>
        <w:tc>
          <w:tcPr>
            <w:tcW w:w="6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10.14*</w:t>
            </w:r>
          </w:p>
        </w:tc>
        <w:tc>
          <w:tcPr>
            <w:tcW w:w="146" w:type="dxa"/>
            <w:tcBorders/>
            <w:vAlign w:val="center"/>
          </w:tcPr>
          <w:p>
            <w:pPr>
              <w:pStyle w:val="TableContents"/>
              <w:bidi w:val="0"/>
              <w:spacing w:before="0" w:after="283"/>
              <w:jc w:val="left"/>
              <w:rPr/>
            </w:pPr>
            <w:r>
              <w:rPr/>
              <w:t> </w:t>
            </w:r>
          </w:p>
        </w:tc>
        <w:tc>
          <w:tcPr>
            <w:tcW w:w="9396" w:type="dxa"/>
            <w:tcBorders/>
            <w:vAlign w:val="center"/>
          </w:tcPr>
          <w:p>
            <w:pPr>
              <w:pStyle w:val="TableContents"/>
              <w:bidi w:val="0"/>
              <w:spacing w:before="0" w:after="283"/>
              <w:jc w:val="left"/>
              <w:rPr/>
            </w:pPr>
            <w:hyperlink r:id="rId25">
              <w:r>
                <w:rPr>
                  <w:rStyle w:val="InternetLink"/>
                  <w:rFonts w:ascii="Times New Roman" w:hAnsi="Times New Roman"/>
                  <w:color w:val="0000FF"/>
                  <w:sz w:val="20"/>
                  <w:u w:val="single"/>
                </w:rPr>
                <w:t>Form of Deferred Settlement Stock Unit Agreement under 2015 Omnibus Incentive Plan (incorporated herein by reference to Exhibit 10.14 to the Company’s Annual Report on Form 10-K (file No. 001-37708), as filed with the SEC on March 12, 2021).</w:t>
              </w:r>
            </w:hyperlink>
          </w:p>
        </w:tc>
      </w:tr>
      <w:tr>
        <w:trPr/>
        <w:tc>
          <w:tcPr>
            <w:tcW w:w="66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96" w:type="dxa"/>
            <w:tcBorders/>
            <w:vAlign w:val="center"/>
          </w:tcPr>
          <w:p>
            <w:pPr>
              <w:pStyle w:val="TableContents"/>
              <w:bidi w:val="0"/>
              <w:spacing w:before="0" w:after="283"/>
              <w:jc w:val="left"/>
              <w:rPr/>
            </w:pPr>
            <w:r>
              <w:rPr/>
              <w:t> </w:t>
            </w:r>
          </w:p>
        </w:tc>
      </w:tr>
      <w:tr>
        <w:trPr/>
        <w:tc>
          <w:tcPr>
            <w:tcW w:w="6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10.15*</w:t>
            </w:r>
          </w:p>
        </w:tc>
        <w:tc>
          <w:tcPr>
            <w:tcW w:w="146" w:type="dxa"/>
            <w:tcBorders/>
            <w:vAlign w:val="center"/>
          </w:tcPr>
          <w:p>
            <w:pPr>
              <w:pStyle w:val="TableContents"/>
              <w:bidi w:val="0"/>
              <w:spacing w:before="0" w:after="283"/>
              <w:jc w:val="left"/>
              <w:rPr/>
            </w:pPr>
            <w:r>
              <w:rPr/>
              <w:t> </w:t>
            </w:r>
          </w:p>
        </w:tc>
        <w:tc>
          <w:tcPr>
            <w:tcW w:w="9396" w:type="dxa"/>
            <w:tcBorders/>
            <w:vAlign w:val="center"/>
          </w:tcPr>
          <w:p>
            <w:pPr>
              <w:pStyle w:val="TableContents"/>
              <w:bidi w:val="0"/>
              <w:spacing w:before="0" w:after="283"/>
              <w:jc w:val="left"/>
              <w:rPr/>
            </w:pPr>
            <w:hyperlink r:id="rId26">
              <w:r>
                <w:rPr>
                  <w:rStyle w:val="InternetLink"/>
                  <w:rFonts w:ascii="Times New Roman" w:hAnsi="Times New Roman"/>
                  <w:color w:val="0000FF"/>
                  <w:sz w:val="20"/>
                  <w:u w:val="single"/>
                </w:rPr>
                <w:t>2015 Employee Stock Purchase Plan (incorporated herein by reference to Exhibit 4.16 to the Company’s Registration Statement on Form S-8 (File No. 333-210412), as filed with the SEC on March 25, 2016).</w:t>
              </w:r>
            </w:hyperlink>
          </w:p>
        </w:tc>
      </w:tr>
      <w:tr>
        <w:trPr/>
        <w:tc>
          <w:tcPr>
            <w:tcW w:w="66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96" w:type="dxa"/>
            <w:tcBorders/>
            <w:vAlign w:val="center"/>
          </w:tcPr>
          <w:p>
            <w:pPr>
              <w:pStyle w:val="TableContents"/>
              <w:bidi w:val="0"/>
              <w:spacing w:before="0" w:after="283"/>
              <w:jc w:val="left"/>
              <w:rPr/>
            </w:pPr>
            <w:r>
              <w:rPr/>
              <w:t> </w:t>
            </w:r>
          </w:p>
        </w:tc>
      </w:tr>
      <w:tr>
        <w:trPr/>
        <w:tc>
          <w:tcPr>
            <w:tcW w:w="6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10.16*</w:t>
            </w:r>
          </w:p>
        </w:tc>
        <w:tc>
          <w:tcPr>
            <w:tcW w:w="146" w:type="dxa"/>
            <w:tcBorders/>
            <w:vAlign w:val="center"/>
          </w:tcPr>
          <w:p>
            <w:pPr>
              <w:pStyle w:val="TableContents"/>
              <w:bidi w:val="0"/>
              <w:spacing w:before="0" w:after="283"/>
              <w:jc w:val="left"/>
              <w:rPr/>
            </w:pPr>
            <w:r>
              <w:rPr/>
              <w:t> </w:t>
            </w:r>
          </w:p>
        </w:tc>
        <w:tc>
          <w:tcPr>
            <w:tcW w:w="9396" w:type="dxa"/>
            <w:tcBorders/>
            <w:vAlign w:val="center"/>
          </w:tcPr>
          <w:p>
            <w:pPr>
              <w:pStyle w:val="TableContents"/>
              <w:bidi w:val="0"/>
              <w:spacing w:before="0" w:after="283"/>
              <w:jc w:val="left"/>
              <w:rPr/>
            </w:pPr>
            <w:hyperlink w:anchor="sndx-ex10_16.htm">
              <w:r>
                <w:rPr>
                  <w:rStyle w:val="InternetLink"/>
                  <w:rFonts w:ascii="Times New Roman" w:hAnsi="Times New Roman"/>
                  <w:color w:val="0000FF"/>
                  <w:sz w:val="20"/>
                  <w:u w:val="single"/>
                </w:rPr>
                <w:t>Syndax Pharmaceuticals, Inc. 2023 Inducement Plan.</w:t>
              </w:r>
            </w:hyperlink>
          </w:p>
        </w:tc>
      </w:tr>
      <w:tr>
        <w:trPr/>
        <w:tc>
          <w:tcPr>
            <w:tcW w:w="66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96" w:type="dxa"/>
            <w:tcBorders/>
            <w:vAlign w:val="center"/>
          </w:tcPr>
          <w:p>
            <w:pPr>
              <w:pStyle w:val="TableContents"/>
              <w:bidi w:val="0"/>
              <w:spacing w:before="0" w:after="283"/>
              <w:jc w:val="left"/>
              <w:rPr/>
            </w:pPr>
            <w:r>
              <w:rPr/>
              <w:t> </w:t>
            </w:r>
          </w:p>
        </w:tc>
      </w:tr>
      <w:tr>
        <w:trPr/>
        <w:tc>
          <w:tcPr>
            <w:tcW w:w="6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10.17*</w:t>
            </w:r>
          </w:p>
        </w:tc>
        <w:tc>
          <w:tcPr>
            <w:tcW w:w="146" w:type="dxa"/>
            <w:tcBorders/>
            <w:vAlign w:val="center"/>
          </w:tcPr>
          <w:p>
            <w:pPr>
              <w:pStyle w:val="TableContents"/>
              <w:bidi w:val="0"/>
              <w:spacing w:before="0" w:after="283"/>
              <w:jc w:val="left"/>
              <w:rPr/>
            </w:pPr>
            <w:r>
              <w:rPr/>
              <w:t> </w:t>
            </w:r>
          </w:p>
        </w:tc>
        <w:tc>
          <w:tcPr>
            <w:tcW w:w="9396" w:type="dxa"/>
            <w:tcBorders/>
            <w:vAlign w:val="center"/>
          </w:tcPr>
          <w:p>
            <w:pPr>
              <w:pStyle w:val="TableContents"/>
              <w:bidi w:val="0"/>
              <w:spacing w:before="0" w:after="283"/>
              <w:jc w:val="left"/>
              <w:rPr/>
            </w:pPr>
            <w:hyperlink r:id="rId27">
              <w:r>
                <w:rPr>
                  <w:rStyle w:val="InternetLink"/>
                  <w:rFonts w:ascii="Times New Roman" w:hAnsi="Times New Roman"/>
                  <w:color w:val="0000FF"/>
                  <w:sz w:val="20"/>
                  <w:u w:val="single"/>
                </w:rPr>
                <w:t>Form of Option Agreement pursuant to the Syndax Pharmaceuticals, Inc. 2023 Inducement Plan (incorporated herein by reference to Exhibit 10.2 to the Company’s Current Report on Form 8-K (File No. 001-37708), as filed with the SEC on February 8, 2023).</w:t>
              </w:r>
            </w:hyperlink>
          </w:p>
        </w:tc>
      </w:tr>
      <w:tr>
        <w:trPr/>
        <w:tc>
          <w:tcPr>
            <w:tcW w:w="66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96" w:type="dxa"/>
            <w:tcBorders/>
            <w:vAlign w:val="center"/>
          </w:tcPr>
          <w:p>
            <w:pPr>
              <w:pStyle w:val="TableContents"/>
              <w:bidi w:val="0"/>
              <w:spacing w:before="0" w:after="283"/>
              <w:jc w:val="left"/>
              <w:rPr/>
            </w:pPr>
            <w:r>
              <w:rPr/>
              <w:t> </w:t>
            </w:r>
          </w:p>
        </w:tc>
      </w:tr>
      <w:tr>
        <w:trPr/>
        <w:tc>
          <w:tcPr>
            <w:tcW w:w="6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10.18*</w:t>
            </w:r>
          </w:p>
        </w:tc>
        <w:tc>
          <w:tcPr>
            <w:tcW w:w="146" w:type="dxa"/>
            <w:tcBorders/>
            <w:vAlign w:val="center"/>
          </w:tcPr>
          <w:p>
            <w:pPr>
              <w:pStyle w:val="TableContents"/>
              <w:bidi w:val="0"/>
              <w:spacing w:before="0" w:after="283"/>
              <w:jc w:val="left"/>
              <w:rPr/>
            </w:pPr>
            <w:r>
              <w:rPr/>
              <w:t> </w:t>
            </w:r>
          </w:p>
        </w:tc>
        <w:tc>
          <w:tcPr>
            <w:tcW w:w="9396" w:type="dxa"/>
            <w:tcBorders/>
            <w:vAlign w:val="center"/>
          </w:tcPr>
          <w:p>
            <w:pPr>
              <w:pStyle w:val="TableContents"/>
              <w:bidi w:val="0"/>
              <w:spacing w:before="0" w:after="283"/>
              <w:jc w:val="left"/>
              <w:rPr/>
            </w:pPr>
            <w:hyperlink r:id="rId28">
              <w:r>
                <w:rPr>
                  <w:rStyle w:val="InternetLink"/>
                  <w:rFonts w:ascii="Times New Roman" w:hAnsi="Times New Roman"/>
                  <w:color w:val="0000FF"/>
                  <w:sz w:val="20"/>
                  <w:u w:val="single"/>
                </w:rPr>
                <w:t>Form of Restricted Stock Unit Agreement pursuant to the Syndax Pharmaceuticals, Inc. 2023 Inducement Plan (incorporated herein by reference to Exhibit 10.2 to the Company’s Quarterly Report on Form 10-Q (File No. 001-37708), as filed with the SEC on May 8, 2023).</w:t>
              </w:r>
            </w:hyperlink>
          </w:p>
        </w:tc>
      </w:tr>
      <w:tr>
        <w:trPr/>
        <w:tc>
          <w:tcPr>
            <w:tcW w:w="66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96" w:type="dxa"/>
            <w:tcBorders/>
            <w:vAlign w:val="center"/>
          </w:tcPr>
          <w:p>
            <w:pPr>
              <w:pStyle w:val="TableContents"/>
              <w:bidi w:val="0"/>
              <w:spacing w:before="0" w:after="283"/>
              <w:jc w:val="left"/>
              <w:rPr/>
            </w:pPr>
            <w:r>
              <w:rPr/>
              <w:t> </w:t>
            </w:r>
          </w:p>
        </w:tc>
      </w:tr>
      <w:tr>
        <w:trPr/>
        <w:tc>
          <w:tcPr>
            <w:tcW w:w="6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10.19*</w:t>
            </w:r>
          </w:p>
        </w:tc>
        <w:tc>
          <w:tcPr>
            <w:tcW w:w="146" w:type="dxa"/>
            <w:tcBorders/>
            <w:vAlign w:val="center"/>
          </w:tcPr>
          <w:p>
            <w:pPr>
              <w:pStyle w:val="TableContents"/>
              <w:bidi w:val="0"/>
              <w:spacing w:before="0" w:after="283"/>
              <w:jc w:val="left"/>
              <w:rPr/>
            </w:pPr>
            <w:r>
              <w:rPr/>
              <w:t> </w:t>
            </w:r>
          </w:p>
        </w:tc>
        <w:tc>
          <w:tcPr>
            <w:tcW w:w="9396" w:type="dxa"/>
            <w:tcBorders/>
            <w:vAlign w:val="center"/>
          </w:tcPr>
          <w:p>
            <w:pPr>
              <w:pStyle w:val="TableContents"/>
              <w:bidi w:val="0"/>
              <w:spacing w:before="0" w:after="283"/>
              <w:jc w:val="left"/>
              <w:rPr/>
            </w:pPr>
            <w:hyperlink r:id="rId29">
              <w:r>
                <w:rPr>
                  <w:rStyle w:val="InternetLink"/>
                  <w:rFonts w:ascii="Times New Roman" w:hAnsi="Times New Roman"/>
                  <w:color w:val="0000FF"/>
                  <w:sz w:val="20"/>
                  <w:u w:val="single"/>
                </w:rPr>
                <w:t>Amended and Restated Executive Employment Agreement by and between the Company and Michael A. Metzger, dated as of February 2, 2022 (incorporated herein by reference to Exhibit 10.17 to the</w:t>
              </w:r>
            </w:hyperlink>
            <w:hyperlink r:id="rId30">
              <w:r>
                <w:rPr>
                  <w:rStyle w:val="InternetLink"/>
                  <w:rFonts w:ascii="Times New Roman" w:hAnsi="Times New Roman"/>
                  <w:color w:val="0000FF"/>
                  <w:sz w:val="20"/>
                </w:rPr>
                <w:t xml:space="preserve"> </w:t>
              </w:r>
            </w:hyperlink>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59"/>
        <w:gridCol w:w="146"/>
        <w:gridCol w:w="9400"/>
      </w:tblGrid>
      <w:tr>
        <w:trPr/>
        <w:tc>
          <w:tcPr>
            <w:tcW w:w="659"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400" w:type="dxa"/>
            <w:tcBorders/>
            <w:shd w:fill="FFFFFF" w:val="clear"/>
            <w:vAlign w:val="center"/>
          </w:tcPr>
          <w:p>
            <w:pPr>
              <w:pStyle w:val="TableContents"/>
              <w:bidi w:val="0"/>
              <w:spacing w:before="0" w:after="283"/>
              <w:jc w:val="left"/>
              <w:rPr>
                <w:sz w:val="4"/>
                <w:szCs w:val="4"/>
              </w:rPr>
            </w:pPr>
            <w:r>
              <w:rPr>
                <w:sz w:val="4"/>
                <w:szCs w:val="4"/>
              </w:rPr>
            </w:r>
          </w:p>
        </w:tc>
      </w:tr>
      <w:tr>
        <w:trPr/>
        <w:tc>
          <w:tcPr>
            <w:tcW w:w="659"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Exhibit</w:t>
              <w:br/>
              <w:t>No.</w:t>
            </w:r>
            <w:r>
              <w:rPr>
                <w:rFonts w:ascii="Times New Roman" w:hAnsi="Times New Roman"/>
                <w:color w:val="000000"/>
                <w:sz w:val="16"/>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400"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Description</w:t>
            </w:r>
            <w:r>
              <w:rPr>
                <w:rFonts w:ascii="Times New Roman" w:hAnsi="Times New Roman"/>
                <w:color w:val="000000"/>
                <w:sz w:val="16"/>
              </w:rPr>
              <w:t xml:space="preserve"> </w:t>
            </w:r>
          </w:p>
        </w:tc>
      </w:tr>
      <w:tr>
        <w:trPr/>
        <w:tc>
          <w:tcPr>
            <w:tcW w:w="65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400" w:type="dxa"/>
            <w:tcBorders/>
            <w:vAlign w:val="center"/>
          </w:tcPr>
          <w:p>
            <w:pPr>
              <w:pStyle w:val="TableContents"/>
              <w:bidi w:val="0"/>
              <w:spacing w:before="0" w:after="283"/>
              <w:jc w:val="left"/>
              <w:rPr/>
            </w:pPr>
            <w:r>
              <w:rPr/>
              <w:t> </w:t>
            </w:r>
          </w:p>
        </w:tc>
      </w:tr>
      <w:tr>
        <w:trPr/>
        <w:tc>
          <w:tcPr>
            <w:tcW w:w="65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400" w:type="dxa"/>
            <w:tcBorders/>
            <w:vAlign w:val="center"/>
          </w:tcPr>
          <w:p>
            <w:pPr>
              <w:pStyle w:val="TableContents"/>
              <w:bidi w:val="0"/>
              <w:spacing w:before="0" w:after="283"/>
              <w:jc w:val="left"/>
              <w:rPr/>
            </w:pPr>
            <w:hyperlink r:id="rId31">
              <w:r>
                <w:rPr>
                  <w:rStyle w:val="InternetLink"/>
                  <w:rFonts w:ascii="Times New Roman" w:hAnsi="Times New Roman"/>
                  <w:color w:val="0000FF"/>
                  <w:sz w:val="20"/>
                  <w:u w:val="single"/>
                </w:rPr>
                <w:t>Company's Annual Report on Form 10-K (File No. 001-37708), as filed with the SEC on March 1, 2022).</w:t>
              </w:r>
            </w:hyperlink>
          </w:p>
        </w:tc>
      </w:tr>
      <w:tr>
        <w:trPr/>
        <w:tc>
          <w:tcPr>
            <w:tcW w:w="65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400" w:type="dxa"/>
            <w:tcBorders/>
            <w:vAlign w:val="center"/>
          </w:tcPr>
          <w:p>
            <w:pPr>
              <w:pStyle w:val="TableContents"/>
              <w:bidi w:val="0"/>
              <w:spacing w:before="0" w:after="283"/>
              <w:jc w:val="left"/>
              <w:rPr/>
            </w:pPr>
            <w:r>
              <w:rPr/>
              <w:t> </w:t>
            </w:r>
          </w:p>
        </w:tc>
      </w:tr>
      <w:tr>
        <w:trPr/>
        <w:tc>
          <w:tcPr>
            <w:tcW w:w="65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10.20*</w:t>
            </w:r>
          </w:p>
        </w:tc>
        <w:tc>
          <w:tcPr>
            <w:tcW w:w="146" w:type="dxa"/>
            <w:tcBorders/>
            <w:vAlign w:val="center"/>
          </w:tcPr>
          <w:p>
            <w:pPr>
              <w:pStyle w:val="TableContents"/>
              <w:bidi w:val="0"/>
              <w:spacing w:before="0" w:after="283"/>
              <w:jc w:val="left"/>
              <w:rPr/>
            </w:pPr>
            <w:r>
              <w:rPr/>
              <w:t> </w:t>
            </w:r>
          </w:p>
        </w:tc>
        <w:tc>
          <w:tcPr>
            <w:tcW w:w="9400" w:type="dxa"/>
            <w:tcBorders/>
            <w:vAlign w:val="center"/>
          </w:tcPr>
          <w:p>
            <w:pPr>
              <w:pStyle w:val="TableContents"/>
              <w:bidi w:val="0"/>
              <w:spacing w:before="0" w:after="283"/>
              <w:jc w:val="left"/>
              <w:rPr/>
            </w:pPr>
            <w:hyperlink w:anchor="sndx-ex10_20.htm">
              <w:r>
                <w:rPr>
                  <w:rStyle w:val="InternetLink"/>
                  <w:rFonts w:ascii="Times New Roman" w:hAnsi="Times New Roman"/>
                  <w:color w:val="0000FF"/>
                  <w:sz w:val="20"/>
                  <w:u w:val="single"/>
                </w:rPr>
                <w:t>Amendment to Amended and Restated Executive Employment by and between the Company and Michael A. Metzger, dated as of February 26, 2024.</w:t>
              </w:r>
            </w:hyperlink>
          </w:p>
        </w:tc>
      </w:tr>
      <w:tr>
        <w:trPr/>
        <w:tc>
          <w:tcPr>
            <w:tcW w:w="65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400" w:type="dxa"/>
            <w:tcBorders/>
            <w:vAlign w:val="center"/>
          </w:tcPr>
          <w:p>
            <w:pPr>
              <w:pStyle w:val="TableContents"/>
              <w:bidi w:val="0"/>
              <w:spacing w:before="0" w:after="283"/>
              <w:jc w:val="left"/>
              <w:rPr/>
            </w:pPr>
            <w:r>
              <w:rPr/>
              <w:t> </w:t>
            </w:r>
          </w:p>
        </w:tc>
      </w:tr>
      <w:tr>
        <w:trPr/>
        <w:tc>
          <w:tcPr>
            <w:tcW w:w="65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10.21*</w:t>
            </w:r>
          </w:p>
        </w:tc>
        <w:tc>
          <w:tcPr>
            <w:tcW w:w="146" w:type="dxa"/>
            <w:tcBorders/>
            <w:vAlign w:val="center"/>
          </w:tcPr>
          <w:p>
            <w:pPr>
              <w:pStyle w:val="TableContents"/>
              <w:bidi w:val="0"/>
              <w:spacing w:before="0" w:after="283"/>
              <w:jc w:val="left"/>
              <w:rPr/>
            </w:pPr>
            <w:r>
              <w:rPr/>
              <w:t> </w:t>
            </w:r>
          </w:p>
        </w:tc>
        <w:tc>
          <w:tcPr>
            <w:tcW w:w="9400" w:type="dxa"/>
            <w:tcBorders/>
            <w:vAlign w:val="center"/>
          </w:tcPr>
          <w:p>
            <w:pPr>
              <w:pStyle w:val="TableContents"/>
              <w:bidi w:val="0"/>
              <w:spacing w:before="0" w:after="283"/>
              <w:jc w:val="left"/>
              <w:rPr/>
            </w:pPr>
            <w:hyperlink r:id="rId32">
              <w:r>
                <w:rPr>
                  <w:rStyle w:val="InternetLink"/>
                  <w:rFonts w:ascii="Times New Roman" w:hAnsi="Times New Roman"/>
                  <w:color w:val="0000FF"/>
                  <w:sz w:val="20"/>
                  <w:u w:val="single"/>
                </w:rPr>
                <w:t>Amended and Restated Executive Employment Agreement by and between the Company and Briggs W. Morrison, M.D., dated as of February 2, 2022 (incorporated herein by reference to Exhibit 10.16 to the Company's Annual Report on Form 10-K (File No. 001-37708), as filed with the SEC on March 1, 2022).</w:t>
              </w:r>
            </w:hyperlink>
          </w:p>
        </w:tc>
      </w:tr>
      <w:tr>
        <w:trPr/>
        <w:tc>
          <w:tcPr>
            <w:tcW w:w="65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400" w:type="dxa"/>
            <w:tcBorders/>
            <w:vAlign w:val="center"/>
          </w:tcPr>
          <w:p>
            <w:pPr>
              <w:pStyle w:val="TableContents"/>
              <w:bidi w:val="0"/>
              <w:spacing w:before="0" w:after="283"/>
              <w:jc w:val="left"/>
              <w:rPr/>
            </w:pPr>
            <w:r>
              <w:rPr/>
              <w:t> </w:t>
            </w:r>
          </w:p>
        </w:tc>
      </w:tr>
      <w:tr>
        <w:trPr/>
        <w:tc>
          <w:tcPr>
            <w:tcW w:w="65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10.22*</w:t>
            </w:r>
          </w:p>
        </w:tc>
        <w:tc>
          <w:tcPr>
            <w:tcW w:w="146" w:type="dxa"/>
            <w:tcBorders/>
            <w:vAlign w:val="center"/>
          </w:tcPr>
          <w:p>
            <w:pPr>
              <w:pStyle w:val="TableContents"/>
              <w:bidi w:val="0"/>
              <w:spacing w:before="0" w:after="283"/>
              <w:jc w:val="left"/>
              <w:rPr/>
            </w:pPr>
            <w:r>
              <w:rPr/>
              <w:t> </w:t>
            </w:r>
          </w:p>
        </w:tc>
        <w:tc>
          <w:tcPr>
            <w:tcW w:w="9400" w:type="dxa"/>
            <w:tcBorders/>
            <w:vAlign w:val="center"/>
          </w:tcPr>
          <w:p>
            <w:pPr>
              <w:pStyle w:val="TableContents"/>
              <w:bidi w:val="0"/>
              <w:spacing w:before="0" w:after="283"/>
              <w:jc w:val="left"/>
              <w:rPr/>
            </w:pPr>
            <w:hyperlink w:anchor="sndx-ex10_22.htm">
              <w:r>
                <w:rPr>
                  <w:rStyle w:val="InternetLink"/>
                  <w:rFonts w:ascii="Times New Roman" w:hAnsi="Times New Roman"/>
                  <w:color w:val="0000FF"/>
                  <w:sz w:val="20"/>
                  <w:u w:val="single"/>
                </w:rPr>
                <w:t>Amended and Restated Executive Employment Agreement by and between the Company and Luke J. Albrecht, dated as of April 27, 2020.</w:t>
              </w:r>
            </w:hyperlink>
          </w:p>
        </w:tc>
      </w:tr>
      <w:tr>
        <w:trPr/>
        <w:tc>
          <w:tcPr>
            <w:tcW w:w="65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400" w:type="dxa"/>
            <w:tcBorders/>
            <w:vAlign w:val="center"/>
          </w:tcPr>
          <w:p>
            <w:pPr>
              <w:pStyle w:val="TableContents"/>
              <w:bidi w:val="0"/>
              <w:spacing w:before="0" w:after="283"/>
              <w:jc w:val="left"/>
              <w:rPr/>
            </w:pPr>
            <w:r>
              <w:rPr/>
              <w:t> </w:t>
            </w:r>
          </w:p>
        </w:tc>
      </w:tr>
      <w:tr>
        <w:trPr/>
        <w:tc>
          <w:tcPr>
            <w:tcW w:w="65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10.23*</w:t>
            </w:r>
          </w:p>
        </w:tc>
        <w:tc>
          <w:tcPr>
            <w:tcW w:w="146" w:type="dxa"/>
            <w:tcBorders/>
            <w:vAlign w:val="center"/>
          </w:tcPr>
          <w:p>
            <w:pPr>
              <w:pStyle w:val="TableContents"/>
              <w:bidi w:val="0"/>
              <w:spacing w:before="0" w:after="283"/>
              <w:jc w:val="left"/>
              <w:rPr/>
            </w:pPr>
            <w:r>
              <w:rPr/>
              <w:t> </w:t>
            </w:r>
          </w:p>
        </w:tc>
        <w:tc>
          <w:tcPr>
            <w:tcW w:w="9400" w:type="dxa"/>
            <w:tcBorders/>
            <w:vAlign w:val="center"/>
          </w:tcPr>
          <w:p>
            <w:pPr>
              <w:pStyle w:val="TableContents"/>
              <w:bidi w:val="0"/>
              <w:spacing w:before="0" w:after="283"/>
              <w:jc w:val="left"/>
              <w:rPr/>
            </w:pPr>
            <w:hyperlink w:anchor="sndx-ex10_23.htm">
              <w:r>
                <w:rPr>
                  <w:rStyle w:val="InternetLink"/>
                  <w:rFonts w:ascii="Times New Roman" w:hAnsi="Times New Roman"/>
                  <w:color w:val="0000FF"/>
                  <w:sz w:val="20"/>
                  <w:u w:val="single"/>
                </w:rPr>
                <w:t>Amendment to Amended and Restated Executive Employment by and between the Company and Luke J. Albrecht, dated as of February 26, 2024.</w:t>
              </w:r>
            </w:hyperlink>
          </w:p>
        </w:tc>
      </w:tr>
      <w:tr>
        <w:trPr/>
        <w:tc>
          <w:tcPr>
            <w:tcW w:w="65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400" w:type="dxa"/>
            <w:tcBorders/>
            <w:vAlign w:val="center"/>
          </w:tcPr>
          <w:p>
            <w:pPr>
              <w:pStyle w:val="TableContents"/>
              <w:bidi w:val="0"/>
              <w:spacing w:before="0" w:after="283"/>
              <w:jc w:val="left"/>
              <w:rPr/>
            </w:pPr>
            <w:r>
              <w:rPr/>
              <w:t> </w:t>
            </w:r>
          </w:p>
        </w:tc>
      </w:tr>
      <w:tr>
        <w:trPr/>
        <w:tc>
          <w:tcPr>
            <w:tcW w:w="65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10.24*</w:t>
            </w:r>
          </w:p>
        </w:tc>
        <w:tc>
          <w:tcPr>
            <w:tcW w:w="146" w:type="dxa"/>
            <w:tcBorders/>
            <w:vAlign w:val="center"/>
          </w:tcPr>
          <w:p>
            <w:pPr>
              <w:pStyle w:val="TableContents"/>
              <w:bidi w:val="0"/>
              <w:spacing w:before="0" w:after="283"/>
              <w:jc w:val="left"/>
              <w:rPr/>
            </w:pPr>
            <w:r>
              <w:rPr/>
              <w:t> </w:t>
            </w:r>
          </w:p>
        </w:tc>
        <w:tc>
          <w:tcPr>
            <w:tcW w:w="9400" w:type="dxa"/>
            <w:tcBorders/>
            <w:vAlign w:val="center"/>
          </w:tcPr>
          <w:p>
            <w:pPr>
              <w:pStyle w:val="TableContents"/>
              <w:bidi w:val="0"/>
              <w:spacing w:before="0" w:after="283"/>
              <w:jc w:val="left"/>
              <w:rPr/>
            </w:pPr>
            <w:hyperlink r:id="rId33">
              <w:r>
                <w:rPr>
                  <w:rStyle w:val="InternetLink"/>
                  <w:rFonts w:ascii="Times New Roman" w:hAnsi="Times New Roman"/>
                  <w:color w:val="0000FF"/>
                  <w:sz w:val="20"/>
                  <w:u w:val="single"/>
                </w:rPr>
                <w:t>Executive Employment Agreement by and between the Company and Catherine Madigan, M.D., dated as of March 1, 2022 (incorporated herein by reference to Exhibit 10.1 to the Company’s Quarterly Report on Form 10-Q (File No. 001-37708), as filed with the SEC on May 9, 2022).</w:t>
              </w:r>
            </w:hyperlink>
          </w:p>
        </w:tc>
      </w:tr>
      <w:tr>
        <w:trPr/>
        <w:tc>
          <w:tcPr>
            <w:tcW w:w="65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400" w:type="dxa"/>
            <w:tcBorders/>
            <w:vAlign w:val="center"/>
          </w:tcPr>
          <w:p>
            <w:pPr>
              <w:pStyle w:val="TableContents"/>
              <w:bidi w:val="0"/>
              <w:spacing w:before="0" w:after="283"/>
              <w:jc w:val="left"/>
              <w:rPr/>
            </w:pPr>
            <w:r>
              <w:rPr/>
              <w:t> </w:t>
            </w:r>
          </w:p>
        </w:tc>
      </w:tr>
      <w:tr>
        <w:trPr/>
        <w:tc>
          <w:tcPr>
            <w:tcW w:w="65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10.25*</w:t>
            </w:r>
          </w:p>
        </w:tc>
        <w:tc>
          <w:tcPr>
            <w:tcW w:w="146" w:type="dxa"/>
            <w:tcBorders/>
            <w:vAlign w:val="center"/>
          </w:tcPr>
          <w:p>
            <w:pPr>
              <w:pStyle w:val="TableContents"/>
              <w:bidi w:val="0"/>
              <w:spacing w:before="0" w:after="283"/>
              <w:jc w:val="left"/>
              <w:rPr/>
            </w:pPr>
            <w:r>
              <w:rPr/>
              <w:t> </w:t>
            </w:r>
          </w:p>
        </w:tc>
        <w:tc>
          <w:tcPr>
            <w:tcW w:w="9400" w:type="dxa"/>
            <w:tcBorders/>
            <w:vAlign w:val="center"/>
          </w:tcPr>
          <w:p>
            <w:pPr>
              <w:pStyle w:val="TableContents"/>
              <w:bidi w:val="0"/>
              <w:spacing w:before="0" w:after="283"/>
              <w:jc w:val="left"/>
              <w:rPr/>
            </w:pPr>
            <w:hyperlink w:anchor="sndx-ex10_25.htm">
              <w:r>
                <w:rPr>
                  <w:rStyle w:val="InternetLink"/>
                  <w:rFonts w:ascii="Times New Roman" w:hAnsi="Times New Roman"/>
                  <w:color w:val="0000FF"/>
                  <w:sz w:val="20"/>
                  <w:u w:val="single"/>
                </w:rPr>
                <w:t>Amendment to Executive Employment by and between the Company and Catherine Madigan, M.D., dated as of February 26, 2024.</w:t>
              </w:r>
            </w:hyperlink>
          </w:p>
        </w:tc>
      </w:tr>
      <w:tr>
        <w:trPr/>
        <w:tc>
          <w:tcPr>
            <w:tcW w:w="65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400" w:type="dxa"/>
            <w:tcBorders/>
            <w:vAlign w:val="center"/>
          </w:tcPr>
          <w:p>
            <w:pPr>
              <w:pStyle w:val="TableContents"/>
              <w:bidi w:val="0"/>
              <w:spacing w:before="0" w:after="283"/>
              <w:jc w:val="left"/>
              <w:rPr/>
            </w:pPr>
            <w:r>
              <w:rPr/>
              <w:t> </w:t>
            </w:r>
          </w:p>
        </w:tc>
      </w:tr>
      <w:tr>
        <w:trPr/>
        <w:tc>
          <w:tcPr>
            <w:tcW w:w="65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10.26*</w:t>
            </w:r>
          </w:p>
        </w:tc>
        <w:tc>
          <w:tcPr>
            <w:tcW w:w="146" w:type="dxa"/>
            <w:tcBorders/>
            <w:vAlign w:val="center"/>
          </w:tcPr>
          <w:p>
            <w:pPr>
              <w:pStyle w:val="TableContents"/>
              <w:bidi w:val="0"/>
              <w:spacing w:before="0" w:after="283"/>
              <w:jc w:val="left"/>
              <w:rPr/>
            </w:pPr>
            <w:r>
              <w:rPr/>
              <w:t> </w:t>
            </w:r>
          </w:p>
        </w:tc>
        <w:tc>
          <w:tcPr>
            <w:tcW w:w="9400" w:type="dxa"/>
            <w:tcBorders/>
            <w:vAlign w:val="center"/>
          </w:tcPr>
          <w:p>
            <w:pPr>
              <w:pStyle w:val="TableContents"/>
              <w:bidi w:val="0"/>
              <w:spacing w:before="0" w:after="283"/>
              <w:jc w:val="left"/>
              <w:rPr/>
            </w:pPr>
            <w:hyperlink r:id="rId34">
              <w:r>
                <w:rPr>
                  <w:rStyle w:val="InternetLink"/>
                  <w:rFonts w:ascii="Times New Roman" w:hAnsi="Times New Roman"/>
                  <w:color w:val="0000FF"/>
                  <w:sz w:val="20"/>
                  <w:u w:val="single"/>
                </w:rPr>
                <w:t>Executive Employment Agreement by and between the Company and Keith A. Goldan, dated as of June 8, 2022 (incorporated herein by reference to Exhibit 10.1 to the Company’s Current Report on Form 8-K (File No. 001-37708), as filed with the SEC on June 13, 2022).</w:t>
              </w:r>
            </w:hyperlink>
          </w:p>
        </w:tc>
      </w:tr>
      <w:tr>
        <w:trPr/>
        <w:tc>
          <w:tcPr>
            <w:tcW w:w="65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400" w:type="dxa"/>
            <w:tcBorders/>
            <w:vAlign w:val="center"/>
          </w:tcPr>
          <w:p>
            <w:pPr>
              <w:pStyle w:val="TableContents"/>
              <w:bidi w:val="0"/>
              <w:spacing w:before="0" w:after="283"/>
              <w:jc w:val="left"/>
              <w:rPr/>
            </w:pPr>
            <w:r>
              <w:rPr/>
              <w:t> </w:t>
            </w:r>
          </w:p>
        </w:tc>
      </w:tr>
      <w:tr>
        <w:trPr/>
        <w:tc>
          <w:tcPr>
            <w:tcW w:w="65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10.27*</w:t>
            </w:r>
          </w:p>
        </w:tc>
        <w:tc>
          <w:tcPr>
            <w:tcW w:w="146" w:type="dxa"/>
            <w:tcBorders/>
            <w:vAlign w:val="center"/>
          </w:tcPr>
          <w:p>
            <w:pPr>
              <w:pStyle w:val="TableContents"/>
              <w:bidi w:val="0"/>
              <w:spacing w:before="0" w:after="283"/>
              <w:jc w:val="left"/>
              <w:rPr/>
            </w:pPr>
            <w:r>
              <w:rPr/>
              <w:t> </w:t>
            </w:r>
          </w:p>
        </w:tc>
        <w:tc>
          <w:tcPr>
            <w:tcW w:w="9400" w:type="dxa"/>
            <w:tcBorders/>
            <w:vAlign w:val="center"/>
          </w:tcPr>
          <w:p>
            <w:pPr>
              <w:pStyle w:val="TableContents"/>
              <w:bidi w:val="0"/>
              <w:spacing w:before="0" w:after="283"/>
              <w:jc w:val="left"/>
              <w:rPr/>
            </w:pPr>
            <w:hyperlink w:anchor="sndx-ex10_27.htm">
              <w:r>
                <w:rPr>
                  <w:rStyle w:val="InternetLink"/>
                  <w:rFonts w:ascii="Times New Roman" w:hAnsi="Times New Roman"/>
                  <w:color w:val="0000FF"/>
                  <w:sz w:val="20"/>
                  <w:u w:val="single"/>
                </w:rPr>
                <w:t>Amendment to Executive Employment by and between the Company and Keith A. Goldan, dated as of February 26, 2024.</w:t>
              </w:r>
            </w:hyperlink>
          </w:p>
        </w:tc>
      </w:tr>
      <w:tr>
        <w:trPr/>
        <w:tc>
          <w:tcPr>
            <w:tcW w:w="65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400" w:type="dxa"/>
            <w:tcBorders/>
            <w:vAlign w:val="center"/>
          </w:tcPr>
          <w:p>
            <w:pPr>
              <w:pStyle w:val="TableContents"/>
              <w:bidi w:val="0"/>
              <w:spacing w:before="0" w:after="283"/>
              <w:jc w:val="left"/>
              <w:rPr/>
            </w:pPr>
            <w:r>
              <w:rPr/>
              <w:t> </w:t>
            </w:r>
          </w:p>
        </w:tc>
      </w:tr>
      <w:tr>
        <w:trPr/>
        <w:tc>
          <w:tcPr>
            <w:tcW w:w="65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10.28*</w:t>
            </w:r>
          </w:p>
        </w:tc>
        <w:tc>
          <w:tcPr>
            <w:tcW w:w="146" w:type="dxa"/>
            <w:tcBorders/>
            <w:vAlign w:val="center"/>
          </w:tcPr>
          <w:p>
            <w:pPr>
              <w:pStyle w:val="TableContents"/>
              <w:bidi w:val="0"/>
              <w:spacing w:before="0" w:after="283"/>
              <w:jc w:val="left"/>
              <w:rPr/>
            </w:pPr>
            <w:r>
              <w:rPr/>
              <w:t> </w:t>
            </w:r>
          </w:p>
        </w:tc>
        <w:tc>
          <w:tcPr>
            <w:tcW w:w="9400" w:type="dxa"/>
            <w:tcBorders/>
            <w:vAlign w:val="center"/>
          </w:tcPr>
          <w:p>
            <w:pPr>
              <w:pStyle w:val="TableContents"/>
              <w:bidi w:val="0"/>
              <w:spacing w:before="0" w:after="283"/>
              <w:jc w:val="left"/>
              <w:rPr/>
            </w:pPr>
            <w:hyperlink r:id="rId35">
              <w:r>
                <w:rPr>
                  <w:rStyle w:val="InternetLink"/>
                  <w:rFonts w:ascii="Times New Roman" w:hAnsi="Times New Roman"/>
                  <w:color w:val="0000FF"/>
                  <w:sz w:val="20"/>
                  <w:u w:val="single"/>
                </w:rPr>
                <w:t>Executive Employment Agreement by and between the Company and Steve M. Sabus, dated as of December 1, 2022 (incorporated herein by reference to Exhibit 10.1 to the Company’s Current Report on Form 8-K (File No. 001-37708), as filed with the SEC on December 5, 2022).</w:t>
              </w:r>
            </w:hyperlink>
          </w:p>
        </w:tc>
      </w:tr>
      <w:tr>
        <w:trPr/>
        <w:tc>
          <w:tcPr>
            <w:tcW w:w="65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400" w:type="dxa"/>
            <w:tcBorders/>
            <w:vAlign w:val="center"/>
          </w:tcPr>
          <w:p>
            <w:pPr>
              <w:pStyle w:val="TableContents"/>
              <w:bidi w:val="0"/>
              <w:spacing w:before="0" w:after="283"/>
              <w:jc w:val="left"/>
              <w:rPr/>
            </w:pPr>
            <w:r>
              <w:rPr/>
              <w:t> </w:t>
            </w:r>
          </w:p>
        </w:tc>
      </w:tr>
      <w:tr>
        <w:trPr/>
        <w:tc>
          <w:tcPr>
            <w:tcW w:w="65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10.29*</w:t>
            </w:r>
          </w:p>
        </w:tc>
        <w:tc>
          <w:tcPr>
            <w:tcW w:w="146" w:type="dxa"/>
            <w:tcBorders/>
            <w:vAlign w:val="center"/>
          </w:tcPr>
          <w:p>
            <w:pPr>
              <w:pStyle w:val="TableContents"/>
              <w:bidi w:val="0"/>
              <w:spacing w:before="0" w:after="283"/>
              <w:jc w:val="left"/>
              <w:rPr/>
            </w:pPr>
            <w:r>
              <w:rPr/>
              <w:t> </w:t>
            </w:r>
          </w:p>
        </w:tc>
        <w:tc>
          <w:tcPr>
            <w:tcW w:w="9400" w:type="dxa"/>
            <w:tcBorders/>
            <w:vAlign w:val="center"/>
          </w:tcPr>
          <w:p>
            <w:pPr>
              <w:pStyle w:val="TableContents"/>
              <w:bidi w:val="0"/>
              <w:spacing w:before="0" w:after="283"/>
              <w:jc w:val="left"/>
              <w:rPr/>
            </w:pPr>
            <w:hyperlink r:id="rId36">
              <w:r>
                <w:rPr>
                  <w:rStyle w:val="InternetLink"/>
                  <w:rFonts w:ascii="Times New Roman" w:hAnsi="Times New Roman"/>
                  <w:color w:val="0000FF"/>
                  <w:sz w:val="20"/>
                  <w:u w:val="single"/>
                </w:rPr>
                <w:t>Executive Employment Agreement by and between the Company and Neil Gallagher, M.D., Ph.D., dated as of March 30, 2023 (incorporated herein by reference to Exhibit 10.1 to the Company’s Current Report on Form 8-K (File No. 001-37708), as filed with the SEC on March 30, 2023).</w:t>
              </w:r>
            </w:hyperlink>
          </w:p>
        </w:tc>
      </w:tr>
      <w:tr>
        <w:trPr/>
        <w:tc>
          <w:tcPr>
            <w:tcW w:w="65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400" w:type="dxa"/>
            <w:tcBorders/>
            <w:vAlign w:val="center"/>
          </w:tcPr>
          <w:p>
            <w:pPr>
              <w:pStyle w:val="TableContents"/>
              <w:bidi w:val="0"/>
              <w:spacing w:before="0" w:after="283"/>
              <w:jc w:val="left"/>
              <w:rPr/>
            </w:pPr>
            <w:r>
              <w:rPr/>
              <w:t> </w:t>
            </w:r>
          </w:p>
        </w:tc>
      </w:tr>
      <w:tr>
        <w:trPr/>
        <w:tc>
          <w:tcPr>
            <w:tcW w:w="65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10.30*</w:t>
            </w:r>
          </w:p>
        </w:tc>
        <w:tc>
          <w:tcPr>
            <w:tcW w:w="146" w:type="dxa"/>
            <w:tcBorders/>
            <w:vAlign w:val="center"/>
          </w:tcPr>
          <w:p>
            <w:pPr>
              <w:pStyle w:val="TableContents"/>
              <w:bidi w:val="0"/>
              <w:spacing w:before="0" w:after="283"/>
              <w:jc w:val="left"/>
              <w:rPr/>
            </w:pPr>
            <w:r>
              <w:rPr/>
              <w:t> </w:t>
            </w:r>
          </w:p>
        </w:tc>
        <w:tc>
          <w:tcPr>
            <w:tcW w:w="9400" w:type="dxa"/>
            <w:tcBorders/>
            <w:vAlign w:val="center"/>
          </w:tcPr>
          <w:p>
            <w:pPr>
              <w:pStyle w:val="TableContents"/>
              <w:bidi w:val="0"/>
              <w:spacing w:before="0" w:after="283"/>
              <w:jc w:val="left"/>
              <w:rPr/>
            </w:pPr>
            <w:hyperlink w:anchor="sndx-ex10_30.htm">
              <w:r>
                <w:rPr>
                  <w:rStyle w:val="InternetLink"/>
                  <w:rFonts w:ascii="Times New Roman" w:hAnsi="Times New Roman"/>
                  <w:color w:val="0000FF"/>
                  <w:sz w:val="20"/>
                  <w:u w:val="single"/>
                </w:rPr>
                <w:t>Amendment to Executive Employment by and between the Company and Neil Gallagher, M.D., Ph.D., dated as of February 26, 2024.</w:t>
              </w:r>
            </w:hyperlink>
          </w:p>
        </w:tc>
      </w:tr>
      <w:tr>
        <w:trPr/>
        <w:tc>
          <w:tcPr>
            <w:tcW w:w="65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400" w:type="dxa"/>
            <w:tcBorders/>
            <w:vAlign w:val="center"/>
          </w:tcPr>
          <w:p>
            <w:pPr>
              <w:pStyle w:val="TableContents"/>
              <w:bidi w:val="0"/>
              <w:spacing w:before="0" w:after="283"/>
              <w:jc w:val="left"/>
              <w:rPr/>
            </w:pPr>
            <w:r>
              <w:rPr/>
              <w:t> </w:t>
            </w:r>
          </w:p>
        </w:tc>
      </w:tr>
      <w:tr>
        <w:trPr/>
        <w:tc>
          <w:tcPr>
            <w:tcW w:w="65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10.31*</w:t>
            </w:r>
          </w:p>
        </w:tc>
        <w:tc>
          <w:tcPr>
            <w:tcW w:w="146" w:type="dxa"/>
            <w:tcBorders/>
            <w:vAlign w:val="center"/>
          </w:tcPr>
          <w:p>
            <w:pPr>
              <w:pStyle w:val="TableContents"/>
              <w:bidi w:val="0"/>
              <w:spacing w:before="0" w:after="283"/>
              <w:jc w:val="left"/>
              <w:rPr/>
            </w:pPr>
            <w:r>
              <w:rPr/>
              <w:t> </w:t>
            </w:r>
          </w:p>
        </w:tc>
        <w:tc>
          <w:tcPr>
            <w:tcW w:w="9400" w:type="dxa"/>
            <w:tcBorders/>
            <w:vAlign w:val="center"/>
          </w:tcPr>
          <w:p>
            <w:pPr>
              <w:pStyle w:val="TableContents"/>
              <w:bidi w:val="0"/>
              <w:spacing w:before="0" w:after="283"/>
              <w:jc w:val="left"/>
              <w:rPr/>
            </w:pPr>
            <w:hyperlink w:anchor="sndx-ex10_31.htm">
              <w:r>
                <w:rPr>
                  <w:rStyle w:val="InternetLink"/>
                  <w:rFonts w:ascii="Times New Roman" w:hAnsi="Times New Roman"/>
                  <w:color w:val="0000FF"/>
                  <w:sz w:val="20"/>
                  <w:u w:val="single"/>
                </w:rPr>
                <w:t>Non-employee Director Compensation Policy, as amended, dated as of February 7, 2024.</w:t>
              </w:r>
            </w:hyperlink>
          </w:p>
        </w:tc>
      </w:tr>
      <w:tr>
        <w:trPr/>
        <w:tc>
          <w:tcPr>
            <w:tcW w:w="65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400" w:type="dxa"/>
            <w:tcBorders/>
            <w:vAlign w:val="center"/>
          </w:tcPr>
          <w:p>
            <w:pPr>
              <w:pStyle w:val="TableContents"/>
              <w:bidi w:val="0"/>
              <w:spacing w:before="0" w:after="283"/>
              <w:jc w:val="left"/>
              <w:rPr/>
            </w:pPr>
            <w:r>
              <w:rPr/>
              <w:t> </w:t>
            </w:r>
          </w:p>
        </w:tc>
      </w:tr>
      <w:tr>
        <w:trPr/>
        <w:tc>
          <w:tcPr>
            <w:tcW w:w="65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10.32*</w:t>
            </w:r>
          </w:p>
        </w:tc>
        <w:tc>
          <w:tcPr>
            <w:tcW w:w="146" w:type="dxa"/>
            <w:tcBorders/>
            <w:vAlign w:val="center"/>
          </w:tcPr>
          <w:p>
            <w:pPr>
              <w:pStyle w:val="TableContents"/>
              <w:bidi w:val="0"/>
              <w:spacing w:before="0" w:after="283"/>
              <w:jc w:val="left"/>
              <w:rPr/>
            </w:pPr>
            <w:r>
              <w:rPr/>
              <w:t> </w:t>
            </w:r>
          </w:p>
        </w:tc>
        <w:tc>
          <w:tcPr>
            <w:tcW w:w="9400" w:type="dxa"/>
            <w:tcBorders/>
            <w:vAlign w:val="center"/>
          </w:tcPr>
          <w:p>
            <w:pPr>
              <w:pStyle w:val="TableContents"/>
              <w:bidi w:val="0"/>
              <w:spacing w:before="0" w:after="283"/>
              <w:jc w:val="left"/>
              <w:rPr/>
            </w:pPr>
            <w:hyperlink r:id="rId37">
              <w:r>
                <w:rPr>
                  <w:rStyle w:val="InternetLink"/>
                  <w:rFonts w:ascii="Times New Roman" w:hAnsi="Times New Roman"/>
                  <w:color w:val="0000FF"/>
                  <w:sz w:val="20"/>
                  <w:u w:val="single"/>
                </w:rPr>
                <w:t>Form of Indemnification Agreement by and between the company and each of its directors and officers (incorporated herein by reference to Exhibit 10.21 to the Company’s Registration Statement on Form S-1 (File No. 333-208861), as filed with the SEC on January 4, 2016).</w:t>
              </w:r>
            </w:hyperlink>
          </w:p>
        </w:tc>
      </w:tr>
      <w:tr>
        <w:trPr/>
        <w:tc>
          <w:tcPr>
            <w:tcW w:w="65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400" w:type="dxa"/>
            <w:tcBorders/>
            <w:vAlign w:val="center"/>
          </w:tcPr>
          <w:p>
            <w:pPr>
              <w:pStyle w:val="TableContents"/>
              <w:bidi w:val="0"/>
              <w:spacing w:before="0" w:after="283"/>
              <w:jc w:val="left"/>
              <w:rPr/>
            </w:pPr>
            <w:r>
              <w:rPr/>
              <w:t> </w:t>
            </w:r>
          </w:p>
        </w:tc>
      </w:tr>
      <w:tr>
        <w:trPr/>
        <w:tc>
          <w:tcPr>
            <w:tcW w:w="65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10.33</w:t>
            </w:r>
          </w:p>
        </w:tc>
        <w:tc>
          <w:tcPr>
            <w:tcW w:w="146" w:type="dxa"/>
            <w:tcBorders/>
            <w:vAlign w:val="center"/>
          </w:tcPr>
          <w:p>
            <w:pPr>
              <w:pStyle w:val="TableContents"/>
              <w:bidi w:val="0"/>
              <w:spacing w:before="0" w:after="283"/>
              <w:jc w:val="left"/>
              <w:rPr/>
            </w:pPr>
            <w:r>
              <w:rPr/>
              <w:t> </w:t>
            </w:r>
          </w:p>
        </w:tc>
        <w:tc>
          <w:tcPr>
            <w:tcW w:w="9400" w:type="dxa"/>
            <w:tcBorders/>
            <w:vAlign w:val="center"/>
          </w:tcPr>
          <w:p>
            <w:pPr>
              <w:pStyle w:val="TableContents"/>
              <w:bidi w:val="0"/>
              <w:spacing w:before="0" w:after="283"/>
              <w:jc w:val="left"/>
              <w:rPr/>
            </w:pPr>
            <w:hyperlink r:id="rId38">
              <w:r>
                <w:rPr>
                  <w:rStyle w:val="InternetLink"/>
                  <w:rFonts w:ascii="Times New Roman" w:hAnsi="Times New Roman"/>
                  <w:color w:val="0000FF"/>
                  <w:sz w:val="20"/>
                  <w:u w:val="single"/>
                </w:rPr>
                <w:t>License, Development and Commercialization Agreement by and between the company and Bayer Schering Pharma AG, dated as of March 26, 2007 (incorporated herein by reference to Exhibit 10.22 to the Company’s Registration Statement on Form S-1 (File No. 333-208861), as filed with the SEC on January 4, 2016).</w:t>
              </w:r>
            </w:hyperlink>
          </w:p>
        </w:tc>
      </w:tr>
      <w:tr>
        <w:trPr/>
        <w:tc>
          <w:tcPr>
            <w:tcW w:w="65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400" w:type="dxa"/>
            <w:tcBorders/>
            <w:vAlign w:val="center"/>
          </w:tcPr>
          <w:p>
            <w:pPr>
              <w:pStyle w:val="TableContents"/>
              <w:bidi w:val="0"/>
              <w:spacing w:before="0" w:after="283"/>
              <w:jc w:val="left"/>
              <w:rPr/>
            </w:pPr>
            <w:r>
              <w:rPr/>
              <w:t> </w:t>
            </w:r>
          </w:p>
        </w:tc>
      </w:tr>
      <w:tr>
        <w:trPr/>
        <w:tc>
          <w:tcPr>
            <w:tcW w:w="65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10.34</w:t>
            </w:r>
          </w:p>
        </w:tc>
        <w:tc>
          <w:tcPr>
            <w:tcW w:w="146" w:type="dxa"/>
            <w:tcBorders/>
            <w:vAlign w:val="center"/>
          </w:tcPr>
          <w:p>
            <w:pPr>
              <w:pStyle w:val="TableContents"/>
              <w:bidi w:val="0"/>
              <w:spacing w:before="0" w:after="283"/>
              <w:jc w:val="left"/>
              <w:rPr/>
            </w:pPr>
            <w:r>
              <w:rPr/>
              <w:t> </w:t>
            </w:r>
          </w:p>
        </w:tc>
        <w:tc>
          <w:tcPr>
            <w:tcW w:w="9400" w:type="dxa"/>
            <w:tcBorders/>
            <w:vAlign w:val="center"/>
          </w:tcPr>
          <w:p>
            <w:pPr>
              <w:pStyle w:val="TableContents"/>
              <w:bidi w:val="0"/>
              <w:spacing w:before="0" w:after="283"/>
              <w:jc w:val="left"/>
              <w:rPr/>
            </w:pPr>
            <w:hyperlink r:id="rId39">
              <w:r>
                <w:rPr>
                  <w:rStyle w:val="InternetLink"/>
                  <w:rFonts w:ascii="Times New Roman" w:hAnsi="Times New Roman"/>
                  <w:color w:val="0000FF"/>
                  <w:sz w:val="20"/>
                  <w:u w:val="single"/>
                </w:rPr>
                <w:t>First Amendment to the License, Development and Commercialization Agreement by and between the company and Bayer Pharma AG, dated as of October 13, 2012 (incorporated herein by reference to Exhibit 10.23 to the Company’s Registration Statement on Form S-1 (File No. 333-208861), as filed with the SEC on January 4, 2016).</w:t>
              </w:r>
            </w:hyperlink>
          </w:p>
        </w:tc>
      </w:tr>
      <w:tr>
        <w:trPr/>
        <w:tc>
          <w:tcPr>
            <w:tcW w:w="65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400" w:type="dxa"/>
            <w:tcBorders/>
            <w:vAlign w:val="center"/>
          </w:tcPr>
          <w:p>
            <w:pPr>
              <w:pStyle w:val="TableContents"/>
              <w:bidi w:val="0"/>
              <w:spacing w:before="0" w:after="283"/>
              <w:jc w:val="left"/>
              <w:rPr/>
            </w:pPr>
            <w:r>
              <w:rPr/>
              <w:t> </w:t>
            </w:r>
          </w:p>
        </w:tc>
      </w:tr>
      <w:tr>
        <w:trPr/>
        <w:tc>
          <w:tcPr>
            <w:tcW w:w="65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10.35</w:t>
            </w:r>
          </w:p>
        </w:tc>
        <w:tc>
          <w:tcPr>
            <w:tcW w:w="146" w:type="dxa"/>
            <w:tcBorders/>
            <w:vAlign w:val="center"/>
          </w:tcPr>
          <w:p>
            <w:pPr>
              <w:pStyle w:val="TableContents"/>
              <w:bidi w:val="0"/>
              <w:spacing w:before="0" w:after="283"/>
              <w:jc w:val="left"/>
              <w:rPr/>
            </w:pPr>
            <w:r>
              <w:rPr/>
              <w:t> </w:t>
            </w:r>
          </w:p>
        </w:tc>
        <w:tc>
          <w:tcPr>
            <w:tcW w:w="9400" w:type="dxa"/>
            <w:tcBorders/>
            <w:vAlign w:val="center"/>
          </w:tcPr>
          <w:p>
            <w:pPr>
              <w:pStyle w:val="TableContents"/>
              <w:bidi w:val="0"/>
              <w:spacing w:before="0" w:after="283"/>
              <w:jc w:val="left"/>
              <w:rPr/>
            </w:pPr>
            <w:hyperlink r:id="rId40">
              <w:r>
                <w:rPr>
                  <w:rStyle w:val="InternetLink"/>
                  <w:rFonts w:ascii="Times New Roman" w:hAnsi="Times New Roman"/>
                  <w:color w:val="0000FF"/>
                  <w:sz w:val="20"/>
                  <w:u w:val="single"/>
                </w:rPr>
                <w:t>Second Amendment to the License, Development and Commercialization Agreement by and between the company and Bayer Pharma AG, dated as of February 1, 2013 (incorporated herein by reference to</w:t>
              </w:r>
            </w:hyperlink>
            <w:hyperlink r:id="rId41">
              <w:r>
                <w:rPr>
                  <w:rStyle w:val="InternetLink"/>
                  <w:rFonts w:ascii="Times New Roman" w:hAnsi="Times New Roman"/>
                  <w:color w:val="0000FF"/>
                  <w:sz w:val="20"/>
                </w:rPr>
                <w:t xml:space="preserve"> </w:t>
              </w:r>
            </w:hyperlink>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46"/>
        <w:gridCol w:w="146"/>
        <w:gridCol w:w="9413"/>
      </w:tblGrid>
      <w:tr>
        <w:trPr/>
        <w:tc>
          <w:tcPr>
            <w:tcW w:w="6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413" w:type="dxa"/>
            <w:tcBorders/>
            <w:shd w:fill="FFFFFF" w:val="clear"/>
            <w:vAlign w:val="center"/>
          </w:tcPr>
          <w:p>
            <w:pPr>
              <w:pStyle w:val="TableContents"/>
              <w:bidi w:val="0"/>
              <w:spacing w:before="0" w:after="283"/>
              <w:jc w:val="left"/>
              <w:rPr>
                <w:sz w:val="4"/>
                <w:szCs w:val="4"/>
              </w:rPr>
            </w:pPr>
            <w:r>
              <w:rPr>
                <w:sz w:val="4"/>
                <w:szCs w:val="4"/>
              </w:rPr>
            </w:r>
          </w:p>
        </w:tc>
      </w:tr>
      <w:tr>
        <w:trPr/>
        <w:tc>
          <w:tcPr>
            <w:tcW w:w="64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Exhibit</w:t>
              <w:br/>
              <w:t>No.</w:t>
            </w:r>
            <w:r>
              <w:rPr>
                <w:rFonts w:ascii="Times New Roman" w:hAnsi="Times New Roman"/>
                <w:color w:val="000000"/>
                <w:sz w:val="16"/>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41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Description</w:t>
            </w:r>
            <w:r>
              <w:rPr>
                <w:rFonts w:ascii="Times New Roman" w:hAnsi="Times New Roman"/>
                <w:color w:val="000000"/>
                <w:sz w:val="16"/>
              </w:rPr>
              <w:t xml:space="preserve"> </w:t>
            </w:r>
          </w:p>
        </w:tc>
      </w:tr>
      <w:tr>
        <w:trPr/>
        <w:tc>
          <w:tcPr>
            <w:tcW w:w="6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413" w:type="dxa"/>
            <w:tcBorders/>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413" w:type="dxa"/>
            <w:tcBorders/>
            <w:vAlign w:val="center"/>
          </w:tcPr>
          <w:p>
            <w:pPr>
              <w:pStyle w:val="TableContents"/>
              <w:bidi w:val="0"/>
              <w:spacing w:before="0" w:after="283"/>
              <w:jc w:val="left"/>
              <w:rPr/>
            </w:pPr>
            <w:hyperlink r:id="rId42">
              <w:r>
                <w:rPr>
                  <w:rStyle w:val="InternetLink"/>
                  <w:rFonts w:ascii="Times New Roman" w:hAnsi="Times New Roman"/>
                  <w:color w:val="0000FF"/>
                  <w:sz w:val="20"/>
                  <w:u w:val="single"/>
                </w:rPr>
                <w:t>Exhibit 10.24 to the Company’s Registration Statement on Form S-1 (File No. 333-208861), as filed with the SEC on January 4, 2016).</w:t>
              </w:r>
            </w:hyperlink>
          </w:p>
        </w:tc>
      </w:tr>
      <w:tr>
        <w:trPr/>
        <w:tc>
          <w:tcPr>
            <w:tcW w:w="6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413" w:type="dxa"/>
            <w:tcBorders/>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10.36</w:t>
            </w:r>
          </w:p>
        </w:tc>
        <w:tc>
          <w:tcPr>
            <w:tcW w:w="146" w:type="dxa"/>
            <w:tcBorders/>
            <w:vAlign w:val="center"/>
          </w:tcPr>
          <w:p>
            <w:pPr>
              <w:pStyle w:val="TableContents"/>
              <w:bidi w:val="0"/>
              <w:spacing w:before="0" w:after="283"/>
              <w:jc w:val="left"/>
              <w:rPr/>
            </w:pPr>
            <w:r>
              <w:rPr/>
              <w:t> </w:t>
            </w:r>
          </w:p>
        </w:tc>
        <w:tc>
          <w:tcPr>
            <w:tcW w:w="9413" w:type="dxa"/>
            <w:tcBorders/>
            <w:vAlign w:val="center"/>
          </w:tcPr>
          <w:p>
            <w:pPr>
              <w:pStyle w:val="TableContents"/>
              <w:bidi w:val="0"/>
              <w:spacing w:before="0" w:after="283"/>
              <w:jc w:val="left"/>
              <w:rPr/>
            </w:pPr>
            <w:hyperlink r:id="rId43">
              <w:r>
                <w:rPr>
                  <w:rStyle w:val="InternetLink"/>
                  <w:rFonts w:ascii="Times New Roman" w:hAnsi="Times New Roman"/>
                  <w:color w:val="0000FF"/>
                  <w:sz w:val="20"/>
                  <w:u w:val="single"/>
                </w:rPr>
                <w:t>Third Amendment to the License, Development and Commercialization Agreement by and between the company and Bayer Pharma AG, dated as of October 9, 2013 (incorporated herein by reference to Exhibit 10.25 to the Company’s Registration Statement on Form S-1 (File No. 333-208861), as filed with the SEC on January 4, 2016).</w:t>
              </w:r>
            </w:hyperlink>
          </w:p>
        </w:tc>
      </w:tr>
      <w:tr>
        <w:trPr/>
        <w:tc>
          <w:tcPr>
            <w:tcW w:w="6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413" w:type="dxa"/>
            <w:tcBorders/>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10.37</w:t>
            </w:r>
          </w:p>
        </w:tc>
        <w:tc>
          <w:tcPr>
            <w:tcW w:w="146" w:type="dxa"/>
            <w:tcBorders/>
            <w:vAlign w:val="center"/>
          </w:tcPr>
          <w:p>
            <w:pPr>
              <w:pStyle w:val="TableContents"/>
              <w:bidi w:val="0"/>
              <w:spacing w:before="0" w:after="283"/>
              <w:jc w:val="left"/>
              <w:rPr/>
            </w:pPr>
            <w:r>
              <w:rPr/>
              <w:t> </w:t>
            </w:r>
          </w:p>
        </w:tc>
        <w:tc>
          <w:tcPr>
            <w:tcW w:w="9413" w:type="dxa"/>
            <w:tcBorders/>
            <w:vAlign w:val="center"/>
          </w:tcPr>
          <w:p>
            <w:pPr>
              <w:pStyle w:val="TableContents"/>
              <w:bidi w:val="0"/>
              <w:spacing w:before="0" w:after="283"/>
              <w:jc w:val="left"/>
              <w:rPr/>
            </w:pPr>
            <w:hyperlink r:id="rId44">
              <w:r>
                <w:rPr>
                  <w:rStyle w:val="InternetLink"/>
                  <w:rFonts w:ascii="Times New Roman" w:hAnsi="Times New Roman"/>
                  <w:color w:val="0000FF"/>
                  <w:sz w:val="20"/>
                  <w:u w:val="single"/>
                </w:rPr>
                <w:t>Letter Agreement by and between the company and Bayer Pharma AG, dated as of September 18, 2014 (incorporated herein by reference to Exhibit 10.26 to the Company’s Registration Statement on Form S-1 (File No. 333-208861), as filed with the SEC on January 4, 2016).</w:t>
              </w:r>
            </w:hyperlink>
          </w:p>
        </w:tc>
      </w:tr>
      <w:tr>
        <w:trPr/>
        <w:tc>
          <w:tcPr>
            <w:tcW w:w="6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413" w:type="dxa"/>
            <w:tcBorders/>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10.38</w:t>
            </w:r>
          </w:p>
        </w:tc>
        <w:tc>
          <w:tcPr>
            <w:tcW w:w="146" w:type="dxa"/>
            <w:tcBorders/>
            <w:vAlign w:val="center"/>
          </w:tcPr>
          <w:p>
            <w:pPr>
              <w:pStyle w:val="TableContents"/>
              <w:bidi w:val="0"/>
              <w:spacing w:before="0" w:after="283"/>
              <w:jc w:val="left"/>
              <w:rPr/>
            </w:pPr>
            <w:r>
              <w:rPr/>
              <w:t> </w:t>
            </w:r>
          </w:p>
        </w:tc>
        <w:tc>
          <w:tcPr>
            <w:tcW w:w="9413" w:type="dxa"/>
            <w:tcBorders/>
            <w:vAlign w:val="center"/>
          </w:tcPr>
          <w:p>
            <w:pPr>
              <w:pStyle w:val="TableContents"/>
              <w:bidi w:val="0"/>
              <w:spacing w:before="0" w:after="283"/>
              <w:jc w:val="left"/>
              <w:rPr/>
            </w:pPr>
            <w:hyperlink r:id="rId45">
              <w:r>
                <w:rPr>
                  <w:rStyle w:val="InternetLink"/>
                  <w:rFonts w:ascii="Times New Roman" w:hAnsi="Times New Roman"/>
                  <w:color w:val="0000FF"/>
                  <w:sz w:val="20"/>
                  <w:u w:val="single"/>
                </w:rPr>
                <w:t>License Agreement by and between the Company and UCB Biopharma Sprl, dated as of July 1, 2016 (incorporated herein by reference to Exhibit 10.1 to the Company’s Current Report on Form 8-K (File No. 001- 37708), as filed with the SEC on October 7, 2016).</w:t>
              </w:r>
            </w:hyperlink>
          </w:p>
        </w:tc>
      </w:tr>
      <w:tr>
        <w:trPr/>
        <w:tc>
          <w:tcPr>
            <w:tcW w:w="6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413" w:type="dxa"/>
            <w:tcBorders/>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10.39</w:t>
            </w:r>
          </w:p>
        </w:tc>
        <w:tc>
          <w:tcPr>
            <w:tcW w:w="146" w:type="dxa"/>
            <w:tcBorders/>
            <w:vAlign w:val="center"/>
          </w:tcPr>
          <w:p>
            <w:pPr>
              <w:pStyle w:val="TableContents"/>
              <w:bidi w:val="0"/>
              <w:spacing w:before="0" w:after="283"/>
              <w:jc w:val="left"/>
              <w:rPr/>
            </w:pPr>
            <w:r>
              <w:rPr/>
              <w:t> </w:t>
            </w:r>
          </w:p>
        </w:tc>
        <w:tc>
          <w:tcPr>
            <w:tcW w:w="9413" w:type="dxa"/>
            <w:tcBorders/>
            <w:vAlign w:val="center"/>
          </w:tcPr>
          <w:p>
            <w:pPr>
              <w:pStyle w:val="TableContents"/>
              <w:bidi w:val="0"/>
              <w:spacing w:before="0" w:after="283"/>
              <w:jc w:val="left"/>
              <w:rPr/>
            </w:pPr>
            <w:hyperlink r:id="rId46">
              <w:r>
                <w:rPr>
                  <w:rStyle w:val="InternetLink"/>
                  <w:rFonts w:ascii="Times New Roman" w:hAnsi="Times New Roman"/>
                  <w:color w:val="0000FF"/>
                  <w:sz w:val="20"/>
                  <w:u w:val="single"/>
                </w:rPr>
                <w:t>Side Agreement by and between the Company and UCB Biopharma Sprl, dated March 8, 2017 (incorporated herein by reference to Exhibit 10.4 to the Company’s Quarterly Report on Form 10-Q (File No. 001-37708), as filed with the SEC on May 9, 2017).</w:t>
              </w:r>
            </w:hyperlink>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413" w:type="dxa"/>
            <w:tcBorders/>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10.40</w:t>
            </w:r>
          </w:p>
        </w:tc>
        <w:tc>
          <w:tcPr>
            <w:tcW w:w="146" w:type="dxa"/>
            <w:tcBorders/>
            <w:vAlign w:val="center"/>
          </w:tcPr>
          <w:p>
            <w:pPr>
              <w:pStyle w:val="TableContents"/>
              <w:bidi w:val="0"/>
              <w:spacing w:before="0" w:after="283"/>
              <w:jc w:val="left"/>
              <w:rPr/>
            </w:pPr>
            <w:r>
              <w:rPr/>
              <w:t> </w:t>
            </w:r>
          </w:p>
        </w:tc>
        <w:tc>
          <w:tcPr>
            <w:tcW w:w="9413" w:type="dxa"/>
            <w:tcBorders/>
            <w:vAlign w:val="center"/>
          </w:tcPr>
          <w:p>
            <w:pPr>
              <w:pStyle w:val="TableContents"/>
              <w:bidi w:val="0"/>
              <w:spacing w:before="0" w:after="283"/>
              <w:jc w:val="left"/>
              <w:rPr/>
            </w:pPr>
            <w:hyperlink r:id="rId47">
              <w:r>
                <w:rPr>
                  <w:rStyle w:val="InternetLink"/>
                  <w:rFonts w:ascii="Times New Roman" w:hAnsi="Times New Roman"/>
                  <w:color w:val="0000FF"/>
                  <w:sz w:val="20"/>
                  <w:u w:val="single"/>
                </w:rPr>
                <w:t>Amendment No. 1 to License Agreement by and between the Company and UCB Biopharma Sprl, dated as of July 9, 2019 (incorporated herein by reference to Exhibit 10.2 to the Company’s Quarterly Report on Form 10-Q (File No. 001-37708), as filed with the SEC on November 7, 2019).</w:t>
              </w:r>
            </w:hyperlink>
          </w:p>
        </w:tc>
      </w:tr>
      <w:tr>
        <w:trPr/>
        <w:tc>
          <w:tcPr>
            <w:tcW w:w="6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413" w:type="dxa"/>
            <w:tcBorders/>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10.41</w:t>
            </w:r>
          </w:p>
        </w:tc>
        <w:tc>
          <w:tcPr>
            <w:tcW w:w="146" w:type="dxa"/>
            <w:tcBorders/>
            <w:vAlign w:val="center"/>
          </w:tcPr>
          <w:p>
            <w:pPr>
              <w:pStyle w:val="TableContents"/>
              <w:bidi w:val="0"/>
              <w:spacing w:before="0" w:after="283"/>
              <w:jc w:val="left"/>
              <w:rPr/>
            </w:pPr>
            <w:r>
              <w:rPr/>
              <w:t> </w:t>
            </w:r>
          </w:p>
        </w:tc>
        <w:tc>
          <w:tcPr>
            <w:tcW w:w="9413" w:type="dxa"/>
            <w:tcBorders/>
            <w:vAlign w:val="center"/>
          </w:tcPr>
          <w:p>
            <w:pPr>
              <w:pStyle w:val="TableContents"/>
              <w:bidi w:val="0"/>
              <w:spacing w:before="0" w:after="283"/>
              <w:jc w:val="left"/>
              <w:rPr/>
            </w:pPr>
            <w:hyperlink r:id="rId48">
              <w:r>
                <w:rPr>
                  <w:rStyle w:val="InternetLink"/>
                  <w:rFonts w:ascii="Times New Roman" w:hAnsi="Times New Roman"/>
                  <w:color w:val="0000FF"/>
                  <w:sz w:val="20"/>
                  <w:u w:val="single"/>
                </w:rPr>
                <w:t>Mutual Release and Settlement Agreement by and between the Company and UCB Biopharma SRL, dated as of June 6, 2022 (incorporated herein by reference to Exhibit 10.1 to the Company’s Quarterly Report on Form 10-Q (File No. 001-37708), as filed with the SEC on August 8, 2022).</w:t>
              </w:r>
            </w:hyperlink>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413" w:type="dxa"/>
            <w:tcBorders/>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10.42</w:t>
            </w:r>
          </w:p>
        </w:tc>
        <w:tc>
          <w:tcPr>
            <w:tcW w:w="146" w:type="dxa"/>
            <w:tcBorders/>
            <w:vAlign w:val="center"/>
          </w:tcPr>
          <w:p>
            <w:pPr>
              <w:pStyle w:val="TableContents"/>
              <w:bidi w:val="0"/>
              <w:spacing w:before="0" w:after="283"/>
              <w:jc w:val="left"/>
              <w:rPr/>
            </w:pPr>
            <w:r>
              <w:rPr/>
              <w:t> </w:t>
            </w:r>
          </w:p>
        </w:tc>
        <w:tc>
          <w:tcPr>
            <w:tcW w:w="9413" w:type="dxa"/>
            <w:tcBorders/>
            <w:vAlign w:val="center"/>
          </w:tcPr>
          <w:p>
            <w:pPr>
              <w:pStyle w:val="TableContents"/>
              <w:bidi w:val="0"/>
              <w:spacing w:before="0" w:after="283"/>
              <w:jc w:val="left"/>
              <w:rPr/>
            </w:pPr>
            <w:hyperlink r:id="rId49">
              <w:r>
                <w:rPr>
                  <w:rStyle w:val="InternetLink"/>
                  <w:rFonts w:ascii="Times New Roman" w:hAnsi="Times New Roman"/>
                  <w:color w:val="0000FF"/>
                  <w:sz w:val="20"/>
                  <w:u w:val="single"/>
                </w:rPr>
                <w:t>License Agreement by and between the Company and Vitae Pharmaceuticals, Inc., dated as of October 13, 2017 (incorporated herein by reference to Exhibit 10.47 to the Company’s Annual Report on Form 10-K (File No. 001-37708), as filed with the SEC on March 8, 2018).</w:t>
              </w:r>
            </w:hyperlink>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413" w:type="dxa"/>
            <w:tcBorders/>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10.43</w:t>
            </w:r>
          </w:p>
        </w:tc>
        <w:tc>
          <w:tcPr>
            <w:tcW w:w="146" w:type="dxa"/>
            <w:tcBorders/>
            <w:vAlign w:val="center"/>
          </w:tcPr>
          <w:p>
            <w:pPr>
              <w:pStyle w:val="TableContents"/>
              <w:bidi w:val="0"/>
              <w:spacing w:before="0" w:after="283"/>
              <w:jc w:val="left"/>
              <w:rPr/>
            </w:pPr>
            <w:r>
              <w:rPr/>
              <w:t> </w:t>
            </w:r>
          </w:p>
        </w:tc>
        <w:tc>
          <w:tcPr>
            <w:tcW w:w="9413" w:type="dxa"/>
            <w:tcBorders/>
            <w:vAlign w:val="center"/>
          </w:tcPr>
          <w:p>
            <w:pPr>
              <w:pStyle w:val="TableContents"/>
              <w:bidi w:val="0"/>
              <w:spacing w:before="0" w:after="283"/>
              <w:jc w:val="left"/>
              <w:rPr/>
            </w:pPr>
            <w:hyperlink r:id="rId50">
              <w:r>
                <w:rPr>
                  <w:rStyle w:val="InternetLink"/>
                  <w:rFonts w:ascii="Times New Roman" w:hAnsi="Times New Roman"/>
                  <w:color w:val="0000FF"/>
                  <w:sz w:val="20"/>
                  <w:u w:val="single"/>
                </w:rPr>
                <w:t>Amendment No. 1 to License Agreement by and between the Company and Vitae Pharmaceuticals, Inc., dated as of January 25, 2019 (incorporated herein by reference to Exhibit 10.1 to the Company’s Quarterly Report on Form 10-Q (File No. 001-37708), as filed with the SEC on May 8, 2019).</w:t>
              </w:r>
            </w:hyperlink>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413" w:type="dxa"/>
            <w:tcBorders/>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10.44</w:t>
            </w:r>
          </w:p>
        </w:tc>
        <w:tc>
          <w:tcPr>
            <w:tcW w:w="146" w:type="dxa"/>
            <w:tcBorders/>
            <w:vAlign w:val="center"/>
          </w:tcPr>
          <w:p>
            <w:pPr>
              <w:pStyle w:val="TableContents"/>
              <w:bidi w:val="0"/>
              <w:spacing w:before="0" w:after="283"/>
              <w:jc w:val="left"/>
              <w:rPr/>
            </w:pPr>
            <w:r>
              <w:rPr/>
              <w:t> </w:t>
            </w:r>
          </w:p>
        </w:tc>
        <w:tc>
          <w:tcPr>
            <w:tcW w:w="9413" w:type="dxa"/>
            <w:tcBorders/>
            <w:vAlign w:val="center"/>
          </w:tcPr>
          <w:p>
            <w:pPr>
              <w:pStyle w:val="TableContents"/>
              <w:bidi w:val="0"/>
              <w:spacing w:before="0" w:after="283"/>
              <w:jc w:val="left"/>
              <w:rPr/>
            </w:pPr>
            <w:hyperlink r:id="rId51">
              <w:r>
                <w:rPr>
                  <w:rStyle w:val="InternetLink"/>
                  <w:rFonts w:ascii="Times New Roman" w:hAnsi="Times New Roman"/>
                  <w:color w:val="0000FF"/>
                  <w:sz w:val="20"/>
                  <w:u w:val="single"/>
                </w:rPr>
                <w:t>Collaboration and License Agreement by and between the Company and Incyte Corporation, dated as of September 24, 2021 (incorporated herein by reference to Exhibit 10.1 to the Company’s Quarterly Report on Form 10-Q (File No. 001-37708), as filed with the SEC on November 15, 2021).</w:t>
              </w:r>
            </w:hyperlink>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413" w:type="dxa"/>
            <w:tcBorders/>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10.45</w:t>
            </w:r>
          </w:p>
        </w:tc>
        <w:tc>
          <w:tcPr>
            <w:tcW w:w="146" w:type="dxa"/>
            <w:tcBorders/>
            <w:vAlign w:val="center"/>
          </w:tcPr>
          <w:p>
            <w:pPr>
              <w:pStyle w:val="TableContents"/>
              <w:bidi w:val="0"/>
              <w:spacing w:before="0" w:after="283"/>
              <w:jc w:val="left"/>
              <w:rPr/>
            </w:pPr>
            <w:r>
              <w:rPr/>
              <w:t> </w:t>
            </w:r>
          </w:p>
        </w:tc>
        <w:tc>
          <w:tcPr>
            <w:tcW w:w="9413" w:type="dxa"/>
            <w:tcBorders/>
            <w:vAlign w:val="center"/>
          </w:tcPr>
          <w:p>
            <w:pPr>
              <w:pStyle w:val="TableContents"/>
              <w:bidi w:val="0"/>
              <w:spacing w:before="0" w:after="283"/>
              <w:jc w:val="left"/>
              <w:rPr/>
            </w:pPr>
            <w:hyperlink r:id="rId52">
              <w:r>
                <w:rPr>
                  <w:rStyle w:val="InternetLink"/>
                  <w:rFonts w:ascii="Times New Roman" w:hAnsi="Times New Roman"/>
                  <w:color w:val="0000FF"/>
                  <w:sz w:val="20"/>
                  <w:u w:val="single"/>
                </w:rPr>
                <w:t>Purchase Agreement by and between the Company and Incyte Corporation, dated as of September 24, 2021 (incorporated herein by reference to Exhibit 10.2 to the Company’s Quarterly Report on Form 10-Q (File No. 001-37708), as filed with the SEC on November 15, 2021).</w:t>
              </w:r>
            </w:hyperlink>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413" w:type="dxa"/>
            <w:tcBorders/>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21.1</w:t>
            </w:r>
          </w:p>
        </w:tc>
        <w:tc>
          <w:tcPr>
            <w:tcW w:w="146" w:type="dxa"/>
            <w:tcBorders/>
            <w:vAlign w:val="center"/>
          </w:tcPr>
          <w:p>
            <w:pPr>
              <w:pStyle w:val="TableContents"/>
              <w:bidi w:val="0"/>
              <w:spacing w:before="0" w:after="283"/>
              <w:jc w:val="left"/>
              <w:rPr/>
            </w:pPr>
            <w:r>
              <w:rPr/>
              <w:t> </w:t>
            </w:r>
          </w:p>
        </w:tc>
        <w:tc>
          <w:tcPr>
            <w:tcW w:w="9413" w:type="dxa"/>
            <w:tcBorders/>
            <w:vAlign w:val="center"/>
          </w:tcPr>
          <w:p>
            <w:pPr>
              <w:pStyle w:val="TableContents"/>
              <w:bidi w:val="0"/>
              <w:spacing w:before="0" w:after="283"/>
              <w:jc w:val="left"/>
              <w:rPr/>
            </w:pPr>
            <w:hyperlink r:id="rId53">
              <w:r>
                <w:rPr>
                  <w:rStyle w:val="InternetLink"/>
                  <w:rFonts w:ascii="Times New Roman" w:hAnsi="Times New Roman"/>
                  <w:color w:val="0000FF"/>
                  <w:sz w:val="20"/>
                  <w:u w:val="single"/>
                </w:rPr>
                <w:t>Subsidiaries of the Registrant (incorporated herein by reference to Exhibit 21.1 to the Company’s Annual Report on Form 10-K (File No. 001-37708), as filed with the SEC on February 28, 2023).</w:t>
              </w:r>
            </w:hyperlink>
          </w:p>
        </w:tc>
      </w:tr>
      <w:tr>
        <w:trPr/>
        <w:tc>
          <w:tcPr>
            <w:tcW w:w="6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413" w:type="dxa"/>
            <w:tcBorders/>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23.1</w:t>
            </w:r>
          </w:p>
        </w:tc>
        <w:tc>
          <w:tcPr>
            <w:tcW w:w="146" w:type="dxa"/>
            <w:tcBorders/>
            <w:vAlign w:val="center"/>
          </w:tcPr>
          <w:p>
            <w:pPr>
              <w:pStyle w:val="TableContents"/>
              <w:bidi w:val="0"/>
              <w:spacing w:before="0" w:after="283"/>
              <w:jc w:val="left"/>
              <w:rPr/>
            </w:pPr>
            <w:r>
              <w:rPr/>
              <w:t> </w:t>
            </w:r>
          </w:p>
        </w:tc>
        <w:tc>
          <w:tcPr>
            <w:tcW w:w="9413" w:type="dxa"/>
            <w:tcBorders/>
            <w:vAlign w:val="center"/>
          </w:tcPr>
          <w:p>
            <w:pPr>
              <w:pStyle w:val="TableContents"/>
              <w:bidi w:val="0"/>
              <w:spacing w:before="0" w:after="283"/>
              <w:jc w:val="left"/>
              <w:rPr/>
            </w:pPr>
            <w:hyperlink w:anchor="sndx-ex23_1.htm">
              <w:r>
                <w:rPr>
                  <w:rStyle w:val="InternetLink"/>
                  <w:rFonts w:ascii="Times New Roman" w:hAnsi="Times New Roman"/>
                  <w:color w:val="0000FF"/>
                  <w:sz w:val="20"/>
                  <w:u w:val="single"/>
                </w:rPr>
                <w:t>Consent of Independent Registered Public Accounting Firm.</w:t>
              </w:r>
            </w:hyperlink>
          </w:p>
        </w:tc>
      </w:tr>
      <w:tr>
        <w:trPr/>
        <w:tc>
          <w:tcPr>
            <w:tcW w:w="6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413" w:type="dxa"/>
            <w:tcBorders/>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24.1</w:t>
            </w:r>
          </w:p>
        </w:tc>
        <w:tc>
          <w:tcPr>
            <w:tcW w:w="146" w:type="dxa"/>
            <w:tcBorders/>
            <w:vAlign w:val="center"/>
          </w:tcPr>
          <w:p>
            <w:pPr>
              <w:pStyle w:val="TableContents"/>
              <w:bidi w:val="0"/>
              <w:spacing w:before="0" w:after="283"/>
              <w:jc w:val="left"/>
              <w:rPr/>
            </w:pPr>
            <w:r>
              <w:rPr/>
              <w:t> </w:t>
            </w:r>
          </w:p>
        </w:tc>
        <w:tc>
          <w:tcPr>
            <w:tcW w:w="9413" w:type="dxa"/>
            <w:tcBorders/>
            <w:vAlign w:val="center"/>
          </w:tcPr>
          <w:p>
            <w:pPr>
              <w:pStyle w:val="TableContents"/>
              <w:bidi w:val="0"/>
              <w:spacing w:before="0" w:after="283"/>
              <w:jc w:val="left"/>
              <w:rPr/>
            </w:pPr>
            <w:hyperlink w:anchor="power_attorney">
              <w:r>
                <w:rPr>
                  <w:rStyle w:val="InternetLink"/>
                  <w:rFonts w:ascii="Times New Roman" w:hAnsi="Times New Roman"/>
                  <w:color w:val="0000FF"/>
                  <w:sz w:val="20"/>
                  <w:u w:val="single"/>
                </w:rPr>
                <w:t>Power of Attorney (included on the signature page to this report).</w:t>
              </w:r>
            </w:hyperlink>
          </w:p>
        </w:tc>
      </w:tr>
      <w:tr>
        <w:trPr/>
        <w:tc>
          <w:tcPr>
            <w:tcW w:w="6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413" w:type="dxa"/>
            <w:tcBorders/>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vAlign w:val="center"/>
          </w:tcPr>
          <w:p>
            <w:pPr>
              <w:pStyle w:val="TableContents"/>
              <w:bidi w:val="0"/>
              <w:spacing w:before="0" w:after="283"/>
              <w:jc w:val="left"/>
              <w:rPr/>
            </w:pPr>
            <w:r>
              <w:rPr/>
              <w:t> </w:t>
            </w:r>
          </w:p>
        </w:tc>
        <w:tc>
          <w:tcPr>
            <w:tcW w:w="9413" w:type="dxa"/>
            <w:tcBorders/>
            <w:vAlign w:val="center"/>
          </w:tcPr>
          <w:p>
            <w:pPr>
              <w:pStyle w:val="TableContents"/>
              <w:bidi w:val="0"/>
              <w:spacing w:before="0" w:after="283"/>
              <w:jc w:val="left"/>
              <w:rPr/>
            </w:pPr>
            <w:hyperlink w:anchor="sndx-ex31_1.htm">
              <w:r>
                <w:rPr>
                  <w:rStyle w:val="InternetLink"/>
                  <w:rFonts w:ascii="Times New Roman" w:hAnsi="Times New Roman"/>
                  <w:color w:val="0000FF"/>
                  <w:sz w:val="20"/>
                  <w:u w:val="single"/>
                </w:rPr>
                <w:t>Certification of the Principal Executive Officer pursuant to Rule 13a-14(a) or 15d-14(a) of the Securities Exchange Act of 1934.</w:t>
              </w:r>
            </w:hyperlink>
          </w:p>
        </w:tc>
      </w:tr>
      <w:tr>
        <w:trPr/>
        <w:tc>
          <w:tcPr>
            <w:tcW w:w="6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413" w:type="dxa"/>
            <w:tcBorders/>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vAlign w:val="center"/>
          </w:tcPr>
          <w:p>
            <w:pPr>
              <w:pStyle w:val="TableContents"/>
              <w:bidi w:val="0"/>
              <w:spacing w:before="0" w:after="283"/>
              <w:jc w:val="left"/>
              <w:rPr/>
            </w:pPr>
            <w:r>
              <w:rPr/>
              <w:t> </w:t>
            </w:r>
          </w:p>
        </w:tc>
        <w:tc>
          <w:tcPr>
            <w:tcW w:w="9413" w:type="dxa"/>
            <w:tcBorders/>
            <w:vAlign w:val="center"/>
          </w:tcPr>
          <w:p>
            <w:pPr>
              <w:pStyle w:val="TableContents"/>
              <w:bidi w:val="0"/>
              <w:spacing w:before="0" w:after="283"/>
              <w:jc w:val="left"/>
              <w:rPr/>
            </w:pPr>
            <w:hyperlink w:anchor="sndx-ex31_2.htm">
              <w:r>
                <w:rPr>
                  <w:rStyle w:val="InternetLink"/>
                  <w:rFonts w:ascii="Times New Roman" w:hAnsi="Times New Roman"/>
                  <w:color w:val="0000FF"/>
                  <w:sz w:val="20"/>
                  <w:u w:val="single"/>
                </w:rPr>
                <w:t>Certification of the Principal Financial Officer and Principal Accounting Officer pursuant to Rule 13a-14(a) or 15d-14(a) of the Securities Exchange Act of 1934.</w:t>
              </w:r>
            </w:hyperlink>
          </w:p>
        </w:tc>
      </w:tr>
      <w:tr>
        <w:trPr/>
        <w:tc>
          <w:tcPr>
            <w:tcW w:w="6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413" w:type="dxa"/>
            <w:tcBorders/>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vAlign w:val="center"/>
          </w:tcPr>
          <w:p>
            <w:pPr>
              <w:pStyle w:val="TableContents"/>
              <w:bidi w:val="0"/>
              <w:spacing w:before="0" w:after="283"/>
              <w:jc w:val="left"/>
              <w:rPr/>
            </w:pPr>
            <w:r>
              <w:rPr/>
              <w:t> </w:t>
            </w:r>
          </w:p>
        </w:tc>
        <w:tc>
          <w:tcPr>
            <w:tcW w:w="9413" w:type="dxa"/>
            <w:tcBorders/>
            <w:vAlign w:val="center"/>
          </w:tcPr>
          <w:p>
            <w:pPr>
              <w:pStyle w:val="TableContents"/>
              <w:bidi w:val="0"/>
              <w:spacing w:before="0" w:after="283"/>
              <w:jc w:val="left"/>
              <w:rPr/>
            </w:pPr>
            <w:hyperlink w:anchor="sndx-ex32_1.htm">
              <w:r>
                <w:rPr>
                  <w:rStyle w:val="InternetLink"/>
                  <w:rFonts w:ascii="Times New Roman" w:hAnsi="Times New Roman"/>
                  <w:color w:val="0000FF"/>
                  <w:sz w:val="20"/>
                  <w:u w:val="single"/>
                </w:rPr>
                <w:t>Certification of Principal Executive Officer and Principal Financial Officer pursuant to Rule 13a-14(b) or 15d-14(b) of the Exchange Act and 18 U.S.C. Section 1350, as adopted pursuant to Section 906 of the Sarbanes-Oxley Act of 2002.</w:t>
              </w:r>
            </w:hyperlink>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473" w:type="dxa"/>
        <w:jc w:val="left"/>
        <w:tblInd w:w="0" w:type="dxa"/>
        <w:tblLayout w:type="fixed"/>
        <w:tblCellMar>
          <w:top w:w="28" w:type="dxa"/>
          <w:left w:w="28" w:type="dxa"/>
          <w:bottom w:w="28" w:type="dxa"/>
          <w:right w:w="28" w:type="dxa"/>
        </w:tblCellMar>
      </w:tblPr>
      <w:tblGrid>
        <w:gridCol w:w="871"/>
        <w:gridCol w:w="146"/>
        <w:gridCol w:w="7456"/>
      </w:tblGrid>
      <w:tr>
        <w:trPr/>
        <w:tc>
          <w:tcPr>
            <w:tcW w:w="87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456" w:type="dxa"/>
            <w:tcBorders/>
            <w:shd w:fill="FFFFFF" w:val="clear"/>
            <w:vAlign w:val="center"/>
          </w:tcPr>
          <w:p>
            <w:pPr>
              <w:pStyle w:val="TableContents"/>
              <w:bidi w:val="0"/>
              <w:spacing w:before="0" w:after="283"/>
              <w:jc w:val="left"/>
              <w:rPr>
                <w:sz w:val="4"/>
                <w:szCs w:val="4"/>
              </w:rPr>
            </w:pPr>
            <w:r>
              <w:rPr>
                <w:sz w:val="4"/>
                <w:szCs w:val="4"/>
              </w:rPr>
            </w:r>
          </w:p>
        </w:tc>
      </w:tr>
      <w:tr>
        <w:trPr/>
        <w:tc>
          <w:tcPr>
            <w:tcW w:w="87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Exhibit</w:t>
              <w:br/>
              <w:t>No.</w:t>
            </w:r>
            <w:r>
              <w:rPr>
                <w:rFonts w:ascii="Times New Roman" w:hAnsi="Times New Roman"/>
                <w:color w:val="000000"/>
                <w:sz w:val="16"/>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45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Description</w:t>
            </w:r>
            <w:r>
              <w:rPr>
                <w:rFonts w:ascii="Times New Roman" w:hAnsi="Times New Roman"/>
                <w:color w:val="000000"/>
                <w:sz w:val="16"/>
              </w:rPr>
              <w:t xml:space="preserve"> </w:t>
            </w:r>
          </w:p>
        </w:tc>
      </w:tr>
      <w:tr>
        <w:trPr/>
        <w:tc>
          <w:tcPr>
            <w:tcW w:w="87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456" w:type="dxa"/>
            <w:tcBorders/>
            <w:vAlign w:val="center"/>
          </w:tcPr>
          <w:p>
            <w:pPr>
              <w:pStyle w:val="TableContents"/>
              <w:bidi w:val="0"/>
              <w:spacing w:before="0" w:after="283"/>
              <w:jc w:val="left"/>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456" w:type="dxa"/>
            <w:tcBorders/>
            <w:vAlign w:val="center"/>
          </w:tcPr>
          <w:p>
            <w:pPr>
              <w:pStyle w:val="TableContents"/>
              <w:bidi w:val="0"/>
              <w:spacing w:before="0" w:after="283"/>
              <w:jc w:val="left"/>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97</w:t>
            </w:r>
          </w:p>
        </w:tc>
        <w:tc>
          <w:tcPr>
            <w:tcW w:w="146" w:type="dxa"/>
            <w:tcBorders/>
            <w:vAlign w:val="center"/>
          </w:tcPr>
          <w:p>
            <w:pPr>
              <w:pStyle w:val="TableContents"/>
              <w:bidi w:val="0"/>
              <w:spacing w:before="0" w:after="283"/>
              <w:jc w:val="left"/>
              <w:rPr/>
            </w:pPr>
            <w:r>
              <w:rPr/>
              <w:t> </w:t>
            </w:r>
          </w:p>
        </w:tc>
        <w:tc>
          <w:tcPr>
            <w:tcW w:w="7456" w:type="dxa"/>
            <w:tcBorders/>
            <w:vAlign w:val="center"/>
          </w:tcPr>
          <w:p>
            <w:pPr>
              <w:pStyle w:val="TableContents"/>
              <w:bidi w:val="0"/>
              <w:spacing w:before="0" w:after="283"/>
              <w:jc w:val="left"/>
              <w:rPr/>
            </w:pPr>
            <w:hyperlink w:anchor="sndx-ex97.htm">
              <w:r>
                <w:rPr>
                  <w:rStyle w:val="InternetLink"/>
                  <w:rFonts w:ascii="Times New Roman" w:hAnsi="Times New Roman"/>
                  <w:color w:val="0000FF"/>
                  <w:sz w:val="20"/>
                  <w:u w:val="single"/>
                </w:rPr>
                <w:t>Incentive Compensation Recoupment Policy.</w:t>
              </w:r>
            </w:hyperlink>
          </w:p>
        </w:tc>
      </w:tr>
      <w:tr>
        <w:trPr/>
        <w:tc>
          <w:tcPr>
            <w:tcW w:w="87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456" w:type="dxa"/>
            <w:tcBorders/>
            <w:vAlign w:val="center"/>
          </w:tcPr>
          <w:p>
            <w:pPr>
              <w:pStyle w:val="TableContents"/>
              <w:bidi w:val="0"/>
              <w:spacing w:before="0" w:after="283"/>
              <w:jc w:val="left"/>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vAlign w:val="center"/>
          </w:tcPr>
          <w:p>
            <w:pPr>
              <w:pStyle w:val="TableContents"/>
              <w:bidi w:val="0"/>
              <w:spacing w:before="0" w:after="283"/>
              <w:jc w:val="left"/>
              <w:rPr/>
            </w:pPr>
            <w:r>
              <w:rPr/>
              <w:t> </w:t>
            </w:r>
          </w:p>
        </w:tc>
        <w:tc>
          <w:tcPr>
            <w:tcW w:w="745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w:t>
            </w:r>
          </w:p>
        </w:tc>
      </w:tr>
      <w:tr>
        <w:trPr/>
        <w:tc>
          <w:tcPr>
            <w:tcW w:w="87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456" w:type="dxa"/>
            <w:tcBorders/>
            <w:vAlign w:val="center"/>
          </w:tcPr>
          <w:p>
            <w:pPr>
              <w:pStyle w:val="TableContents"/>
              <w:bidi w:val="0"/>
              <w:spacing w:before="0" w:after="283"/>
              <w:jc w:val="left"/>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vAlign w:val="center"/>
          </w:tcPr>
          <w:p>
            <w:pPr>
              <w:pStyle w:val="TableContents"/>
              <w:bidi w:val="0"/>
              <w:spacing w:before="0" w:after="283"/>
              <w:jc w:val="left"/>
              <w:rPr/>
            </w:pPr>
            <w:r>
              <w:rPr/>
              <w:t> </w:t>
            </w:r>
          </w:p>
        </w:tc>
        <w:tc>
          <w:tcPr>
            <w:tcW w:w="745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Document.</w:t>
            </w:r>
          </w:p>
        </w:tc>
      </w:tr>
      <w:tr>
        <w:trPr/>
        <w:tc>
          <w:tcPr>
            <w:tcW w:w="87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456" w:type="dxa"/>
            <w:tcBorders/>
            <w:vAlign w:val="center"/>
          </w:tcPr>
          <w:p>
            <w:pPr>
              <w:pStyle w:val="TableContents"/>
              <w:bidi w:val="0"/>
              <w:spacing w:before="0" w:after="283"/>
              <w:jc w:val="left"/>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101.CAL</w:t>
            </w:r>
          </w:p>
        </w:tc>
        <w:tc>
          <w:tcPr>
            <w:tcW w:w="146" w:type="dxa"/>
            <w:tcBorders/>
            <w:vAlign w:val="center"/>
          </w:tcPr>
          <w:p>
            <w:pPr>
              <w:pStyle w:val="TableContents"/>
              <w:bidi w:val="0"/>
              <w:spacing w:before="0" w:after="283"/>
              <w:jc w:val="left"/>
              <w:rPr/>
            </w:pPr>
            <w:r>
              <w:rPr/>
              <w:t> </w:t>
            </w:r>
          </w:p>
        </w:tc>
        <w:tc>
          <w:tcPr>
            <w:tcW w:w="745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Calculation Linkbase Document.</w:t>
            </w:r>
          </w:p>
        </w:tc>
      </w:tr>
      <w:tr>
        <w:trPr/>
        <w:tc>
          <w:tcPr>
            <w:tcW w:w="87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456" w:type="dxa"/>
            <w:tcBorders/>
            <w:vAlign w:val="center"/>
          </w:tcPr>
          <w:p>
            <w:pPr>
              <w:pStyle w:val="TableContents"/>
              <w:bidi w:val="0"/>
              <w:spacing w:before="0" w:after="283"/>
              <w:jc w:val="left"/>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101.DEF</w:t>
            </w:r>
          </w:p>
        </w:tc>
        <w:tc>
          <w:tcPr>
            <w:tcW w:w="146" w:type="dxa"/>
            <w:tcBorders/>
            <w:vAlign w:val="center"/>
          </w:tcPr>
          <w:p>
            <w:pPr>
              <w:pStyle w:val="TableContents"/>
              <w:bidi w:val="0"/>
              <w:spacing w:before="0" w:after="283"/>
              <w:jc w:val="left"/>
              <w:rPr/>
            </w:pPr>
            <w:r>
              <w:rPr/>
              <w:t> </w:t>
            </w:r>
          </w:p>
        </w:tc>
        <w:tc>
          <w:tcPr>
            <w:tcW w:w="745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Definition Linkbase Document</w:t>
            </w:r>
          </w:p>
        </w:tc>
      </w:tr>
      <w:tr>
        <w:trPr/>
        <w:tc>
          <w:tcPr>
            <w:tcW w:w="87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456" w:type="dxa"/>
            <w:tcBorders/>
            <w:vAlign w:val="center"/>
          </w:tcPr>
          <w:p>
            <w:pPr>
              <w:pStyle w:val="TableContents"/>
              <w:bidi w:val="0"/>
              <w:spacing w:before="0" w:after="283"/>
              <w:jc w:val="left"/>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101.LAB</w:t>
            </w:r>
          </w:p>
        </w:tc>
        <w:tc>
          <w:tcPr>
            <w:tcW w:w="146" w:type="dxa"/>
            <w:tcBorders/>
            <w:vAlign w:val="center"/>
          </w:tcPr>
          <w:p>
            <w:pPr>
              <w:pStyle w:val="TableContents"/>
              <w:bidi w:val="0"/>
              <w:spacing w:before="0" w:after="283"/>
              <w:jc w:val="left"/>
              <w:rPr/>
            </w:pPr>
            <w:r>
              <w:rPr/>
              <w:t> </w:t>
            </w:r>
          </w:p>
        </w:tc>
        <w:tc>
          <w:tcPr>
            <w:tcW w:w="745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Label Linkbase Document.</w:t>
            </w:r>
          </w:p>
        </w:tc>
      </w:tr>
      <w:tr>
        <w:trPr/>
        <w:tc>
          <w:tcPr>
            <w:tcW w:w="87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456" w:type="dxa"/>
            <w:tcBorders/>
            <w:vAlign w:val="center"/>
          </w:tcPr>
          <w:p>
            <w:pPr>
              <w:pStyle w:val="TableContents"/>
              <w:bidi w:val="0"/>
              <w:spacing w:before="0" w:after="283"/>
              <w:jc w:val="left"/>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101.PRE</w:t>
            </w:r>
          </w:p>
        </w:tc>
        <w:tc>
          <w:tcPr>
            <w:tcW w:w="146" w:type="dxa"/>
            <w:tcBorders/>
            <w:vAlign w:val="center"/>
          </w:tcPr>
          <w:p>
            <w:pPr>
              <w:pStyle w:val="TableContents"/>
              <w:bidi w:val="0"/>
              <w:spacing w:before="0" w:after="283"/>
              <w:jc w:val="left"/>
              <w:rPr/>
            </w:pPr>
            <w:r>
              <w:rPr/>
              <w:t> </w:t>
            </w:r>
          </w:p>
        </w:tc>
        <w:tc>
          <w:tcPr>
            <w:tcW w:w="745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Presentation Linkbase Document.</w:t>
            </w:r>
          </w:p>
        </w:tc>
      </w:tr>
      <w:tr>
        <w:trPr/>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456" w:type="dxa"/>
            <w:tcBorders/>
            <w:vAlign w:val="center"/>
          </w:tcPr>
          <w:p>
            <w:pPr>
              <w:pStyle w:val="TableContents"/>
              <w:bidi w:val="0"/>
              <w:spacing w:before="0" w:after="283"/>
              <w:jc w:val="left"/>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vAlign w:val="center"/>
          </w:tcPr>
          <w:p>
            <w:pPr>
              <w:pStyle w:val="TableContents"/>
              <w:bidi w:val="0"/>
              <w:spacing w:before="0" w:after="283"/>
              <w:jc w:val="left"/>
              <w:rPr/>
            </w:pPr>
            <w:r>
              <w:rPr/>
              <w:t> </w:t>
            </w:r>
          </w:p>
        </w:tc>
        <w:tc>
          <w:tcPr>
            <w:tcW w:w="745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r>
    </w:tbl>
    <w:p>
      <w:pPr>
        <w:pStyle w:val="TextBody"/>
        <w:bidi w:val="0"/>
        <w:jc w:val="left"/>
        <w:rPr>
          <w:rFonts w:ascii="Times New Roman" w:hAnsi="Times New Roman"/>
          <w:color w:val="000000"/>
          <w:sz w:val="20"/>
        </w:rPr>
      </w:pPr>
      <w:r>
        <w:rPr>
          <w:rFonts w:ascii="Times New Roman" w:hAnsi="Times New Roman"/>
          <w:color w:val="000000"/>
          <w:sz w:val="20"/>
        </w:rPr>
        <w:t xml:space="preserve">* Indicates a management contract or compensatory plan. </w:t>
      </w:r>
    </w:p>
    <w:p>
      <w:pPr>
        <w:pStyle w:val="TextBody"/>
        <w:bidi w:val="0"/>
        <w:jc w:val="left"/>
        <w:rPr>
          <w:rFonts w:ascii="Times New Roman" w:hAnsi="Times New Roman"/>
          <w:color w:val="000000"/>
          <w:sz w:val="20"/>
        </w:rPr>
      </w:pPr>
      <w:r>
        <w:rPr>
          <w:rFonts w:ascii="Times New Roman" w:hAnsi="Times New Roman"/>
          <w:color w:val="000000"/>
          <w:sz w:val="20"/>
        </w:rPr>
        <w:t xml:space="preserve">+ Furnished herewith and not deemed to be “filed” for purposes of Section 18 of the Securities Exchange Act of 1934, as amended (the “Exchange Act”), and shall not be deemed to be incorporated by reference into any filing under the Securities Act of 1933, as amended, or the Exchange Act. </w:t>
      </w:r>
    </w:p>
    <w:p>
      <w:pPr>
        <w:pStyle w:val="TextBody"/>
        <w:bidi w:val="0"/>
        <w:jc w:val="left"/>
        <w:rPr>
          <w:rFonts w:ascii="Times New Roman" w:hAnsi="Times New Roman"/>
          <w:color w:val="000000"/>
          <w:sz w:val="20"/>
        </w:rPr>
      </w:pPr>
      <w:r>
        <w:rPr>
          <w:rFonts w:ascii="Times New Roman" w:hAnsi="Times New Roman"/>
          <w:color w:val="000000"/>
          <w:sz w:val="20"/>
        </w:rPr>
        <w:t> Confidential treatment has been granted for certain portions of this exhibit. These portions have been omitted and filed separately with the SEC.</w:t>
      </w:r>
    </w:p>
    <w:p>
      <w:pPr>
        <w:pStyle w:val="TextBody"/>
        <w:bidi w:val="0"/>
        <w:spacing w:before="360" w:after="283"/>
        <w:jc w:val="left"/>
        <w:rPr>
          <w:rFonts w:ascii="Times New Roman" w:hAnsi="Times New Roman"/>
          <w:sz w:val="20"/>
        </w:rPr>
      </w:pPr>
      <w:bookmarkStart w:id="30" w:name="item_16_form_10k_summary"/>
      <w:bookmarkEnd w:id="30"/>
      <w:r>
        <w:rPr>
          <w:rFonts w:ascii="Times New Roman" w:hAnsi="Times New Roman"/>
          <w:b/>
          <w:color w:val="000000"/>
          <w:sz w:val="20"/>
        </w:rPr>
        <w:t>Item 16. Form 10-K Summary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Section 13 of 15(d) of the Securities Exchange Act of 1934, the registrant has duly caused this report to be signed on its behalf by the undersigned, thereunto duly authorized. </w:t>
      </w:r>
    </w:p>
    <w:tbl>
      <w:tblPr>
        <w:tblW w:w="5667" w:type="dxa"/>
        <w:jc w:val="left"/>
        <w:tblInd w:w="0" w:type="dxa"/>
        <w:tblLayout w:type="fixed"/>
        <w:tblCellMar>
          <w:top w:w="28" w:type="dxa"/>
          <w:left w:w="28" w:type="dxa"/>
          <w:bottom w:w="28" w:type="dxa"/>
          <w:right w:w="28" w:type="dxa"/>
        </w:tblCellMar>
      </w:tblPr>
      <w:tblGrid>
        <w:gridCol w:w="2086"/>
        <w:gridCol w:w="146"/>
        <w:gridCol w:w="566"/>
        <w:gridCol w:w="2869"/>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2869" w:type="dxa"/>
            <w:tcBorders/>
            <w:vAlign w:val="center"/>
          </w:tcPr>
          <w:p>
            <w:pPr>
              <w:pStyle w:val="TableContents"/>
              <w:bidi w:val="0"/>
              <w:spacing w:before="0" w:after="283"/>
              <w:jc w:val="left"/>
              <w:rPr>
                <w:sz w:val="4"/>
                <w:szCs w:val="4"/>
              </w:rPr>
            </w:pPr>
            <w:r>
              <w:rPr>
                <w:sz w:val="4"/>
                <w:szCs w:val="4"/>
              </w:rPr>
            </w:r>
          </w:p>
        </w:tc>
      </w:tr>
      <w:tr>
        <w:trPr/>
        <w:tc>
          <w:tcPr>
            <w:tcW w:w="20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66" w:type="dxa"/>
            <w:tcBorders/>
            <w:vAlign w:val="center"/>
          </w:tcPr>
          <w:p>
            <w:pPr>
              <w:pStyle w:val="TableContents"/>
              <w:bidi w:val="0"/>
              <w:spacing w:before="0" w:after="283"/>
              <w:jc w:val="left"/>
              <w:rPr/>
            </w:pPr>
            <w:r>
              <w:rPr/>
              <w:t> </w:t>
            </w:r>
          </w:p>
        </w:tc>
        <w:tc>
          <w:tcPr>
            <w:tcW w:w="2869" w:type="dxa"/>
            <w:tcBorders/>
            <w:vAlign w:val="center"/>
          </w:tcPr>
          <w:p>
            <w:pPr>
              <w:pStyle w:val="TableContents"/>
              <w:bidi w:val="0"/>
              <w:spacing w:before="0" w:after="283"/>
              <w:jc w:val="left"/>
              <w:rPr/>
            </w:pPr>
            <w:r>
              <w:rPr/>
              <w:t> </w:t>
            </w:r>
          </w:p>
        </w:tc>
      </w:tr>
      <w:tr>
        <w:trPr/>
        <w:tc>
          <w:tcPr>
            <w:tcW w:w="20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2"/>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SYNDAX PHARMACEUTICALS, INC.</w:t>
            </w:r>
          </w:p>
        </w:tc>
      </w:tr>
      <w:tr>
        <w:trPr/>
        <w:tc>
          <w:tcPr>
            <w:tcW w:w="20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66" w:type="dxa"/>
            <w:tcBorders/>
            <w:vAlign w:val="center"/>
          </w:tcPr>
          <w:p>
            <w:pPr>
              <w:pStyle w:val="TableContents"/>
              <w:bidi w:val="0"/>
              <w:spacing w:before="0" w:after="283"/>
              <w:jc w:val="left"/>
              <w:rPr/>
            </w:pPr>
            <w:r>
              <w:rPr/>
              <w:t> </w:t>
            </w:r>
          </w:p>
        </w:tc>
        <w:tc>
          <w:tcPr>
            <w:tcW w:w="2869" w:type="dxa"/>
            <w:tcBorders/>
            <w:vAlign w:val="center"/>
          </w:tcPr>
          <w:p>
            <w:pPr>
              <w:pStyle w:val="TableContents"/>
              <w:bidi w:val="0"/>
              <w:spacing w:before="0" w:after="283"/>
              <w:jc w:val="left"/>
              <w:rPr/>
            </w:pPr>
            <w:r>
              <w:rPr/>
              <w:t> </w:t>
            </w:r>
          </w:p>
        </w:tc>
      </w:tr>
      <w:tr>
        <w:trPr/>
        <w:tc>
          <w:tcPr>
            <w:tcW w:w="208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27, 2024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869"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Michael A. Metzger</w:t>
            </w:r>
          </w:p>
        </w:tc>
      </w:tr>
      <w:tr>
        <w:trPr/>
        <w:tc>
          <w:tcPr>
            <w:tcW w:w="20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9"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A. Metzger</w:t>
            </w:r>
          </w:p>
        </w:tc>
      </w:tr>
      <w:tr>
        <w:trPr/>
        <w:tc>
          <w:tcPr>
            <w:tcW w:w="20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9" w:type="dxa"/>
            <w:tcBorders/>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Chief Executive Officer</w:t>
            </w:r>
          </w:p>
        </w:tc>
      </w:tr>
    </w:tbl>
    <w:p>
      <w:pPr>
        <w:pStyle w:val="TextBody"/>
        <w:bidi w:val="0"/>
        <w:spacing w:before="480" w:after="283"/>
        <w:jc w:val="center"/>
        <w:rPr>
          <w:rFonts w:ascii="Times New Roman" w:hAnsi="Times New Roman"/>
          <w:sz w:val="20"/>
        </w:rPr>
      </w:pPr>
      <w:bookmarkStart w:id="31" w:name="power_attorney"/>
      <w:bookmarkEnd w:id="31"/>
      <w:r>
        <w:rPr>
          <w:rFonts w:ascii="Times New Roman" w:hAnsi="Times New Roman"/>
          <w:b/>
          <w:color w:val="000000"/>
          <w:sz w:val="20"/>
        </w:rPr>
        <w:t>POWER OF ATTORNEY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Each person whose individual signature appears below hereby authorizes and appoints Michael A. Metzger and Luke J. Albrecht,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or her substitute or substitutes may lawfully do or cause to be done by virtue thereof.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this report has been signed below by the following persons on behalf of the registrant and in the capacities and on the dates indicated. </w:t>
      </w:r>
    </w:p>
    <w:tbl>
      <w:tblPr>
        <w:tblW w:w="2050" w:type="dxa"/>
        <w:jc w:val="left"/>
        <w:tblInd w:w="0" w:type="dxa"/>
        <w:tblLayout w:type="fixed"/>
        <w:tblCellMar>
          <w:top w:w="28" w:type="dxa"/>
          <w:left w:w="28" w:type="dxa"/>
          <w:bottom w:w="28" w:type="dxa"/>
          <w:right w:w="28" w:type="dxa"/>
        </w:tblCellMar>
      </w:tblPr>
      <w:tblGrid>
        <w:gridCol w:w="826"/>
        <w:gridCol w:w="146"/>
        <w:gridCol w:w="436"/>
        <w:gridCol w:w="146"/>
        <w:gridCol w:w="496"/>
      </w:tblGrid>
      <w:tr>
        <w:trPr/>
        <w:tc>
          <w:tcPr>
            <w:tcW w:w="82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3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96" w:type="dxa"/>
            <w:tcBorders/>
            <w:shd w:fill="FFFFFF" w:val="clear"/>
            <w:vAlign w:val="center"/>
          </w:tcPr>
          <w:p>
            <w:pPr>
              <w:pStyle w:val="TableContents"/>
              <w:bidi w:val="0"/>
              <w:spacing w:before="0" w:after="283"/>
              <w:jc w:val="left"/>
              <w:rPr>
                <w:sz w:val="4"/>
                <w:szCs w:val="4"/>
              </w:rPr>
            </w:pPr>
            <w:r>
              <w:rPr>
                <w:sz w:val="4"/>
                <w:szCs w:val="4"/>
              </w:rPr>
            </w:r>
          </w:p>
        </w:tc>
      </w:tr>
      <w:tr>
        <w:trPr/>
        <w:tc>
          <w:tcPr>
            <w:tcW w:w="8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96" w:type="dxa"/>
            <w:tcBorders/>
            <w:vAlign w:val="center"/>
          </w:tcPr>
          <w:p>
            <w:pPr>
              <w:pStyle w:val="TableContents"/>
              <w:bidi w:val="0"/>
              <w:spacing w:before="0" w:after="283"/>
              <w:jc w:val="left"/>
              <w:rPr/>
            </w:pPr>
            <w:r>
              <w:rPr/>
              <w:t> </w:t>
            </w:r>
          </w:p>
        </w:tc>
      </w:tr>
      <w:tr>
        <w:trPr/>
        <w:tc>
          <w:tcPr>
            <w:tcW w:w="8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Signature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r>
      <w:tr>
        <w:trPr/>
        <w:tc>
          <w:tcPr>
            <w:tcW w:w="8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96" w:type="dxa"/>
            <w:tcBorders/>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545" w:type="dxa"/>
        <w:jc w:val="left"/>
        <w:tblInd w:w="0" w:type="dxa"/>
        <w:tblLayout w:type="fixed"/>
        <w:tblCellMar>
          <w:top w:w="28" w:type="dxa"/>
          <w:left w:w="28" w:type="dxa"/>
          <w:bottom w:w="28" w:type="dxa"/>
          <w:right w:w="28" w:type="dxa"/>
        </w:tblCellMar>
      </w:tblPr>
      <w:tblGrid>
        <w:gridCol w:w="2656"/>
        <w:gridCol w:w="386"/>
        <w:gridCol w:w="3721"/>
        <w:gridCol w:w="146"/>
        <w:gridCol w:w="1636"/>
      </w:tblGrid>
      <w:tr>
        <w:trPr/>
        <w:tc>
          <w:tcPr>
            <w:tcW w:w="2656" w:type="dxa"/>
            <w:tcBorders/>
            <w:shd w:fill="FFFFFF" w:val="clear"/>
            <w:vAlign w:val="center"/>
          </w:tcPr>
          <w:p>
            <w:pPr>
              <w:pStyle w:val="TableContents"/>
              <w:bidi w:val="0"/>
              <w:spacing w:before="0" w:after="283"/>
              <w:jc w:val="left"/>
              <w:rPr>
                <w:sz w:val="4"/>
                <w:szCs w:val="4"/>
              </w:rPr>
            </w:pPr>
            <w:r>
              <w:rPr>
                <w:sz w:val="4"/>
                <w:szCs w:val="4"/>
              </w:rPr>
            </w:r>
          </w:p>
        </w:tc>
        <w:tc>
          <w:tcPr>
            <w:tcW w:w="386" w:type="dxa"/>
            <w:tcBorders/>
            <w:shd w:fill="FFFFFF" w:val="clear"/>
            <w:vAlign w:val="center"/>
          </w:tcPr>
          <w:p>
            <w:pPr>
              <w:pStyle w:val="TableContents"/>
              <w:bidi w:val="0"/>
              <w:spacing w:before="0" w:after="283"/>
              <w:jc w:val="left"/>
              <w:rPr>
                <w:sz w:val="4"/>
                <w:szCs w:val="4"/>
              </w:rPr>
            </w:pPr>
            <w:r>
              <w:rPr>
                <w:sz w:val="4"/>
                <w:szCs w:val="4"/>
              </w:rPr>
            </w:r>
          </w:p>
        </w:tc>
        <w:tc>
          <w:tcPr>
            <w:tcW w:w="372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636" w:type="dxa"/>
            <w:tcBorders/>
            <w:shd w:fill="FFFFFF" w:val="clear"/>
            <w:vAlign w:val="center"/>
          </w:tcPr>
          <w:p>
            <w:pPr>
              <w:pStyle w:val="TableContents"/>
              <w:bidi w:val="0"/>
              <w:spacing w:before="0" w:after="283"/>
              <w:jc w:val="left"/>
              <w:rPr>
                <w:sz w:val="4"/>
                <w:szCs w:val="4"/>
              </w:rPr>
            </w:pPr>
            <w:r>
              <w:rPr>
                <w:sz w:val="4"/>
                <w:szCs w:val="4"/>
              </w:rPr>
            </w:r>
          </w:p>
        </w:tc>
      </w:tr>
      <w:tr>
        <w:trPr/>
        <w:tc>
          <w:tcPr>
            <w:tcW w:w="2656" w:type="dxa"/>
            <w:tcBorders/>
            <w:vAlign w:val="center"/>
          </w:tcPr>
          <w:p>
            <w:pPr>
              <w:pStyle w:val="TableContents"/>
              <w:bidi w:val="0"/>
              <w:spacing w:before="0" w:after="283"/>
              <w:jc w:val="left"/>
              <w:rPr/>
            </w:pPr>
            <w:r>
              <w:rPr/>
              <w:t> </w:t>
            </w:r>
          </w:p>
        </w:tc>
        <w:tc>
          <w:tcPr>
            <w:tcW w:w="386" w:type="dxa"/>
            <w:tcBorders/>
            <w:vAlign w:val="center"/>
          </w:tcPr>
          <w:p>
            <w:pPr>
              <w:pStyle w:val="TableContents"/>
              <w:bidi w:val="0"/>
              <w:spacing w:before="0" w:after="283"/>
              <w:jc w:val="left"/>
              <w:rPr/>
            </w:pPr>
            <w:r>
              <w:rPr/>
              <w:t> </w:t>
            </w:r>
          </w:p>
        </w:tc>
        <w:tc>
          <w:tcPr>
            <w:tcW w:w="372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636" w:type="dxa"/>
            <w:tcBorders/>
            <w:vAlign w:val="center"/>
          </w:tcPr>
          <w:p>
            <w:pPr>
              <w:pStyle w:val="TableContents"/>
              <w:bidi w:val="0"/>
              <w:spacing w:before="0" w:after="283"/>
              <w:jc w:val="left"/>
              <w:rPr/>
            </w:pPr>
            <w:r>
              <w:rPr/>
              <w:t> </w:t>
            </w:r>
          </w:p>
        </w:tc>
      </w:tr>
      <w:tr>
        <w:trPr/>
        <w:tc>
          <w:tcPr>
            <w:tcW w:w="2656" w:type="dxa"/>
            <w:tcBorders>
              <w:bottom w:val="single" w:sz="4" w:space="0" w:color="000000"/>
            </w:tcBorders>
            <w:tcMar>
              <w:top w:w="0" w:type="dxa"/>
              <w:left w:w="0" w:type="dxa"/>
              <w:right w:w="0" w:type="dxa"/>
            </w:tcMar>
            <w:vAlign w:val="center"/>
          </w:tcPr>
          <w:p>
            <w:pPr>
              <w:pStyle w:val="TableContents"/>
              <w:bidi w:val="0"/>
              <w:spacing w:before="0" w:after="283"/>
              <w:ind w:left="0" w:right="0" w:firstLine="240"/>
              <w:jc w:val="center"/>
              <w:rPr>
                <w:rFonts w:ascii="Times New Roman" w:hAnsi="Times New Roman"/>
                <w:color w:val="000000"/>
                <w:sz w:val="20"/>
              </w:rPr>
            </w:pPr>
            <w:r>
              <w:rPr>
                <w:rFonts w:ascii="Times New Roman" w:hAnsi="Times New Roman"/>
                <w:color w:val="000000"/>
                <w:sz w:val="20"/>
              </w:rPr>
              <w:t>/s/ Michael A. Metzger</w:t>
            </w:r>
          </w:p>
        </w:tc>
        <w:tc>
          <w:tcPr>
            <w:tcW w:w="386" w:type="dxa"/>
            <w:tcBorders>
              <w:bottom w:val="single" w:sz="4" w:space="0" w:color="000000"/>
            </w:tcBorders>
            <w:tcMar>
              <w:top w:w="0" w:type="dxa"/>
              <w:left w:w="0" w:type="dxa"/>
              <w:right w:w="0" w:type="dxa"/>
            </w:tcMar>
            <w:vAlign w:val="center"/>
          </w:tcPr>
          <w:p>
            <w:pPr>
              <w:pStyle w:val="TableContents"/>
              <w:pBdr/>
              <w:bidi w:val="0"/>
              <w:spacing w:before="0" w:after="283"/>
              <w:ind w:left="0" w:right="0" w:firstLine="240"/>
              <w:jc w:val="center"/>
              <w:rPr/>
            </w:pPr>
            <w:r>
              <w:rPr/>
              <w:t> </w:t>
            </w:r>
          </w:p>
        </w:tc>
        <w:tc>
          <w:tcPr>
            <w:tcW w:w="3721" w:type="dxa"/>
            <w:vMerge w:val="restart"/>
            <w:tcBorders/>
            <w:vAlign w:val="center"/>
          </w:tcPr>
          <w:p>
            <w:pPr>
              <w:pStyle w:val="TableContents"/>
              <w:pBdr/>
              <w:bidi w:val="0"/>
              <w:ind w:left="0" w:right="0" w:hanging="240"/>
              <w:jc w:val="center"/>
              <w:rPr>
                <w:rFonts w:ascii="Times New Roman" w:hAnsi="Times New Roman"/>
                <w:color w:val="000000"/>
                <w:sz w:val="20"/>
              </w:rPr>
            </w:pPr>
            <w:r>
              <w:rPr>
                <w:rFonts w:ascii="Times New Roman" w:hAnsi="Times New Roman"/>
                <w:color w:val="000000"/>
                <w:sz w:val="20"/>
              </w:rPr>
              <w:t>Chief Executive Officer and Director</w:t>
            </w:r>
          </w:p>
          <w:p>
            <w:pPr>
              <w:pStyle w:val="TableContents"/>
              <w:pBdr/>
              <w:bidi w:val="0"/>
              <w:spacing w:before="0" w:after="283"/>
              <w:ind w:left="0" w:right="0" w:hanging="240"/>
              <w:jc w:val="center"/>
              <w:rPr>
                <w:rFonts w:ascii="Times New Roman" w:hAnsi="Times New Roman"/>
                <w:color w:val="000000"/>
                <w:sz w:val="20"/>
              </w:rPr>
            </w:pPr>
            <w:r>
              <w:rPr>
                <w:rFonts w:ascii="Times New Roman" w:hAnsi="Times New Roman"/>
                <w:color w:val="000000"/>
                <w:sz w:val="20"/>
              </w:rPr>
              <w:t>(Principal Executive Officer)</w:t>
            </w:r>
          </w:p>
        </w:tc>
        <w:tc>
          <w:tcPr>
            <w:tcW w:w="146" w:type="dxa"/>
            <w:tcBorders/>
            <w:vAlign w:val="center"/>
          </w:tcPr>
          <w:p>
            <w:pPr>
              <w:pStyle w:val="TableContents"/>
              <w:bidi w:val="0"/>
              <w:spacing w:before="0" w:after="283"/>
              <w:jc w:val="center"/>
              <w:rPr/>
            </w:pPr>
            <w:r>
              <w:rPr/>
              <w:t> </w:t>
            </w:r>
          </w:p>
        </w:tc>
        <w:tc>
          <w:tcPr>
            <w:tcW w:w="1636" w:type="dxa"/>
            <w:vMerge w:val="restart"/>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27, 2024</w:t>
            </w:r>
          </w:p>
        </w:tc>
      </w:tr>
      <w:tr>
        <w:trPr/>
        <w:tc>
          <w:tcPr>
            <w:tcW w:w="265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Michael A. Metzger</w:t>
            </w:r>
          </w:p>
        </w:tc>
        <w:tc>
          <w:tcPr>
            <w:tcW w:w="386" w:type="dxa"/>
            <w:tcBorders/>
            <w:vAlign w:val="center"/>
          </w:tcPr>
          <w:p>
            <w:pPr>
              <w:pStyle w:val="TableContents"/>
              <w:bidi w:val="0"/>
              <w:spacing w:before="0" w:after="283"/>
              <w:jc w:val="left"/>
              <w:rPr/>
            </w:pPr>
            <w:r>
              <w:rPr/>
              <w:t> </w:t>
            </w:r>
          </w:p>
        </w:tc>
        <w:tc>
          <w:tcPr>
            <w:tcW w:w="3721" w:type="dxa"/>
            <w:vMerge w:val="continue"/>
            <w:tcBorders/>
            <w:vAlign w:val="center"/>
          </w:tcPr>
          <w:p>
            <w:pPr>
              <w:pStyle w:val="Normal"/>
              <w:bidi w:val="0"/>
              <w:jc w:val="left"/>
              <w:rPr/>
            </w:pPr>
            <w:r>
              <w:rPr/>
            </w:r>
          </w:p>
        </w:tc>
        <w:tc>
          <w:tcPr>
            <w:tcW w:w="146" w:type="dxa"/>
            <w:tcBorders/>
            <w:vAlign w:val="center"/>
          </w:tcPr>
          <w:p>
            <w:pPr>
              <w:pStyle w:val="TableContents"/>
              <w:bidi w:val="0"/>
              <w:spacing w:before="0" w:after="283"/>
              <w:jc w:val="left"/>
              <w:rPr/>
            </w:pPr>
            <w:r>
              <w:rPr/>
              <w:t> </w:t>
            </w:r>
          </w:p>
        </w:tc>
        <w:tc>
          <w:tcPr>
            <w:tcW w:w="1636" w:type="dxa"/>
            <w:vMerge w:val="continue"/>
            <w:tcBorders/>
            <w:vAlign w:val="center"/>
          </w:tcPr>
          <w:p>
            <w:pPr>
              <w:pStyle w:val="Normal"/>
              <w:bidi w:val="0"/>
              <w:jc w:val="left"/>
              <w:rPr/>
            </w:pPr>
            <w:r>
              <w:rPr/>
            </w:r>
          </w:p>
        </w:tc>
      </w:tr>
      <w:tr>
        <w:trPr/>
        <w:tc>
          <w:tcPr>
            <w:tcW w:w="2656" w:type="dxa"/>
            <w:tcBorders/>
            <w:vAlign w:val="center"/>
          </w:tcPr>
          <w:p>
            <w:pPr>
              <w:pStyle w:val="TableContents"/>
              <w:bidi w:val="0"/>
              <w:spacing w:before="0" w:after="283"/>
              <w:jc w:val="left"/>
              <w:rPr/>
            </w:pPr>
            <w:r>
              <w:rPr/>
              <w:t> </w:t>
            </w:r>
          </w:p>
        </w:tc>
        <w:tc>
          <w:tcPr>
            <w:tcW w:w="386" w:type="dxa"/>
            <w:tcBorders/>
            <w:vAlign w:val="center"/>
          </w:tcPr>
          <w:p>
            <w:pPr>
              <w:pStyle w:val="TableContents"/>
              <w:bidi w:val="0"/>
              <w:spacing w:before="0" w:after="283"/>
              <w:jc w:val="left"/>
              <w:rPr/>
            </w:pPr>
            <w:r>
              <w:rPr/>
              <w:t> </w:t>
            </w:r>
          </w:p>
        </w:tc>
        <w:tc>
          <w:tcPr>
            <w:tcW w:w="372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636" w:type="dxa"/>
            <w:tcBorders/>
            <w:vAlign w:val="center"/>
          </w:tcPr>
          <w:p>
            <w:pPr>
              <w:pStyle w:val="TableContents"/>
              <w:bidi w:val="0"/>
              <w:spacing w:before="0" w:after="283"/>
              <w:jc w:val="left"/>
              <w:rPr/>
            </w:pPr>
            <w:r>
              <w:rPr/>
              <w:t> </w:t>
            </w:r>
          </w:p>
        </w:tc>
      </w:tr>
      <w:tr>
        <w:trPr/>
        <w:tc>
          <w:tcPr>
            <w:tcW w:w="2656" w:type="dxa"/>
            <w:tcBorders>
              <w:bottom w:val="single" w:sz="4" w:space="0" w:color="000000"/>
            </w:tcBorders>
            <w:tcMar>
              <w:top w:w="0" w:type="dxa"/>
              <w:left w:w="0" w:type="dxa"/>
              <w:right w:w="0" w:type="dxa"/>
            </w:tcMar>
            <w:vAlign w:val="center"/>
          </w:tcPr>
          <w:p>
            <w:pPr>
              <w:pStyle w:val="TableContents"/>
              <w:bidi w:val="0"/>
              <w:spacing w:before="0" w:after="283"/>
              <w:ind w:left="0" w:right="0" w:firstLine="240"/>
              <w:jc w:val="center"/>
              <w:rPr>
                <w:rFonts w:ascii="Times New Roman" w:hAnsi="Times New Roman"/>
                <w:color w:val="000000"/>
                <w:sz w:val="20"/>
              </w:rPr>
            </w:pPr>
            <w:r>
              <w:rPr>
                <w:rFonts w:ascii="Times New Roman" w:hAnsi="Times New Roman"/>
                <w:color w:val="000000"/>
                <w:sz w:val="20"/>
              </w:rPr>
              <w:t>/s/ Keith Goldan</w:t>
            </w:r>
          </w:p>
        </w:tc>
        <w:tc>
          <w:tcPr>
            <w:tcW w:w="386" w:type="dxa"/>
            <w:tcBorders>
              <w:bottom w:val="single" w:sz="4" w:space="0" w:color="000000"/>
            </w:tcBorders>
            <w:tcMar>
              <w:top w:w="0" w:type="dxa"/>
              <w:left w:w="0" w:type="dxa"/>
              <w:right w:w="0" w:type="dxa"/>
            </w:tcMar>
            <w:vAlign w:val="center"/>
          </w:tcPr>
          <w:p>
            <w:pPr>
              <w:pStyle w:val="TableContents"/>
              <w:pBdr/>
              <w:bidi w:val="0"/>
              <w:spacing w:before="0" w:after="283"/>
              <w:ind w:left="0" w:right="0" w:firstLine="240"/>
              <w:jc w:val="center"/>
              <w:rPr/>
            </w:pPr>
            <w:r>
              <w:rPr/>
              <w:t> </w:t>
            </w:r>
          </w:p>
        </w:tc>
        <w:tc>
          <w:tcPr>
            <w:tcW w:w="3721" w:type="dxa"/>
            <w:vMerge w:val="restart"/>
            <w:tcBorders/>
            <w:vAlign w:val="center"/>
          </w:tcPr>
          <w:p>
            <w:pPr>
              <w:pStyle w:val="TableContents"/>
              <w:pBdr/>
              <w:bidi w:val="0"/>
              <w:ind w:left="0" w:right="0" w:hanging="240"/>
              <w:jc w:val="center"/>
              <w:rPr>
                <w:rFonts w:ascii="Times New Roman" w:hAnsi="Times New Roman"/>
                <w:color w:val="000000"/>
                <w:sz w:val="20"/>
              </w:rPr>
            </w:pPr>
            <w:r>
              <w:rPr>
                <w:rFonts w:ascii="Times New Roman" w:hAnsi="Times New Roman"/>
                <w:color w:val="000000"/>
                <w:sz w:val="20"/>
              </w:rPr>
              <w:t>Chief Financial Officer</w:t>
            </w:r>
          </w:p>
          <w:p>
            <w:pPr>
              <w:pStyle w:val="TableContents"/>
              <w:pBdr/>
              <w:bidi w:val="0"/>
              <w:spacing w:before="0" w:after="283"/>
              <w:ind w:left="0" w:right="0" w:hanging="240"/>
              <w:jc w:val="center"/>
              <w:rPr>
                <w:rFonts w:ascii="Times New Roman" w:hAnsi="Times New Roman"/>
                <w:color w:val="000000"/>
                <w:sz w:val="20"/>
              </w:rPr>
            </w:pPr>
            <w:r>
              <w:rPr>
                <w:rFonts w:ascii="Times New Roman" w:hAnsi="Times New Roman"/>
                <w:color w:val="000000"/>
                <w:sz w:val="20"/>
              </w:rPr>
              <w:t>(Principal Financial and Accounting Officer)</w:t>
            </w:r>
          </w:p>
        </w:tc>
        <w:tc>
          <w:tcPr>
            <w:tcW w:w="146" w:type="dxa"/>
            <w:tcBorders/>
            <w:vAlign w:val="center"/>
          </w:tcPr>
          <w:p>
            <w:pPr>
              <w:pStyle w:val="TableContents"/>
              <w:bidi w:val="0"/>
              <w:spacing w:before="0" w:after="283"/>
              <w:jc w:val="center"/>
              <w:rPr/>
            </w:pPr>
            <w:r>
              <w:rPr/>
              <w:t> </w:t>
            </w:r>
          </w:p>
        </w:tc>
        <w:tc>
          <w:tcPr>
            <w:tcW w:w="1636" w:type="dxa"/>
            <w:vMerge w:val="restart"/>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27, 2024</w:t>
            </w:r>
          </w:p>
        </w:tc>
      </w:tr>
      <w:tr>
        <w:trPr/>
        <w:tc>
          <w:tcPr>
            <w:tcW w:w="2656" w:type="dxa"/>
            <w:tcBorders/>
            <w:vAlign w:val="center"/>
          </w:tcPr>
          <w:p>
            <w:pPr>
              <w:pStyle w:val="TableContents"/>
              <w:bidi w:val="0"/>
              <w:spacing w:before="0" w:after="283"/>
              <w:ind w:left="0" w:right="0" w:firstLine="240"/>
              <w:jc w:val="center"/>
              <w:rPr>
                <w:rFonts w:ascii="Times New Roman" w:hAnsi="Times New Roman"/>
                <w:color w:val="000000"/>
                <w:sz w:val="20"/>
              </w:rPr>
            </w:pPr>
            <w:r>
              <w:rPr>
                <w:rFonts w:ascii="Times New Roman" w:hAnsi="Times New Roman"/>
                <w:color w:val="000000"/>
                <w:sz w:val="20"/>
              </w:rPr>
              <w:t>Keith Goldan</w:t>
            </w:r>
          </w:p>
        </w:tc>
        <w:tc>
          <w:tcPr>
            <w:tcW w:w="386" w:type="dxa"/>
            <w:tcBorders/>
            <w:vAlign w:val="center"/>
          </w:tcPr>
          <w:p>
            <w:pPr>
              <w:pStyle w:val="TableContents"/>
              <w:pBdr/>
              <w:bidi w:val="0"/>
              <w:spacing w:before="0" w:after="283"/>
              <w:ind w:left="0" w:right="0" w:hanging="240"/>
              <w:jc w:val="center"/>
              <w:rPr/>
            </w:pPr>
            <w:r>
              <w:rPr/>
              <w:t> </w:t>
            </w:r>
          </w:p>
        </w:tc>
        <w:tc>
          <w:tcPr>
            <w:tcW w:w="3721" w:type="dxa"/>
            <w:vMerge w:val="continue"/>
            <w:tcBorders/>
            <w:vAlign w:val="center"/>
          </w:tcPr>
          <w:p>
            <w:pPr>
              <w:pStyle w:val="Normal"/>
              <w:bidi w:val="0"/>
              <w:jc w:val="left"/>
              <w:rPr/>
            </w:pPr>
            <w:r>
              <w:rPr/>
            </w:r>
          </w:p>
        </w:tc>
        <w:tc>
          <w:tcPr>
            <w:tcW w:w="146" w:type="dxa"/>
            <w:tcBorders/>
            <w:vAlign w:val="center"/>
          </w:tcPr>
          <w:p>
            <w:pPr>
              <w:pStyle w:val="TableContents"/>
              <w:bidi w:val="0"/>
              <w:spacing w:before="0" w:after="283"/>
              <w:jc w:val="center"/>
              <w:rPr/>
            </w:pPr>
            <w:r>
              <w:rPr/>
              <w:t> </w:t>
            </w:r>
          </w:p>
        </w:tc>
        <w:tc>
          <w:tcPr>
            <w:tcW w:w="1636" w:type="dxa"/>
            <w:vMerge w:val="continue"/>
            <w:tcBorders/>
            <w:vAlign w:val="center"/>
          </w:tcPr>
          <w:p>
            <w:pPr>
              <w:pStyle w:val="Normal"/>
              <w:bidi w:val="0"/>
              <w:jc w:val="left"/>
              <w:rPr/>
            </w:pPr>
            <w:r>
              <w:rPr/>
            </w:r>
          </w:p>
        </w:tc>
      </w:tr>
      <w:tr>
        <w:trPr/>
        <w:tc>
          <w:tcPr>
            <w:tcW w:w="2656" w:type="dxa"/>
            <w:tcBorders/>
            <w:vAlign w:val="center"/>
          </w:tcPr>
          <w:p>
            <w:pPr>
              <w:pStyle w:val="TableContents"/>
              <w:bidi w:val="0"/>
              <w:spacing w:before="0" w:after="283"/>
              <w:jc w:val="left"/>
              <w:rPr/>
            </w:pPr>
            <w:r>
              <w:rPr/>
              <w:t> </w:t>
            </w:r>
          </w:p>
        </w:tc>
        <w:tc>
          <w:tcPr>
            <w:tcW w:w="386" w:type="dxa"/>
            <w:tcBorders/>
            <w:vAlign w:val="center"/>
          </w:tcPr>
          <w:p>
            <w:pPr>
              <w:pStyle w:val="TableContents"/>
              <w:bidi w:val="0"/>
              <w:spacing w:before="0" w:after="283"/>
              <w:jc w:val="left"/>
              <w:rPr/>
            </w:pPr>
            <w:r>
              <w:rPr/>
              <w:t> </w:t>
            </w:r>
          </w:p>
        </w:tc>
        <w:tc>
          <w:tcPr>
            <w:tcW w:w="372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636" w:type="dxa"/>
            <w:tcBorders/>
            <w:vAlign w:val="center"/>
          </w:tcPr>
          <w:p>
            <w:pPr>
              <w:pStyle w:val="TableContents"/>
              <w:bidi w:val="0"/>
              <w:spacing w:before="0" w:after="283"/>
              <w:jc w:val="left"/>
              <w:rPr/>
            </w:pPr>
            <w:r>
              <w:rPr/>
              <w:t> </w:t>
            </w:r>
          </w:p>
        </w:tc>
      </w:tr>
      <w:tr>
        <w:trPr/>
        <w:tc>
          <w:tcPr>
            <w:tcW w:w="2656" w:type="dxa"/>
            <w:tcBorders>
              <w:bottom w:val="single" w:sz="4" w:space="0" w:color="000000"/>
            </w:tcBorders>
            <w:tcMar>
              <w:top w:w="0" w:type="dxa"/>
              <w:left w:w="0" w:type="dxa"/>
              <w:right w:w="0" w:type="dxa"/>
            </w:tcMar>
            <w:vAlign w:val="center"/>
          </w:tcPr>
          <w:p>
            <w:pPr>
              <w:pStyle w:val="TableContents"/>
              <w:bidi w:val="0"/>
              <w:spacing w:before="0" w:after="283"/>
              <w:ind w:left="0" w:right="0" w:firstLine="240"/>
              <w:jc w:val="center"/>
              <w:rPr>
                <w:rFonts w:ascii="Times New Roman" w:hAnsi="Times New Roman"/>
                <w:color w:val="000000"/>
                <w:sz w:val="20"/>
              </w:rPr>
            </w:pPr>
            <w:r>
              <w:rPr>
                <w:rFonts w:ascii="Times New Roman" w:hAnsi="Times New Roman"/>
                <w:color w:val="000000"/>
                <w:sz w:val="20"/>
              </w:rPr>
              <w:t>/s/ Dennis G. Podlesak</w:t>
            </w:r>
          </w:p>
        </w:tc>
        <w:tc>
          <w:tcPr>
            <w:tcW w:w="386" w:type="dxa"/>
            <w:tcBorders>
              <w:bottom w:val="single" w:sz="4" w:space="0" w:color="000000"/>
            </w:tcBorders>
            <w:tcMar>
              <w:top w:w="0" w:type="dxa"/>
              <w:left w:w="0" w:type="dxa"/>
              <w:right w:w="0" w:type="dxa"/>
            </w:tcMar>
            <w:vAlign w:val="center"/>
          </w:tcPr>
          <w:p>
            <w:pPr>
              <w:pStyle w:val="TableContents"/>
              <w:pBdr/>
              <w:bidi w:val="0"/>
              <w:spacing w:before="0" w:after="283"/>
              <w:ind w:left="0" w:right="0" w:firstLine="240"/>
              <w:jc w:val="center"/>
              <w:rPr/>
            </w:pPr>
            <w:r>
              <w:rPr/>
              <w:t> </w:t>
            </w:r>
          </w:p>
        </w:tc>
        <w:tc>
          <w:tcPr>
            <w:tcW w:w="3721" w:type="dxa"/>
            <w:vMerge w:val="restart"/>
            <w:tcBorders/>
            <w:vAlign w:val="center"/>
          </w:tcPr>
          <w:p>
            <w:pPr>
              <w:pStyle w:val="TableContents"/>
              <w:pBdr/>
              <w:bidi w:val="0"/>
              <w:spacing w:before="0" w:after="283"/>
              <w:ind w:left="0" w:right="0" w:hanging="240"/>
              <w:jc w:val="center"/>
              <w:rPr>
                <w:rFonts w:ascii="Times New Roman" w:hAnsi="Times New Roman"/>
                <w:color w:val="000000"/>
                <w:sz w:val="20"/>
              </w:rPr>
            </w:pPr>
            <w:r>
              <w:rPr>
                <w:rFonts w:ascii="Times New Roman" w:hAnsi="Times New Roman"/>
                <w:color w:val="000000"/>
                <w:sz w:val="20"/>
              </w:rPr>
              <w:t>Chairman of the Board of Directors</w:t>
            </w:r>
          </w:p>
        </w:tc>
        <w:tc>
          <w:tcPr>
            <w:tcW w:w="146" w:type="dxa"/>
            <w:tcBorders/>
            <w:vAlign w:val="center"/>
          </w:tcPr>
          <w:p>
            <w:pPr>
              <w:pStyle w:val="TableContents"/>
              <w:bidi w:val="0"/>
              <w:spacing w:before="0" w:after="283"/>
              <w:jc w:val="center"/>
              <w:rPr/>
            </w:pPr>
            <w:r>
              <w:rPr/>
              <w:t> </w:t>
            </w:r>
          </w:p>
        </w:tc>
        <w:tc>
          <w:tcPr>
            <w:tcW w:w="1636" w:type="dxa"/>
            <w:vMerge w:val="restart"/>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27, 2024</w:t>
            </w:r>
          </w:p>
        </w:tc>
      </w:tr>
      <w:tr>
        <w:trPr/>
        <w:tc>
          <w:tcPr>
            <w:tcW w:w="2656" w:type="dxa"/>
            <w:tcBorders/>
            <w:vAlign w:val="center"/>
          </w:tcPr>
          <w:p>
            <w:pPr>
              <w:pStyle w:val="TableContents"/>
              <w:bidi w:val="0"/>
              <w:spacing w:before="0" w:after="283"/>
              <w:ind w:left="0" w:right="0" w:firstLine="240"/>
              <w:jc w:val="center"/>
              <w:rPr>
                <w:rFonts w:ascii="Times New Roman" w:hAnsi="Times New Roman"/>
                <w:color w:val="000000"/>
                <w:sz w:val="20"/>
              </w:rPr>
            </w:pPr>
            <w:r>
              <w:rPr>
                <w:rFonts w:ascii="Times New Roman" w:hAnsi="Times New Roman"/>
                <w:color w:val="000000"/>
                <w:sz w:val="20"/>
              </w:rPr>
              <w:t>Dennis G. Podlesak</w:t>
            </w:r>
          </w:p>
        </w:tc>
        <w:tc>
          <w:tcPr>
            <w:tcW w:w="386" w:type="dxa"/>
            <w:tcBorders/>
            <w:vAlign w:val="center"/>
          </w:tcPr>
          <w:p>
            <w:pPr>
              <w:pStyle w:val="TableContents"/>
              <w:pBdr/>
              <w:bidi w:val="0"/>
              <w:spacing w:before="0" w:after="283"/>
              <w:ind w:left="0" w:right="0" w:hanging="240"/>
              <w:jc w:val="center"/>
              <w:rPr/>
            </w:pPr>
            <w:r>
              <w:rPr/>
              <w:t> </w:t>
            </w:r>
          </w:p>
        </w:tc>
        <w:tc>
          <w:tcPr>
            <w:tcW w:w="3721" w:type="dxa"/>
            <w:vMerge w:val="continue"/>
            <w:tcBorders/>
            <w:vAlign w:val="center"/>
          </w:tcPr>
          <w:p>
            <w:pPr>
              <w:pStyle w:val="Normal"/>
              <w:bidi w:val="0"/>
              <w:jc w:val="left"/>
              <w:rPr/>
            </w:pPr>
            <w:r>
              <w:rPr/>
            </w:r>
          </w:p>
        </w:tc>
        <w:tc>
          <w:tcPr>
            <w:tcW w:w="146" w:type="dxa"/>
            <w:tcBorders/>
            <w:vAlign w:val="center"/>
          </w:tcPr>
          <w:p>
            <w:pPr>
              <w:pStyle w:val="TableContents"/>
              <w:bidi w:val="0"/>
              <w:spacing w:before="0" w:after="283"/>
              <w:jc w:val="center"/>
              <w:rPr/>
            </w:pPr>
            <w:r>
              <w:rPr/>
              <w:t> </w:t>
            </w:r>
          </w:p>
        </w:tc>
        <w:tc>
          <w:tcPr>
            <w:tcW w:w="1636" w:type="dxa"/>
            <w:vMerge w:val="continue"/>
            <w:tcBorders/>
            <w:vAlign w:val="center"/>
          </w:tcPr>
          <w:p>
            <w:pPr>
              <w:pStyle w:val="Normal"/>
              <w:bidi w:val="0"/>
              <w:jc w:val="left"/>
              <w:rPr/>
            </w:pPr>
            <w:r>
              <w:rPr/>
            </w:r>
          </w:p>
        </w:tc>
      </w:tr>
      <w:tr>
        <w:trPr/>
        <w:tc>
          <w:tcPr>
            <w:tcW w:w="2656" w:type="dxa"/>
            <w:tcBorders/>
            <w:vAlign w:val="center"/>
          </w:tcPr>
          <w:p>
            <w:pPr>
              <w:pStyle w:val="TableContents"/>
              <w:bidi w:val="0"/>
              <w:spacing w:before="0" w:after="283"/>
              <w:jc w:val="left"/>
              <w:rPr/>
            </w:pPr>
            <w:r>
              <w:rPr/>
              <w:t> </w:t>
            </w:r>
          </w:p>
        </w:tc>
        <w:tc>
          <w:tcPr>
            <w:tcW w:w="386" w:type="dxa"/>
            <w:tcBorders/>
            <w:vAlign w:val="center"/>
          </w:tcPr>
          <w:p>
            <w:pPr>
              <w:pStyle w:val="TableContents"/>
              <w:bidi w:val="0"/>
              <w:spacing w:before="0" w:after="283"/>
              <w:jc w:val="left"/>
              <w:rPr/>
            </w:pPr>
            <w:r>
              <w:rPr/>
              <w:t> </w:t>
            </w:r>
          </w:p>
        </w:tc>
        <w:tc>
          <w:tcPr>
            <w:tcW w:w="372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636" w:type="dxa"/>
            <w:tcBorders/>
            <w:vAlign w:val="center"/>
          </w:tcPr>
          <w:p>
            <w:pPr>
              <w:pStyle w:val="TableContents"/>
              <w:bidi w:val="0"/>
              <w:spacing w:before="0" w:after="283"/>
              <w:jc w:val="left"/>
              <w:rPr/>
            </w:pPr>
            <w:r>
              <w:rPr/>
              <w:t> </w:t>
            </w:r>
          </w:p>
        </w:tc>
      </w:tr>
      <w:tr>
        <w:trPr/>
        <w:tc>
          <w:tcPr>
            <w:tcW w:w="265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Martin H. Huber, M.D.</w:t>
            </w:r>
          </w:p>
        </w:tc>
        <w:tc>
          <w:tcPr>
            <w:tcW w:w="3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72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vAlign w:val="center"/>
          </w:tcPr>
          <w:p>
            <w:pPr>
              <w:pStyle w:val="TableContents"/>
              <w:bidi w:val="0"/>
              <w:spacing w:before="0" w:after="283"/>
              <w:jc w:val="left"/>
              <w:rPr/>
            </w:pPr>
            <w:r>
              <w:rPr/>
              <w:t> </w:t>
            </w:r>
          </w:p>
        </w:tc>
        <w:tc>
          <w:tcPr>
            <w:tcW w:w="163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27, 2024</w:t>
            </w:r>
          </w:p>
        </w:tc>
      </w:tr>
      <w:tr>
        <w:trPr/>
        <w:tc>
          <w:tcPr>
            <w:tcW w:w="265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Martin H. Huber, M.D.</w:t>
            </w:r>
          </w:p>
        </w:tc>
        <w:tc>
          <w:tcPr>
            <w:tcW w:w="386" w:type="dxa"/>
            <w:tcBorders/>
            <w:vAlign w:val="center"/>
          </w:tcPr>
          <w:p>
            <w:pPr>
              <w:pStyle w:val="TableContents"/>
              <w:bidi w:val="0"/>
              <w:spacing w:before="0" w:after="283"/>
              <w:jc w:val="left"/>
              <w:rPr/>
            </w:pPr>
            <w:r>
              <w:rPr/>
              <w:t> </w:t>
            </w:r>
          </w:p>
        </w:tc>
        <w:tc>
          <w:tcPr>
            <w:tcW w:w="372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636" w:type="dxa"/>
            <w:tcBorders/>
            <w:vAlign w:val="center"/>
          </w:tcPr>
          <w:p>
            <w:pPr>
              <w:pStyle w:val="TableContents"/>
              <w:bidi w:val="0"/>
              <w:spacing w:before="0" w:after="283"/>
              <w:jc w:val="left"/>
              <w:rPr/>
            </w:pPr>
            <w:r>
              <w:rPr/>
              <w:t> </w:t>
            </w:r>
          </w:p>
        </w:tc>
      </w:tr>
      <w:tr>
        <w:trPr/>
        <w:tc>
          <w:tcPr>
            <w:tcW w:w="2656" w:type="dxa"/>
            <w:tcBorders/>
            <w:vAlign w:val="center"/>
          </w:tcPr>
          <w:p>
            <w:pPr>
              <w:pStyle w:val="TableContents"/>
              <w:bidi w:val="0"/>
              <w:spacing w:before="0" w:after="283"/>
              <w:jc w:val="left"/>
              <w:rPr/>
            </w:pPr>
            <w:r>
              <w:rPr/>
              <w:t> </w:t>
            </w:r>
          </w:p>
        </w:tc>
        <w:tc>
          <w:tcPr>
            <w:tcW w:w="386" w:type="dxa"/>
            <w:tcBorders/>
            <w:vAlign w:val="center"/>
          </w:tcPr>
          <w:p>
            <w:pPr>
              <w:pStyle w:val="TableContents"/>
              <w:bidi w:val="0"/>
              <w:spacing w:before="0" w:after="283"/>
              <w:jc w:val="left"/>
              <w:rPr/>
            </w:pPr>
            <w:r>
              <w:rPr/>
              <w:t> </w:t>
            </w:r>
          </w:p>
        </w:tc>
        <w:tc>
          <w:tcPr>
            <w:tcW w:w="372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636" w:type="dxa"/>
            <w:tcBorders/>
            <w:vAlign w:val="center"/>
          </w:tcPr>
          <w:p>
            <w:pPr>
              <w:pStyle w:val="TableContents"/>
              <w:bidi w:val="0"/>
              <w:spacing w:before="0" w:after="283"/>
              <w:jc w:val="left"/>
              <w:rPr/>
            </w:pPr>
            <w:r>
              <w:rPr/>
              <w:t> </w:t>
            </w:r>
          </w:p>
        </w:tc>
      </w:tr>
      <w:tr>
        <w:trPr/>
        <w:tc>
          <w:tcPr>
            <w:tcW w:w="2656" w:type="dxa"/>
            <w:tcBorders>
              <w:bottom w:val="single" w:sz="4" w:space="0" w:color="000000"/>
            </w:tcBorders>
            <w:tcMar>
              <w:top w:w="0" w:type="dxa"/>
              <w:left w:w="0" w:type="dxa"/>
              <w:right w:w="0" w:type="dxa"/>
            </w:tcMar>
            <w:vAlign w:val="center"/>
          </w:tcPr>
          <w:p>
            <w:pPr>
              <w:pStyle w:val="TableContents"/>
              <w:bidi w:val="0"/>
              <w:spacing w:before="0" w:after="283"/>
              <w:ind w:left="0" w:right="0" w:firstLine="240"/>
              <w:jc w:val="center"/>
              <w:rPr>
                <w:rFonts w:ascii="Times New Roman" w:hAnsi="Times New Roman"/>
                <w:color w:val="000000"/>
                <w:sz w:val="20"/>
              </w:rPr>
            </w:pPr>
            <w:r>
              <w:rPr>
                <w:rFonts w:ascii="Times New Roman" w:hAnsi="Times New Roman"/>
                <w:color w:val="000000"/>
                <w:sz w:val="20"/>
              </w:rPr>
              <w:t>/s/ Jennifer Jarrett</w:t>
            </w:r>
          </w:p>
        </w:tc>
        <w:tc>
          <w:tcPr>
            <w:tcW w:w="386" w:type="dxa"/>
            <w:tcBorders>
              <w:bottom w:val="single" w:sz="4" w:space="0" w:color="000000"/>
            </w:tcBorders>
            <w:tcMar>
              <w:top w:w="0" w:type="dxa"/>
              <w:left w:w="0" w:type="dxa"/>
              <w:right w:w="0" w:type="dxa"/>
            </w:tcMar>
            <w:vAlign w:val="center"/>
          </w:tcPr>
          <w:p>
            <w:pPr>
              <w:pStyle w:val="TableContents"/>
              <w:pBdr/>
              <w:bidi w:val="0"/>
              <w:spacing w:before="0" w:after="283"/>
              <w:ind w:left="0" w:right="0" w:firstLine="240"/>
              <w:jc w:val="center"/>
              <w:rPr/>
            </w:pPr>
            <w:r>
              <w:rPr/>
              <w:t> </w:t>
            </w:r>
          </w:p>
        </w:tc>
        <w:tc>
          <w:tcPr>
            <w:tcW w:w="3721" w:type="dxa"/>
            <w:vMerge w:val="restart"/>
            <w:tcBorders/>
            <w:vAlign w:val="center"/>
          </w:tcPr>
          <w:p>
            <w:pPr>
              <w:pStyle w:val="TableContents"/>
              <w:pBdr/>
              <w:bidi w:val="0"/>
              <w:spacing w:before="0" w:after="283"/>
              <w:ind w:left="0" w:right="0" w:hanging="240"/>
              <w:jc w:val="center"/>
              <w:rPr>
                <w:rFonts w:ascii="Times New Roman" w:hAnsi="Times New Roman"/>
                <w:color w:val="000000"/>
                <w:sz w:val="20"/>
              </w:rPr>
            </w:pPr>
            <w:r>
              <w:rPr>
                <w:rFonts w:ascii="Times New Roman" w:hAnsi="Times New Roman"/>
                <w:color w:val="000000"/>
                <w:sz w:val="20"/>
              </w:rPr>
              <w:t>Director</w:t>
            </w:r>
          </w:p>
        </w:tc>
        <w:tc>
          <w:tcPr>
            <w:tcW w:w="146" w:type="dxa"/>
            <w:tcBorders/>
            <w:vAlign w:val="center"/>
          </w:tcPr>
          <w:p>
            <w:pPr>
              <w:pStyle w:val="TableContents"/>
              <w:bidi w:val="0"/>
              <w:spacing w:before="0" w:after="283"/>
              <w:jc w:val="center"/>
              <w:rPr/>
            </w:pPr>
            <w:r>
              <w:rPr/>
              <w:t> </w:t>
            </w:r>
          </w:p>
        </w:tc>
        <w:tc>
          <w:tcPr>
            <w:tcW w:w="1636" w:type="dxa"/>
            <w:vMerge w:val="restart"/>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27, 2024</w:t>
            </w:r>
          </w:p>
        </w:tc>
      </w:tr>
      <w:tr>
        <w:trPr/>
        <w:tc>
          <w:tcPr>
            <w:tcW w:w="2656" w:type="dxa"/>
            <w:tcBorders/>
            <w:vAlign w:val="center"/>
          </w:tcPr>
          <w:p>
            <w:pPr>
              <w:pStyle w:val="TableContents"/>
              <w:bidi w:val="0"/>
              <w:spacing w:before="0" w:after="283"/>
              <w:ind w:left="0" w:right="0" w:firstLine="240"/>
              <w:jc w:val="center"/>
              <w:rPr>
                <w:rFonts w:ascii="Times New Roman" w:hAnsi="Times New Roman"/>
                <w:color w:val="000000"/>
                <w:sz w:val="20"/>
              </w:rPr>
            </w:pPr>
            <w:r>
              <w:rPr>
                <w:rFonts w:ascii="Times New Roman" w:hAnsi="Times New Roman"/>
                <w:color w:val="000000"/>
                <w:sz w:val="20"/>
              </w:rPr>
              <w:t>Jennifer Jarrett</w:t>
            </w:r>
          </w:p>
        </w:tc>
        <w:tc>
          <w:tcPr>
            <w:tcW w:w="386" w:type="dxa"/>
            <w:tcBorders/>
            <w:vAlign w:val="center"/>
          </w:tcPr>
          <w:p>
            <w:pPr>
              <w:pStyle w:val="TableContents"/>
              <w:pBdr/>
              <w:bidi w:val="0"/>
              <w:spacing w:before="0" w:after="283"/>
              <w:ind w:left="0" w:right="0" w:hanging="240"/>
              <w:jc w:val="center"/>
              <w:rPr/>
            </w:pPr>
            <w:r>
              <w:rPr/>
              <w:t> </w:t>
            </w:r>
          </w:p>
        </w:tc>
        <w:tc>
          <w:tcPr>
            <w:tcW w:w="3721" w:type="dxa"/>
            <w:vMerge w:val="continue"/>
            <w:tcBorders/>
            <w:vAlign w:val="center"/>
          </w:tcPr>
          <w:p>
            <w:pPr>
              <w:pStyle w:val="Normal"/>
              <w:bidi w:val="0"/>
              <w:jc w:val="left"/>
              <w:rPr/>
            </w:pPr>
            <w:r>
              <w:rPr/>
            </w:r>
          </w:p>
        </w:tc>
        <w:tc>
          <w:tcPr>
            <w:tcW w:w="146" w:type="dxa"/>
            <w:tcBorders/>
            <w:vAlign w:val="center"/>
          </w:tcPr>
          <w:p>
            <w:pPr>
              <w:pStyle w:val="TableContents"/>
              <w:bidi w:val="0"/>
              <w:spacing w:before="0" w:after="283"/>
              <w:jc w:val="center"/>
              <w:rPr/>
            </w:pPr>
            <w:r>
              <w:rPr/>
              <w:t> </w:t>
            </w:r>
          </w:p>
        </w:tc>
        <w:tc>
          <w:tcPr>
            <w:tcW w:w="1636" w:type="dxa"/>
            <w:vMerge w:val="continue"/>
            <w:tcBorders/>
            <w:vAlign w:val="center"/>
          </w:tcPr>
          <w:p>
            <w:pPr>
              <w:pStyle w:val="Normal"/>
              <w:bidi w:val="0"/>
              <w:jc w:val="left"/>
              <w:rPr/>
            </w:pPr>
            <w:r>
              <w:rPr/>
            </w:r>
          </w:p>
        </w:tc>
      </w:tr>
      <w:tr>
        <w:trPr/>
        <w:tc>
          <w:tcPr>
            <w:tcW w:w="2656" w:type="dxa"/>
            <w:tcBorders/>
            <w:vAlign w:val="center"/>
          </w:tcPr>
          <w:p>
            <w:pPr>
              <w:pStyle w:val="TableContents"/>
              <w:bidi w:val="0"/>
              <w:spacing w:before="0" w:after="283"/>
              <w:jc w:val="left"/>
              <w:rPr/>
            </w:pPr>
            <w:r>
              <w:rPr/>
              <w:t> </w:t>
            </w:r>
          </w:p>
        </w:tc>
        <w:tc>
          <w:tcPr>
            <w:tcW w:w="386" w:type="dxa"/>
            <w:tcBorders/>
            <w:vAlign w:val="center"/>
          </w:tcPr>
          <w:p>
            <w:pPr>
              <w:pStyle w:val="TableContents"/>
              <w:bidi w:val="0"/>
              <w:spacing w:before="0" w:after="283"/>
              <w:jc w:val="left"/>
              <w:rPr/>
            </w:pPr>
            <w:r>
              <w:rPr/>
              <w:t> </w:t>
            </w:r>
          </w:p>
        </w:tc>
        <w:tc>
          <w:tcPr>
            <w:tcW w:w="372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636" w:type="dxa"/>
            <w:tcBorders/>
            <w:vAlign w:val="center"/>
          </w:tcPr>
          <w:p>
            <w:pPr>
              <w:pStyle w:val="TableContents"/>
              <w:bidi w:val="0"/>
              <w:spacing w:before="0" w:after="283"/>
              <w:jc w:val="left"/>
              <w:rPr/>
            </w:pPr>
            <w:r>
              <w:rPr/>
              <w:t> </w:t>
            </w:r>
          </w:p>
        </w:tc>
      </w:tr>
      <w:tr>
        <w:trPr/>
        <w:tc>
          <w:tcPr>
            <w:tcW w:w="2656" w:type="dxa"/>
            <w:tcBorders>
              <w:bottom w:val="single" w:sz="4" w:space="0" w:color="000000"/>
            </w:tcBorders>
            <w:tcMar>
              <w:top w:w="0" w:type="dxa"/>
              <w:left w:w="0" w:type="dxa"/>
              <w:right w:w="0" w:type="dxa"/>
            </w:tcMar>
            <w:vAlign w:val="center"/>
          </w:tcPr>
          <w:p>
            <w:pPr>
              <w:pStyle w:val="TableContents"/>
              <w:bidi w:val="0"/>
              <w:spacing w:before="0" w:after="283"/>
              <w:ind w:left="0" w:right="0" w:firstLine="240"/>
              <w:jc w:val="center"/>
              <w:rPr>
                <w:rFonts w:ascii="Times New Roman" w:hAnsi="Times New Roman"/>
                <w:color w:val="000000"/>
                <w:sz w:val="20"/>
              </w:rPr>
            </w:pPr>
            <w:r>
              <w:rPr>
                <w:rFonts w:ascii="Times New Roman" w:hAnsi="Times New Roman"/>
                <w:color w:val="000000"/>
                <w:sz w:val="20"/>
              </w:rPr>
              <w:t>/s/ Keith A. Katkin</w:t>
            </w:r>
          </w:p>
        </w:tc>
        <w:tc>
          <w:tcPr>
            <w:tcW w:w="386" w:type="dxa"/>
            <w:tcBorders>
              <w:bottom w:val="single" w:sz="4" w:space="0" w:color="000000"/>
            </w:tcBorders>
            <w:tcMar>
              <w:top w:w="0" w:type="dxa"/>
              <w:left w:w="0" w:type="dxa"/>
              <w:right w:w="0" w:type="dxa"/>
            </w:tcMar>
            <w:vAlign w:val="center"/>
          </w:tcPr>
          <w:p>
            <w:pPr>
              <w:pStyle w:val="TableContents"/>
              <w:pBdr/>
              <w:bidi w:val="0"/>
              <w:spacing w:before="0" w:after="283"/>
              <w:ind w:left="0" w:right="0" w:firstLine="240"/>
              <w:jc w:val="center"/>
              <w:rPr/>
            </w:pPr>
            <w:r>
              <w:rPr/>
              <w:t> </w:t>
            </w:r>
          </w:p>
        </w:tc>
        <w:tc>
          <w:tcPr>
            <w:tcW w:w="3721" w:type="dxa"/>
            <w:vMerge w:val="restart"/>
            <w:tcBorders/>
            <w:vAlign w:val="center"/>
          </w:tcPr>
          <w:p>
            <w:pPr>
              <w:pStyle w:val="TableContents"/>
              <w:pBdr/>
              <w:bidi w:val="0"/>
              <w:spacing w:before="0" w:after="283"/>
              <w:ind w:left="0" w:right="0" w:hanging="240"/>
              <w:jc w:val="center"/>
              <w:rPr>
                <w:rFonts w:ascii="Times New Roman" w:hAnsi="Times New Roman"/>
                <w:color w:val="000000"/>
                <w:sz w:val="20"/>
              </w:rPr>
            </w:pPr>
            <w:r>
              <w:rPr>
                <w:rFonts w:ascii="Times New Roman" w:hAnsi="Times New Roman"/>
                <w:color w:val="000000"/>
                <w:sz w:val="20"/>
              </w:rPr>
              <w:t>Director</w:t>
            </w:r>
          </w:p>
        </w:tc>
        <w:tc>
          <w:tcPr>
            <w:tcW w:w="146" w:type="dxa"/>
            <w:tcBorders/>
            <w:vAlign w:val="center"/>
          </w:tcPr>
          <w:p>
            <w:pPr>
              <w:pStyle w:val="TableContents"/>
              <w:bidi w:val="0"/>
              <w:spacing w:before="0" w:after="283"/>
              <w:jc w:val="center"/>
              <w:rPr/>
            </w:pPr>
            <w:r>
              <w:rPr/>
              <w:t> </w:t>
            </w:r>
          </w:p>
        </w:tc>
        <w:tc>
          <w:tcPr>
            <w:tcW w:w="1636" w:type="dxa"/>
            <w:vMerge w:val="restart"/>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27, 2024</w:t>
            </w:r>
          </w:p>
        </w:tc>
      </w:tr>
      <w:tr>
        <w:trPr/>
        <w:tc>
          <w:tcPr>
            <w:tcW w:w="2656" w:type="dxa"/>
            <w:tcBorders/>
            <w:vAlign w:val="center"/>
          </w:tcPr>
          <w:p>
            <w:pPr>
              <w:pStyle w:val="TableContents"/>
              <w:bidi w:val="0"/>
              <w:spacing w:before="0" w:after="283"/>
              <w:ind w:left="0" w:right="0" w:firstLine="240"/>
              <w:jc w:val="center"/>
              <w:rPr>
                <w:rFonts w:ascii="Times New Roman" w:hAnsi="Times New Roman"/>
                <w:color w:val="000000"/>
                <w:sz w:val="20"/>
              </w:rPr>
            </w:pPr>
            <w:r>
              <w:rPr>
                <w:rFonts w:ascii="Times New Roman" w:hAnsi="Times New Roman"/>
                <w:color w:val="000000"/>
                <w:sz w:val="20"/>
              </w:rPr>
              <w:t>Keith A. Katkin</w:t>
            </w:r>
          </w:p>
        </w:tc>
        <w:tc>
          <w:tcPr>
            <w:tcW w:w="386" w:type="dxa"/>
            <w:tcBorders/>
            <w:vAlign w:val="center"/>
          </w:tcPr>
          <w:p>
            <w:pPr>
              <w:pStyle w:val="TableContents"/>
              <w:pBdr/>
              <w:bidi w:val="0"/>
              <w:spacing w:before="0" w:after="283"/>
              <w:ind w:left="0" w:right="0" w:hanging="240"/>
              <w:jc w:val="center"/>
              <w:rPr/>
            </w:pPr>
            <w:r>
              <w:rPr/>
              <w:t> </w:t>
            </w:r>
          </w:p>
        </w:tc>
        <w:tc>
          <w:tcPr>
            <w:tcW w:w="3721" w:type="dxa"/>
            <w:vMerge w:val="continue"/>
            <w:tcBorders/>
            <w:vAlign w:val="center"/>
          </w:tcPr>
          <w:p>
            <w:pPr>
              <w:pStyle w:val="Normal"/>
              <w:bidi w:val="0"/>
              <w:jc w:val="left"/>
              <w:rPr/>
            </w:pPr>
            <w:r>
              <w:rPr/>
            </w:r>
          </w:p>
        </w:tc>
        <w:tc>
          <w:tcPr>
            <w:tcW w:w="146" w:type="dxa"/>
            <w:tcBorders/>
            <w:vAlign w:val="center"/>
          </w:tcPr>
          <w:p>
            <w:pPr>
              <w:pStyle w:val="TableContents"/>
              <w:bidi w:val="0"/>
              <w:spacing w:before="0" w:after="283"/>
              <w:jc w:val="center"/>
              <w:rPr/>
            </w:pPr>
            <w:r>
              <w:rPr/>
              <w:t> </w:t>
            </w:r>
          </w:p>
        </w:tc>
        <w:tc>
          <w:tcPr>
            <w:tcW w:w="1636" w:type="dxa"/>
            <w:vMerge w:val="continue"/>
            <w:tcBorders/>
            <w:vAlign w:val="center"/>
          </w:tcPr>
          <w:p>
            <w:pPr>
              <w:pStyle w:val="Normal"/>
              <w:bidi w:val="0"/>
              <w:jc w:val="left"/>
              <w:rPr/>
            </w:pPr>
            <w:r>
              <w:rPr/>
            </w:r>
          </w:p>
        </w:tc>
      </w:tr>
      <w:tr>
        <w:trPr/>
        <w:tc>
          <w:tcPr>
            <w:tcW w:w="2656" w:type="dxa"/>
            <w:tcBorders/>
            <w:vAlign w:val="center"/>
          </w:tcPr>
          <w:p>
            <w:pPr>
              <w:pStyle w:val="TableContents"/>
              <w:bidi w:val="0"/>
              <w:spacing w:before="0" w:after="283"/>
              <w:jc w:val="left"/>
              <w:rPr/>
            </w:pPr>
            <w:r>
              <w:rPr/>
              <w:t> </w:t>
            </w:r>
          </w:p>
        </w:tc>
        <w:tc>
          <w:tcPr>
            <w:tcW w:w="386" w:type="dxa"/>
            <w:tcBorders/>
            <w:vAlign w:val="center"/>
          </w:tcPr>
          <w:p>
            <w:pPr>
              <w:pStyle w:val="TableContents"/>
              <w:bidi w:val="0"/>
              <w:spacing w:before="0" w:after="283"/>
              <w:jc w:val="left"/>
              <w:rPr/>
            </w:pPr>
            <w:r>
              <w:rPr/>
              <w:t> </w:t>
            </w:r>
          </w:p>
        </w:tc>
        <w:tc>
          <w:tcPr>
            <w:tcW w:w="372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636" w:type="dxa"/>
            <w:tcBorders/>
            <w:vAlign w:val="center"/>
          </w:tcPr>
          <w:p>
            <w:pPr>
              <w:pStyle w:val="TableContents"/>
              <w:bidi w:val="0"/>
              <w:spacing w:before="0" w:after="283"/>
              <w:jc w:val="left"/>
              <w:rPr/>
            </w:pPr>
            <w:r>
              <w:rPr/>
              <w:t> </w:t>
            </w:r>
          </w:p>
        </w:tc>
      </w:tr>
      <w:tr>
        <w:trPr/>
        <w:tc>
          <w:tcPr>
            <w:tcW w:w="2656" w:type="dxa"/>
            <w:tcBorders>
              <w:bottom w:val="single" w:sz="4" w:space="0" w:color="000000"/>
            </w:tcBorders>
            <w:tcMar>
              <w:top w:w="0" w:type="dxa"/>
              <w:left w:w="0" w:type="dxa"/>
              <w:right w:w="0" w:type="dxa"/>
            </w:tcMar>
            <w:vAlign w:val="center"/>
          </w:tcPr>
          <w:p>
            <w:pPr>
              <w:pStyle w:val="TableContents"/>
              <w:bidi w:val="0"/>
              <w:spacing w:before="0" w:after="283"/>
              <w:ind w:left="0" w:right="0" w:firstLine="240"/>
              <w:jc w:val="center"/>
              <w:rPr>
                <w:rFonts w:ascii="Times New Roman" w:hAnsi="Times New Roman"/>
                <w:color w:val="000000"/>
                <w:sz w:val="20"/>
              </w:rPr>
            </w:pPr>
            <w:r>
              <w:rPr>
                <w:rFonts w:ascii="Times New Roman" w:hAnsi="Times New Roman"/>
                <w:color w:val="000000"/>
                <w:sz w:val="20"/>
              </w:rPr>
              <w:t>/s/ Pierre Legault</w:t>
            </w:r>
          </w:p>
        </w:tc>
        <w:tc>
          <w:tcPr>
            <w:tcW w:w="386" w:type="dxa"/>
            <w:tcBorders>
              <w:bottom w:val="single" w:sz="4" w:space="0" w:color="000000"/>
            </w:tcBorders>
            <w:tcMar>
              <w:top w:w="0" w:type="dxa"/>
              <w:left w:w="0" w:type="dxa"/>
              <w:right w:w="0" w:type="dxa"/>
            </w:tcMar>
            <w:vAlign w:val="center"/>
          </w:tcPr>
          <w:p>
            <w:pPr>
              <w:pStyle w:val="TableContents"/>
              <w:pBdr/>
              <w:bidi w:val="0"/>
              <w:spacing w:before="0" w:after="283"/>
              <w:ind w:left="0" w:right="0" w:firstLine="240"/>
              <w:jc w:val="center"/>
              <w:rPr/>
            </w:pPr>
            <w:r>
              <w:rPr/>
              <w:t> </w:t>
            </w:r>
          </w:p>
        </w:tc>
        <w:tc>
          <w:tcPr>
            <w:tcW w:w="3721" w:type="dxa"/>
            <w:vMerge w:val="restart"/>
            <w:tcBorders/>
            <w:vAlign w:val="center"/>
          </w:tcPr>
          <w:p>
            <w:pPr>
              <w:pStyle w:val="TableContents"/>
              <w:pBdr/>
              <w:bidi w:val="0"/>
              <w:spacing w:before="0" w:after="283"/>
              <w:ind w:left="0" w:right="0" w:hanging="240"/>
              <w:jc w:val="center"/>
              <w:rPr>
                <w:rFonts w:ascii="Times New Roman" w:hAnsi="Times New Roman"/>
                <w:color w:val="000000"/>
                <w:sz w:val="20"/>
              </w:rPr>
            </w:pPr>
            <w:r>
              <w:rPr>
                <w:rFonts w:ascii="Times New Roman" w:hAnsi="Times New Roman"/>
                <w:color w:val="000000"/>
                <w:sz w:val="20"/>
              </w:rPr>
              <w:t>Director</w:t>
            </w:r>
          </w:p>
        </w:tc>
        <w:tc>
          <w:tcPr>
            <w:tcW w:w="146" w:type="dxa"/>
            <w:tcBorders/>
            <w:vAlign w:val="center"/>
          </w:tcPr>
          <w:p>
            <w:pPr>
              <w:pStyle w:val="TableContents"/>
              <w:bidi w:val="0"/>
              <w:spacing w:before="0" w:after="283"/>
              <w:jc w:val="center"/>
              <w:rPr/>
            </w:pPr>
            <w:r>
              <w:rPr/>
              <w:t> </w:t>
            </w:r>
          </w:p>
        </w:tc>
        <w:tc>
          <w:tcPr>
            <w:tcW w:w="1636" w:type="dxa"/>
            <w:vMerge w:val="restart"/>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27, 2024</w:t>
            </w:r>
          </w:p>
        </w:tc>
      </w:tr>
      <w:tr>
        <w:trPr/>
        <w:tc>
          <w:tcPr>
            <w:tcW w:w="2656" w:type="dxa"/>
            <w:tcBorders/>
            <w:vAlign w:val="center"/>
          </w:tcPr>
          <w:p>
            <w:pPr>
              <w:pStyle w:val="TableContents"/>
              <w:bidi w:val="0"/>
              <w:spacing w:before="0" w:after="283"/>
              <w:ind w:left="0" w:right="0" w:firstLine="240"/>
              <w:jc w:val="center"/>
              <w:rPr>
                <w:rFonts w:ascii="Times New Roman" w:hAnsi="Times New Roman"/>
                <w:color w:val="000000"/>
                <w:sz w:val="20"/>
              </w:rPr>
            </w:pPr>
            <w:r>
              <w:rPr>
                <w:rFonts w:ascii="Times New Roman" w:hAnsi="Times New Roman"/>
                <w:color w:val="000000"/>
                <w:sz w:val="20"/>
              </w:rPr>
              <w:t>Pierre Legault</w:t>
            </w:r>
          </w:p>
        </w:tc>
        <w:tc>
          <w:tcPr>
            <w:tcW w:w="386" w:type="dxa"/>
            <w:tcBorders/>
            <w:vAlign w:val="center"/>
          </w:tcPr>
          <w:p>
            <w:pPr>
              <w:pStyle w:val="TableContents"/>
              <w:pBdr/>
              <w:bidi w:val="0"/>
              <w:spacing w:before="0" w:after="283"/>
              <w:ind w:left="0" w:right="0" w:hanging="240"/>
              <w:jc w:val="center"/>
              <w:rPr/>
            </w:pPr>
            <w:r>
              <w:rPr/>
              <w:t> </w:t>
            </w:r>
          </w:p>
        </w:tc>
        <w:tc>
          <w:tcPr>
            <w:tcW w:w="3721" w:type="dxa"/>
            <w:vMerge w:val="continue"/>
            <w:tcBorders/>
            <w:vAlign w:val="center"/>
          </w:tcPr>
          <w:p>
            <w:pPr>
              <w:pStyle w:val="Normal"/>
              <w:bidi w:val="0"/>
              <w:jc w:val="left"/>
              <w:rPr/>
            </w:pPr>
            <w:r>
              <w:rPr/>
            </w:r>
          </w:p>
        </w:tc>
        <w:tc>
          <w:tcPr>
            <w:tcW w:w="146" w:type="dxa"/>
            <w:tcBorders/>
            <w:vAlign w:val="center"/>
          </w:tcPr>
          <w:p>
            <w:pPr>
              <w:pStyle w:val="TableContents"/>
              <w:bidi w:val="0"/>
              <w:spacing w:before="0" w:after="283"/>
              <w:jc w:val="center"/>
              <w:rPr/>
            </w:pPr>
            <w:r>
              <w:rPr/>
              <w:t> </w:t>
            </w:r>
          </w:p>
        </w:tc>
        <w:tc>
          <w:tcPr>
            <w:tcW w:w="1636" w:type="dxa"/>
            <w:vMerge w:val="continue"/>
            <w:tcBorders/>
            <w:vAlign w:val="center"/>
          </w:tcPr>
          <w:p>
            <w:pPr>
              <w:pStyle w:val="Normal"/>
              <w:bidi w:val="0"/>
              <w:jc w:val="left"/>
              <w:rPr/>
            </w:pPr>
            <w:r>
              <w:rPr/>
            </w:r>
          </w:p>
        </w:tc>
      </w:tr>
      <w:tr>
        <w:trPr/>
        <w:tc>
          <w:tcPr>
            <w:tcW w:w="2656" w:type="dxa"/>
            <w:tcBorders/>
            <w:vAlign w:val="center"/>
          </w:tcPr>
          <w:p>
            <w:pPr>
              <w:pStyle w:val="TableContents"/>
              <w:bidi w:val="0"/>
              <w:spacing w:before="0" w:after="283"/>
              <w:jc w:val="left"/>
              <w:rPr/>
            </w:pPr>
            <w:r>
              <w:rPr/>
              <w:t> </w:t>
            </w:r>
          </w:p>
        </w:tc>
        <w:tc>
          <w:tcPr>
            <w:tcW w:w="386" w:type="dxa"/>
            <w:tcBorders/>
            <w:vAlign w:val="center"/>
          </w:tcPr>
          <w:p>
            <w:pPr>
              <w:pStyle w:val="TableContents"/>
              <w:bidi w:val="0"/>
              <w:spacing w:before="0" w:after="283"/>
              <w:jc w:val="left"/>
              <w:rPr/>
            </w:pPr>
            <w:r>
              <w:rPr/>
              <w:t> </w:t>
            </w:r>
          </w:p>
        </w:tc>
        <w:tc>
          <w:tcPr>
            <w:tcW w:w="372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636" w:type="dxa"/>
            <w:tcBorders/>
            <w:vAlign w:val="center"/>
          </w:tcPr>
          <w:p>
            <w:pPr>
              <w:pStyle w:val="TableContents"/>
              <w:bidi w:val="0"/>
              <w:spacing w:before="0" w:after="283"/>
              <w:jc w:val="left"/>
              <w:rPr/>
            </w:pPr>
            <w:r>
              <w:rPr/>
              <w:t> </w:t>
            </w:r>
          </w:p>
        </w:tc>
      </w:tr>
      <w:tr>
        <w:trPr/>
        <w:tc>
          <w:tcPr>
            <w:tcW w:w="2656" w:type="dxa"/>
            <w:tcBorders>
              <w:bottom w:val="single" w:sz="4" w:space="0" w:color="000000"/>
            </w:tcBorders>
            <w:tcMar>
              <w:top w:w="0" w:type="dxa"/>
              <w:left w:w="0" w:type="dxa"/>
              <w:right w:w="0" w:type="dxa"/>
            </w:tcMar>
            <w:vAlign w:val="center"/>
          </w:tcPr>
          <w:p>
            <w:pPr>
              <w:pStyle w:val="TableContents"/>
              <w:bidi w:val="0"/>
              <w:spacing w:before="0" w:after="283"/>
              <w:ind w:left="0" w:right="0" w:firstLine="240"/>
              <w:jc w:val="center"/>
              <w:rPr>
                <w:rFonts w:ascii="Times New Roman" w:hAnsi="Times New Roman"/>
                <w:color w:val="000000"/>
                <w:sz w:val="20"/>
              </w:rPr>
            </w:pPr>
            <w:r>
              <w:rPr>
                <w:rFonts w:ascii="Times New Roman" w:hAnsi="Times New Roman"/>
                <w:color w:val="000000"/>
                <w:sz w:val="20"/>
              </w:rPr>
              <w:t>/s/ William Meury</w:t>
            </w:r>
          </w:p>
        </w:tc>
        <w:tc>
          <w:tcPr>
            <w:tcW w:w="386" w:type="dxa"/>
            <w:tcBorders>
              <w:bottom w:val="single" w:sz="4" w:space="0" w:color="000000"/>
            </w:tcBorders>
            <w:tcMar>
              <w:top w:w="0" w:type="dxa"/>
              <w:left w:w="0" w:type="dxa"/>
              <w:right w:w="0" w:type="dxa"/>
            </w:tcMar>
            <w:vAlign w:val="center"/>
          </w:tcPr>
          <w:p>
            <w:pPr>
              <w:pStyle w:val="TableContents"/>
              <w:pBdr/>
              <w:bidi w:val="0"/>
              <w:spacing w:before="0" w:after="283"/>
              <w:ind w:left="0" w:right="0" w:firstLine="240"/>
              <w:jc w:val="center"/>
              <w:rPr/>
            </w:pPr>
            <w:r>
              <w:rPr/>
              <w:t> </w:t>
            </w:r>
          </w:p>
        </w:tc>
        <w:tc>
          <w:tcPr>
            <w:tcW w:w="3721" w:type="dxa"/>
            <w:vMerge w:val="restart"/>
            <w:tcBorders/>
            <w:vAlign w:val="center"/>
          </w:tcPr>
          <w:p>
            <w:pPr>
              <w:pStyle w:val="TableContents"/>
              <w:pBdr/>
              <w:bidi w:val="0"/>
              <w:spacing w:before="0" w:after="283"/>
              <w:ind w:left="0" w:right="0" w:hanging="240"/>
              <w:jc w:val="center"/>
              <w:rPr>
                <w:rFonts w:ascii="Times New Roman" w:hAnsi="Times New Roman"/>
                <w:color w:val="000000"/>
                <w:sz w:val="20"/>
              </w:rPr>
            </w:pPr>
            <w:r>
              <w:rPr>
                <w:rFonts w:ascii="Times New Roman" w:hAnsi="Times New Roman"/>
                <w:color w:val="000000"/>
                <w:sz w:val="20"/>
              </w:rPr>
              <w:t>Director</w:t>
            </w:r>
          </w:p>
        </w:tc>
        <w:tc>
          <w:tcPr>
            <w:tcW w:w="146" w:type="dxa"/>
            <w:tcBorders/>
            <w:vAlign w:val="center"/>
          </w:tcPr>
          <w:p>
            <w:pPr>
              <w:pStyle w:val="TableContents"/>
              <w:bidi w:val="0"/>
              <w:spacing w:before="0" w:after="283"/>
              <w:jc w:val="center"/>
              <w:rPr/>
            </w:pPr>
            <w:r>
              <w:rPr/>
              <w:t> </w:t>
            </w:r>
          </w:p>
        </w:tc>
        <w:tc>
          <w:tcPr>
            <w:tcW w:w="1636" w:type="dxa"/>
            <w:vMerge w:val="restart"/>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27, 2024</w:t>
            </w:r>
          </w:p>
        </w:tc>
      </w:tr>
      <w:tr>
        <w:trPr/>
        <w:tc>
          <w:tcPr>
            <w:tcW w:w="2656" w:type="dxa"/>
            <w:tcBorders/>
            <w:vAlign w:val="center"/>
          </w:tcPr>
          <w:p>
            <w:pPr>
              <w:pStyle w:val="TableContents"/>
              <w:bidi w:val="0"/>
              <w:spacing w:before="0" w:after="283"/>
              <w:ind w:left="0" w:right="0" w:firstLine="240"/>
              <w:jc w:val="center"/>
              <w:rPr>
                <w:rFonts w:ascii="Times New Roman" w:hAnsi="Times New Roman"/>
                <w:color w:val="000000"/>
                <w:sz w:val="20"/>
              </w:rPr>
            </w:pPr>
            <w:r>
              <w:rPr>
                <w:rFonts w:ascii="Times New Roman" w:hAnsi="Times New Roman"/>
                <w:color w:val="000000"/>
                <w:sz w:val="20"/>
              </w:rPr>
              <w:t>William Meury</w:t>
            </w:r>
          </w:p>
        </w:tc>
        <w:tc>
          <w:tcPr>
            <w:tcW w:w="386" w:type="dxa"/>
            <w:tcBorders/>
            <w:vAlign w:val="center"/>
          </w:tcPr>
          <w:p>
            <w:pPr>
              <w:pStyle w:val="TableContents"/>
              <w:pBdr/>
              <w:bidi w:val="0"/>
              <w:spacing w:before="0" w:after="283"/>
              <w:ind w:left="0" w:right="0" w:hanging="240"/>
              <w:jc w:val="center"/>
              <w:rPr/>
            </w:pPr>
            <w:r>
              <w:rPr/>
              <w:t> </w:t>
            </w:r>
          </w:p>
        </w:tc>
        <w:tc>
          <w:tcPr>
            <w:tcW w:w="3721" w:type="dxa"/>
            <w:vMerge w:val="continue"/>
            <w:tcBorders/>
            <w:vAlign w:val="center"/>
          </w:tcPr>
          <w:p>
            <w:pPr>
              <w:pStyle w:val="Normal"/>
              <w:bidi w:val="0"/>
              <w:jc w:val="left"/>
              <w:rPr/>
            </w:pPr>
            <w:r>
              <w:rPr/>
            </w:r>
          </w:p>
        </w:tc>
        <w:tc>
          <w:tcPr>
            <w:tcW w:w="146" w:type="dxa"/>
            <w:tcBorders/>
            <w:vAlign w:val="center"/>
          </w:tcPr>
          <w:p>
            <w:pPr>
              <w:pStyle w:val="TableContents"/>
              <w:bidi w:val="0"/>
              <w:spacing w:before="0" w:after="283"/>
              <w:jc w:val="center"/>
              <w:rPr/>
            </w:pPr>
            <w:r>
              <w:rPr/>
              <w:t> </w:t>
            </w:r>
          </w:p>
        </w:tc>
        <w:tc>
          <w:tcPr>
            <w:tcW w:w="1636" w:type="dxa"/>
            <w:vMerge w:val="continue"/>
            <w:tcBorders/>
            <w:vAlign w:val="center"/>
          </w:tcPr>
          <w:p>
            <w:pPr>
              <w:pStyle w:val="Normal"/>
              <w:bidi w:val="0"/>
              <w:jc w:val="left"/>
              <w:rPr/>
            </w:pPr>
            <w:r>
              <w:rPr/>
            </w:r>
          </w:p>
        </w:tc>
      </w:tr>
      <w:tr>
        <w:trPr/>
        <w:tc>
          <w:tcPr>
            <w:tcW w:w="2656" w:type="dxa"/>
            <w:tcBorders/>
            <w:vAlign w:val="center"/>
          </w:tcPr>
          <w:p>
            <w:pPr>
              <w:pStyle w:val="TableContents"/>
              <w:bidi w:val="0"/>
              <w:spacing w:before="0" w:after="283"/>
              <w:ind w:left="0" w:right="0" w:firstLine="240"/>
              <w:jc w:val="left"/>
              <w:rPr/>
            </w:pPr>
            <w:r>
              <w:rPr/>
              <w:t> </w:t>
            </w:r>
          </w:p>
        </w:tc>
        <w:tc>
          <w:tcPr>
            <w:tcW w:w="386" w:type="dxa"/>
            <w:tcBorders/>
            <w:vAlign w:val="center"/>
          </w:tcPr>
          <w:p>
            <w:pPr>
              <w:pStyle w:val="TableContents"/>
              <w:pBdr/>
              <w:bidi w:val="0"/>
              <w:spacing w:before="0" w:after="283"/>
              <w:ind w:left="0" w:right="0" w:firstLine="240"/>
              <w:jc w:val="center"/>
              <w:rPr/>
            </w:pPr>
            <w:r>
              <w:rPr/>
              <w:t> </w:t>
            </w:r>
          </w:p>
        </w:tc>
        <w:tc>
          <w:tcPr>
            <w:tcW w:w="3721" w:type="dxa"/>
            <w:tcBorders/>
            <w:vAlign w:val="center"/>
          </w:tcPr>
          <w:p>
            <w:pPr>
              <w:pStyle w:val="TableContents"/>
              <w:pBdr/>
              <w:bidi w:val="0"/>
              <w:spacing w:before="0" w:after="283"/>
              <w:ind w:left="0" w:right="0" w:hanging="240"/>
              <w:jc w:val="left"/>
              <w:rPr/>
            </w:pPr>
            <w:r>
              <w:rPr/>
              <w:t> </w:t>
            </w:r>
          </w:p>
        </w:tc>
        <w:tc>
          <w:tcPr>
            <w:tcW w:w="146" w:type="dxa"/>
            <w:tcBorders/>
            <w:vAlign w:val="center"/>
          </w:tcPr>
          <w:p>
            <w:pPr>
              <w:pStyle w:val="TableContents"/>
              <w:bidi w:val="0"/>
              <w:spacing w:before="0" w:after="283"/>
              <w:jc w:val="center"/>
              <w:rPr/>
            </w:pPr>
            <w:r>
              <w:rPr/>
              <w:t> </w:t>
            </w:r>
          </w:p>
        </w:tc>
        <w:tc>
          <w:tcPr>
            <w:tcW w:w="1636" w:type="dxa"/>
            <w:tcBorders/>
            <w:vAlign w:val="center"/>
          </w:tcPr>
          <w:p>
            <w:pPr>
              <w:pStyle w:val="TableContents"/>
              <w:bidi w:val="0"/>
              <w:spacing w:before="0" w:after="283"/>
              <w:jc w:val="left"/>
              <w:rPr/>
            </w:pPr>
            <w:r>
              <w:rPr/>
              <w:t> </w:t>
            </w:r>
          </w:p>
        </w:tc>
      </w:tr>
      <w:tr>
        <w:trPr/>
        <w:tc>
          <w:tcPr>
            <w:tcW w:w="2656" w:type="dxa"/>
            <w:tcBorders>
              <w:bottom w:val="single" w:sz="4" w:space="0" w:color="000000"/>
            </w:tcBorders>
            <w:tcMar>
              <w:top w:w="0" w:type="dxa"/>
              <w:left w:w="0" w:type="dxa"/>
              <w:right w:w="0" w:type="dxa"/>
            </w:tcMar>
            <w:vAlign w:val="center"/>
          </w:tcPr>
          <w:p>
            <w:pPr>
              <w:pStyle w:val="TableContents"/>
              <w:bidi w:val="0"/>
              <w:spacing w:before="0" w:after="283"/>
              <w:ind w:left="0" w:right="0" w:firstLine="240"/>
              <w:jc w:val="center"/>
              <w:rPr>
                <w:rFonts w:ascii="Times New Roman" w:hAnsi="Times New Roman"/>
                <w:color w:val="000000"/>
                <w:sz w:val="20"/>
              </w:rPr>
            </w:pPr>
            <w:r>
              <w:rPr>
                <w:rFonts w:ascii="Times New Roman" w:hAnsi="Times New Roman"/>
                <w:color w:val="000000"/>
                <w:sz w:val="20"/>
              </w:rPr>
              <w:t>/s/ Briggs W. Morrison, MD.</w:t>
            </w:r>
          </w:p>
        </w:tc>
        <w:tc>
          <w:tcPr>
            <w:tcW w:w="386" w:type="dxa"/>
            <w:tcBorders>
              <w:bottom w:val="single" w:sz="4" w:space="0" w:color="000000"/>
            </w:tcBorders>
            <w:tcMar>
              <w:top w:w="0" w:type="dxa"/>
              <w:left w:w="0" w:type="dxa"/>
              <w:right w:w="0" w:type="dxa"/>
            </w:tcMar>
            <w:vAlign w:val="center"/>
          </w:tcPr>
          <w:p>
            <w:pPr>
              <w:pStyle w:val="TableContents"/>
              <w:pBdr/>
              <w:bidi w:val="0"/>
              <w:spacing w:before="0" w:after="283"/>
              <w:ind w:left="0" w:right="0" w:firstLine="240"/>
              <w:jc w:val="center"/>
              <w:rPr/>
            </w:pPr>
            <w:r>
              <w:rPr/>
              <w:t> </w:t>
            </w:r>
          </w:p>
        </w:tc>
        <w:tc>
          <w:tcPr>
            <w:tcW w:w="3721" w:type="dxa"/>
            <w:vMerge w:val="restart"/>
            <w:tcBorders/>
            <w:vAlign w:val="center"/>
          </w:tcPr>
          <w:p>
            <w:pPr>
              <w:pStyle w:val="TableContents"/>
              <w:pBdr/>
              <w:bidi w:val="0"/>
              <w:spacing w:before="0" w:after="283"/>
              <w:ind w:left="0" w:right="0" w:hanging="240"/>
              <w:jc w:val="center"/>
              <w:rPr>
                <w:rFonts w:ascii="Times New Roman" w:hAnsi="Times New Roman"/>
                <w:color w:val="000000"/>
                <w:sz w:val="20"/>
              </w:rPr>
            </w:pPr>
            <w:r>
              <w:rPr>
                <w:rFonts w:ascii="Times New Roman" w:hAnsi="Times New Roman"/>
                <w:color w:val="000000"/>
                <w:sz w:val="20"/>
              </w:rPr>
              <w:t>Director</w:t>
            </w:r>
          </w:p>
        </w:tc>
        <w:tc>
          <w:tcPr>
            <w:tcW w:w="146" w:type="dxa"/>
            <w:tcBorders/>
            <w:vAlign w:val="center"/>
          </w:tcPr>
          <w:p>
            <w:pPr>
              <w:pStyle w:val="TableContents"/>
              <w:bidi w:val="0"/>
              <w:spacing w:before="0" w:after="283"/>
              <w:jc w:val="center"/>
              <w:rPr/>
            </w:pPr>
            <w:r>
              <w:rPr/>
              <w:t> </w:t>
            </w:r>
          </w:p>
        </w:tc>
        <w:tc>
          <w:tcPr>
            <w:tcW w:w="1636" w:type="dxa"/>
            <w:vMerge w:val="restart"/>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27, 2024</w:t>
            </w:r>
          </w:p>
        </w:tc>
      </w:tr>
      <w:tr>
        <w:trPr/>
        <w:tc>
          <w:tcPr>
            <w:tcW w:w="2656" w:type="dxa"/>
            <w:tcBorders/>
            <w:vAlign w:val="center"/>
          </w:tcPr>
          <w:p>
            <w:pPr>
              <w:pStyle w:val="TableContents"/>
              <w:bidi w:val="0"/>
              <w:spacing w:before="0" w:after="283"/>
              <w:ind w:left="0" w:right="0" w:firstLine="240"/>
              <w:jc w:val="center"/>
              <w:rPr>
                <w:rFonts w:ascii="Times New Roman" w:hAnsi="Times New Roman"/>
                <w:color w:val="000000"/>
                <w:sz w:val="20"/>
              </w:rPr>
            </w:pPr>
            <w:r>
              <w:rPr>
                <w:rFonts w:ascii="Times New Roman" w:hAnsi="Times New Roman"/>
                <w:color w:val="000000"/>
                <w:sz w:val="20"/>
              </w:rPr>
              <w:t>Briggs W. Morrison, MD.</w:t>
            </w:r>
          </w:p>
        </w:tc>
        <w:tc>
          <w:tcPr>
            <w:tcW w:w="386" w:type="dxa"/>
            <w:tcBorders/>
            <w:vAlign w:val="center"/>
          </w:tcPr>
          <w:p>
            <w:pPr>
              <w:pStyle w:val="TableContents"/>
              <w:pBdr/>
              <w:bidi w:val="0"/>
              <w:spacing w:before="0" w:after="283"/>
              <w:ind w:left="0" w:right="0" w:hanging="240"/>
              <w:jc w:val="center"/>
              <w:rPr/>
            </w:pPr>
            <w:r>
              <w:rPr/>
              <w:t> </w:t>
            </w:r>
          </w:p>
        </w:tc>
        <w:tc>
          <w:tcPr>
            <w:tcW w:w="3721" w:type="dxa"/>
            <w:vMerge w:val="continue"/>
            <w:tcBorders/>
            <w:vAlign w:val="center"/>
          </w:tcPr>
          <w:p>
            <w:pPr>
              <w:pStyle w:val="Normal"/>
              <w:bidi w:val="0"/>
              <w:jc w:val="left"/>
              <w:rPr/>
            </w:pPr>
            <w:r>
              <w:rPr/>
            </w:r>
          </w:p>
        </w:tc>
        <w:tc>
          <w:tcPr>
            <w:tcW w:w="146" w:type="dxa"/>
            <w:tcBorders/>
            <w:vAlign w:val="center"/>
          </w:tcPr>
          <w:p>
            <w:pPr>
              <w:pStyle w:val="TableContents"/>
              <w:bidi w:val="0"/>
              <w:spacing w:before="0" w:after="283"/>
              <w:jc w:val="center"/>
              <w:rPr/>
            </w:pPr>
            <w:r>
              <w:rPr/>
              <w:t> </w:t>
            </w:r>
          </w:p>
        </w:tc>
        <w:tc>
          <w:tcPr>
            <w:tcW w:w="1636" w:type="dxa"/>
            <w:vMerge w:val="continue"/>
            <w:tcBorders/>
            <w:vAlign w:val="center"/>
          </w:tcPr>
          <w:p>
            <w:pPr>
              <w:pStyle w:val="Normal"/>
              <w:bidi w:val="0"/>
              <w:jc w:val="left"/>
              <w:rPr/>
            </w:pPr>
            <w:r>
              <w:rPr/>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Syndax Pharmaceuticals, Inc.</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Index to Consolidated Financial Statements</w:t>
      </w:r>
      <w:r>
        <w:rPr>
          <w:rFonts w:ascii="Times New Roman" w:hAnsi="Times New Roman"/>
          <w:color w:val="000000"/>
          <w:sz w:val="20"/>
        </w:rPr>
        <w:t xml:space="preserve"> </w:t>
      </w:r>
    </w:p>
    <w:p>
      <w:pPr>
        <w:pStyle w:val="TextBody"/>
        <w:bidi w:val="0"/>
        <w:spacing w:before="120" w:after="283"/>
        <w:jc w:val="center"/>
        <w:rPr/>
      </w:pPr>
      <w:r>
        <w:rPr/>
        <w:t> </w:t>
      </w:r>
    </w:p>
    <w:tbl>
      <w:tblPr>
        <w:tblW w:w="10082" w:type="dxa"/>
        <w:jc w:val="left"/>
        <w:tblInd w:w="0" w:type="dxa"/>
        <w:tblLayout w:type="fixed"/>
        <w:tblCellMar>
          <w:top w:w="28" w:type="dxa"/>
          <w:left w:w="28" w:type="dxa"/>
          <w:bottom w:w="28" w:type="dxa"/>
          <w:right w:w="28" w:type="dxa"/>
        </w:tblCellMar>
      </w:tblPr>
      <w:tblGrid>
        <w:gridCol w:w="9436"/>
        <w:gridCol w:w="646"/>
      </w:tblGrid>
      <w:tr>
        <w:trPr/>
        <w:tc>
          <w:tcPr>
            <w:tcW w:w="943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r>
      <w:tr>
        <w:trPr/>
        <w:tc>
          <w:tcPr>
            <w:tcW w:w="9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Pages</w:t>
            </w:r>
          </w:p>
        </w:tc>
      </w:tr>
      <w:tr>
        <w:trPr/>
        <w:tc>
          <w:tcPr>
            <w:tcW w:w="9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Report of Independent Registered Public Accounting Firm (PCAOB ID 34)</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F-2</w:t>
            </w:r>
          </w:p>
        </w:tc>
      </w:tr>
      <w:tr>
        <w:trPr/>
        <w:tc>
          <w:tcPr>
            <w:tcW w:w="943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balance_sheets">
              <w:r>
                <w:rPr>
                  <w:rStyle w:val="InternetLink"/>
                  <w:rFonts w:ascii="Times New Roman" w:hAnsi="Times New Roman"/>
                  <w:color w:val="0000FF"/>
                  <w:sz w:val="20"/>
                  <w:u w:val="single"/>
                </w:rPr>
                <w:t>Consolidated Balance Sheets as of December 31, 2023 and 2022</w:t>
              </w:r>
            </w:hyperlink>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F-4</w:t>
            </w:r>
          </w:p>
        </w:tc>
      </w:tr>
      <w:tr>
        <w:trPr/>
        <w:tc>
          <w:tcPr>
            <w:tcW w:w="943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operations">
              <w:r>
                <w:rPr>
                  <w:rStyle w:val="InternetLink"/>
                  <w:rFonts w:ascii="Times New Roman" w:hAnsi="Times New Roman"/>
                  <w:color w:val="0000FF"/>
                  <w:sz w:val="20"/>
                  <w:u w:val="single"/>
                </w:rPr>
                <w:t>Consolidated Statements of Operations for the Years Ended December 31, 2023, 2022 and 2021</w:t>
              </w:r>
            </w:hyperlink>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F-5</w:t>
            </w:r>
          </w:p>
        </w:tc>
      </w:tr>
      <w:tr>
        <w:trPr/>
        <w:tc>
          <w:tcPr>
            <w:tcW w:w="943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comprehensive_lo">
              <w:r>
                <w:rPr>
                  <w:rStyle w:val="InternetLink"/>
                  <w:rFonts w:ascii="Times New Roman" w:hAnsi="Times New Roman"/>
                  <w:color w:val="0000FF"/>
                  <w:sz w:val="20"/>
                  <w:u w:val="single"/>
                </w:rPr>
                <w:t>Consolidated Statements of Comprehensive (Loss) Income for the Years Ended December 31, 2023, 2022 and 2021</w:t>
              </w:r>
            </w:hyperlink>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F-6</w:t>
            </w:r>
          </w:p>
        </w:tc>
      </w:tr>
      <w:tr>
        <w:trPr/>
        <w:tc>
          <w:tcPr>
            <w:tcW w:w="943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convertible_pref">
              <w:r>
                <w:rPr>
                  <w:rStyle w:val="InternetLink"/>
                  <w:rFonts w:ascii="Times New Roman" w:hAnsi="Times New Roman"/>
                  <w:color w:val="0000FF"/>
                  <w:sz w:val="20"/>
                  <w:u w:val="single"/>
                </w:rPr>
                <w:t>Consolidated Statements of Stockholders’ Equity for the Years Ended December 31, 2023, 2022 and 2021</w:t>
              </w:r>
            </w:hyperlink>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F-7</w:t>
            </w:r>
          </w:p>
        </w:tc>
      </w:tr>
      <w:tr>
        <w:trPr/>
        <w:tc>
          <w:tcPr>
            <w:tcW w:w="943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cash_flows">
              <w:r>
                <w:rPr>
                  <w:rStyle w:val="InternetLink"/>
                  <w:rFonts w:ascii="Times New Roman" w:hAnsi="Times New Roman"/>
                  <w:color w:val="0000FF"/>
                  <w:sz w:val="20"/>
                  <w:u w:val="single"/>
                </w:rPr>
                <w:t>Consolidated Statements of Cash Flows for the Years Ended December 31, 2023, 2022 and 2021</w:t>
              </w:r>
            </w:hyperlink>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F-8</w:t>
            </w:r>
          </w:p>
        </w:tc>
      </w:tr>
      <w:tr>
        <w:trPr/>
        <w:tc>
          <w:tcPr>
            <w:tcW w:w="943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consolidated_financial_statemen">
              <w:r>
                <w:rPr>
                  <w:rStyle w:val="InternetLink"/>
                  <w:rFonts w:ascii="Times New Roman" w:hAnsi="Times New Roman"/>
                  <w:color w:val="0000FF"/>
                  <w:sz w:val="20"/>
                  <w:u w:val="single"/>
                </w:rPr>
                <w:t>Notes to Consolidated Financial Statements</w:t>
              </w:r>
            </w:hyperlink>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F-10</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32" w:name="report_of_public_accounting_firm"/>
      <w:bookmarkEnd w:id="32"/>
      <w:r>
        <w:rPr>
          <w:rFonts w:ascii="Times New Roman" w:hAnsi="Times New Roman"/>
          <w:b/>
          <w:color w:val="000000"/>
          <w:sz w:val="20"/>
        </w:rPr>
        <w:t>REPORT OF INDEPENDENT REGISTERED PUBLIC ACCOUNTING FIRM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the stockholders and Board of Directors of Syndax Pharmaceuticals, Inc.</w:t>
      </w:r>
    </w:p>
    <w:p>
      <w:pPr>
        <w:pStyle w:val="TextBody"/>
        <w:bidi w:val="0"/>
        <w:spacing w:before="240" w:after="283"/>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Opinion on the Financial Statements</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We have audited the accompanying consolidated balance sheets of Syndax Pharmaceuticals, Inc. and subsidiaries (the "Company") as of December 31, 2023 and 2022, the related consolidated statements of operations, comprehensive (loss) income, stockholders' equity, and cash flows, for each of the three years in the period ended December 31, 2023, and the related notes (collectively referred to as the "financial statements"). In our opinion, the financial statements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w:t>
      </w:r>
    </w:p>
    <w:p>
      <w:pPr>
        <w:pStyle w:val="TextBody"/>
        <w:bidi w:val="0"/>
        <w:jc w:val="left"/>
        <w:rPr>
          <w:rFonts w:ascii="Times New Roman" w:hAnsi="Times New Roman"/>
          <w:sz w:val="20"/>
        </w:rPr>
      </w:pPr>
      <w:r>
        <w:rPr>
          <w:rFonts w:ascii="Times New Roman" w:hAnsi="Times New Roman"/>
          <w:color w:val="000000"/>
          <w:sz w:val="20"/>
        </w:rPr>
        <w:t xml:space="preserve">We have also audited, in accordance with the standards of the Public Company Accounting Oversight Board (United States) (PCAOB), the Company's internal control over financial reporting as of December 31, 2023, based on criteria established in </w:t>
      </w:r>
      <w:r>
        <w:rPr>
          <w:rFonts w:ascii="Times New Roman" w:hAnsi="Times New Roman"/>
          <w:i/>
          <w:color w:val="000000"/>
          <w:sz w:val="20"/>
        </w:rPr>
        <w:t>Internal Control — Integrated Framework (2013)</w:t>
      </w:r>
      <w:r>
        <w:rPr>
          <w:rFonts w:ascii="Times New Roman" w:hAnsi="Times New Roman"/>
          <w:color w:val="000000"/>
          <w:sz w:val="20"/>
        </w:rPr>
        <w:t xml:space="preserve"> issued by the Committee of Sponsoring Organizations of the Treadway Commission and our report dated February 27, 2024, expressed an unqualified opinion on the Company's internal control over financial reporting.</w:t>
      </w:r>
    </w:p>
    <w:p>
      <w:pPr>
        <w:pStyle w:val="TextBody"/>
        <w:bidi w:val="0"/>
        <w:spacing w:before="240" w:after="200"/>
        <w:jc w:val="left"/>
        <w:rPr>
          <w:rFonts w:ascii="Times New Roman" w:hAnsi="Times New Roman"/>
          <w:b/>
          <w:color w:val="000000"/>
          <w:sz w:val="20"/>
        </w:rPr>
      </w:pPr>
      <w:r>
        <w:rPr>
          <w:rFonts w:ascii="Times New Roman" w:hAnsi="Times New Roman"/>
          <w:b/>
          <w:color w:val="000000"/>
          <w:sz w:val="20"/>
        </w:rPr>
        <w:t>Basis for Opinion</w:t>
      </w:r>
    </w:p>
    <w:p>
      <w:pPr>
        <w:pStyle w:val="TextBody"/>
        <w:bidi w:val="0"/>
        <w:jc w:val="left"/>
        <w:rPr>
          <w:rFonts w:ascii="Times New Roman" w:hAnsi="Times New Roman"/>
          <w:color w:val="000000"/>
          <w:sz w:val="20"/>
        </w:rPr>
      </w:pPr>
      <w:r>
        <w:rPr>
          <w:rFonts w:ascii="Times New Roman" w:hAnsi="Times New Roman"/>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240" w:after="200"/>
        <w:jc w:val="left"/>
        <w:rPr>
          <w:rFonts w:ascii="Times New Roman" w:hAnsi="Times New Roman"/>
          <w:b/>
          <w:color w:val="000000"/>
          <w:sz w:val="20"/>
        </w:rPr>
      </w:pPr>
      <w:r>
        <w:rPr>
          <w:rFonts w:ascii="Times New Roman" w:hAnsi="Times New Roman"/>
          <w:b/>
          <w:color w:val="000000"/>
          <w:sz w:val="20"/>
        </w:rPr>
        <w:t>Critical Audit Matter</w:t>
      </w:r>
    </w:p>
    <w:p>
      <w:pPr>
        <w:pStyle w:val="TextBody"/>
        <w:bidi w:val="0"/>
        <w:jc w:val="left"/>
        <w:rPr>
          <w:rFonts w:ascii="Times New Roman" w:hAnsi="Times New Roman"/>
          <w:color w:val="000000"/>
          <w:sz w:val="20"/>
        </w:rPr>
      </w:pPr>
      <w:r>
        <w:rPr>
          <w:rFonts w:ascii="Times New Roman" w:hAnsi="Times New Roman"/>
          <w:color w:val="000000"/>
          <w:sz w:val="20"/>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240" w:after="240"/>
        <w:jc w:val="left"/>
        <w:rPr>
          <w:rFonts w:ascii="Times New Roman" w:hAnsi="Times New Roman"/>
          <w:b/>
          <w:i/>
          <w:color w:val="000000"/>
          <w:sz w:val="20"/>
        </w:rPr>
      </w:pPr>
      <w:r>
        <w:rPr>
          <w:rFonts w:ascii="Times New Roman" w:hAnsi="Times New Roman"/>
          <w:b/>
          <w:i/>
          <w:color w:val="000000"/>
          <w:sz w:val="20"/>
        </w:rPr>
        <w:t>Prepaid and Accrued Clinical Costs— Refer to Notes 3 and 11 to the financial statements</w:t>
      </w:r>
    </w:p>
    <w:p>
      <w:pPr>
        <w:pStyle w:val="TextBody"/>
        <w:bidi w:val="0"/>
        <w:spacing w:before="240" w:after="240"/>
        <w:jc w:val="left"/>
        <w:rPr>
          <w:rFonts w:ascii="Times New Roman" w:hAnsi="Times New Roman"/>
          <w:i/>
          <w:color w:val="000000"/>
          <w:sz w:val="20"/>
        </w:rPr>
      </w:pPr>
      <w:r>
        <w:rPr>
          <w:rFonts w:ascii="Times New Roman" w:hAnsi="Times New Roman"/>
          <w:i/>
          <w:color w:val="000000"/>
          <w:sz w:val="20"/>
        </w:rPr>
        <w:t>Critical Audit Matter Description</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The Company recognizes research and development expenses as incurred, which include costs relating to clinical trial and clinical study activities performed by the CROs. Expenses related to clinical trials and studies are based on estimates of the services received and efforts expended pursuant to contracts with each of the contract research organizations (“CROs”). Tracking the progress of the clinical study and trial activities, including payments made by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the Company and by the CROs, allows the Company to record the appropriate expense, prepayments, and accruals under the terms of the agreements with the CROs.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 xml:space="preserve">We identified the estimates for research and development accrued and prepaid CRO expenses, including costs incurred by CROs as a critical audit matter due to the judgments necessary for management to estimate the level of services provided and the costs incurred for the service when the Company has not yet been invoiced or otherwise notified of actual costs. Prepaid CRO expenses are recorded within the balance of short-term deposits on the consolidated balance sheet, while accrued CRO expenses are recorded within the balance of accrued expenses and other current liabilities on the consolidated balance sheet. This required a high degree of auditor judgment and an increased extent of effort when performing audit procedures to audit management's estimates of such accrued and prepaid CRO expenses. </w:t>
      </w:r>
    </w:p>
    <w:p>
      <w:pPr>
        <w:pStyle w:val="TextBody"/>
        <w:bidi w:val="0"/>
        <w:spacing w:before="240" w:after="240"/>
        <w:jc w:val="left"/>
        <w:rPr>
          <w:rFonts w:ascii="Times New Roman" w:hAnsi="Times New Roman"/>
          <w:i/>
          <w:color w:val="000000"/>
          <w:sz w:val="20"/>
        </w:rPr>
      </w:pPr>
      <w:r>
        <w:rPr>
          <w:rFonts w:ascii="Times New Roman" w:hAnsi="Times New Roman"/>
          <w:i/>
          <w:color w:val="000000"/>
          <w:sz w:val="20"/>
        </w:rPr>
        <w:t>How the Critical Audit Matter Was Addressed in the Audit</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 xml:space="preserve">Our audit procedures related to prepaid and accrued clinical costs included the following, among others: </w:t>
      </w:r>
    </w:p>
    <w:p>
      <w:pPr>
        <w:pStyle w:val="TextBody"/>
        <w:bidi w:val="0"/>
        <w:spacing w:before="240" w:after="120"/>
        <w:jc w:val="left"/>
        <w:rPr>
          <w:color w:val="000000"/>
        </w:rPr>
      </w:pPr>
      <w:r>
        <w:rPr>
          <w:color w:val="000000"/>
        </w:rPr>
        <w:t>•</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We tested the effectiveness of internal controls over the estimation of accrued CRO and prepaid CRO expense calculations, including management’s controls over the assessment and estimation of the costs incurred for significant research and development activities performed by CROs.</w:t>
      </w:r>
    </w:p>
    <w:p>
      <w:pPr>
        <w:pStyle w:val="TextBody"/>
        <w:bidi w:val="0"/>
        <w:spacing w:before="240" w:after="120"/>
        <w:jc w:val="left"/>
        <w:rPr>
          <w:color w:val="000000"/>
        </w:rPr>
      </w:pPr>
      <w:r>
        <w:rPr>
          <w:color w:val="000000"/>
        </w:rPr>
        <w:t>•</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For a sample of contracts, we read the related contracts, purchase orders, statements of work and other contractual documentation. We tested the completeness and accuracy of the information used to develop the estimates and evaluated the significant assumptions used by management to estimate the recorded amounts by performing the following: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Performed corroborating inquiries with the Company’s research and development personnel to understand the nature and progress of the studies conducted by the CROs.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Inspected information from third-party service provider CRO.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Obtained corresponding invoices and evidence of payment to third-party service provider CROs.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Compared the estimated accrual balance as of December 31, 2023, to the invoices received after year-end to evaluate the Company’s ability to estimate the accrual. </w:t>
      </w:r>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 Deloitte &amp; Touche LLP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Boston, Massachusetts </w:t>
        <w:br/>
        <w:t>February 27,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served as the Company’s auditor since 2008.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SYNDAX PHARMACEUTICALS, INC.</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bookmarkStart w:id="33" w:name="consolidated_balance_sheets"/>
      <w:bookmarkEnd w:id="33"/>
      <w:r>
        <w:rPr>
          <w:rFonts w:ascii="Times New Roman" w:hAnsi="Times New Roman"/>
          <w:b/>
          <w:color w:val="000000"/>
          <w:sz w:val="20"/>
        </w:rPr>
        <w:t>CONSOLIDATED BALANCE SHEETS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i/>
          <w:color w:val="000000"/>
          <w:sz w:val="20"/>
        </w:rPr>
        <w:t>(In thousands, except share and per share data)</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7052"/>
        <w:gridCol w:w="146"/>
        <w:gridCol w:w="211"/>
        <w:gridCol w:w="931"/>
        <w:gridCol w:w="166"/>
        <w:gridCol w:w="146"/>
        <w:gridCol w:w="211"/>
        <w:gridCol w:w="931"/>
        <w:gridCol w:w="411"/>
      </w:tblGrid>
      <w:tr>
        <w:trPr/>
        <w:tc>
          <w:tcPr>
            <w:tcW w:w="70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705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5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52"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righ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jc w:val="right"/>
              <w:rPr/>
            </w:pPr>
            <w:r>
              <w:rPr/>
              <w:t> </w:t>
            </w:r>
          </w:p>
        </w:tc>
      </w:tr>
      <w:tr>
        <w:trPr/>
        <w:tc>
          <w:tcPr>
            <w:tcW w:w="705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vAlign w:val="center"/>
          </w:tcPr>
          <w:p>
            <w:pPr>
              <w:pStyle w:val="TableContents"/>
              <w:bidi w:val="0"/>
              <w:spacing w:before="0" w:after="283"/>
              <w:jc w:val="righ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ind w:left="0" w:right="0" w:firstLine="200"/>
              <w:jc w:val="right"/>
              <w:rPr/>
            </w:pPr>
            <w:r>
              <w:rPr/>
              <w:t> </w:t>
            </w:r>
          </w:p>
        </w:tc>
      </w:tr>
      <w:tr>
        <w:trPr/>
        <w:tc>
          <w:tcPr>
            <w:tcW w:w="705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295,394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74,356</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705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275,304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401,446</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705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Short-term deposits</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8,595</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705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Collaboration receivable, net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3,474</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705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5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580,876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489,786</w:t>
            </w:r>
          </w:p>
        </w:tc>
        <w:tc>
          <w:tcPr>
            <w:tcW w:w="411" w:type="dxa"/>
            <w:tcBorders/>
            <w:shd w:fill="FFFFFF" w:val="clear"/>
            <w:vAlign w:val="center"/>
          </w:tcPr>
          <w:p>
            <w:pPr>
              <w:pStyle w:val="TableContents"/>
              <w:bidi w:val="0"/>
              <w:spacing w:before="0" w:after="283"/>
              <w:jc w:val="left"/>
              <w:rPr/>
            </w:pPr>
            <w:r>
              <w:rPr/>
              <w:t> </w:t>
            </w:r>
          </w:p>
        </w:tc>
      </w:tr>
      <w:tr>
        <w:trPr/>
        <w:tc>
          <w:tcPr>
            <w:tcW w:w="70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investments</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29,829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5,469</w:t>
            </w:r>
          </w:p>
        </w:tc>
        <w:tc>
          <w:tcPr>
            <w:tcW w:w="411" w:type="dxa"/>
            <w:tcBorders/>
            <w:shd w:fill="CFF0FC" w:val="clear"/>
            <w:vAlign w:val="center"/>
          </w:tcPr>
          <w:p>
            <w:pPr>
              <w:pStyle w:val="TableContents"/>
              <w:bidi w:val="0"/>
              <w:spacing w:before="0" w:after="283"/>
              <w:jc w:val="left"/>
              <w:rPr/>
            </w:pPr>
            <w:r>
              <w:rPr/>
              <w:t> </w:t>
            </w:r>
          </w:p>
        </w:tc>
      </w:tr>
      <w:tr>
        <w:trPr/>
        <w:tc>
          <w:tcPr>
            <w:tcW w:w="705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411" w:type="dxa"/>
            <w:tcBorders/>
            <w:shd w:fill="FFFFFF" w:val="clear"/>
            <w:vAlign w:val="center"/>
          </w:tcPr>
          <w:p>
            <w:pPr>
              <w:pStyle w:val="TableContents"/>
              <w:bidi w:val="0"/>
              <w:spacing w:before="0" w:after="283"/>
              <w:jc w:val="left"/>
              <w:rPr/>
            </w:pPr>
            <w:r>
              <w:rPr/>
              <w:t> </w:t>
            </w:r>
          </w:p>
        </w:tc>
      </w:tr>
      <w:tr>
        <w:trPr/>
        <w:tc>
          <w:tcPr>
            <w:tcW w:w="70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w:t>
            </w:r>
          </w:p>
        </w:tc>
        <w:tc>
          <w:tcPr>
            <w:tcW w:w="411" w:type="dxa"/>
            <w:tcBorders/>
            <w:shd w:fill="CFF0FC" w:val="clear"/>
            <w:vAlign w:val="center"/>
          </w:tcPr>
          <w:p>
            <w:pPr>
              <w:pStyle w:val="TableContents"/>
              <w:bidi w:val="0"/>
              <w:spacing w:before="0" w:after="283"/>
              <w:jc w:val="left"/>
              <w:rPr/>
            </w:pPr>
            <w:r>
              <w:rPr/>
              <w:t> </w:t>
            </w:r>
          </w:p>
        </w:tc>
      </w:tr>
      <w:tr>
        <w:trPr/>
        <w:tc>
          <w:tcPr>
            <w:tcW w:w="705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411" w:type="dxa"/>
            <w:tcBorders/>
            <w:shd w:fill="FFFFFF" w:val="clear"/>
            <w:vAlign w:val="center"/>
          </w:tcPr>
          <w:p>
            <w:pPr>
              <w:pStyle w:val="TableContents"/>
              <w:bidi w:val="0"/>
              <w:spacing w:before="0" w:after="283"/>
              <w:jc w:val="left"/>
              <w:rPr/>
            </w:pPr>
            <w:r>
              <w:rPr/>
              <w:t> </w:t>
            </w:r>
          </w:p>
        </w:tc>
      </w:tr>
      <w:tr>
        <w:trPr/>
        <w:tc>
          <w:tcPr>
            <w:tcW w:w="70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5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612,880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497,236</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52"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vAlign w:val="center"/>
          </w:tcPr>
          <w:p>
            <w:pPr>
              <w:pStyle w:val="TableContents"/>
              <w:bidi w:val="0"/>
              <w:spacing w:before="0" w:after="283"/>
              <w:jc w:val="righ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jc w:val="right"/>
              <w:rPr/>
            </w:pPr>
            <w:r>
              <w:rPr/>
              <w:t> </w:t>
            </w:r>
          </w:p>
        </w:tc>
      </w:tr>
      <w:tr>
        <w:trPr/>
        <w:tc>
          <w:tcPr>
            <w:tcW w:w="705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vAlign w:val="center"/>
          </w:tcPr>
          <w:p>
            <w:pPr>
              <w:pStyle w:val="TableContents"/>
              <w:bidi w:val="0"/>
              <w:spacing w:before="0" w:after="283"/>
              <w:jc w:val="righ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ind w:left="0" w:right="0" w:firstLine="200"/>
              <w:jc w:val="right"/>
              <w:rPr/>
            </w:pPr>
            <w:r>
              <w:rPr/>
              <w:t> </w:t>
            </w:r>
          </w:p>
        </w:tc>
      </w:tr>
      <w:tr>
        <w:trPr/>
        <w:tc>
          <w:tcPr>
            <w:tcW w:w="705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9,961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4,350</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705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Collaboration payable, net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705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39,856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24,276</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705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Current portion of right-of-use liability</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705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Current portion of capital lease</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5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29,065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liabilities:</w:t>
            </w:r>
          </w:p>
        </w:tc>
        <w:tc>
          <w:tcPr>
            <w:tcW w:w="146" w:type="dxa"/>
            <w:tcBorders/>
            <w:shd w:fill="CFF0FC" w:val="clear"/>
            <w:vAlign w:val="center"/>
          </w:tcPr>
          <w:p>
            <w:pPr>
              <w:pStyle w:val="TableContents"/>
              <w:bidi w:val="0"/>
              <w:spacing w:before="0" w:after="283"/>
              <w:jc w:val="righ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705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Right-of-use liability, less current portion</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705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Capital lease, less current portion</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5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long-term liabilities</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29,787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5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16)</w:t>
            </w:r>
          </w:p>
        </w:tc>
        <w:tc>
          <w:tcPr>
            <w:tcW w:w="146" w:type="dxa"/>
            <w:tcBorders/>
            <w:shd w:fill="FFFFFF" w:val="clear"/>
            <w:vAlign w:val="center"/>
          </w:tcPr>
          <w:p>
            <w:pPr>
              <w:pStyle w:val="TableContents"/>
              <w:bidi w:val="0"/>
              <w:spacing w:before="0" w:after="283"/>
              <w:jc w:val="righ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jc w:val="right"/>
              <w:rPr/>
            </w:pPr>
            <w:r>
              <w:rPr/>
              <w:t> </w:t>
            </w:r>
          </w:p>
        </w:tc>
      </w:tr>
      <w:tr>
        <w:trPr/>
        <w:tc>
          <w:tcPr>
            <w:tcW w:w="70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vAlign w:val="center"/>
          </w:tcPr>
          <w:p>
            <w:pPr>
              <w:pStyle w:val="TableContents"/>
              <w:bidi w:val="0"/>
              <w:spacing w:before="0" w:after="283"/>
              <w:jc w:val="righ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705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Preferred stock, $0.001 par value, 10,000,000 shares authorized;</w:t>
              <w:br/>
              <w:t>   0 shares outstanding at December 31, 2023 and December 31, 2022</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705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 xml:space="preserve">Common stock, $0.0001 par value, 200,000,000 and 100,000,000 shares authorized at December 31, 2023 and December 31, 2022, respectively; </w:t>
              <w:br/>
              <w:t>84,826,632 and 68,111,385 shares outstanding at December 31, 2023 and December 31, 2022, respectively</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705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1,456,370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1,161,288</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705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Accumulated other comprehensive income (loss)</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5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(902,400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(693,040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554,196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467,449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5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612,880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497,236</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SYNDAX PHARMACEUTICALS, INC.</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bookmarkStart w:id="34" w:name="consolidated_statements_operations"/>
      <w:bookmarkEnd w:id="34"/>
      <w:r>
        <w:rPr>
          <w:rFonts w:ascii="Times New Roman" w:hAnsi="Times New Roman"/>
          <w:b/>
          <w:color w:val="000000"/>
          <w:sz w:val="20"/>
        </w:rPr>
        <w:t>CONSOLIDATED STATEMENTS OF OPERATIONS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i/>
          <w:color w:val="000000"/>
          <w:sz w:val="20"/>
        </w:rPr>
        <w:t>(In thousands, except share and per share data)</w:t>
      </w:r>
      <w:r>
        <w:rPr>
          <w:rFonts w:ascii="Times New Roman" w:hAnsi="Times New Roman"/>
          <w:color w:val="000000"/>
          <w:sz w:val="20"/>
        </w:rPr>
        <w:t xml:space="preserve">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5283"/>
        <w:gridCol w:w="146"/>
        <w:gridCol w:w="211"/>
        <w:gridCol w:w="1036"/>
        <w:gridCol w:w="166"/>
        <w:gridCol w:w="146"/>
        <w:gridCol w:w="211"/>
        <w:gridCol w:w="1036"/>
        <w:gridCol w:w="166"/>
        <w:gridCol w:w="146"/>
        <w:gridCol w:w="211"/>
        <w:gridCol w:w="1036"/>
        <w:gridCol w:w="411"/>
      </w:tblGrid>
      <w:tr>
        <w:trPr/>
        <w:tc>
          <w:tcPr>
            <w:tcW w:w="52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28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8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8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left"/>
              <w:rPr/>
            </w:pPr>
            <w:r>
              <w:rPr/>
              <w:t> </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528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License fees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139,709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8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139,709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8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528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163,032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118,499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88,248</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528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25,241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8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229,954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151,757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113,489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8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income from operations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(229,954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(151,757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26,220</w:t>
            </w:r>
          </w:p>
        </w:tc>
        <w:tc>
          <w:tcPr>
            <w:tcW w:w="411" w:type="dxa"/>
            <w:tcBorders/>
            <w:shd w:fill="FFFFFF" w:val="clear"/>
            <w:vAlign w:val="center"/>
          </w:tcPr>
          <w:p>
            <w:pPr>
              <w:pStyle w:val="TableContents"/>
              <w:bidi w:val="0"/>
              <w:spacing w:before="0" w:after="283"/>
              <w:jc w:val="left"/>
              <w:rPr/>
            </w:pPr>
            <w:r>
              <w:rPr/>
              <w:t> </w:t>
            </w:r>
          </w:p>
        </w:tc>
      </w:tr>
      <w:tr>
        <w:trPr/>
        <w:tc>
          <w:tcPr>
            <w:tcW w:w="528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left"/>
              <w:rPr/>
            </w:pPr>
            <w:r>
              <w:rPr/>
              <w:t> </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528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(1,899</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28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21,163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528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(expense) income,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8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 (expense)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8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(209,360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(149,338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24,926</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8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 attributable to common stockholders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(209,360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(149,338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24,926</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8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jc w:val="left"/>
              <w:rPr/>
            </w:pPr>
            <w:r>
              <w:rPr/>
              <w:t> </w:t>
            </w:r>
          </w:p>
        </w:tc>
      </w:tr>
      <w:tr>
        <w:trPr/>
        <w:tc>
          <w:tcPr>
            <w:tcW w:w="528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 Per Share:</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left"/>
              <w:rPr/>
            </w:pPr>
            <w:r>
              <w:rPr/>
              <w:t> </w:t>
            </w:r>
          </w:p>
        </w:tc>
        <w:tc>
          <w:tcPr>
            <w:tcW w:w="411" w:type="dxa"/>
            <w:tcBorders/>
            <w:shd w:fill="CFF0FC" w:val="clear"/>
            <w:vAlign w:val="center"/>
          </w:tcPr>
          <w:p>
            <w:pPr>
              <w:pStyle w:val="TableContents"/>
              <w:bidi w:val="0"/>
              <w:spacing w:before="0" w:after="283"/>
              <w:jc w:val="left"/>
              <w:rPr/>
            </w:pPr>
            <w:r>
              <w:rPr/>
              <w:t> </w:t>
            </w:r>
          </w:p>
        </w:tc>
      </w:tr>
      <w:tr>
        <w:trPr/>
        <w:tc>
          <w:tcPr>
            <w:tcW w:w="528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(loss) earnings per share attributable to common stockholders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0.48</w:t>
            </w:r>
          </w:p>
        </w:tc>
        <w:tc>
          <w:tcPr>
            <w:tcW w:w="411" w:type="dxa"/>
            <w:tcBorders/>
            <w:shd w:fill="FFFFFF" w:val="clear"/>
            <w:vAlign w:val="center"/>
          </w:tcPr>
          <w:p>
            <w:pPr>
              <w:pStyle w:val="TableContents"/>
              <w:bidi w:val="0"/>
              <w:spacing w:before="0" w:after="283"/>
              <w:jc w:val="left"/>
              <w:rPr/>
            </w:pPr>
            <w:r>
              <w:rPr/>
              <w:t> </w:t>
            </w:r>
          </w:p>
        </w:tc>
      </w:tr>
      <w:tr>
        <w:trPr/>
        <w:tc>
          <w:tcPr>
            <w:tcW w:w="528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(loss) earnings per share attributable to common stockholders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0.46</w:t>
            </w:r>
          </w:p>
        </w:tc>
        <w:tc>
          <w:tcPr>
            <w:tcW w:w="411" w:type="dxa"/>
            <w:tcBorders/>
            <w:shd w:fill="CFF0FC" w:val="clear"/>
            <w:vAlign w:val="center"/>
          </w:tcPr>
          <w:p>
            <w:pPr>
              <w:pStyle w:val="TableContents"/>
              <w:bidi w:val="0"/>
              <w:spacing w:before="0" w:after="283"/>
              <w:jc w:val="left"/>
              <w:rPr/>
            </w:pPr>
            <w:r>
              <w:rPr/>
              <w:t> </w:t>
            </w:r>
          </w:p>
        </w:tc>
      </w:tr>
      <w:tr>
        <w:trPr/>
        <w:tc>
          <w:tcPr>
            <w:tcW w:w="528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jc w:val="left"/>
              <w:rPr/>
            </w:pPr>
            <w:r>
              <w:rPr/>
              <w:t> </w:t>
            </w:r>
          </w:p>
        </w:tc>
      </w:tr>
      <w:tr>
        <w:trPr/>
        <w:tc>
          <w:tcPr>
            <w:tcW w:w="528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used in calculating:</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left"/>
              <w:rPr/>
            </w:pPr>
            <w:r>
              <w:rPr/>
              <w:t> </w:t>
            </w:r>
          </w:p>
        </w:tc>
        <w:tc>
          <w:tcPr>
            <w:tcW w:w="411" w:type="dxa"/>
            <w:tcBorders/>
            <w:shd w:fill="CFF0FC" w:val="clear"/>
            <w:vAlign w:val="center"/>
          </w:tcPr>
          <w:p>
            <w:pPr>
              <w:pStyle w:val="TableContents"/>
              <w:bidi w:val="0"/>
              <w:spacing w:before="0" w:after="283"/>
              <w:jc w:val="left"/>
              <w:rPr/>
            </w:pPr>
            <w:r>
              <w:rPr/>
              <w:t> </w:t>
            </w:r>
          </w:p>
        </w:tc>
      </w:tr>
      <w:tr>
        <w:trPr/>
        <w:tc>
          <w:tcPr>
            <w:tcW w:w="528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(loss) earnings per share attributable to common stockholders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70,370,519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60,760,906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52,064,809</w:t>
            </w:r>
          </w:p>
        </w:tc>
        <w:tc>
          <w:tcPr>
            <w:tcW w:w="411" w:type="dxa"/>
            <w:tcBorders/>
            <w:shd w:fill="FFFFFF" w:val="clear"/>
            <w:vAlign w:val="center"/>
          </w:tcPr>
          <w:p>
            <w:pPr>
              <w:pStyle w:val="TableContents"/>
              <w:bidi w:val="0"/>
              <w:spacing w:before="0" w:after="283"/>
              <w:jc w:val="left"/>
              <w:rPr/>
            </w:pPr>
            <w:r>
              <w:rPr/>
              <w:t> </w:t>
            </w:r>
          </w:p>
        </w:tc>
      </w:tr>
      <w:tr>
        <w:trPr/>
        <w:tc>
          <w:tcPr>
            <w:tcW w:w="528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(loss) earnings per share attributable to common stockholders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70,370,519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60,760,906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53,622,904</w:t>
            </w:r>
          </w:p>
        </w:tc>
        <w:tc>
          <w:tcPr>
            <w:tcW w:w="41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sz w:val="20"/>
        </w:rPr>
      </w:pPr>
      <w:r>
        <w:rPr>
          <w:rFonts w:ascii="Times New Roman" w:hAnsi="Times New Roman"/>
          <w:b/>
          <w:color w:val="000000"/>
          <w:sz w:val="20"/>
        </w:rPr>
        <w:t>SYNDAX PHARMACEUTICALS, INC.</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bookmarkStart w:id="35" w:name="consolidated_statements_comprehensive_lo"/>
      <w:bookmarkEnd w:id="35"/>
      <w:r>
        <w:rPr>
          <w:rFonts w:ascii="Times New Roman" w:hAnsi="Times New Roman"/>
          <w:b/>
          <w:color w:val="000000"/>
          <w:sz w:val="20"/>
        </w:rPr>
        <w:t>CONSOLIDATED STATEMENTS</w:t>
      </w:r>
      <w:r>
        <w:rPr>
          <w:rFonts w:ascii="Times New Roman" w:hAnsi="Times New Roman"/>
          <w:color w:val="000000"/>
          <w:sz w:val="20"/>
        </w:rPr>
        <w:t xml:space="preserve"> </w:t>
      </w:r>
      <w:r>
        <w:rPr>
          <w:rFonts w:ascii="Times New Roman" w:hAnsi="Times New Roman"/>
          <w:b/>
          <w:color w:val="000000"/>
          <w:sz w:val="20"/>
        </w:rPr>
        <w:t>OF COMPREHENSIVE (LOSS) INCOME</w:t>
      </w:r>
    </w:p>
    <w:p>
      <w:pPr>
        <w:pStyle w:val="TextBody"/>
        <w:bidi w:val="0"/>
        <w:jc w:val="center"/>
        <w:rPr>
          <w:rFonts w:ascii="Times New Roman" w:hAnsi="Times New Roman"/>
          <w:sz w:val="20"/>
        </w:rPr>
      </w:pPr>
      <w:r>
        <w:rPr>
          <w:rFonts w:ascii="Times New Roman" w:hAnsi="Times New Roman"/>
          <w:i/>
          <w:color w:val="000000"/>
          <w:sz w:val="20"/>
        </w:rPr>
        <w:t>(In thousands)</w:t>
      </w:r>
      <w:r>
        <w:rPr>
          <w:rFonts w:ascii="Times New Roman" w:hAnsi="Times New Roman"/>
          <w:color w:val="000000"/>
          <w:sz w:val="20"/>
        </w:rPr>
        <w:t xml:space="preserve"> </w:t>
      </w:r>
    </w:p>
    <w:p>
      <w:pPr>
        <w:pStyle w:val="TextBody"/>
        <w:bidi w:val="0"/>
        <w:jc w:val="left"/>
        <w:rPr/>
      </w:pPr>
      <w:r>
        <w:rPr/>
        <w:t> </w:t>
      </w:r>
    </w:p>
    <w:tbl>
      <w:tblPr>
        <w:tblW w:w="9108" w:type="dxa"/>
        <w:jc w:val="left"/>
        <w:tblInd w:w="0" w:type="dxa"/>
        <w:tblLayout w:type="fixed"/>
        <w:tblCellMar>
          <w:top w:w="28" w:type="dxa"/>
          <w:left w:w="28" w:type="dxa"/>
          <w:bottom w:w="28" w:type="dxa"/>
          <w:right w:w="28" w:type="dxa"/>
        </w:tblCellMar>
      </w:tblPr>
      <w:tblGrid>
        <w:gridCol w:w="4956"/>
        <w:gridCol w:w="146"/>
        <w:gridCol w:w="211"/>
        <w:gridCol w:w="841"/>
        <w:gridCol w:w="166"/>
        <w:gridCol w:w="146"/>
        <w:gridCol w:w="211"/>
        <w:gridCol w:w="841"/>
        <w:gridCol w:w="166"/>
        <w:gridCol w:w="146"/>
        <w:gridCol w:w="211"/>
        <w:gridCol w:w="676"/>
        <w:gridCol w:w="391"/>
      </w:tblGrid>
      <w:tr>
        <w:trPr/>
        <w:tc>
          <w:tcPr>
            <w:tcW w:w="4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9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61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(209,360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(149,338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24,926</w:t>
            </w:r>
          </w:p>
        </w:tc>
        <w:tc>
          <w:tcPr>
            <w:tcW w:w="391" w:type="dxa"/>
            <w:tcBorders/>
            <w:shd w:fill="CFF0FC" w:val="clear"/>
            <w:vAlign w:val="center"/>
          </w:tcPr>
          <w:p>
            <w:pPr>
              <w:pStyle w:val="TableContents"/>
              <w:bidi w:val="0"/>
              <w:spacing w:before="0" w:after="283"/>
              <w:jc w:val="left"/>
              <w:rPr/>
            </w:pPr>
            <w:r>
              <w:rPr/>
              <w:t> </w:t>
            </w:r>
          </w:p>
        </w:tc>
      </w:tr>
      <w:tr>
        <w:trPr/>
        <w:tc>
          <w:tcPr>
            <w:tcW w:w="49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gain (loss):</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9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Unrealized gain (loss) on marketable securities, net of tax</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 income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(208,336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(150,189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24,975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SYNDAX PHARMACEUTICALS, INC.</w:t>
      </w:r>
      <w:r>
        <w:rPr>
          <w:rFonts w:ascii="Times New Roman" w:hAnsi="Times New Roman"/>
          <w:color w:val="000000"/>
          <w:sz w:val="20"/>
        </w:rPr>
        <w:t xml:space="preserve"> </w:t>
      </w:r>
    </w:p>
    <w:p>
      <w:pPr>
        <w:pStyle w:val="TextBody"/>
        <w:bidi w:val="0"/>
        <w:spacing w:before="60" w:after="283"/>
        <w:jc w:val="center"/>
        <w:rPr>
          <w:rFonts w:ascii="Times New Roman" w:hAnsi="Times New Roman"/>
          <w:sz w:val="20"/>
        </w:rPr>
      </w:pPr>
      <w:bookmarkStart w:id="36" w:name="consolidated_statements_convertible_pref"/>
      <w:bookmarkEnd w:id="36"/>
      <w:r>
        <w:rPr>
          <w:rFonts w:ascii="Times New Roman" w:hAnsi="Times New Roman"/>
          <w:b/>
          <w:color w:val="000000"/>
          <w:sz w:val="20"/>
        </w:rPr>
        <w:t>CONSOLIDATED STATEMENTS OF</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STOCKHOLDERS’ EQUITY</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i/>
          <w:color w:val="000000"/>
          <w:sz w:val="20"/>
        </w:rPr>
        <w:t>(In thousands, except share and per share data)</w:t>
      </w:r>
      <w:r>
        <w:rPr>
          <w:rFonts w:ascii="Times New Roman" w:hAnsi="Times New Roman"/>
          <w:color w:val="000000"/>
          <w:sz w:val="20"/>
        </w:rPr>
        <w:t xml:space="preserve">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215"/>
        <w:gridCol w:w="146"/>
        <w:gridCol w:w="146"/>
        <w:gridCol w:w="766"/>
        <w:gridCol w:w="146"/>
        <w:gridCol w:w="146"/>
        <w:gridCol w:w="196"/>
        <w:gridCol w:w="375"/>
        <w:gridCol w:w="146"/>
        <w:gridCol w:w="146"/>
        <w:gridCol w:w="181"/>
        <w:gridCol w:w="691"/>
        <w:gridCol w:w="146"/>
        <w:gridCol w:w="146"/>
        <w:gridCol w:w="299"/>
        <w:gridCol w:w="722"/>
        <w:gridCol w:w="151"/>
        <w:gridCol w:w="146"/>
        <w:gridCol w:w="194"/>
        <w:gridCol w:w="677"/>
        <w:gridCol w:w="151"/>
        <w:gridCol w:w="146"/>
        <w:gridCol w:w="207"/>
        <w:gridCol w:w="724"/>
        <w:gridCol w:w="196"/>
      </w:tblGrid>
      <w:tr>
        <w:trPr/>
        <w:tc>
          <w:tcPr>
            <w:tcW w:w="32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321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7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br/>
              <w:t>$0.0001</w:t>
              <w:br/>
              <w:t>Par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2"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br/>
              <w:t>Paid-In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1"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br/>
              <w:t>Other</w:t>
              <w:br/>
              <w:t>Comprehensive</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1"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31"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br/>
              <w:t>Stockholders'</w:t>
              <w:br/>
              <w:t>Equity</w:t>
            </w:r>
          </w:p>
        </w:tc>
        <w:tc>
          <w:tcPr>
            <w:tcW w:w="196" w:type="dxa"/>
            <w:tcBorders/>
            <w:shd w:fill="FFFFFF" w:val="clear"/>
            <w:vAlign w:val="center"/>
          </w:tcPr>
          <w:p>
            <w:pPr>
              <w:pStyle w:val="TableContents"/>
              <w:bidi w:val="0"/>
              <w:spacing w:before="0" w:after="283"/>
              <w:jc w:val="center"/>
              <w:rPr/>
            </w:pPr>
            <w:r>
              <w:rPr/>
              <w:t> </w:t>
            </w:r>
          </w:p>
        </w:tc>
      </w:tr>
      <w:tr>
        <w:trPr/>
        <w:tc>
          <w:tcPr>
            <w:tcW w:w="321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(Loss) Income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5"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Balance—January 1, 2021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47,881,223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820,815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99"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2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w:t>
            </w:r>
          </w:p>
        </w:tc>
        <w:tc>
          <w:tcPr>
            <w:tcW w:w="15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right"/>
              <w:rPr/>
            </w:pPr>
            <w:r>
              <w:rPr/>
              <w:t> </w:t>
            </w:r>
          </w:p>
        </w:tc>
        <w:tc>
          <w:tcPr>
            <w:tcW w:w="194"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(568,628</w:t>
            </w:r>
          </w:p>
        </w:tc>
        <w:tc>
          <w:tcPr>
            <w:tcW w:w="15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right"/>
              <w:rPr/>
            </w:pPr>
            <w:r>
              <w:rPr/>
              <w:t> </w:t>
            </w:r>
          </w:p>
        </w:tc>
        <w:tc>
          <w:tcPr>
            <w:tcW w:w="207"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24"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252,188</w:t>
            </w:r>
          </w:p>
        </w:tc>
        <w:tc>
          <w:tcPr>
            <w:tcW w:w="196" w:type="dxa"/>
            <w:tcBorders/>
            <w:shd w:fill="CFF0FC" w:val="clear"/>
            <w:vAlign w:val="center"/>
          </w:tcPr>
          <w:p>
            <w:pPr>
              <w:pStyle w:val="TableContents"/>
              <w:bidi w:val="0"/>
              <w:spacing w:before="0" w:after="283"/>
              <w:jc w:val="left"/>
              <w:rPr/>
            </w:pPr>
            <w:r>
              <w:rPr/>
              <w:t> </w:t>
            </w:r>
          </w:p>
        </w:tc>
      </w:tr>
      <w:tr>
        <w:trPr/>
        <w:tc>
          <w:tcPr>
            <w:tcW w:w="3215"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Proceeds from at-the-market offering, net of $159</w:t>
              <w:br/>
              <w:t>   offering expenses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277,629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Calibri;sans-serif" w:hAnsi="Calibri;sans-serif"/>
                <w:color w:val="000000"/>
                <w:sz w:val="14"/>
              </w:rPr>
            </w:pPr>
            <w:r>
              <w:rPr>
                <w:rFonts w:ascii="Calibri;sans-serif" w:hAnsi="Calibri;sans-serif"/>
                <w:color w:val="000000"/>
                <w:sz w:val="14"/>
              </w:rPr>
              <w:t>5,131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9" w:type="dxa"/>
            <w:tcBorders/>
            <w:shd w:fill="FFFFFF" w:val="clear"/>
            <w:vAlign w:val="center"/>
          </w:tcPr>
          <w:p>
            <w:pPr>
              <w:pStyle w:val="TableContents"/>
              <w:bidi w:val="0"/>
              <w:spacing w:before="0" w:after="283"/>
              <w:jc w:val="left"/>
              <w:rPr/>
            </w:pPr>
            <w:r>
              <w:rPr/>
              <w:t> </w:t>
            </w:r>
          </w:p>
        </w:tc>
        <w:tc>
          <w:tcPr>
            <w:tcW w:w="722"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4"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7" w:type="dxa"/>
            <w:tcBorders/>
            <w:shd w:fill="FFFFFF" w:val="clear"/>
            <w:vAlign w:val="center"/>
          </w:tcPr>
          <w:p>
            <w:pPr>
              <w:pStyle w:val="TableContents"/>
              <w:bidi w:val="0"/>
              <w:spacing w:before="0" w:after="283"/>
              <w:jc w:val="left"/>
              <w:rPr/>
            </w:pPr>
            <w:r>
              <w:rPr/>
              <w:t> </w:t>
            </w:r>
          </w:p>
        </w:tc>
        <w:tc>
          <w:tcPr>
            <w:tcW w:w="724"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5,131</w:t>
            </w:r>
          </w:p>
        </w:tc>
        <w:tc>
          <w:tcPr>
            <w:tcW w:w="196" w:type="dxa"/>
            <w:tcBorders/>
            <w:shd w:fill="FFFFFF" w:val="clear"/>
            <w:vAlign w:val="center"/>
          </w:tcPr>
          <w:p>
            <w:pPr>
              <w:pStyle w:val="TableContents"/>
              <w:bidi w:val="0"/>
              <w:spacing w:before="0" w:after="283"/>
              <w:jc w:val="left"/>
              <w:rPr/>
            </w:pPr>
            <w:r>
              <w:rPr/>
              <w:t> </w:t>
            </w:r>
          </w:p>
        </w:tc>
      </w:tr>
      <w:tr>
        <w:trPr/>
        <w:tc>
          <w:tcPr>
            <w:tcW w:w="3215"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Proceeds from direct offering, net of $5,332</w:t>
            </w:r>
            <w:r>
              <w:rPr>
                <w:rFonts w:ascii="Times New Roman" w:hAnsi="Times New Roman"/>
                <w:color w:val="000000"/>
                <w:sz w:val="20"/>
              </w:rPr>
              <w:t> </w:t>
            </w:r>
            <w:r>
              <w:rPr>
                <w:rFonts w:ascii="Times New Roman" w:hAnsi="Times New Roman"/>
                <w:color w:val="000000"/>
                <w:sz w:val="14"/>
              </w:rPr>
              <w:t>offering expenses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Calibri;sans-serif" w:hAnsi="Calibri;sans-serif"/>
                <w:color w:val="000000"/>
                <w:sz w:val="14"/>
              </w:rPr>
            </w:pPr>
            <w:r>
              <w:rPr>
                <w:rFonts w:ascii="Calibri;sans-serif" w:hAnsi="Calibri;sans-serif"/>
                <w:color w:val="000000"/>
                <w:sz w:val="14"/>
              </w:rPr>
              <w:t>3,802,144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rFonts w:ascii="Calibri;sans-serif" w:hAnsi="Calibri;sans-serif"/>
                <w:color w:val="000000"/>
                <w:sz w:val="14"/>
              </w:rPr>
            </w:pPr>
            <w:r>
              <w:rPr>
                <w:rFonts w:ascii="Calibri;sans-serif" w:hAnsi="Calibri;sans-serif"/>
                <w:color w:val="000000"/>
                <w:sz w:val="14"/>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81,205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99" w:type="dxa"/>
            <w:tcBorders/>
            <w:shd w:fill="CFF0FC" w:val="clear"/>
            <w:vAlign w:val="center"/>
          </w:tcPr>
          <w:p>
            <w:pPr>
              <w:pStyle w:val="TableContents"/>
              <w:bidi w:val="0"/>
              <w:spacing w:before="0" w:after="283"/>
              <w:jc w:val="left"/>
              <w:rPr/>
            </w:pPr>
            <w:r>
              <w:rPr/>
              <w:t> </w:t>
            </w:r>
          </w:p>
        </w:tc>
        <w:tc>
          <w:tcPr>
            <w:tcW w:w="722"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4"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7" w:type="dxa"/>
            <w:tcBorders/>
            <w:shd w:fill="CFF0FC" w:val="clear"/>
            <w:vAlign w:val="center"/>
          </w:tcPr>
          <w:p>
            <w:pPr>
              <w:pStyle w:val="TableContents"/>
              <w:bidi w:val="0"/>
              <w:spacing w:before="0" w:after="283"/>
              <w:jc w:val="left"/>
              <w:rPr/>
            </w:pPr>
            <w:r>
              <w:rPr/>
              <w:t> </w:t>
            </w:r>
          </w:p>
        </w:tc>
        <w:tc>
          <w:tcPr>
            <w:tcW w:w="724"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81,206</w:t>
            </w:r>
          </w:p>
        </w:tc>
        <w:tc>
          <w:tcPr>
            <w:tcW w:w="196" w:type="dxa"/>
            <w:tcBorders/>
            <w:shd w:fill="CFF0FC" w:val="clear"/>
            <w:vAlign w:val="center"/>
          </w:tcPr>
          <w:p>
            <w:pPr>
              <w:pStyle w:val="TableContents"/>
              <w:bidi w:val="0"/>
              <w:spacing w:before="0" w:after="283"/>
              <w:jc w:val="left"/>
              <w:rPr/>
            </w:pPr>
            <w:r>
              <w:rPr/>
              <w:t> </w:t>
            </w:r>
          </w:p>
        </w:tc>
      </w:tr>
      <w:tr>
        <w:trPr/>
        <w:tc>
          <w:tcPr>
            <w:tcW w:w="3215"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Stock purchase under ESPP</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Calibri;sans-serif" w:hAnsi="Calibri;sans-serif"/>
                <w:color w:val="000000"/>
                <w:sz w:val="14"/>
              </w:rPr>
            </w:pPr>
            <w:r>
              <w:rPr>
                <w:rFonts w:ascii="Calibri;sans-serif" w:hAnsi="Calibri;sans-serif"/>
                <w:color w:val="000000"/>
                <w:sz w:val="14"/>
              </w:rPr>
              <w:t>26,878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9" w:type="dxa"/>
            <w:tcBorders/>
            <w:shd w:fill="FFFFFF" w:val="clear"/>
            <w:vAlign w:val="center"/>
          </w:tcPr>
          <w:p>
            <w:pPr>
              <w:pStyle w:val="TableContents"/>
              <w:bidi w:val="0"/>
              <w:spacing w:before="0" w:after="283"/>
              <w:jc w:val="left"/>
              <w:rPr/>
            </w:pPr>
            <w:r>
              <w:rPr/>
              <w:t> </w:t>
            </w:r>
          </w:p>
        </w:tc>
        <w:tc>
          <w:tcPr>
            <w:tcW w:w="722"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4"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7" w:type="dxa"/>
            <w:tcBorders/>
            <w:shd w:fill="FFFFFF" w:val="clear"/>
            <w:vAlign w:val="center"/>
          </w:tcPr>
          <w:p>
            <w:pPr>
              <w:pStyle w:val="TableContents"/>
              <w:bidi w:val="0"/>
              <w:spacing w:before="0" w:after="283"/>
              <w:jc w:val="left"/>
              <w:rPr/>
            </w:pPr>
            <w:r>
              <w:rPr/>
              <w:t> </w:t>
            </w:r>
          </w:p>
        </w:tc>
        <w:tc>
          <w:tcPr>
            <w:tcW w:w="724" w:type="dxa"/>
            <w:tcBorders/>
            <w:shd w:fill="FFFFFF" w:val="clear"/>
            <w:vAlign w:val="center"/>
          </w:tcPr>
          <w:p>
            <w:pPr>
              <w:pStyle w:val="TableContents"/>
              <w:bidi w:val="0"/>
              <w:spacing w:before="0" w:after="283"/>
              <w:jc w:val="right"/>
              <w:rPr>
                <w:color w:val="000000"/>
              </w:rPr>
            </w:pPr>
            <w:r>
              <w:rPr>
                <w:color w:val="000000"/>
              </w:rPr>
              <w:t>—</w:t>
            </w:r>
          </w:p>
        </w:tc>
        <w:tc>
          <w:tcPr>
            <w:tcW w:w="196" w:type="dxa"/>
            <w:tcBorders/>
            <w:shd w:fill="FFFFFF" w:val="clear"/>
            <w:vAlign w:val="center"/>
          </w:tcPr>
          <w:p>
            <w:pPr>
              <w:pStyle w:val="TableContents"/>
              <w:bidi w:val="0"/>
              <w:spacing w:before="0" w:after="283"/>
              <w:jc w:val="left"/>
              <w:rPr/>
            </w:pPr>
            <w:r>
              <w:rPr/>
              <w:t> </w:t>
            </w:r>
          </w:p>
        </w:tc>
      </w:tr>
      <w:tr>
        <w:trPr/>
        <w:tc>
          <w:tcPr>
            <w:tcW w:w="3215"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Pre-funded warrant cashless exercise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725,784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99" w:type="dxa"/>
            <w:tcBorders/>
            <w:shd w:fill="CFF0FC" w:val="clear"/>
            <w:vAlign w:val="center"/>
          </w:tcPr>
          <w:p>
            <w:pPr>
              <w:pStyle w:val="TableContents"/>
              <w:bidi w:val="0"/>
              <w:spacing w:before="0" w:after="283"/>
              <w:jc w:val="left"/>
              <w:rPr/>
            </w:pPr>
            <w:r>
              <w:rPr/>
              <w:t> </w:t>
            </w:r>
          </w:p>
        </w:tc>
        <w:tc>
          <w:tcPr>
            <w:tcW w:w="722"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4"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7" w:type="dxa"/>
            <w:tcBorders/>
            <w:shd w:fill="CFF0FC" w:val="clear"/>
            <w:vAlign w:val="center"/>
          </w:tcPr>
          <w:p>
            <w:pPr>
              <w:pStyle w:val="TableContents"/>
              <w:bidi w:val="0"/>
              <w:spacing w:before="0" w:after="283"/>
              <w:jc w:val="left"/>
              <w:rPr/>
            </w:pPr>
            <w:r>
              <w:rPr/>
              <w:t> </w:t>
            </w:r>
          </w:p>
        </w:tc>
        <w:tc>
          <w:tcPr>
            <w:tcW w:w="724" w:type="dxa"/>
            <w:tcBorders/>
            <w:shd w:fill="CFF0FC" w:val="clear"/>
            <w:vAlign w:val="center"/>
          </w:tcPr>
          <w:p>
            <w:pPr>
              <w:pStyle w:val="TableContents"/>
              <w:bidi w:val="0"/>
              <w:spacing w:before="0" w:after="283"/>
              <w:jc w:val="right"/>
              <w:rPr>
                <w:color w:val="000000"/>
              </w:rPr>
            </w:pPr>
            <w:r>
              <w:rPr>
                <w:color w:val="000000"/>
              </w:rPr>
              <w:t>—</w:t>
            </w:r>
          </w:p>
        </w:tc>
        <w:tc>
          <w:tcPr>
            <w:tcW w:w="196" w:type="dxa"/>
            <w:tcBorders/>
            <w:shd w:fill="CFF0FC" w:val="clear"/>
            <w:vAlign w:val="center"/>
          </w:tcPr>
          <w:p>
            <w:pPr>
              <w:pStyle w:val="TableContents"/>
              <w:bidi w:val="0"/>
              <w:spacing w:before="0" w:after="283"/>
              <w:jc w:val="left"/>
              <w:rPr/>
            </w:pPr>
            <w:r>
              <w:rPr/>
              <w:t> </w:t>
            </w:r>
          </w:p>
        </w:tc>
      </w:tr>
      <w:tr>
        <w:trPr/>
        <w:tc>
          <w:tcPr>
            <w:tcW w:w="3215"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Proceeds from Incyte Share Purchase Agreement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1,421,523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24,848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9" w:type="dxa"/>
            <w:tcBorders/>
            <w:shd w:fill="FFFFFF" w:val="clear"/>
            <w:vAlign w:val="center"/>
          </w:tcPr>
          <w:p>
            <w:pPr>
              <w:pStyle w:val="TableContents"/>
              <w:bidi w:val="0"/>
              <w:spacing w:before="0" w:after="283"/>
              <w:jc w:val="left"/>
              <w:rPr/>
            </w:pPr>
            <w:r>
              <w:rPr/>
              <w:t> </w:t>
            </w:r>
          </w:p>
        </w:tc>
        <w:tc>
          <w:tcPr>
            <w:tcW w:w="722"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4"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7" w:type="dxa"/>
            <w:tcBorders/>
            <w:shd w:fill="FFFFFF" w:val="clear"/>
            <w:vAlign w:val="center"/>
          </w:tcPr>
          <w:p>
            <w:pPr>
              <w:pStyle w:val="TableContents"/>
              <w:bidi w:val="0"/>
              <w:spacing w:before="0" w:after="283"/>
              <w:jc w:val="left"/>
              <w:rPr/>
            </w:pPr>
            <w:r>
              <w:rPr/>
              <w:t> </w:t>
            </w:r>
          </w:p>
        </w:tc>
        <w:tc>
          <w:tcPr>
            <w:tcW w:w="724"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24,848</w:t>
            </w:r>
          </w:p>
        </w:tc>
        <w:tc>
          <w:tcPr>
            <w:tcW w:w="196" w:type="dxa"/>
            <w:tcBorders/>
            <w:shd w:fill="FFFFFF" w:val="clear"/>
            <w:vAlign w:val="center"/>
          </w:tcPr>
          <w:p>
            <w:pPr>
              <w:pStyle w:val="TableContents"/>
              <w:bidi w:val="0"/>
              <w:spacing w:before="0" w:after="283"/>
              <w:jc w:val="left"/>
              <w:rPr/>
            </w:pPr>
            <w:r>
              <w:rPr/>
              <w:t> </w:t>
            </w:r>
          </w:p>
        </w:tc>
      </w:tr>
      <w:tr>
        <w:trPr/>
        <w:tc>
          <w:tcPr>
            <w:tcW w:w="3215"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Stock-based compensation expense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13,317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99" w:type="dxa"/>
            <w:tcBorders/>
            <w:shd w:fill="CFF0FC" w:val="clear"/>
            <w:vAlign w:val="center"/>
          </w:tcPr>
          <w:p>
            <w:pPr>
              <w:pStyle w:val="TableContents"/>
              <w:bidi w:val="0"/>
              <w:spacing w:before="0" w:after="283"/>
              <w:jc w:val="left"/>
              <w:rPr/>
            </w:pPr>
            <w:r>
              <w:rPr/>
              <w:t> </w:t>
            </w:r>
          </w:p>
        </w:tc>
        <w:tc>
          <w:tcPr>
            <w:tcW w:w="722"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4"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7" w:type="dxa"/>
            <w:tcBorders/>
            <w:shd w:fill="CFF0FC" w:val="clear"/>
            <w:vAlign w:val="center"/>
          </w:tcPr>
          <w:p>
            <w:pPr>
              <w:pStyle w:val="TableContents"/>
              <w:bidi w:val="0"/>
              <w:spacing w:before="0" w:after="283"/>
              <w:jc w:val="left"/>
              <w:rPr/>
            </w:pPr>
            <w:r>
              <w:rPr/>
              <w:t> </w:t>
            </w:r>
          </w:p>
        </w:tc>
        <w:tc>
          <w:tcPr>
            <w:tcW w:w="724"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13,317</w:t>
            </w:r>
          </w:p>
        </w:tc>
        <w:tc>
          <w:tcPr>
            <w:tcW w:w="196" w:type="dxa"/>
            <w:tcBorders/>
            <w:shd w:fill="CFF0FC" w:val="clear"/>
            <w:vAlign w:val="center"/>
          </w:tcPr>
          <w:p>
            <w:pPr>
              <w:pStyle w:val="TableContents"/>
              <w:bidi w:val="0"/>
              <w:spacing w:before="0" w:after="283"/>
              <w:jc w:val="left"/>
              <w:rPr/>
            </w:pPr>
            <w:r>
              <w:rPr/>
              <w:t> </w:t>
            </w:r>
          </w:p>
        </w:tc>
      </w:tr>
      <w:tr>
        <w:trPr/>
        <w:tc>
          <w:tcPr>
            <w:tcW w:w="3215"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Unrealized gain on investments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9" w:type="dxa"/>
            <w:tcBorders/>
            <w:shd w:fill="FFFFFF" w:val="clear"/>
            <w:vAlign w:val="center"/>
          </w:tcPr>
          <w:p>
            <w:pPr>
              <w:pStyle w:val="TableContents"/>
              <w:bidi w:val="0"/>
              <w:spacing w:before="0" w:after="283"/>
              <w:jc w:val="left"/>
              <w:rPr/>
            </w:pPr>
            <w:r>
              <w:rPr/>
              <w:t> </w:t>
            </w:r>
          </w:p>
        </w:tc>
        <w:tc>
          <w:tcPr>
            <w:tcW w:w="72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4"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7" w:type="dxa"/>
            <w:tcBorders/>
            <w:shd w:fill="FFFFFF" w:val="clear"/>
            <w:vAlign w:val="center"/>
          </w:tcPr>
          <w:p>
            <w:pPr>
              <w:pStyle w:val="TableContents"/>
              <w:bidi w:val="0"/>
              <w:spacing w:before="0" w:after="283"/>
              <w:jc w:val="left"/>
              <w:rPr/>
            </w:pPr>
            <w:r>
              <w:rPr/>
              <w:t> </w:t>
            </w:r>
          </w:p>
        </w:tc>
        <w:tc>
          <w:tcPr>
            <w:tcW w:w="724"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w:t>
            </w:r>
          </w:p>
        </w:tc>
        <w:tc>
          <w:tcPr>
            <w:tcW w:w="196" w:type="dxa"/>
            <w:tcBorders/>
            <w:shd w:fill="FFFFFF" w:val="clear"/>
            <w:vAlign w:val="center"/>
          </w:tcPr>
          <w:p>
            <w:pPr>
              <w:pStyle w:val="TableContents"/>
              <w:bidi w:val="0"/>
              <w:spacing w:before="0" w:after="283"/>
              <w:jc w:val="left"/>
              <w:rPr/>
            </w:pPr>
            <w:r>
              <w:rPr/>
              <w:t> </w:t>
            </w:r>
          </w:p>
        </w:tc>
      </w:tr>
      <w:tr>
        <w:trPr/>
        <w:tc>
          <w:tcPr>
            <w:tcW w:w="3215"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Vesting of RSU</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99" w:type="dxa"/>
            <w:tcBorders/>
            <w:shd w:fill="CFF0FC" w:val="clear"/>
            <w:vAlign w:val="center"/>
          </w:tcPr>
          <w:p>
            <w:pPr>
              <w:pStyle w:val="TableContents"/>
              <w:bidi w:val="0"/>
              <w:spacing w:before="0" w:after="283"/>
              <w:jc w:val="left"/>
              <w:rPr/>
            </w:pPr>
            <w:r>
              <w:rPr/>
              <w:t> </w:t>
            </w:r>
          </w:p>
        </w:tc>
        <w:tc>
          <w:tcPr>
            <w:tcW w:w="722"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4"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7" w:type="dxa"/>
            <w:tcBorders/>
            <w:shd w:fill="CFF0FC" w:val="clear"/>
            <w:vAlign w:val="center"/>
          </w:tcPr>
          <w:p>
            <w:pPr>
              <w:pStyle w:val="TableContents"/>
              <w:bidi w:val="0"/>
              <w:spacing w:before="0" w:after="283"/>
              <w:jc w:val="left"/>
              <w:rPr/>
            </w:pPr>
            <w:r>
              <w:rPr/>
              <w:t> </w:t>
            </w:r>
          </w:p>
        </w:tc>
        <w:tc>
          <w:tcPr>
            <w:tcW w:w="724" w:type="dxa"/>
            <w:tcBorders/>
            <w:shd w:fill="CFF0FC" w:val="clear"/>
            <w:vAlign w:val="center"/>
          </w:tcPr>
          <w:p>
            <w:pPr>
              <w:pStyle w:val="TableContents"/>
              <w:bidi w:val="0"/>
              <w:spacing w:before="0" w:after="283"/>
              <w:jc w:val="right"/>
              <w:rPr>
                <w:color w:val="000000"/>
              </w:rPr>
            </w:pPr>
            <w:r>
              <w:rPr>
                <w:color w:val="000000"/>
              </w:rPr>
              <w:t>—</w:t>
            </w:r>
          </w:p>
        </w:tc>
        <w:tc>
          <w:tcPr>
            <w:tcW w:w="196" w:type="dxa"/>
            <w:tcBorders/>
            <w:shd w:fill="CFF0FC" w:val="clear"/>
            <w:vAlign w:val="center"/>
          </w:tcPr>
          <w:p>
            <w:pPr>
              <w:pStyle w:val="TableContents"/>
              <w:bidi w:val="0"/>
              <w:spacing w:before="0" w:after="283"/>
              <w:jc w:val="left"/>
              <w:rPr/>
            </w:pPr>
            <w:r>
              <w:rPr/>
              <w:t> </w:t>
            </w:r>
          </w:p>
        </w:tc>
      </w:tr>
      <w:tr>
        <w:trPr/>
        <w:tc>
          <w:tcPr>
            <w:tcW w:w="3215"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Employee withholdings ESPP</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9" w:type="dxa"/>
            <w:tcBorders/>
            <w:shd w:fill="FFFFFF" w:val="clear"/>
            <w:vAlign w:val="center"/>
          </w:tcPr>
          <w:p>
            <w:pPr>
              <w:pStyle w:val="TableContents"/>
              <w:bidi w:val="0"/>
              <w:spacing w:before="0" w:after="283"/>
              <w:jc w:val="left"/>
              <w:rPr/>
            </w:pPr>
            <w:r>
              <w:rPr/>
              <w:t> </w:t>
            </w:r>
          </w:p>
        </w:tc>
        <w:tc>
          <w:tcPr>
            <w:tcW w:w="722"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4"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7" w:type="dxa"/>
            <w:tcBorders/>
            <w:shd w:fill="FFFFFF" w:val="clear"/>
            <w:vAlign w:val="center"/>
          </w:tcPr>
          <w:p>
            <w:pPr>
              <w:pStyle w:val="TableContents"/>
              <w:bidi w:val="0"/>
              <w:spacing w:before="0" w:after="283"/>
              <w:jc w:val="left"/>
              <w:rPr/>
            </w:pPr>
            <w:r>
              <w:rPr/>
              <w:t> </w:t>
            </w:r>
          </w:p>
        </w:tc>
        <w:tc>
          <w:tcPr>
            <w:tcW w:w="724"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367</w:t>
            </w:r>
          </w:p>
        </w:tc>
        <w:tc>
          <w:tcPr>
            <w:tcW w:w="196" w:type="dxa"/>
            <w:tcBorders/>
            <w:shd w:fill="FFFFFF" w:val="clear"/>
            <w:vAlign w:val="center"/>
          </w:tcPr>
          <w:p>
            <w:pPr>
              <w:pStyle w:val="TableContents"/>
              <w:bidi w:val="0"/>
              <w:spacing w:before="0" w:after="283"/>
              <w:jc w:val="left"/>
              <w:rPr/>
            </w:pPr>
            <w:r>
              <w:rPr/>
              <w:t> </w:t>
            </w:r>
          </w:p>
        </w:tc>
      </w:tr>
      <w:tr>
        <w:trPr/>
        <w:tc>
          <w:tcPr>
            <w:tcW w:w="3215"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Proceeds from exercise of stock options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842,424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6,336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99" w:type="dxa"/>
            <w:tcBorders/>
            <w:shd w:fill="CFF0FC" w:val="clear"/>
            <w:vAlign w:val="center"/>
          </w:tcPr>
          <w:p>
            <w:pPr>
              <w:pStyle w:val="TableContents"/>
              <w:bidi w:val="0"/>
              <w:spacing w:before="0" w:after="283"/>
              <w:jc w:val="left"/>
              <w:rPr/>
            </w:pPr>
            <w:r>
              <w:rPr/>
              <w:t> </w:t>
            </w:r>
          </w:p>
        </w:tc>
        <w:tc>
          <w:tcPr>
            <w:tcW w:w="722"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4"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7" w:type="dxa"/>
            <w:tcBorders/>
            <w:shd w:fill="CFF0FC" w:val="clear"/>
            <w:vAlign w:val="center"/>
          </w:tcPr>
          <w:p>
            <w:pPr>
              <w:pStyle w:val="TableContents"/>
              <w:bidi w:val="0"/>
              <w:spacing w:before="0" w:after="283"/>
              <w:jc w:val="left"/>
              <w:rPr/>
            </w:pPr>
            <w:r>
              <w:rPr/>
              <w:t> </w:t>
            </w:r>
          </w:p>
        </w:tc>
        <w:tc>
          <w:tcPr>
            <w:tcW w:w="724"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6,336</w:t>
            </w:r>
          </w:p>
        </w:tc>
        <w:tc>
          <w:tcPr>
            <w:tcW w:w="196" w:type="dxa"/>
            <w:tcBorders/>
            <w:shd w:fill="CFF0FC" w:val="clear"/>
            <w:vAlign w:val="center"/>
          </w:tcPr>
          <w:p>
            <w:pPr>
              <w:pStyle w:val="TableContents"/>
              <w:bidi w:val="0"/>
              <w:spacing w:before="0" w:after="283"/>
              <w:jc w:val="left"/>
              <w:rPr/>
            </w:pPr>
            <w:r>
              <w:rPr/>
              <w:t> </w:t>
            </w:r>
          </w:p>
        </w:tc>
      </w:tr>
      <w:tr>
        <w:trPr/>
        <w:tc>
          <w:tcPr>
            <w:tcW w:w="3215"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income</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24,926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24,926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15"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Balance—December 31, 2021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54,983,105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952,019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99"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2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4"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(543,702</w:t>
            </w:r>
          </w:p>
        </w:tc>
        <w:tc>
          <w:tcPr>
            <w:tcW w:w="15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right"/>
              <w:rPr/>
            </w:pPr>
            <w:r>
              <w:rPr/>
              <w:t> </w:t>
            </w:r>
          </w:p>
        </w:tc>
        <w:tc>
          <w:tcPr>
            <w:tcW w:w="207"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24"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408,368</w:t>
            </w:r>
          </w:p>
        </w:tc>
        <w:tc>
          <w:tcPr>
            <w:tcW w:w="196" w:type="dxa"/>
            <w:tcBorders/>
            <w:shd w:fill="CFF0FC" w:val="clear"/>
            <w:vAlign w:val="center"/>
          </w:tcPr>
          <w:p>
            <w:pPr>
              <w:pStyle w:val="TableContents"/>
              <w:bidi w:val="0"/>
              <w:spacing w:before="0" w:after="283"/>
              <w:jc w:val="left"/>
              <w:rPr/>
            </w:pPr>
            <w:r>
              <w:rPr/>
              <w:t> </w:t>
            </w:r>
          </w:p>
        </w:tc>
      </w:tr>
      <w:tr>
        <w:trPr/>
        <w:tc>
          <w:tcPr>
            <w:tcW w:w="3215"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Proceeds from at-the-market offering, net of $600</w:t>
              <w:br/>
              <w:t>   offering expenses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1,111,111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19,425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9" w:type="dxa"/>
            <w:tcBorders/>
            <w:shd w:fill="FFFFFF" w:val="clear"/>
            <w:vAlign w:val="center"/>
          </w:tcPr>
          <w:p>
            <w:pPr>
              <w:pStyle w:val="TableContents"/>
              <w:bidi w:val="0"/>
              <w:spacing w:before="0" w:after="283"/>
              <w:jc w:val="left"/>
              <w:rPr/>
            </w:pPr>
            <w:r>
              <w:rPr/>
              <w:t> </w:t>
            </w:r>
          </w:p>
        </w:tc>
        <w:tc>
          <w:tcPr>
            <w:tcW w:w="722"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4"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7" w:type="dxa"/>
            <w:tcBorders/>
            <w:shd w:fill="FFFFFF" w:val="clear"/>
            <w:vAlign w:val="center"/>
          </w:tcPr>
          <w:p>
            <w:pPr>
              <w:pStyle w:val="TableContents"/>
              <w:bidi w:val="0"/>
              <w:spacing w:before="0" w:after="283"/>
              <w:jc w:val="left"/>
              <w:rPr/>
            </w:pPr>
            <w:r>
              <w:rPr/>
              <w:t> </w:t>
            </w:r>
          </w:p>
        </w:tc>
        <w:tc>
          <w:tcPr>
            <w:tcW w:w="724"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19,425</w:t>
            </w:r>
          </w:p>
        </w:tc>
        <w:tc>
          <w:tcPr>
            <w:tcW w:w="196" w:type="dxa"/>
            <w:tcBorders/>
            <w:shd w:fill="FFFFFF" w:val="clear"/>
            <w:vAlign w:val="center"/>
          </w:tcPr>
          <w:p>
            <w:pPr>
              <w:pStyle w:val="TableContents"/>
              <w:bidi w:val="0"/>
              <w:spacing w:before="0" w:after="283"/>
              <w:jc w:val="left"/>
              <w:rPr/>
            </w:pPr>
            <w:r>
              <w:rPr/>
              <w:t> </w:t>
            </w:r>
          </w:p>
        </w:tc>
      </w:tr>
      <w:tr>
        <w:trPr/>
        <w:tc>
          <w:tcPr>
            <w:tcW w:w="3215"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Proceeds from direct offering, net of $10,535</w:t>
            </w:r>
            <w:r>
              <w:rPr>
                <w:rFonts w:ascii="Times New Roman" w:hAnsi="Times New Roman"/>
                <w:color w:val="000000"/>
                <w:sz w:val="20"/>
              </w:rPr>
              <w:t> </w:t>
            </w:r>
            <w:r>
              <w:rPr>
                <w:rFonts w:ascii="Times New Roman" w:hAnsi="Times New Roman"/>
                <w:color w:val="000000"/>
                <w:sz w:val="14"/>
              </w:rPr>
              <w:t>offering expenses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7,840,909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161,965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99" w:type="dxa"/>
            <w:tcBorders/>
            <w:shd w:fill="CFF0FC" w:val="clear"/>
            <w:vAlign w:val="center"/>
          </w:tcPr>
          <w:p>
            <w:pPr>
              <w:pStyle w:val="TableContents"/>
              <w:bidi w:val="0"/>
              <w:spacing w:before="0" w:after="283"/>
              <w:jc w:val="left"/>
              <w:rPr/>
            </w:pPr>
            <w:r>
              <w:rPr/>
              <w:t> </w:t>
            </w:r>
          </w:p>
        </w:tc>
        <w:tc>
          <w:tcPr>
            <w:tcW w:w="722"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4"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7" w:type="dxa"/>
            <w:tcBorders/>
            <w:shd w:fill="CFF0FC" w:val="clear"/>
            <w:vAlign w:val="center"/>
          </w:tcPr>
          <w:p>
            <w:pPr>
              <w:pStyle w:val="TableContents"/>
              <w:bidi w:val="0"/>
              <w:spacing w:before="0" w:after="283"/>
              <w:jc w:val="left"/>
              <w:rPr/>
            </w:pPr>
            <w:r>
              <w:rPr/>
              <w:t> </w:t>
            </w:r>
          </w:p>
        </w:tc>
        <w:tc>
          <w:tcPr>
            <w:tcW w:w="724"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161,966</w:t>
            </w:r>
          </w:p>
        </w:tc>
        <w:tc>
          <w:tcPr>
            <w:tcW w:w="196" w:type="dxa"/>
            <w:tcBorders/>
            <w:shd w:fill="CFF0FC" w:val="clear"/>
            <w:vAlign w:val="center"/>
          </w:tcPr>
          <w:p>
            <w:pPr>
              <w:pStyle w:val="TableContents"/>
              <w:bidi w:val="0"/>
              <w:spacing w:before="0" w:after="283"/>
              <w:jc w:val="left"/>
              <w:rPr/>
            </w:pPr>
            <w:r>
              <w:rPr/>
              <w:t> </w:t>
            </w:r>
          </w:p>
        </w:tc>
      </w:tr>
      <w:tr>
        <w:trPr/>
        <w:tc>
          <w:tcPr>
            <w:tcW w:w="3215"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Stock purchase under ESPP</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28,999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9" w:type="dxa"/>
            <w:tcBorders/>
            <w:shd w:fill="FFFFFF" w:val="clear"/>
            <w:vAlign w:val="center"/>
          </w:tcPr>
          <w:p>
            <w:pPr>
              <w:pStyle w:val="TableContents"/>
              <w:bidi w:val="0"/>
              <w:spacing w:before="0" w:after="283"/>
              <w:jc w:val="left"/>
              <w:rPr/>
            </w:pPr>
            <w:r>
              <w:rPr/>
              <w:t> </w:t>
            </w:r>
          </w:p>
        </w:tc>
        <w:tc>
          <w:tcPr>
            <w:tcW w:w="722"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4"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7" w:type="dxa"/>
            <w:tcBorders/>
            <w:shd w:fill="FFFFFF" w:val="clear"/>
            <w:vAlign w:val="center"/>
          </w:tcPr>
          <w:p>
            <w:pPr>
              <w:pStyle w:val="TableContents"/>
              <w:bidi w:val="0"/>
              <w:spacing w:before="0" w:after="283"/>
              <w:jc w:val="left"/>
              <w:rPr/>
            </w:pPr>
            <w:r>
              <w:rPr/>
              <w:t> </w:t>
            </w:r>
          </w:p>
        </w:tc>
        <w:tc>
          <w:tcPr>
            <w:tcW w:w="724" w:type="dxa"/>
            <w:tcBorders/>
            <w:shd w:fill="FFFFFF" w:val="clear"/>
            <w:vAlign w:val="center"/>
          </w:tcPr>
          <w:p>
            <w:pPr>
              <w:pStyle w:val="TableContents"/>
              <w:bidi w:val="0"/>
              <w:spacing w:before="0" w:after="283"/>
              <w:jc w:val="right"/>
              <w:rPr>
                <w:color w:val="000000"/>
              </w:rPr>
            </w:pPr>
            <w:r>
              <w:rPr>
                <w:color w:val="000000"/>
              </w:rPr>
              <w:t>—</w:t>
            </w:r>
          </w:p>
        </w:tc>
        <w:tc>
          <w:tcPr>
            <w:tcW w:w="196" w:type="dxa"/>
            <w:tcBorders/>
            <w:shd w:fill="FFFFFF" w:val="clear"/>
            <w:vAlign w:val="center"/>
          </w:tcPr>
          <w:p>
            <w:pPr>
              <w:pStyle w:val="TableContents"/>
              <w:bidi w:val="0"/>
              <w:spacing w:before="0" w:after="283"/>
              <w:jc w:val="left"/>
              <w:rPr/>
            </w:pPr>
            <w:r>
              <w:rPr/>
              <w:t> </w:t>
            </w:r>
          </w:p>
        </w:tc>
      </w:tr>
      <w:tr>
        <w:trPr/>
        <w:tc>
          <w:tcPr>
            <w:tcW w:w="3215"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Pre-funded warrant cashless exercise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2,832,151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99" w:type="dxa"/>
            <w:tcBorders/>
            <w:shd w:fill="CFF0FC" w:val="clear"/>
            <w:vAlign w:val="center"/>
          </w:tcPr>
          <w:p>
            <w:pPr>
              <w:pStyle w:val="TableContents"/>
              <w:bidi w:val="0"/>
              <w:spacing w:before="0" w:after="283"/>
              <w:jc w:val="left"/>
              <w:rPr/>
            </w:pPr>
            <w:r>
              <w:rPr/>
              <w:t> </w:t>
            </w:r>
          </w:p>
        </w:tc>
        <w:tc>
          <w:tcPr>
            <w:tcW w:w="722"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4"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7" w:type="dxa"/>
            <w:tcBorders/>
            <w:shd w:fill="CFF0FC" w:val="clear"/>
            <w:vAlign w:val="center"/>
          </w:tcPr>
          <w:p>
            <w:pPr>
              <w:pStyle w:val="TableContents"/>
              <w:bidi w:val="0"/>
              <w:spacing w:before="0" w:after="283"/>
              <w:jc w:val="left"/>
              <w:rPr/>
            </w:pPr>
            <w:r>
              <w:rPr/>
              <w:t> </w:t>
            </w:r>
          </w:p>
        </w:tc>
        <w:tc>
          <w:tcPr>
            <w:tcW w:w="724" w:type="dxa"/>
            <w:tcBorders/>
            <w:shd w:fill="CFF0FC" w:val="clear"/>
            <w:vAlign w:val="center"/>
          </w:tcPr>
          <w:p>
            <w:pPr>
              <w:pStyle w:val="TableContents"/>
              <w:bidi w:val="0"/>
              <w:spacing w:before="0" w:after="283"/>
              <w:jc w:val="right"/>
              <w:rPr>
                <w:color w:val="000000"/>
              </w:rPr>
            </w:pPr>
            <w:r>
              <w:rPr>
                <w:color w:val="000000"/>
              </w:rPr>
              <w:t>—</w:t>
            </w:r>
          </w:p>
        </w:tc>
        <w:tc>
          <w:tcPr>
            <w:tcW w:w="196" w:type="dxa"/>
            <w:tcBorders/>
            <w:shd w:fill="CFF0FC" w:val="clear"/>
            <w:vAlign w:val="center"/>
          </w:tcPr>
          <w:p>
            <w:pPr>
              <w:pStyle w:val="TableContents"/>
              <w:bidi w:val="0"/>
              <w:spacing w:before="0" w:after="283"/>
              <w:jc w:val="left"/>
              <w:rPr/>
            </w:pPr>
            <w:r>
              <w:rPr/>
              <w:t> </w:t>
            </w:r>
          </w:p>
        </w:tc>
      </w:tr>
      <w:tr>
        <w:trPr/>
        <w:tc>
          <w:tcPr>
            <w:tcW w:w="3215"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Stock-based compensation expense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16,019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9" w:type="dxa"/>
            <w:tcBorders/>
            <w:shd w:fill="FFFFFF" w:val="clear"/>
            <w:vAlign w:val="center"/>
          </w:tcPr>
          <w:p>
            <w:pPr>
              <w:pStyle w:val="TableContents"/>
              <w:bidi w:val="0"/>
              <w:spacing w:before="0" w:after="283"/>
              <w:jc w:val="left"/>
              <w:rPr/>
            </w:pPr>
            <w:r>
              <w:rPr/>
              <w:t> </w:t>
            </w:r>
          </w:p>
        </w:tc>
        <w:tc>
          <w:tcPr>
            <w:tcW w:w="722"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4"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7" w:type="dxa"/>
            <w:tcBorders/>
            <w:shd w:fill="FFFFFF" w:val="clear"/>
            <w:vAlign w:val="center"/>
          </w:tcPr>
          <w:p>
            <w:pPr>
              <w:pStyle w:val="TableContents"/>
              <w:bidi w:val="0"/>
              <w:spacing w:before="0" w:after="283"/>
              <w:jc w:val="left"/>
              <w:rPr/>
            </w:pPr>
            <w:r>
              <w:rPr/>
              <w:t> </w:t>
            </w:r>
          </w:p>
        </w:tc>
        <w:tc>
          <w:tcPr>
            <w:tcW w:w="724"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16,019</w:t>
            </w:r>
          </w:p>
        </w:tc>
        <w:tc>
          <w:tcPr>
            <w:tcW w:w="196" w:type="dxa"/>
            <w:tcBorders/>
            <w:shd w:fill="FFFFFF" w:val="clear"/>
            <w:vAlign w:val="center"/>
          </w:tcPr>
          <w:p>
            <w:pPr>
              <w:pStyle w:val="TableContents"/>
              <w:bidi w:val="0"/>
              <w:spacing w:before="0" w:after="283"/>
              <w:jc w:val="left"/>
              <w:rPr/>
            </w:pPr>
            <w:r>
              <w:rPr/>
              <w:t> </w:t>
            </w:r>
          </w:p>
        </w:tc>
      </w:tr>
      <w:tr>
        <w:trPr/>
        <w:tc>
          <w:tcPr>
            <w:tcW w:w="3215"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Vesting of RSU</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38,749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99" w:type="dxa"/>
            <w:tcBorders/>
            <w:shd w:fill="CFF0FC" w:val="clear"/>
            <w:vAlign w:val="center"/>
          </w:tcPr>
          <w:p>
            <w:pPr>
              <w:pStyle w:val="TableContents"/>
              <w:bidi w:val="0"/>
              <w:spacing w:before="0" w:after="283"/>
              <w:jc w:val="left"/>
              <w:rPr/>
            </w:pPr>
            <w:r>
              <w:rPr/>
              <w:t> </w:t>
            </w:r>
          </w:p>
        </w:tc>
        <w:tc>
          <w:tcPr>
            <w:tcW w:w="722"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4"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7" w:type="dxa"/>
            <w:tcBorders/>
            <w:shd w:fill="CFF0FC" w:val="clear"/>
            <w:vAlign w:val="center"/>
          </w:tcPr>
          <w:p>
            <w:pPr>
              <w:pStyle w:val="TableContents"/>
              <w:bidi w:val="0"/>
              <w:spacing w:before="0" w:after="283"/>
              <w:jc w:val="left"/>
              <w:rPr/>
            </w:pPr>
            <w:r>
              <w:rPr/>
              <w:t> </w:t>
            </w:r>
          </w:p>
        </w:tc>
        <w:tc>
          <w:tcPr>
            <w:tcW w:w="724" w:type="dxa"/>
            <w:tcBorders/>
            <w:shd w:fill="CFF0FC" w:val="clear"/>
            <w:vAlign w:val="center"/>
          </w:tcPr>
          <w:p>
            <w:pPr>
              <w:pStyle w:val="TableContents"/>
              <w:bidi w:val="0"/>
              <w:spacing w:before="0" w:after="283"/>
              <w:jc w:val="right"/>
              <w:rPr>
                <w:color w:val="000000"/>
              </w:rPr>
            </w:pPr>
            <w:r>
              <w:rPr>
                <w:color w:val="000000"/>
              </w:rPr>
              <w:t>—</w:t>
            </w:r>
          </w:p>
        </w:tc>
        <w:tc>
          <w:tcPr>
            <w:tcW w:w="196" w:type="dxa"/>
            <w:tcBorders/>
            <w:shd w:fill="CFF0FC" w:val="clear"/>
            <w:vAlign w:val="center"/>
          </w:tcPr>
          <w:p>
            <w:pPr>
              <w:pStyle w:val="TableContents"/>
              <w:bidi w:val="0"/>
              <w:spacing w:before="0" w:after="283"/>
              <w:jc w:val="left"/>
              <w:rPr/>
            </w:pPr>
            <w:r>
              <w:rPr/>
              <w:t> </w:t>
            </w:r>
          </w:p>
        </w:tc>
      </w:tr>
      <w:tr>
        <w:trPr/>
        <w:tc>
          <w:tcPr>
            <w:tcW w:w="3215"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Unrealized loss on investments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9" w:type="dxa"/>
            <w:tcBorders/>
            <w:shd w:fill="FFFFFF" w:val="clear"/>
            <w:vAlign w:val="center"/>
          </w:tcPr>
          <w:p>
            <w:pPr>
              <w:pStyle w:val="TableContents"/>
              <w:bidi w:val="0"/>
              <w:spacing w:before="0" w:after="283"/>
              <w:jc w:val="left"/>
              <w:rPr/>
            </w:pPr>
            <w:r>
              <w:rPr/>
              <w:t> </w:t>
            </w:r>
          </w:p>
        </w:tc>
        <w:tc>
          <w:tcPr>
            <w:tcW w:w="72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(851</w:t>
            </w:r>
          </w:p>
        </w:tc>
        <w:tc>
          <w:tcPr>
            <w:tcW w:w="15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194"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7" w:type="dxa"/>
            <w:tcBorders/>
            <w:shd w:fill="FFFFFF" w:val="clear"/>
            <w:vAlign w:val="center"/>
          </w:tcPr>
          <w:p>
            <w:pPr>
              <w:pStyle w:val="TableContents"/>
              <w:bidi w:val="0"/>
              <w:spacing w:before="0" w:after="283"/>
              <w:jc w:val="left"/>
              <w:rPr/>
            </w:pPr>
            <w:r>
              <w:rPr/>
              <w:t> </w:t>
            </w:r>
          </w:p>
        </w:tc>
        <w:tc>
          <w:tcPr>
            <w:tcW w:w="724"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(851</w:t>
            </w:r>
          </w:p>
        </w:tc>
        <w:tc>
          <w:tcPr>
            <w:tcW w:w="196"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3215"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Employee withholdings ESPP</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99" w:type="dxa"/>
            <w:tcBorders/>
            <w:shd w:fill="CFF0FC" w:val="clear"/>
            <w:vAlign w:val="center"/>
          </w:tcPr>
          <w:p>
            <w:pPr>
              <w:pStyle w:val="TableContents"/>
              <w:bidi w:val="0"/>
              <w:spacing w:before="0" w:after="283"/>
              <w:jc w:val="left"/>
              <w:rPr/>
            </w:pPr>
            <w:r>
              <w:rPr/>
              <w:t> </w:t>
            </w:r>
          </w:p>
        </w:tc>
        <w:tc>
          <w:tcPr>
            <w:tcW w:w="722"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871" w:type="dxa"/>
            <w:gridSpan w:val="2"/>
            <w:tcBorders/>
            <w:shd w:fill="CFF0FC" w:val="clear"/>
            <w:vAlign w:val="center"/>
          </w:tcPr>
          <w:p>
            <w:pPr>
              <w:pStyle w:val="TableContents"/>
              <w:bidi w:val="0"/>
              <w:spacing w:before="0" w:after="283"/>
              <w:jc w:val="right"/>
              <w:rPr/>
            </w:pPr>
            <w:r>
              <w:rPr/>
              <w:t> </w:t>
            </w:r>
          </w:p>
        </w:tc>
        <w:tc>
          <w:tcPr>
            <w:tcW w:w="15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07" w:type="dxa"/>
            <w:tcBorders/>
            <w:shd w:fill="CFF0FC" w:val="clear"/>
            <w:vAlign w:val="center"/>
          </w:tcPr>
          <w:p>
            <w:pPr>
              <w:pStyle w:val="TableContents"/>
              <w:bidi w:val="0"/>
              <w:spacing w:before="0" w:after="283"/>
              <w:jc w:val="left"/>
              <w:rPr/>
            </w:pPr>
            <w:r>
              <w:rPr/>
              <w:t> </w:t>
            </w:r>
          </w:p>
        </w:tc>
        <w:tc>
          <w:tcPr>
            <w:tcW w:w="724"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401</w:t>
            </w:r>
          </w:p>
        </w:tc>
        <w:tc>
          <w:tcPr>
            <w:tcW w:w="196" w:type="dxa"/>
            <w:tcBorders/>
            <w:shd w:fill="CFF0FC" w:val="clear"/>
            <w:vAlign w:val="center"/>
          </w:tcPr>
          <w:p>
            <w:pPr>
              <w:pStyle w:val="TableContents"/>
              <w:bidi w:val="0"/>
              <w:spacing w:before="0" w:after="283"/>
              <w:jc w:val="left"/>
              <w:rPr/>
            </w:pPr>
            <w:r>
              <w:rPr/>
              <w:t> </w:t>
            </w:r>
          </w:p>
        </w:tc>
      </w:tr>
      <w:tr>
        <w:trPr/>
        <w:tc>
          <w:tcPr>
            <w:tcW w:w="3215"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Proceeds from exercise of stock options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1,276,361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11,459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9" w:type="dxa"/>
            <w:tcBorders/>
            <w:shd w:fill="FFFFFF" w:val="clear"/>
            <w:vAlign w:val="center"/>
          </w:tcPr>
          <w:p>
            <w:pPr>
              <w:pStyle w:val="TableContents"/>
              <w:bidi w:val="0"/>
              <w:spacing w:before="0" w:after="283"/>
              <w:jc w:val="left"/>
              <w:rPr/>
            </w:pPr>
            <w:r>
              <w:rPr/>
              <w:t> </w:t>
            </w:r>
          </w:p>
        </w:tc>
        <w:tc>
          <w:tcPr>
            <w:tcW w:w="722"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4"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7" w:type="dxa"/>
            <w:tcBorders/>
            <w:shd w:fill="FFFFFF" w:val="clear"/>
            <w:vAlign w:val="center"/>
          </w:tcPr>
          <w:p>
            <w:pPr>
              <w:pStyle w:val="TableContents"/>
              <w:bidi w:val="0"/>
              <w:spacing w:before="0" w:after="283"/>
              <w:jc w:val="left"/>
              <w:rPr/>
            </w:pPr>
            <w:r>
              <w:rPr/>
              <w:t> </w:t>
            </w:r>
          </w:p>
        </w:tc>
        <w:tc>
          <w:tcPr>
            <w:tcW w:w="724"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11,459</w:t>
            </w:r>
          </w:p>
        </w:tc>
        <w:tc>
          <w:tcPr>
            <w:tcW w:w="196" w:type="dxa"/>
            <w:tcBorders/>
            <w:shd w:fill="FFFFFF" w:val="clear"/>
            <w:vAlign w:val="center"/>
          </w:tcPr>
          <w:p>
            <w:pPr>
              <w:pStyle w:val="TableContents"/>
              <w:bidi w:val="0"/>
              <w:spacing w:before="0" w:after="283"/>
              <w:jc w:val="left"/>
              <w:rPr/>
            </w:pPr>
            <w:r>
              <w:rPr/>
              <w:t> </w:t>
            </w:r>
          </w:p>
        </w:tc>
      </w:tr>
      <w:tr>
        <w:trPr/>
        <w:tc>
          <w:tcPr>
            <w:tcW w:w="3215"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(149,338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righ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(149,338</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3215"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Balance—December 31, 2022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68,111,385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1,161,288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9"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2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(806</w:t>
            </w:r>
          </w:p>
        </w:tc>
        <w:tc>
          <w:tcPr>
            <w:tcW w:w="15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194"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7"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(693,040</w:t>
            </w:r>
          </w:p>
        </w:tc>
        <w:tc>
          <w:tcPr>
            <w:tcW w:w="15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207"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24"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467,449</w:t>
            </w:r>
          </w:p>
        </w:tc>
        <w:tc>
          <w:tcPr>
            <w:tcW w:w="196" w:type="dxa"/>
            <w:tcBorders/>
            <w:shd w:fill="FFFFFF" w:val="clear"/>
            <w:vAlign w:val="center"/>
          </w:tcPr>
          <w:p>
            <w:pPr>
              <w:pStyle w:val="TableContents"/>
              <w:bidi w:val="0"/>
              <w:spacing w:before="0" w:after="283"/>
              <w:jc w:val="left"/>
              <w:rPr/>
            </w:pPr>
            <w:r>
              <w:rPr/>
              <w:t> </w:t>
            </w:r>
          </w:p>
        </w:tc>
      </w:tr>
      <w:tr>
        <w:trPr/>
        <w:tc>
          <w:tcPr>
            <w:tcW w:w="3215"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Proceeds from direct offering, net of $14,044</w:t>
            </w:r>
            <w:r>
              <w:rPr>
                <w:rFonts w:ascii="Times New Roman" w:hAnsi="Times New Roman"/>
                <w:color w:val="000000"/>
                <w:sz w:val="20"/>
              </w:rPr>
              <w:t> </w:t>
            </w:r>
            <w:r>
              <w:rPr>
                <w:rFonts w:ascii="Times New Roman" w:hAnsi="Times New Roman"/>
                <w:color w:val="000000"/>
                <w:sz w:val="14"/>
              </w:rPr>
              <w:t>offering expenses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12,432,431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215,954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99" w:type="dxa"/>
            <w:tcBorders/>
            <w:shd w:fill="CFF0FC" w:val="clear"/>
            <w:vAlign w:val="center"/>
          </w:tcPr>
          <w:p>
            <w:pPr>
              <w:pStyle w:val="TableContents"/>
              <w:bidi w:val="0"/>
              <w:spacing w:before="0" w:after="283"/>
              <w:jc w:val="left"/>
              <w:rPr/>
            </w:pPr>
            <w:r>
              <w:rPr/>
              <w:t> </w:t>
            </w:r>
          </w:p>
        </w:tc>
        <w:tc>
          <w:tcPr>
            <w:tcW w:w="722"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4"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7" w:type="dxa"/>
            <w:tcBorders/>
            <w:shd w:fill="CFF0FC" w:val="clear"/>
            <w:vAlign w:val="center"/>
          </w:tcPr>
          <w:p>
            <w:pPr>
              <w:pStyle w:val="TableContents"/>
              <w:bidi w:val="0"/>
              <w:spacing w:before="0" w:after="283"/>
              <w:jc w:val="left"/>
              <w:rPr/>
            </w:pPr>
            <w:r>
              <w:rPr/>
              <w:t> </w:t>
            </w:r>
          </w:p>
        </w:tc>
        <w:tc>
          <w:tcPr>
            <w:tcW w:w="724"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215,955</w:t>
            </w:r>
          </w:p>
        </w:tc>
        <w:tc>
          <w:tcPr>
            <w:tcW w:w="196" w:type="dxa"/>
            <w:tcBorders/>
            <w:shd w:fill="CFF0FC" w:val="clear"/>
            <w:vAlign w:val="center"/>
          </w:tcPr>
          <w:p>
            <w:pPr>
              <w:pStyle w:val="TableContents"/>
              <w:bidi w:val="0"/>
              <w:spacing w:before="0" w:after="283"/>
              <w:jc w:val="left"/>
              <w:rPr/>
            </w:pPr>
            <w:r>
              <w:rPr/>
              <w:t> </w:t>
            </w:r>
          </w:p>
        </w:tc>
      </w:tr>
      <w:tr>
        <w:trPr/>
        <w:tc>
          <w:tcPr>
            <w:tcW w:w="321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Proceeds from at-the-market offerings, net of $1,086</w:t>
            </w:r>
            <w:r>
              <w:rPr>
                <w:rFonts w:ascii="Times New Roman" w:hAnsi="Times New Roman"/>
                <w:color w:val="000000"/>
                <w:sz w:val="20"/>
              </w:rPr>
              <w:t> </w:t>
            </w:r>
            <w:r>
              <w:rPr>
                <w:rFonts w:ascii="Times New Roman" w:hAnsi="Times New Roman"/>
                <w:color w:val="000000"/>
                <w:sz w:val="14"/>
              </w:rPr>
              <w:t>offering expense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2,719,744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42,139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9" w:type="dxa"/>
            <w:tcBorders/>
            <w:shd w:fill="FFFFFF" w:val="clear"/>
            <w:vAlign w:val="center"/>
          </w:tcPr>
          <w:p>
            <w:pPr>
              <w:pStyle w:val="TableContents"/>
              <w:bidi w:val="0"/>
              <w:spacing w:before="0" w:after="283"/>
              <w:jc w:val="left"/>
              <w:rPr/>
            </w:pPr>
            <w:r>
              <w:rPr/>
              <w:t> </w:t>
            </w:r>
          </w:p>
        </w:tc>
        <w:tc>
          <w:tcPr>
            <w:tcW w:w="722"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4"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7" w:type="dxa"/>
            <w:tcBorders/>
            <w:shd w:fill="FFFFFF" w:val="clear"/>
            <w:vAlign w:val="center"/>
          </w:tcPr>
          <w:p>
            <w:pPr>
              <w:pStyle w:val="TableContents"/>
              <w:bidi w:val="0"/>
              <w:spacing w:before="0" w:after="283"/>
              <w:jc w:val="left"/>
              <w:rPr/>
            </w:pPr>
            <w:r>
              <w:rPr/>
              <w:t> </w:t>
            </w:r>
          </w:p>
        </w:tc>
        <w:tc>
          <w:tcPr>
            <w:tcW w:w="724"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42,139</w:t>
            </w:r>
          </w:p>
        </w:tc>
        <w:tc>
          <w:tcPr>
            <w:tcW w:w="196" w:type="dxa"/>
            <w:tcBorders/>
            <w:shd w:fill="FFFFFF" w:val="clear"/>
            <w:vAlign w:val="center"/>
          </w:tcPr>
          <w:p>
            <w:pPr>
              <w:pStyle w:val="TableContents"/>
              <w:bidi w:val="0"/>
              <w:spacing w:before="0" w:after="283"/>
              <w:jc w:val="left"/>
              <w:rPr/>
            </w:pPr>
            <w:r>
              <w:rPr/>
              <w:t> </w:t>
            </w:r>
          </w:p>
        </w:tc>
      </w:tr>
      <w:tr>
        <w:trPr/>
        <w:tc>
          <w:tcPr>
            <w:tcW w:w="3215"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Stock-based compensation expense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30,951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99" w:type="dxa"/>
            <w:tcBorders/>
            <w:shd w:fill="CFF0FC" w:val="clear"/>
            <w:vAlign w:val="center"/>
          </w:tcPr>
          <w:p>
            <w:pPr>
              <w:pStyle w:val="TableContents"/>
              <w:bidi w:val="0"/>
              <w:spacing w:before="0" w:after="283"/>
              <w:jc w:val="left"/>
              <w:rPr/>
            </w:pPr>
            <w:r>
              <w:rPr/>
              <w:t> </w:t>
            </w:r>
          </w:p>
        </w:tc>
        <w:tc>
          <w:tcPr>
            <w:tcW w:w="722"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4"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7" w:type="dxa"/>
            <w:tcBorders/>
            <w:shd w:fill="CFF0FC" w:val="clear"/>
            <w:vAlign w:val="center"/>
          </w:tcPr>
          <w:p>
            <w:pPr>
              <w:pStyle w:val="TableContents"/>
              <w:bidi w:val="0"/>
              <w:spacing w:before="0" w:after="283"/>
              <w:jc w:val="left"/>
              <w:rPr/>
            </w:pPr>
            <w:r>
              <w:rPr/>
              <w:t> </w:t>
            </w:r>
          </w:p>
        </w:tc>
        <w:tc>
          <w:tcPr>
            <w:tcW w:w="724"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30,951</w:t>
            </w:r>
          </w:p>
        </w:tc>
        <w:tc>
          <w:tcPr>
            <w:tcW w:w="196" w:type="dxa"/>
            <w:tcBorders/>
            <w:shd w:fill="CFF0FC" w:val="clear"/>
            <w:vAlign w:val="center"/>
          </w:tcPr>
          <w:p>
            <w:pPr>
              <w:pStyle w:val="TableContents"/>
              <w:bidi w:val="0"/>
              <w:spacing w:before="0" w:after="283"/>
              <w:jc w:val="left"/>
              <w:rPr/>
            </w:pPr>
            <w:r>
              <w:rPr/>
              <w:t> </w:t>
            </w:r>
          </w:p>
        </w:tc>
      </w:tr>
      <w:tr>
        <w:trPr/>
        <w:tc>
          <w:tcPr>
            <w:tcW w:w="3215"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Unrealized gain on investments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9" w:type="dxa"/>
            <w:tcBorders/>
            <w:shd w:fill="FFFFFF" w:val="clear"/>
            <w:vAlign w:val="center"/>
          </w:tcPr>
          <w:p>
            <w:pPr>
              <w:pStyle w:val="TableContents"/>
              <w:bidi w:val="0"/>
              <w:spacing w:before="0" w:after="283"/>
              <w:jc w:val="left"/>
              <w:rPr/>
            </w:pPr>
            <w:r>
              <w:rPr/>
              <w:t> </w:t>
            </w:r>
          </w:p>
        </w:tc>
        <w:tc>
          <w:tcPr>
            <w:tcW w:w="72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1,024</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4"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7" w:type="dxa"/>
            <w:tcBorders/>
            <w:shd w:fill="FFFFFF" w:val="clear"/>
            <w:vAlign w:val="center"/>
          </w:tcPr>
          <w:p>
            <w:pPr>
              <w:pStyle w:val="TableContents"/>
              <w:bidi w:val="0"/>
              <w:spacing w:before="0" w:after="283"/>
              <w:jc w:val="left"/>
              <w:rPr/>
            </w:pPr>
            <w:r>
              <w:rPr/>
              <w:t> </w:t>
            </w:r>
          </w:p>
        </w:tc>
        <w:tc>
          <w:tcPr>
            <w:tcW w:w="724"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1,024</w:t>
            </w:r>
          </w:p>
        </w:tc>
        <w:tc>
          <w:tcPr>
            <w:tcW w:w="196" w:type="dxa"/>
            <w:tcBorders/>
            <w:shd w:fill="FFFFFF" w:val="clear"/>
            <w:vAlign w:val="center"/>
          </w:tcPr>
          <w:p>
            <w:pPr>
              <w:pStyle w:val="TableContents"/>
              <w:bidi w:val="0"/>
              <w:spacing w:before="0" w:after="283"/>
              <w:jc w:val="left"/>
              <w:rPr/>
            </w:pPr>
            <w:r>
              <w:rPr/>
              <w:t> </w:t>
            </w:r>
          </w:p>
        </w:tc>
      </w:tr>
      <w:tr>
        <w:trPr/>
        <w:tc>
          <w:tcPr>
            <w:tcW w:w="3215"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Stock purchase under ESPP</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34,797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99" w:type="dxa"/>
            <w:tcBorders/>
            <w:shd w:fill="CFF0FC" w:val="clear"/>
            <w:vAlign w:val="center"/>
          </w:tcPr>
          <w:p>
            <w:pPr>
              <w:pStyle w:val="TableContents"/>
              <w:bidi w:val="0"/>
              <w:spacing w:before="0" w:after="283"/>
              <w:jc w:val="left"/>
              <w:rPr/>
            </w:pPr>
            <w:r>
              <w:rPr/>
              <w:t> </w:t>
            </w:r>
          </w:p>
        </w:tc>
        <w:tc>
          <w:tcPr>
            <w:tcW w:w="722"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4"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7" w:type="dxa"/>
            <w:tcBorders/>
            <w:shd w:fill="CFF0FC" w:val="clear"/>
            <w:vAlign w:val="center"/>
          </w:tcPr>
          <w:p>
            <w:pPr>
              <w:pStyle w:val="TableContents"/>
              <w:bidi w:val="0"/>
              <w:spacing w:before="0" w:after="283"/>
              <w:jc w:val="left"/>
              <w:rPr/>
            </w:pPr>
            <w:r>
              <w:rPr/>
              <w:t> </w:t>
            </w:r>
          </w:p>
        </w:tc>
        <w:tc>
          <w:tcPr>
            <w:tcW w:w="724" w:type="dxa"/>
            <w:tcBorders/>
            <w:shd w:fill="CFF0FC" w:val="clear"/>
            <w:vAlign w:val="center"/>
          </w:tcPr>
          <w:p>
            <w:pPr>
              <w:pStyle w:val="TableContents"/>
              <w:bidi w:val="0"/>
              <w:spacing w:before="0" w:after="283"/>
              <w:jc w:val="right"/>
              <w:rPr>
                <w:color w:val="000000"/>
              </w:rPr>
            </w:pPr>
            <w:r>
              <w:rPr>
                <w:color w:val="000000"/>
              </w:rPr>
              <w:t>—</w:t>
            </w:r>
          </w:p>
        </w:tc>
        <w:tc>
          <w:tcPr>
            <w:tcW w:w="196" w:type="dxa"/>
            <w:tcBorders/>
            <w:shd w:fill="CFF0FC" w:val="clear"/>
            <w:vAlign w:val="center"/>
          </w:tcPr>
          <w:p>
            <w:pPr>
              <w:pStyle w:val="TableContents"/>
              <w:bidi w:val="0"/>
              <w:spacing w:before="0" w:after="283"/>
              <w:jc w:val="left"/>
              <w:rPr/>
            </w:pPr>
            <w:r>
              <w:rPr/>
              <w:t> </w:t>
            </w:r>
          </w:p>
        </w:tc>
      </w:tr>
      <w:tr>
        <w:trPr/>
        <w:tc>
          <w:tcPr>
            <w:tcW w:w="3215"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Employee withholdings ESPP</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9" w:type="dxa"/>
            <w:tcBorders/>
            <w:shd w:fill="FFFFFF" w:val="clear"/>
            <w:vAlign w:val="center"/>
          </w:tcPr>
          <w:p>
            <w:pPr>
              <w:pStyle w:val="TableContents"/>
              <w:bidi w:val="0"/>
              <w:spacing w:before="0" w:after="283"/>
              <w:jc w:val="left"/>
              <w:rPr/>
            </w:pPr>
            <w:r>
              <w:rPr/>
              <w:t> </w:t>
            </w:r>
          </w:p>
        </w:tc>
        <w:tc>
          <w:tcPr>
            <w:tcW w:w="722"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4"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7" w:type="dxa"/>
            <w:tcBorders/>
            <w:shd w:fill="FFFFFF" w:val="clear"/>
            <w:vAlign w:val="center"/>
          </w:tcPr>
          <w:p>
            <w:pPr>
              <w:pStyle w:val="TableContents"/>
              <w:bidi w:val="0"/>
              <w:spacing w:before="0" w:after="283"/>
              <w:jc w:val="left"/>
              <w:rPr/>
            </w:pPr>
            <w:r>
              <w:rPr/>
              <w:t> </w:t>
            </w:r>
          </w:p>
        </w:tc>
        <w:tc>
          <w:tcPr>
            <w:tcW w:w="724"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910</w:t>
            </w:r>
          </w:p>
        </w:tc>
        <w:tc>
          <w:tcPr>
            <w:tcW w:w="196" w:type="dxa"/>
            <w:tcBorders/>
            <w:shd w:fill="FFFFFF" w:val="clear"/>
            <w:vAlign w:val="center"/>
          </w:tcPr>
          <w:p>
            <w:pPr>
              <w:pStyle w:val="TableContents"/>
              <w:bidi w:val="0"/>
              <w:spacing w:before="0" w:after="283"/>
              <w:jc w:val="left"/>
              <w:rPr/>
            </w:pPr>
            <w:r>
              <w:rPr/>
              <w:t> </w:t>
            </w:r>
          </w:p>
        </w:tc>
      </w:tr>
      <w:tr>
        <w:trPr/>
        <w:tc>
          <w:tcPr>
            <w:tcW w:w="3215"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Pre-funded warrant cashless exercise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857,131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99" w:type="dxa"/>
            <w:tcBorders/>
            <w:shd w:fill="CFF0FC" w:val="clear"/>
            <w:vAlign w:val="center"/>
          </w:tcPr>
          <w:p>
            <w:pPr>
              <w:pStyle w:val="TableContents"/>
              <w:bidi w:val="0"/>
              <w:spacing w:before="0" w:after="283"/>
              <w:jc w:val="left"/>
              <w:rPr/>
            </w:pPr>
            <w:r>
              <w:rPr/>
              <w:t> </w:t>
            </w:r>
          </w:p>
        </w:tc>
        <w:tc>
          <w:tcPr>
            <w:tcW w:w="722"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4"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7" w:type="dxa"/>
            <w:tcBorders/>
            <w:shd w:fill="CFF0FC" w:val="clear"/>
            <w:vAlign w:val="center"/>
          </w:tcPr>
          <w:p>
            <w:pPr>
              <w:pStyle w:val="TableContents"/>
              <w:bidi w:val="0"/>
              <w:spacing w:before="0" w:after="283"/>
              <w:jc w:val="left"/>
              <w:rPr/>
            </w:pPr>
            <w:r>
              <w:rPr/>
              <w:t> </w:t>
            </w:r>
          </w:p>
        </w:tc>
        <w:tc>
          <w:tcPr>
            <w:tcW w:w="724" w:type="dxa"/>
            <w:tcBorders/>
            <w:shd w:fill="CFF0FC" w:val="clear"/>
            <w:vAlign w:val="center"/>
          </w:tcPr>
          <w:p>
            <w:pPr>
              <w:pStyle w:val="TableContents"/>
              <w:bidi w:val="0"/>
              <w:spacing w:before="0" w:after="283"/>
              <w:jc w:val="right"/>
              <w:rPr>
                <w:color w:val="000000"/>
              </w:rPr>
            </w:pPr>
            <w:r>
              <w:rPr>
                <w:color w:val="000000"/>
              </w:rPr>
              <w:t>—</w:t>
            </w:r>
          </w:p>
        </w:tc>
        <w:tc>
          <w:tcPr>
            <w:tcW w:w="196" w:type="dxa"/>
            <w:tcBorders/>
            <w:shd w:fill="CFF0FC" w:val="clear"/>
            <w:vAlign w:val="center"/>
          </w:tcPr>
          <w:p>
            <w:pPr>
              <w:pStyle w:val="TableContents"/>
              <w:bidi w:val="0"/>
              <w:spacing w:before="0" w:after="283"/>
              <w:jc w:val="left"/>
              <w:rPr/>
            </w:pPr>
            <w:r>
              <w:rPr/>
              <w:t> </w:t>
            </w:r>
          </w:p>
        </w:tc>
      </w:tr>
      <w:tr>
        <w:trPr/>
        <w:tc>
          <w:tcPr>
            <w:tcW w:w="3215"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Vesting of RSU</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9,102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9" w:type="dxa"/>
            <w:tcBorders/>
            <w:shd w:fill="FFFFFF" w:val="clear"/>
            <w:vAlign w:val="center"/>
          </w:tcPr>
          <w:p>
            <w:pPr>
              <w:pStyle w:val="TableContents"/>
              <w:bidi w:val="0"/>
              <w:spacing w:before="0" w:after="283"/>
              <w:jc w:val="left"/>
              <w:rPr/>
            </w:pPr>
            <w:r>
              <w:rPr/>
              <w:t> </w:t>
            </w:r>
          </w:p>
        </w:tc>
        <w:tc>
          <w:tcPr>
            <w:tcW w:w="722"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4"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7" w:type="dxa"/>
            <w:tcBorders/>
            <w:shd w:fill="FFFFFF" w:val="clear"/>
            <w:vAlign w:val="center"/>
          </w:tcPr>
          <w:p>
            <w:pPr>
              <w:pStyle w:val="TableContents"/>
              <w:bidi w:val="0"/>
              <w:spacing w:before="0" w:after="283"/>
              <w:jc w:val="left"/>
              <w:rPr/>
            </w:pPr>
            <w:r>
              <w:rPr/>
              <w:t> </w:t>
            </w:r>
          </w:p>
        </w:tc>
        <w:tc>
          <w:tcPr>
            <w:tcW w:w="724" w:type="dxa"/>
            <w:tcBorders/>
            <w:shd w:fill="FFFFFF" w:val="clear"/>
            <w:vAlign w:val="center"/>
          </w:tcPr>
          <w:p>
            <w:pPr>
              <w:pStyle w:val="TableContents"/>
              <w:bidi w:val="0"/>
              <w:spacing w:before="0" w:after="283"/>
              <w:jc w:val="right"/>
              <w:rPr>
                <w:color w:val="000000"/>
              </w:rPr>
            </w:pPr>
            <w:r>
              <w:rPr>
                <w:color w:val="000000"/>
              </w:rPr>
              <w:t>—</w:t>
            </w:r>
          </w:p>
        </w:tc>
        <w:tc>
          <w:tcPr>
            <w:tcW w:w="196" w:type="dxa"/>
            <w:tcBorders/>
            <w:shd w:fill="FFFFFF" w:val="clear"/>
            <w:vAlign w:val="center"/>
          </w:tcPr>
          <w:p>
            <w:pPr>
              <w:pStyle w:val="TableContents"/>
              <w:bidi w:val="0"/>
              <w:spacing w:before="0" w:after="283"/>
              <w:jc w:val="left"/>
              <w:rPr/>
            </w:pPr>
            <w:r>
              <w:rPr/>
              <w:t> </w:t>
            </w:r>
          </w:p>
        </w:tc>
      </w:tr>
      <w:tr>
        <w:trPr/>
        <w:tc>
          <w:tcPr>
            <w:tcW w:w="3215"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Proceeds from exercise of stock options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662,042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5,128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99" w:type="dxa"/>
            <w:tcBorders/>
            <w:shd w:fill="CFF0FC" w:val="clear"/>
            <w:vAlign w:val="center"/>
          </w:tcPr>
          <w:p>
            <w:pPr>
              <w:pStyle w:val="TableContents"/>
              <w:bidi w:val="0"/>
              <w:spacing w:before="0" w:after="283"/>
              <w:jc w:val="left"/>
              <w:rPr/>
            </w:pPr>
            <w:r>
              <w:rPr/>
              <w:t> </w:t>
            </w:r>
          </w:p>
        </w:tc>
        <w:tc>
          <w:tcPr>
            <w:tcW w:w="722"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4"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7" w:type="dxa"/>
            <w:tcBorders/>
            <w:shd w:fill="CFF0FC" w:val="clear"/>
            <w:vAlign w:val="center"/>
          </w:tcPr>
          <w:p>
            <w:pPr>
              <w:pStyle w:val="TableContents"/>
              <w:bidi w:val="0"/>
              <w:spacing w:before="0" w:after="283"/>
              <w:jc w:val="left"/>
              <w:rPr/>
            </w:pPr>
            <w:r>
              <w:rPr/>
              <w:t> </w:t>
            </w:r>
          </w:p>
        </w:tc>
        <w:tc>
          <w:tcPr>
            <w:tcW w:w="724"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5,128</w:t>
            </w:r>
          </w:p>
        </w:tc>
        <w:tc>
          <w:tcPr>
            <w:tcW w:w="196" w:type="dxa"/>
            <w:tcBorders/>
            <w:shd w:fill="CFF0FC" w:val="clear"/>
            <w:vAlign w:val="center"/>
          </w:tcPr>
          <w:p>
            <w:pPr>
              <w:pStyle w:val="TableContents"/>
              <w:bidi w:val="0"/>
              <w:spacing w:before="0" w:after="283"/>
              <w:jc w:val="left"/>
              <w:rPr/>
            </w:pPr>
            <w:r>
              <w:rPr/>
              <w:t> </w:t>
            </w:r>
          </w:p>
        </w:tc>
      </w:tr>
      <w:tr>
        <w:trPr/>
        <w:tc>
          <w:tcPr>
            <w:tcW w:w="3215"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(209,360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(209,360</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3215"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84,826,632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1,456,370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218</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(902,400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554,196</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SYNDAX PHARMACEUTICALS, INC.</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bookmarkStart w:id="37" w:name="consolidated_statements_cash_flows"/>
      <w:bookmarkEnd w:id="37"/>
      <w:r>
        <w:rPr>
          <w:rFonts w:ascii="Times New Roman" w:hAnsi="Times New Roman"/>
          <w:b/>
          <w:color w:val="000000"/>
          <w:sz w:val="20"/>
        </w:rPr>
        <w:t>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i/>
          <w:color w:val="000000"/>
          <w:sz w:val="20"/>
        </w:rPr>
      </w:pPr>
      <w:r>
        <w:rPr>
          <w:rFonts w:ascii="Times New Roman" w:hAnsi="Times New Roman"/>
          <w:i/>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5783"/>
        <w:gridCol w:w="146"/>
        <w:gridCol w:w="196"/>
        <w:gridCol w:w="751"/>
        <w:gridCol w:w="166"/>
        <w:gridCol w:w="146"/>
        <w:gridCol w:w="196"/>
        <w:gridCol w:w="751"/>
        <w:gridCol w:w="166"/>
        <w:gridCol w:w="146"/>
        <w:gridCol w:w="196"/>
        <w:gridCol w:w="751"/>
        <w:gridCol w:w="811"/>
      </w:tblGrid>
      <w:tr>
        <w:trPr/>
        <w:tc>
          <w:tcPr>
            <w:tcW w:w="57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578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46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8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83" w:type="dxa"/>
            <w:tcBorders/>
            <w:shd w:fill="CFF0FC" w:val="cle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CASH FLOWS FROM OPERATING ACTIVITIES: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811" w:type="dxa"/>
            <w:tcBorders/>
            <w:shd w:fill="CFF0FC" w:val="clear"/>
            <w:vAlign w:val="center"/>
          </w:tcPr>
          <w:p>
            <w:pPr>
              <w:pStyle w:val="TableContents"/>
              <w:bidi w:val="0"/>
              <w:spacing w:before="0" w:after="283"/>
              <w:ind w:left="0" w:right="0" w:firstLine="200"/>
              <w:jc w:val="right"/>
              <w:rPr/>
            </w:pPr>
            <w:r>
              <w:rPr/>
              <w:t> </w:t>
            </w:r>
          </w:p>
        </w:tc>
      </w:tr>
      <w:tr>
        <w:trPr/>
        <w:tc>
          <w:tcPr>
            <w:tcW w:w="578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Net (loss) income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(209,360</w:t>
            </w:r>
          </w:p>
        </w:tc>
        <w:tc>
          <w:tcPr>
            <w:tcW w:w="166"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(149,338</w:t>
            </w:r>
          </w:p>
        </w:tc>
        <w:tc>
          <w:tcPr>
            <w:tcW w:w="166"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24,926</w:t>
            </w:r>
          </w:p>
        </w:tc>
        <w:tc>
          <w:tcPr>
            <w:tcW w:w="811" w:type="dxa"/>
            <w:tcBorders/>
            <w:shd w:fill="FFFFFF" w:val="clear"/>
            <w:vAlign w:val="center"/>
          </w:tcPr>
          <w:p>
            <w:pPr>
              <w:pStyle w:val="TableContents"/>
              <w:bidi w:val="0"/>
              <w:spacing w:before="0" w:after="283"/>
              <w:ind w:left="0" w:right="0" w:firstLine="200"/>
              <w:jc w:val="left"/>
              <w:rPr/>
            </w:pPr>
            <w:r>
              <w:rPr/>
              <w:t> </w:t>
            </w:r>
          </w:p>
        </w:tc>
      </w:tr>
      <w:tr>
        <w:trPr/>
        <w:tc>
          <w:tcPr>
            <w:tcW w:w="578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Adjustments to reconcile net loss to net cash provided (used in) provided by</w:t>
              <w:br/>
              <w:t>   operating activities: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811" w:type="dxa"/>
            <w:tcBorders/>
            <w:shd w:fill="CFF0FC" w:val="clear"/>
            <w:vAlign w:val="center"/>
          </w:tcPr>
          <w:p>
            <w:pPr>
              <w:pStyle w:val="TableContents"/>
              <w:bidi w:val="0"/>
              <w:spacing w:before="0" w:after="283"/>
              <w:ind w:left="0" w:right="0" w:firstLine="400"/>
              <w:jc w:val="right"/>
              <w:rPr/>
            </w:pPr>
            <w:r>
              <w:rPr/>
              <w:t> </w:t>
            </w:r>
          </w:p>
        </w:tc>
      </w:tr>
      <w:tr>
        <w:trPr/>
        <w:tc>
          <w:tcPr>
            <w:tcW w:w="5783"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7"/>
              </w:rPr>
            </w:pPr>
            <w:r>
              <w:rPr>
                <w:rFonts w:ascii="Times New Roman" w:hAnsi="Times New Roman"/>
                <w:color w:val="000000"/>
                <w:sz w:val="17"/>
              </w:rPr>
              <w:t>Depreciation</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43</w:t>
            </w:r>
          </w:p>
        </w:tc>
        <w:tc>
          <w:tcPr>
            <w:tcW w:w="811" w:type="dxa"/>
            <w:tcBorders/>
            <w:shd w:fill="FFFFFF" w:val="clear"/>
            <w:vAlign w:val="center"/>
          </w:tcPr>
          <w:p>
            <w:pPr>
              <w:pStyle w:val="TableContents"/>
              <w:bidi w:val="0"/>
              <w:spacing w:before="0" w:after="283"/>
              <w:ind w:left="0" w:right="0" w:firstLine="400"/>
              <w:jc w:val="left"/>
              <w:rPr/>
            </w:pPr>
            <w:r>
              <w:rPr/>
              <w:t> </w:t>
            </w:r>
          </w:p>
        </w:tc>
      </w:tr>
      <w:tr>
        <w:trPr/>
        <w:tc>
          <w:tcPr>
            <w:tcW w:w="5783"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7"/>
              </w:rPr>
            </w:pPr>
            <w:r>
              <w:rPr>
                <w:rFonts w:ascii="Times New Roman" w:hAnsi="Times New Roman"/>
                <w:color w:val="000000"/>
                <w:sz w:val="17"/>
              </w:rPr>
              <w:t>(Accretion) amortization of investments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(14,803</w:t>
            </w:r>
          </w:p>
        </w:tc>
        <w:tc>
          <w:tcPr>
            <w:tcW w:w="16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(3,382</w:t>
            </w:r>
          </w:p>
        </w:tc>
        <w:tc>
          <w:tcPr>
            <w:tcW w:w="16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644</w:t>
            </w:r>
          </w:p>
        </w:tc>
        <w:tc>
          <w:tcPr>
            <w:tcW w:w="811" w:type="dxa"/>
            <w:tcBorders/>
            <w:shd w:fill="CFF0FC" w:val="clear"/>
            <w:vAlign w:val="center"/>
          </w:tcPr>
          <w:p>
            <w:pPr>
              <w:pStyle w:val="TableContents"/>
              <w:bidi w:val="0"/>
              <w:spacing w:before="0" w:after="283"/>
              <w:ind w:left="0" w:right="0" w:firstLine="400"/>
              <w:jc w:val="left"/>
              <w:rPr/>
            </w:pPr>
            <w:r>
              <w:rPr/>
              <w:t> </w:t>
            </w:r>
          </w:p>
        </w:tc>
      </w:tr>
      <w:tr>
        <w:trPr/>
        <w:tc>
          <w:tcPr>
            <w:tcW w:w="5783"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7"/>
              </w:rPr>
            </w:pPr>
            <w:r>
              <w:rPr>
                <w:rFonts w:ascii="Times New Roman" w:hAnsi="Times New Roman"/>
                <w:color w:val="000000"/>
                <w:sz w:val="17"/>
              </w:rPr>
              <w:t>Non-cash operating lease expense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739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421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413</w:t>
            </w:r>
          </w:p>
        </w:tc>
        <w:tc>
          <w:tcPr>
            <w:tcW w:w="811" w:type="dxa"/>
            <w:tcBorders/>
            <w:shd w:fill="FFFFFF" w:val="clear"/>
            <w:vAlign w:val="center"/>
          </w:tcPr>
          <w:p>
            <w:pPr>
              <w:pStyle w:val="TableContents"/>
              <w:bidi w:val="0"/>
              <w:spacing w:before="0" w:after="283"/>
              <w:ind w:left="0" w:right="0" w:firstLine="400"/>
              <w:jc w:val="left"/>
              <w:rPr/>
            </w:pPr>
            <w:r>
              <w:rPr/>
              <w:t> </w:t>
            </w:r>
          </w:p>
        </w:tc>
      </w:tr>
      <w:tr>
        <w:trPr/>
        <w:tc>
          <w:tcPr>
            <w:tcW w:w="5783"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7"/>
              </w:rPr>
            </w:pPr>
            <w:r>
              <w:rPr>
                <w:rFonts w:ascii="Times New Roman" w:hAnsi="Times New Roman"/>
                <w:color w:val="000000"/>
                <w:sz w:val="17"/>
              </w:rPr>
              <w:t>Non-cash interest income (expense)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1,103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(225</w:t>
            </w:r>
          </w:p>
        </w:tc>
        <w:tc>
          <w:tcPr>
            <w:tcW w:w="811" w:type="dxa"/>
            <w:tcBorders/>
            <w:shd w:fill="CFF0FC" w:val="cle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w:t>
            </w:r>
          </w:p>
        </w:tc>
      </w:tr>
      <w:tr>
        <w:trPr/>
        <w:tc>
          <w:tcPr>
            <w:tcW w:w="5783"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7"/>
              </w:rPr>
            </w:pPr>
            <w:r>
              <w:rPr>
                <w:rFonts w:ascii="Times New Roman" w:hAnsi="Times New Roman"/>
                <w:color w:val="000000"/>
                <w:sz w:val="17"/>
              </w:rPr>
              <w:t>Changes in fair value of derivative liability</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(187</w:t>
            </w:r>
          </w:p>
        </w:tc>
        <w:tc>
          <w:tcPr>
            <w:tcW w:w="166"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(389</w:t>
            </w:r>
          </w:p>
        </w:tc>
        <w:tc>
          <w:tcPr>
            <w:tcW w:w="811" w:type="dxa"/>
            <w:tcBorders/>
            <w:shd w:fill="FFFFFF" w:val="cle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w:t>
            </w:r>
          </w:p>
        </w:tc>
      </w:tr>
      <w:tr>
        <w:trPr/>
        <w:tc>
          <w:tcPr>
            <w:tcW w:w="5783"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7"/>
              </w:rPr>
            </w:pPr>
            <w:r>
              <w:rPr>
                <w:rFonts w:ascii="Times New Roman" w:hAnsi="Times New Roman"/>
                <w:color w:val="000000"/>
                <w:sz w:val="17"/>
              </w:rPr>
              <w:t>Stock-based compensation</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30,951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16,019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13,317</w:t>
            </w:r>
          </w:p>
        </w:tc>
        <w:tc>
          <w:tcPr>
            <w:tcW w:w="811" w:type="dxa"/>
            <w:tcBorders/>
            <w:shd w:fill="CFF0FC" w:val="clear"/>
            <w:vAlign w:val="center"/>
          </w:tcPr>
          <w:p>
            <w:pPr>
              <w:pStyle w:val="TableContents"/>
              <w:bidi w:val="0"/>
              <w:spacing w:before="0" w:after="283"/>
              <w:ind w:left="0" w:right="0" w:firstLine="400"/>
              <w:jc w:val="left"/>
              <w:rPr/>
            </w:pPr>
            <w:r>
              <w:rPr/>
              <w:t> </w:t>
            </w:r>
          </w:p>
        </w:tc>
      </w:tr>
      <w:tr>
        <w:trPr/>
        <w:tc>
          <w:tcPr>
            <w:tcW w:w="5783"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7"/>
              </w:rPr>
            </w:pPr>
            <w:r>
              <w:rPr>
                <w:rFonts w:ascii="Times New Roman" w:hAnsi="Times New Roman"/>
                <w:color w:val="000000"/>
                <w:sz w:val="17"/>
              </w:rPr>
              <w:t>Other</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811" w:type="dxa"/>
            <w:tcBorders/>
            <w:shd w:fill="FFFFFF" w:val="cle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w:t>
            </w:r>
          </w:p>
        </w:tc>
      </w:tr>
      <w:tr>
        <w:trPr/>
        <w:tc>
          <w:tcPr>
            <w:tcW w:w="5783"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7"/>
              </w:rPr>
            </w:pPr>
            <w:r>
              <w:rPr>
                <w:rFonts w:ascii="Times New Roman" w:hAnsi="Times New Roman"/>
                <w:color w:val="000000"/>
                <w:sz w:val="17"/>
              </w:rPr>
              <w:t>Changes in operating assets and liabilities: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811" w:type="dxa"/>
            <w:tcBorders/>
            <w:shd w:fill="CFF0FC" w:val="clear"/>
            <w:vAlign w:val="center"/>
          </w:tcPr>
          <w:p>
            <w:pPr>
              <w:pStyle w:val="TableContents"/>
              <w:bidi w:val="0"/>
              <w:spacing w:before="0" w:after="283"/>
              <w:ind w:left="0" w:right="0" w:firstLine="600"/>
              <w:jc w:val="right"/>
              <w:rPr/>
            </w:pPr>
            <w:r>
              <w:rPr/>
              <w:t> </w:t>
            </w:r>
          </w:p>
        </w:tc>
      </w:tr>
      <w:tr>
        <w:trPr/>
        <w:tc>
          <w:tcPr>
            <w:tcW w:w="5783" w:type="dxa"/>
            <w:tcBorders/>
            <w:shd w:fill="FFFFFF" w:val="clear"/>
            <w:vAlign w:val="center"/>
          </w:tcPr>
          <w:p>
            <w:pPr>
              <w:pStyle w:val="TableContents"/>
              <w:bidi w:val="0"/>
              <w:spacing w:before="0" w:after="283"/>
              <w:ind w:left="600" w:right="0" w:firstLine="600"/>
              <w:jc w:val="left"/>
              <w:rPr>
                <w:rFonts w:ascii="Times New Roman" w:hAnsi="Times New Roman"/>
                <w:color w:val="000000"/>
                <w:sz w:val="17"/>
              </w:rPr>
            </w:pPr>
            <w:r>
              <w:rPr>
                <w:rFonts w:ascii="Times New Roman" w:hAnsi="Times New Roman"/>
                <w:color w:val="000000"/>
                <w:sz w:val="17"/>
              </w:rPr>
              <w:t>Prepaid expenses and other assets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676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(2,972</w:t>
            </w:r>
          </w:p>
        </w:tc>
        <w:tc>
          <w:tcPr>
            <w:tcW w:w="166"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(1,394</w:t>
            </w:r>
          </w:p>
        </w:tc>
        <w:tc>
          <w:tcPr>
            <w:tcW w:w="811" w:type="dxa"/>
            <w:tcBorders/>
            <w:shd w:fill="FFFFFF" w:val="cle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w:t>
            </w:r>
          </w:p>
        </w:tc>
      </w:tr>
      <w:tr>
        <w:trPr/>
        <w:tc>
          <w:tcPr>
            <w:tcW w:w="5783" w:type="dxa"/>
            <w:tcBorders/>
            <w:shd w:fill="CFF0FC" w:val="clear"/>
            <w:vAlign w:val="center"/>
          </w:tcPr>
          <w:p>
            <w:pPr>
              <w:pStyle w:val="TableContents"/>
              <w:bidi w:val="0"/>
              <w:spacing w:before="0" w:after="283"/>
              <w:ind w:left="600" w:right="0" w:firstLine="600"/>
              <w:jc w:val="left"/>
              <w:rPr>
                <w:rFonts w:ascii="Times New Roman" w:hAnsi="Times New Roman"/>
                <w:color w:val="000000"/>
                <w:sz w:val="17"/>
              </w:rPr>
            </w:pPr>
            <w:r>
              <w:rPr>
                <w:rFonts w:ascii="Times New Roman" w:hAnsi="Times New Roman"/>
                <w:color w:val="000000"/>
                <w:sz w:val="17"/>
              </w:rPr>
              <w:t>Collaboration payable/receivable, net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10,706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(3,474</w:t>
            </w:r>
          </w:p>
        </w:tc>
        <w:tc>
          <w:tcPr>
            <w:tcW w:w="16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811" w:type="dxa"/>
            <w:tcBorders/>
            <w:shd w:fill="CFF0FC" w:val="clear"/>
            <w:vAlign w:val="center"/>
          </w:tcPr>
          <w:p>
            <w:pPr>
              <w:pStyle w:val="TableContents"/>
              <w:bidi w:val="0"/>
              <w:spacing w:before="0" w:after="283"/>
              <w:ind w:left="0" w:right="0" w:firstLine="600"/>
              <w:jc w:val="left"/>
              <w:rPr/>
            </w:pPr>
            <w:r>
              <w:rPr/>
              <w:t> </w:t>
            </w:r>
          </w:p>
        </w:tc>
      </w:tr>
      <w:tr>
        <w:trPr/>
        <w:tc>
          <w:tcPr>
            <w:tcW w:w="5783" w:type="dxa"/>
            <w:tcBorders/>
            <w:shd w:fill="FFFFFF" w:val="clear"/>
            <w:vAlign w:val="center"/>
          </w:tcPr>
          <w:p>
            <w:pPr>
              <w:pStyle w:val="TableContents"/>
              <w:bidi w:val="0"/>
              <w:spacing w:before="0" w:after="283"/>
              <w:ind w:left="600" w:right="0" w:firstLine="600"/>
              <w:jc w:val="left"/>
              <w:rPr>
                <w:rFonts w:ascii="Times New Roman" w:hAnsi="Times New Roman"/>
                <w:color w:val="000000"/>
                <w:sz w:val="17"/>
              </w:rPr>
            </w:pPr>
            <w:r>
              <w:rPr>
                <w:rFonts w:ascii="Times New Roman" w:hAnsi="Times New Roman"/>
                <w:color w:val="000000"/>
                <w:sz w:val="17"/>
              </w:rPr>
              <w:t>Accounts payable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5,611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(1,319</w:t>
            </w:r>
          </w:p>
        </w:tc>
        <w:tc>
          <w:tcPr>
            <w:tcW w:w="166"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2,161</w:t>
            </w:r>
          </w:p>
        </w:tc>
        <w:tc>
          <w:tcPr>
            <w:tcW w:w="811" w:type="dxa"/>
            <w:tcBorders/>
            <w:shd w:fill="FFFFFF" w:val="clear"/>
            <w:vAlign w:val="center"/>
          </w:tcPr>
          <w:p>
            <w:pPr>
              <w:pStyle w:val="TableContents"/>
              <w:bidi w:val="0"/>
              <w:spacing w:before="0" w:after="283"/>
              <w:ind w:left="0" w:right="0" w:firstLine="600"/>
              <w:jc w:val="left"/>
              <w:rPr/>
            </w:pPr>
            <w:r>
              <w:rPr/>
              <w:t> </w:t>
            </w:r>
          </w:p>
        </w:tc>
      </w:tr>
      <w:tr>
        <w:trPr/>
        <w:tc>
          <w:tcPr>
            <w:tcW w:w="5783" w:type="dxa"/>
            <w:tcBorders/>
            <w:shd w:fill="CFF0FC" w:val="clear"/>
            <w:vAlign w:val="center"/>
          </w:tcPr>
          <w:p>
            <w:pPr>
              <w:pStyle w:val="TableContents"/>
              <w:bidi w:val="0"/>
              <w:spacing w:before="0" w:after="283"/>
              <w:ind w:left="600" w:right="0" w:firstLine="600"/>
              <w:jc w:val="left"/>
              <w:rPr>
                <w:rFonts w:ascii="Times New Roman" w:hAnsi="Times New Roman"/>
                <w:color w:val="000000"/>
                <w:sz w:val="17"/>
              </w:rPr>
            </w:pPr>
            <w:r>
              <w:rPr>
                <w:rFonts w:ascii="Times New Roman" w:hAnsi="Times New Roman"/>
                <w:color w:val="000000"/>
                <w:sz w:val="17"/>
              </w:rPr>
              <w:t>Deferred revenue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(13,133</w:t>
            </w:r>
          </w:p>
        </w:tc>
        <w:tc>
          <w:tcPr>
            <w:tcW w:w="811" w:type="dxa"/>
            <w:tcBorders/>
            <w:shd w:fill="CFF0FC" w:val="cle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w:t>
            </w:r>
          </w:p>
        </w:tc>
      </w:tr>
      <w:tr>
        <w:trPr/>
        <w:tc>
          <w:tcPr>
            <w:tcW w:w="5783" w:type="dxa"/>
            <w:tcBorders/>
            <w:shd w:fill="FFFFFF" w:val="clear"/>
            <w:vAlign w:val="center"/>
          </w:tcPr>
          <w:p>
            <w:pPr>
              <w:pStyle w:val="TableContents"/>
              <w:bidi w:val="0"/>
              <w:spacing w:before="0" w:after="283"/>
              <w:ind w:left="600" w:right="0" w:firstLine="600"/>
              <w:jc w:val="left"/>
              <w:rPr>
                <w:rFonts w:ascii="Times New Roman" w:hAnsi="Times New Roman"/>
                <w:color w:val="000000"/>
                <w:sz w:val="17"/>
              </w:rPr>
            </w:pPr>
            <w:r>
              <w:rPr>
                <w:rFonts w:ascii="Times New Roman" w:hAnsi="Times New Roman"/>
                <w:color w:val="000000"/>
                <w:sz w:val="17"/>
              </w:rPr>
              <w:t>Accrued expenses and other liabilities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14,867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9,421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2,769</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783" w:type="dxa"/>
            <w:tcBorders/>
            <w:shd w:fill="CFF0FC" w:val="clear"/>
            <w:vAlign w:val="center"/>
          </w:tcPr>
          <w:p>
            <w:pPr>
              <w:pStyle w:val="TableContents"/>
              <w:bidi w:val="0"/>
              <w:spacing w:before="0" w:after="283"/>
              <w:ind w:left="600" w:right="0" w:firstLine="600"/>
              <w:jc w:val="left"/>
              <w:rPr>
                <w:rFonts w:ascii="Times New Roman" w:hAnsi="Times New Roman"/>
                <w:color w:val="000000"/>
                <w:sz w:val="17"/>
              </w:rPr>
            </w:pPr>
            <w:r>
              <w:rPr>
                <w:rFonts w:ascii="Times New Roman" w:hAnsi="Times New Roman"/>
                <w:color w:val="000000"/>
                <w:sz w:val="17"/>
              </w:rPr>
              <w:t>Net cash (used in) provided by operating activities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(160,601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(133,675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29,131</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83" w:type="dxa"/>
            <w:tcBorders/>
            <w:shd w:fill="FFFFFF" w:val="cle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CASH FLOWS FROM INVESTING ACTIVITIES:</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811" w:type="dxa"/>
            <w:tcBorders/>
            <w:shd w:fill="FFFFFF" w:val="clear"/>
            <w:vAlign w:val="center"/>
          </w:tcPr>
          <w:p>
            <w:pPr>
              <w:pStyle w:val="TableContents"/>
              <w:bidi w:val="0"/>
              <w:spacing w:before="0" w:after="283"/>
              <w:ind w:left="0" w:right="0" w:firstLine="200"/>
              <w:jc w:val="right"/>
              <w:rPr/>
            </w:pPr>
            <w:r>
              <w:rPr/>
              <w:t> </w:t>
            </w:r>
          </w:p>
        </w:tc>
      </w:tr>
      <w:tr>
        <w:trPr/>
        <w:tc>
          <w:tcPr>
            <w:tcW w:w="578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Purchases of property and equipment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(129</w:t>
            </w:r>
          </w:p>
        </w:tc>
        <w:tc>
          <w:tcPr>
            <w:tcW w:w="811" w:type="dxa"/>
            <w:tcBorders/>
            <w:shd w:fill="CFF0FC" w:val="cle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578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Proceeds from sales of equipment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811" w:type="dxa"/>
            <w:tcBorders/>
            <w:shd w:fill="FFFFFF" w:val="clear"/>
            <w:vAlign w:val="center"/>
          </w:tcPr>
          <w:p>
            <w:pPr>
              <w:pStyle w:val="TableContents"/>
              <w:bidi w:val="0"/>
              <w:spacing w:before="0" w:after="283"/>
              <w:ind w:left="0" w:right="0" w:firstLine="200"/>
              <w:jc w:val="left"/>
              <w:rPr/>
            </w:pPr>
            <w:r>
              <w:rPr/>
              <w:t> </w:t>
            </w:r>
          </w:p>
        </w:tc>
      </w:tr>
      <w:tr>
        <w:trPr/>
        <w:tc>
          <w:tcPr>
            <w:tcW w:w="578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Purchases of short and long-term investments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(354,606</w:t>
            </w:r>
          </w:p>
        </w:tc>
        <w:tc>
          <w:tcPr>
            <w:tcW w:w="16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(495,346</w:t>
            </w:r>
          </w:p>
        </w:tc>
        <w:tc>
          <w:tcPr>
            <w:tcW w:w="16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(294,719</w:t>
            </w:r>
          </w:p>
        </w:tc>
        <w:tc>
          <w:tcPr>
            <w:tcW w:w="811" w:type="dxa"/>
            <w:tcBorders/>
            <w:shd w:fill="CFF0FC" w:val="cle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578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Proceeds from sales and maturities of short-term investments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472,215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308,933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253,975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783"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7"/>
              </w:rPr>
            </w:pPr>
            <w:r>
              <w:rPr>
                <w:rFonts w:ascii="Times New Roman" w:hAnsi="Times New Roman"/>
                <w:color w:val="000000"/>
                <w:sz w:val="17"/>
              </w:rPr>
              <w:t>Net cash provided by (used in) investing activities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117,609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(186,188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(40,873</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5783" w:type="dxa"/>
            <w:tcBorders/>
            <w:shd w:fill="FFFFFF" w:val="cle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CASH FLOWS FROM FINANCING ACTIVITIES:</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811" w:type="dxa"/>
            <w:tcBorders/>
            <w:shd w:fill="FFFFFF" w:val="clear"/>
            <w:vAlign w:val="center"/>
          </w:tcPr>
          <w:p>
            <w:pPr>
              <w:pStyle w:val="TableContents"/>
              <w:bidi w:val="0"/>
              <w:spacing w:before="0" w:after="283"/>
              <w:ind w:left="0" w:right="0" w:firstLine="200"/>
              <w:jc w:val="right"/>
              <w:rPr/>
            </w:pPr>
            <w:r>
              <w:rPr/>
              <w:t> </w:t>
            </w:r>
          </w:p>
        </w:tc>
      </w:tr>
      <w:tr>
        <w:trPr/>
        <w:tc>
          <w:tcPr>
            <w:tcW w:w="578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 xml:space="preserve">Proceeds from issuance of common stock in follow on public </w:t>
              <w:br/>
              <w:t>    offerings, net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215,955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161,965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81,206</w:t>
            </w:r>
          </w:p>
        </w:tc>
        <w:tc>
          <w:tcPr>
            <w:tcW w:w="811" w:type="dxa"/>
            <w:tcBorders/>
            <w:shd w:fill="CFF0FC" w:val="clear"/>
            <w:vAlign w:val="center"/>
          </w:tcPr>
          <w:p>
            <w:pPr>
              <w:pStyle w:val="TableContents"/>
              <w:bidi w:val="0"/>
              <w:spacing w:before="0" w:after="283"/>
              <w:ind w:left="0" w:right="0" w:firstLine="200"/>
              <w:jc w:val="left"/>
              <w:rPr/>
            </w:pPr>
            <w:r>
              <w:rPr/>
              <w:t> </w:t>
            </w:r>
          </w:p>
        </w:tc>
      </w:tr>
      <w:tr>
        <w:trPr/>
        <w:tc>
          <w:tcPr>
            <w:tcW w:w="578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 xml:space="preserve">Proceeds from issuance of common stock in at-the-market </w:t>
              <w:br/>
              <w:t>    offering, net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42,139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19,425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5,131</w:t>
            </w:r>
          </w:p>
        </w:tc>
        <w:tc>
          <w:tcPr>
            <w:tcW w:w="811" w:type="dxa"/>
            <w:tcBorders/>
            <w:shd w:fill="FFFFFF" w:val="clear"/>
            <w:vAlign w:val="center"/>
          </w:tcPr>
          <w:p>
            <w:pPr>
              <w:pStyle w:val="TableContents"/>
              <w:bidi w:val="0"/>
              <w:spacing w:before="0" w:after="283"/>
              <w:ind w:left="0" w:right="0" w:firstLine="200"/>
              <w:jc w:val="left"/>
              <w:rPr/>
            </w:pPr>
            <w:r>
              <w:rPr/>
              <w:t> </w:t>
            </w:r>
          </w:p>
        </w:tc>
      </w:tr>
      <w:tr>
        <w:trPr/>
        <w:tc>
          <w:tcPr>
            <w:tcW w:w="578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Allocation of proceeds to common stock issued under the Incyte Share Purchase Agreement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24,848</w:t>
            </w:r>
          </w:p>
        </w:tc>
        <w:tc>
          <w:tcPr>
            <w:tcW w:w="811" w:type="dxa"/>
            <w:tcBorders/>
            <w:shd w:fill="CFF0FC" w:val="clear"/>
            <w:vAlign w:val="center"/>
          </w:tcPr>
          <w:p>
            <w:pPr>
              <w:pStyle w:val="TableContents"/>
              <w:bidi w:val="0"/>
              <w:spacing w:before="0" w:after="283"/>
              <w:ind w:left="0" w:right="0" w:firstLine="200"/>
              <w:jc w:val="left"/>
              <w:rPr/>
            </w:pPr>
            <w:r>
              <w:rPr/>
              <w:t> </w:t>
            </w:r>
          </w:p>
        </w:tc>
      </w:tr>
      <w:tr>
        <w:trPr/>
        <w:tc>
          <w:tcPr>
            <w:tcW w:w="578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Allocation of proceeds to derivative liability recorded under the Incyte Share Purchase Agreement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576</w:t>
            </w:r>
          </w:p>
        </w:tc>
        <w:tc>
          <w:tcPr>
            <w:tcW w:w="811" w:type="dxa"/>
            <w:tcBorders/>
            <w:shd w:fill="FFFFFF" w:val="clear"/>
            <w:vAlign w:val="center"/>
          </w:tcPr>
          <w:p>
            <w:pPr>
              <w:pStyle w:val="TableContents"/>
              <w:bidi w:val="0"/>
              <w:spacing w:before="0" w:after="283"/>
              <w:ind w:left="0" w:right="0" w:firstLine="200"/>
              <w:jc w:val="left"/>
              <w:rPr/>
            </w:pPr>
            <w:r>
              <w:rPr/>
              <w:t> </w:t>
            </w:r>
          </w:p>
        </w:tc>
      </w:tr>
      <w:tr>
        <w:trPr/>
        <w:tc>
          <w:tcPr>
            <w:tcW w:w="578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Payment on term loan</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(20,996</w:t>
            </w:r>
          </w:p>
        </w:tc>
        <w:tc>
          <w:tcPr>
            <w:tcW w:w="16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811" w:type="dxa"/>
            <w:tcBorders/>
            <w:shd w:fill="CFF0FC" w:val="clear"/>
            <w:vAlign w:val="center"/>
          </w:tcPr>
          <w:p>
            <w:pPr>
              <w:pStyle w:val="TableContents"/>
              <w:bidi w:val="0"/>
              <w:spacing w:before="0" w:after="283"/>
              <w:ind w:left="0" w:right="0" w:firstLine="200"/>
              <w:jc w:val="left"/>
              <w:rPr/>
            </w:pPr>
            <w:r>
              <w:rPr/>
              <w:t> </w:t>
            </w:r>
          </w:p>
        </w:tc>
      </w:tr>
      <w:tr>
        <w:trPr/>
        <w:tc>
          <w:tcPr>
            <w:tcW w:w="578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Proceeds from ESPP</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910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367</w:t>
            </w:r>
          </w:p>
        </w:tc>
        <w:tc>
          <w:tcPr>
            <w:tcW w:w="811" w:type="dxa"/>
            <w:tcBorders/>
            <w:shd w:fill="FFFFFF" w:val="clear"/>
            <w:vAlign w:val="center"/>
          </w:tcPr>
          <w:p>
            <w:pPr>
              <w:pStyle w:val="TableContents"/>
              <w:bidi w:val="0"/>
              <w:spacing w:before="0" w:after="283"/>
              <w:ind w:left="0" w:right="0" w:firstLine="200"/>
              <w:jc w:val="left"/>
              <w:rPr/>
            </w:pPr>
            <w:r>
              <w:rPr/>
              <w:t> </w:t>
            </w:r>
          </w:p>
        </w:tc>
      </w:tr>
      <w:tr>
        <w:trPr/>
        <w:tc>
          <w:tcPr>
            <w:tcW w:w="578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Proceeds from stock option exercises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5,128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11,459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6,336</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783"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7"/>
              </w:rPr>
            </w:pPr>
            <w:r>
              <w:rPr>
                <w:rFonts w:ascii="Times New Roman" w:hAnsi="Times New Roman"/>
                <w:color w:val="000000"/>
                <w:sz w:val="17"/>
              </w:rPr>
              <w:t>Net cash provided by financing activities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264,132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172,254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118,464</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83"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INCREASE (DECREASE) IN CASH, CASH EQUIVALENTS</w:t>
              <w:br/>
              <w:t>   AND RESTRICTED CASH</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221,140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(147,609</w:t>
            </w:r>
          </w:p>
        </w:tc>
        <w:tc>
          <w:tcPr>
            <w:tcW w:w="166"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106,722</w:t>
            </w:r>
          </w:p>
        </w:tc>
        <w:tc>
          <w:tcPr>
            <w:tcW w:w="811" w:type="dxa"/>
            <w:tcBorders/>
            <w:shd w:fill="FFFFFF" w:val="clear"/>
            <w:vAlign w:val="center"/>
          </w:tcPr>
          <w:p>
            <w:pPr>
              <w:pStyle w:val="TableContents"/>
              <w:bidi w:val="0"/>
              <w:spacing w:before="0" w:after="283"/>
              <w:jc w:val="left"/>
              <w:rPr/>
            </w:pPr>
            <w:r>
              <w:rPr/>
              <w:t> </w:t>
            </w:r>
          </w:p>
        </w:tc>
      </w:tr>
      <w:tr>
        <w:trPr/>
        <w:tc>
          <w:tcPr>
            <w:tcW w:w="5783"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CASH, CASH EQUIVALENTS AND RESTRICTED CASH—beginning of year</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74,471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222,080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115,358</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83"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CASH, CASH EQUIVALENTS AND RESTRICTED CASH—end of year</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295,611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74,471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222,080</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provides a reconciliation of cash, cash equivalents, and restricted cash equivalents reported within the consolidated balance sheets that sum to the total of the amounts shown in the consolidated statements of cash flows:</w:t>
      </w:r>
    </w:p>
    <w:p>
      <w:pPr>
        <w:pStyle w:val="TextBody"/>
        <w:bidi w:val="0"/>
        <w:jc w:val="left"/>
        <w:rPr/>
      </w:pPr>
      <w:r>
        <w:rPr/>
        <w:t> </w:t>
      </w:r>
    </w:p>
    <w:tbl>
      <w:tblPr>
        <w:tblW w:w="6478" w:type="dxa"/>
        <w:jc w:val="left"/>
        <w:tblInd w:w="0" w:type="dxa"/>
        <w:tblLayout w:type="fixed"/>
        <w:tblCellMar>
          <w:top w:w="28" w:type="dxa"/>
          <w:left w:w="28" w:type="dxa"/>
          <w:bottom w:w="28" w:type="dxa"/>
          <w:right w:w="28" w:type="dxa"/>
        </w:tblCellMar>
      </w:tblPr>
      <w:tblGrid>
        <w:gridCol w:w="2986"/>
        <w:gridCol w:w="146"/>
        <w:gridCol w:w="196"/>
        <w:gridCol w:w="691"/>
        <w:gridCol w:w="146"/>
        <w:gridCol w:w="146"/>
        <w:gridCol w:w="196"/>
        <w:gridCol w:w="601"/>
        <w:gridCol w:w="146"/>
        <w:gridCol w:w="146"/>
        <w:gridCol w:w="196"/>
        <w:gridCol w:w="691"/>
        <w:gridCol w:w="191"/>
      </w:tblGrid>
      <w:tr>
        <w:trPr/>
        <w:tc>
          <w:tcPr>
            <w:tcW w:w="2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5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155" w:type="dxa"/>
            <w:gridSpan w:val="10"/>
            <w:tcBorders/>
            <w:shd w:fill="FFFFFF" w:val="cle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(In thousands)</w:t>
            </w:r>
          </w:p>
        </w:tc>
        <w:tc>
          <w:tcPr>
            <w:tcW w:w="191" w:type="dxa"/>
            <w:tcBorders/>
            <w:shd w:fill="FFFFFF" w:val="clear"/>
            <w:vAlign w:val="center"/>
          </w:tcPr>
          <w:p>
            <w:pPr>
              <w:pStyle w:val="TableContents"/>
              <w:bidi w:val="0"/>
              <w:spacing w:before="0" w:after="283"/>
              <w:jc w:val="center"/>
              <w:rPr/>
            </w:pPr>
            <w:r>
              <w:rPr/>
              <w:t> </w:t>
            </w:r>
          </w:p>
        </w:tc>
      </w:tr>
      <w:tr>
        <w:trPr/>
        <w:tc>
          <w:tcPr>
            <w:tcW w:w="298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Cash and cash equivalents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295,394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0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74,356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221,965</w:t>
            </w:r>
          </w:p>
        </w:tc>
        <w:tc>
          <w:tcPr>
            <w:tcW w:w="191" w:type="dxa"/>
            <w:tcBorders/>
            <w:shd w:fill="CFF0FC" w:val="clear"/>
            <w:vAlign w:val="center"/>
          </w:tcPr>
          <w:p>
            <w:pPr>
              <w:pStyle w:val="TableContents"/>
              <w:bidi w:val="0"/>
              <w:spacing w:before="0" w:after="283"/>
              <w:jc w:val="left"/>
              <w:rPr/>
            </w:pPr>
            <w:r>
              <w:rPr/>
              <w:t> </w:t>
            </w:r>
          </w:p>
        </w:tc>
      </w:tr>
      <w:tr>
        <w:trPr/>
        <w:tc>
          <w:tcPr>
            <w:tcW w:w="2986"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Restricted cash</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8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Cash, cash equivalents and restricted cash</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295,611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74,471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222,080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60" w:after="283"/>
        <w:jc w:val="center"/>
        <w:rPr>
          <w:rFonts w:ascii="Times New Roman" w:hAnsi="Times New Roman"/>
          <w:color w:val="000000"/>
          <w:sz w:val="20"/>
        </w:rPr>
      </w:pPr>
      <w:r>
        <w:rPr>
          <w:rFonts w:ascii="Times New Roman" w:hAnsi="Times New Roman"/>
          <w:color w:val="000000"/>
          <w:sz w:val="20"/>
        </w:rPr>
        <w:t>Supplemental disclosures of cash flow information (Note 17).</w:t>
      </w:r>
    </w:p>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SYNDAX PHARMACEUTICALS, INC.</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bookmarkStart w:id="38" w:name="notes_to_consolidated_financial_statemen"/>
      <w:bookmarkEnd w:id="38"/>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1. Nature of Business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Syndax Pharmaceuticals, Inc. (“the Company” or “Syndax”) is a clinical-stage biopharmaceutical company developing an innovative pipeline of cancer therapies. The Company's two lead product candidates are revumenib and axatilimab. The Company is developing revumenib, a potent, selective, small molecule inhibitor of the menin-MLL binding interaction for the treatment of KMT2A rearranged, (“KMT2Ar”), also known as mixed lineage leukemia rearranged, (“MLLr”), acute leukemias including acute lymphoblastic leukemia, (“ALL”), and acute myeloid leukemia, or AML, and nucleophosmin 1, also known as NPM1, mutant AML. The Company is also exploring the use of revumenib as a treatment in solid tumors, specifically its activity in metastatic colorectal cancer. The Company is developing axatilimab, a monoclonal antibody that blocks the colony stimulating factor 1 receptor, (“CSF-1R”), in chronic graft-versus-host disease, (“cGVHD”), as well as idiopathic pulmonary fibrosis, (“IPF”). The Company plans to continue to leverage the technical and business expertise of its management team and scientific collaborators to license, acquire and develop additional therapeutics to expand its pipeline.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Since its inception, the Company has devoted its efforts principally to research and development and raising capital. The Company is subject to risks common to companies in the development stage, including, but not limited to, successful development of therapeutics, obtaining additional funding, protection of proprietary therapeutics, compliance with government regulations, fluctuations in operating results, dependence on key personnel and collaborative partners, and risks associated with industry changes. The Company’s long-term success is dependent upon its ability to successfully develop and market its product candidates, expand its oncology drug pipeline, earn revenue, obtain additional capital when needed, and ultimately, achieve profitable operations. The Company anticipates that it will be several years before any of its product candidates is approved, if ever, and the Company begins to generate revenue from sales of such product candidates. Accordingly, management expects to incur substantial losses on the ongoing development of its product candidates and does not expect to achieve positive cash flow from operations for the foreseeable future, if ever. As a result, the Company will continue to require additional capital to move forward with its business plan. While certain amounts of this additional capital were raised in the past, there can be no assurance that funds necessary beyond these amounts will be available in amounts or on terms sufficient to ensure ongoing operations.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Company’s management believes that the cash, cash equivalents and short-term investments balances as of December 31, 2023, should enable the Company to maintain its planned operations for at least 12 months from the issuance date of these financial statements. The Company’s ability to fund all of its planned operations internally beyond that date, including the completion of its ongoing and planned clinical trial activities, may be substantially dependent upon whether the Company can obtain sufficient funding on terms acceptable to the Company. Proceeds from additional capital transactions would allow the Company to accelerate and/or expand its planned research and development activities. In the event that sufficient funds were not available, the Company may be required to delay or reduce expenditures to conserve cash, which could involve scaling back or curtailing development and selling, general and administrative activities.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is subject to challenges and risks specific to its business and ability to execute on the strategy, as well as risks and uncertainties common to companies in the pharmaceutical industry with development and commercial operations, including, without limitation, risks and uncertainties associated with: obtaining regulatory approval of the Company’s late-stage product candidate; delays or problems in the supply of the Company’s products, loss of single source suppliers or failure to comply with manufacturing regulations; identifying, acquiring or in-licensing additional products or product candidates; pharmaceutical product development and the inherent uncertainty of clinical success; and the challenges of protecting and enhancing the Company’s intellectual property rights; complying with applicable regulatory requirements.</w:t>
      </w:r>
    </w:p>
    <w:p>
      <w:pPr>
        <w:pStyle w:val="TextBody"/>
        <w:bidi w:val="0"/>
        <w:spacing w:before="360" w:after="283"/>
        <w:jc w:val="left"/>
        <w:rPr>
          <w:rFonts w:ascii="Times New Roman" w:hAnsi="Times New Roman"/>
          <w:sz w:val="20"/>
        </w:rPr>
      </w:pPr>
      <w:r>
        <w:rPr>
          <w:rFonts w:ascii="Times New Roman" w:hAnsi="Times New Roman"/>
          <w:b/>
          <w:color w:val="000000"/>
          <w:sz w:val="20"/>
        </w:rPr>
        <w:t>2. Basis of Presentation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prepared the accompanying consolidated financial statements in conformity with accounting principles generally accepted in the United States of America (“U.S. GAAP”).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3. Summary of Significant Accounting Policies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consolidated financial statements in conformity with U.S. GAAP requires management to make estimates and assumptions that affect the reported amounts of assets and liabilities and the disclosure of contingent assets and liabilities at the date of the consolidated financial statements and the reported amounts of costs and expenses during the reporting period. The Company bases estimates and assumptions on historical experience when available and on various factors that it believes to be reasonable under the circumstances. The Company evaluates its estimates and assumptions on an ongoing basis. The Company’s actual results may differ from these estimates under different assumptions or conditions.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Estimates and assumptions about future events and their effects cannot be determined with certainty and therefore require the exercise of judgment. As of the date of issuance of these financial statements, the Company is not aware of any specific event or circumstance that would require the Company to update its estimates, assumptions and judgments or revise the carrying value of its assets or liabilities. These estimates may change as new events occur and additional information is obtained and are recognized in the consolidated financial statements as soon as they become known. Actual results could differ from those estimates and any such differences may be material to the Company’s consolidated financial statements.</w:t>
      </w:r>
    </w:p>
    <w:p>
      <w:pPr>
        <w:pStyle w:val="TextBody"/>
        <w:bidi w:val="0"/>
        <w:spacing w:before="240" w:after="283"/>
        <w:jc w:val="left"/>
        <w:rPr>
          <w:rFonts w:ascii="Times New Roman" w:hAnsi="Times New Roman"/>
          <w:sz w:val="20"/>
        </w:rPr>
      </w:pPr>
      <w:r>
        <w:rPr>
          <w:rFonts w:ascii="Times New Roman" w:hAnsi="Times New Roman"/>
          <w:b/>
          <w:i/>
          <w:color w:val="000000"/>
          <w:sz w:val="20"/>
        </w:rPr>
        <w:t>Cash Equivalents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Cash equivalents include all highly liquid investments maturing within 90 days or less from the date of purchase. Cash equivalents include money market funds, corporate debt securities, U.S. government agency notes, and overnight deposits. </w:t>
      </w:r>
    </w:p>
    <w:p>
      <w:pPr>
        <w:pStyle w:val="TextBody"/>
        <w:bidi w:val="0"/>
        <w:spacing w:before="240" w:after="283"/>
        <w:jc w:val="left"/>
        <w:rPr>
          <w:rFonts w:ascii="Times New Roman" w:hAnsi="Times New Roman"/>
          <w:sz w:val="20"/>
        </w:rPr>
      </w:pPr>
      <w:r>
        <w:rPr>
          <w:rFonts w:ascii="Times New Roman" w:hAnsi="Times New Roman"/>
          <w:b/>
          <w:i/>
          <w:color w:val="000000"/>
          <w:sz w:val="20"/>
        </w:rPr>
        <w:t>Restricted Cash</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classifies as restricted cash all cash pledged as collateral to secure long-term obligations and all cash whose use is otherwise limited by contractual provisions. Amounts are reported as non-current unless restrictions are expected to be released in the next 12 months.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Marketable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investments in marketable securities are classified as available-for-sale and are reported at fair value with unrealized gains and losses excluded from earnings and reported net of tax in accumulated other comprehensive income, which is a component of stockholders’ equity. Unrealized losses that are determined to be other-than-temporary, based on current and expected market conditions, are recognized in earnings. Declines in fair value determined to be credit related are charged to earnings. The cost of marketable securities sold is determined by the specific identification method.</w:t>
      </w:r>
    </w:p>
    <w:p>
      <w:pPr>
        <w:pStyle w:val="TextBody"/>
        <w:bidi w:val="0"/>
        <w:spacing w:before="240" w:after="283"/>
        <w:jc w:val="left"/>
        <w:rPr>
          <w:rFonts w:ascii="Times New Roman" w:hAnsi="Times New Roman"/>
          <w:sz w:val="20"/>
        </w:rPr>
      </w:pPr>
      <w:r>
        <w:rPr>
          <w:rFonts w:ascii="Times New Roman" w:hAnsi="Times New Roman"/>
          <w:b/>
          <w:i/>
          <w:color w:val="000000"/>
          <w:sz w:val="20"/>
        </w:rPr>
        <w:t>Segment Reporting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Operating segments are identified as components of an enterprise about which separate discrete financial information is available for evaluation by the chief operating decision maker, or decision-making group, in making decisions regarding resource allocation and assessing performance. The Company has one operating segment. </w:t>
      </w:r>
    </w:p>
    <w:p>
      <w:pPr>
        <w:pStyle w:val="TextBody"/>
        <w:bidi w:val="0"/>
        <w:spacing w:before="240" w:after="283"/>
        <w:jc w:val="left"/>
        <w:rPr>
          <w:rFonts w:ascii="Times New Roman" w:hAnsi="Times New Roman"/>
          <w:sz w:val="20"/>
        </w:rPr>
      </w:pPr>
      <w:r>
        <w:rPr>
          <w:rFonts w:ascii="Times New Roman" w:hAnsi="Times New Roman"/>
          <w:b/>
          <w:i/>
          <w:color w:val="000000"/>
          <w:sz w:val="20"/>
        </w:rPr>
        <w:t>Concentrations of Credit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Cash and cash equivalents, restricted cash, and short and long-term investments are financial instruments that potentially subject the Company to concentrations of credit risk. Substantially all of the Company’s cash, cash equivalents, and short and long-term investments were deposited in accounts at two financial institutions, and at times, such deposits may exceed federally insured limits. The Company has not experienced any losses in such accounts, and management believes that the Company is not exposed to significant credit risk due to the financial position of the depository institutions in which those deposits are held. The Company’s available-for-sale investments primarily consist of government money market funds, corporate debt securities, commercial paper, credit card asset-backed securities and overnight deposits and potentially subject the Company to concentrations of credit risk.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Property and Equipment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Property and equipment are recorded at cost. Depreciation is recorded using the straight-line method over the estimated useful lives of the assets (three to five years). Assets under capital leases are amortized over the shorter of their useful lives or lease term using the straight-line method. Major replacements and improvements are capitalized, while general repairs and maintenance are expensed as incurred. </w:t>
      </w:r>
    </w:p>
    <w:p>
      <w:pPr>
        <w:pStyle w:val="TextBody"/>
        <w:bidi w:val="0"/>
        <w:spacing w:before="240" w:after="283"/>
        <w:jc w:val="left"/>
        <w:rPr>
          <w:rFonts w:ascii="Times New Roman" w:hAnsi="Times New Roman"/>
          <w:sz w:val="20"/>
        </w:rPr>
      </w:pPr>
      <w:r>
        <w:rPr>
          <w:rFonts w:ascii="Times New Roman" w:hAnsi="Times New Roman"/>
          <w:b/>
          <w:i/>
          <w:color w:val="000000"/>
          <w:sz w:val="20"/>
        </w:rPr>
        <w:t>Impairment of Long-Lived Assets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Long-lived assets are reviewed for impairment whenever events or changes in circumstances indicate that the carrying amount of the asset may not be recoverable. When such events occur, the Company compares the carrying amounts of the assets to their undiscounted expected future cash flows. If this comparison indicates that there is impairment, the amount of impairment is calculated as the difference between the carrying value and fair value. To date, no such impairments have been recognized. </w:t>
      </w:r>
    </w:p>
    <w:p>
      <w:pPr>
        <w:pStyle w:val="TextBody"/>
        <w:bidi w:val="0"/>
        <w:spacing w:before="240" w:after="283"/>
        <w:jc w:val="left"/>
        <w:rPr>
          <w:rFonts w:ascii="Times New Roman" w:hAnsi="Times New Roman"/>
          <w:sz w:val="20"/>
        </w:rPr>
      </w:pPr>
      <w:r>
        <w:rPr>
          <w:rFonts w:ascii="Times New Roman" w:hAnsi="Times New Roman"/>
          <w:b/>
          <w:i/>
          <w:color w:val="000000"/>
          <w:sz w:val="20"/>
        </w:rPr>
        <w:t>Revenue Recognition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The Company recognizes revenue when its customer obtains control of promised goods or services, in an amount that reflects the consideration which we expect to receive in exchange for those goods or services. The Company recognize revenue following the five – step model prescribed under FASB Accounting Standards Codification (</w:t>
      </w:r>
      <w:r>
        <w:rPr>
          <w:rFonts w:ascii="Times New Roman" w:hAnsi="Times New Roman"/>
          <w:i/>
          <w:color w:val="000000"/>
          <w:sz w:val="20"/>
        </w:rPr>
        <w:t>ASC 606), Revenue from Contracts with Customers</w:t>
      </w:r>
      <w:r>
        <w:rPr>
          <w:rFonts w:ascii="Times New Roman" w:hAnsi="Times New Roman"/>
          <w:color w:val="000000"/>
          <w:sz w:val="20"/>
        </w:rPr>
        <w:t>: (i) identify contract(s) with customer; (ii) identify the performance obligations in the contract; (iii) determine the transaction price; (iv) allocate the transaction price to the performance obligations in the contract; and (v) recognize revenue when (or as) we satisfy the performance obligations.</w:t>
      </w:r>
    </w:p>
    <w:p>
      <w:pPr>
        <w:pStyle w:val="TextBody"/>
        <w:bidi w:val="0"/>
        <w:spacing w:before="240" w:after="283"/>
        <w:jc w:val="left"/>
        <w:rPr>
          <w:rFonts w:ascii="Times New Roman" w:hAnsi="Times New Roman"/>
          <w:sz w:val="20"/>
        </w:rPr>
      </w:pPr>
      <w:r>
        <w:rPr>
          <w:rFonts w:ascii="Times New Roman" w:hAnsi="Times New Roman"/>
          <w:i/>
          <w:color w:val="000000"/>
          <w:sz w:val="20"/>
          <w:u w:val="single"/>
        </w:rPr>
        <w:t>Licenses of Intellectual Property</w:t>
      </w:r>
      <w:r>
        <w:rPr>
          <w:rFonts w:ascii="Times New Roman" w:hAnsi="Times New Roman"/>
          <w:color w:val="000000"/>
          <w:sz w:val="20"/>
        </w:rPr>
        <w:t>: Revenue from non-refundable, up-front fees allocated to the licenses related to the Company's intellectual property, are recognized as the license is transferred to the customer and the customer is able to use and benefit from the license. This generally takes place over the related know-how transfer period, or if applicable, over the term of transfer of future updates to the intellectual property.</w:t>
      </w:r>
    </w:p>
    <w:p>
      <w:pPr>
        <w:pStyle w:val="TextBody"/>
        <w:bidi w:val="0"/>
        <w:spacing w:before="240" w:after="283"/>
        <w:jc w:val="left"/>
        <w:rPr>
          <w:rFonts w:ascii="Times New Roman" w:hAnsi="Times New Roman"/>
          <w:sz w:val="20"/>
        </w:rPr>
      </w:pPr>
      <w:r>
        <w:rPr>
          <w:rFonts w:ascii="Times New Roman" w:hAnsi="Times New Roman"/>
          <w:i/>
          <w:color w:val="000000"/>
          <w:sz w:val="20"/>
          <w:u w:val="single"/>
        </w:rPr>
        <w:t>Development Milestone Payments</w:t>
      </w:r>
      <w:r>
        <w:rPr>
          <w:rFonts w:ascii="Times New Roman" w:hAnsi="Times New Roman"/>
          <w:color w:val="000000"/>
          <w:sz w:val="20"/>
        </w:rPr>
        <w:t xml:space="preserve">: The Company evaluates whether 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control of the Company or the licensee, such as regulatory approvals, are generally not considered probable of being achieved until those approvals are received. The transaction price is then allocated to each performance obligation on a relative stand-alone selling price basis, for which the Company recognizes revenue as or when the performance obligations under the contract are satisfied. At the end of each subsequent reporting period, the Company re-evaluates the probability of achievement of such development milestones and any related constraint, and if necessary, adjusts its estimate of the overall transaction price. Any such adjustments are recorded on a cumulative catch-up basis, which would affect license fees and earnings in the period of adjustment. </w:t>
      </w:r>
    </w:p>
    <w:p>
      <w:pPr>
        <w:pStyle w:val="TextBody"/>
        <w:bidi w:val="0"/>
        <w:spacing w:before="240" w:after="283"/>
        <w:jc w:val="left"/>
        <w:rPr>
          <w:rFonts w:ascii="Times New Roman" w:hAnsi="Times New Roman"/>
          <w:sz w:val="20"/>
        </w:rPr>
      </w:pPr>
      <w:r>
        <w:rPr>
          <w:rFonts w:ascii="Times New Roman" w:hAnsi="Times New Roman"/>
          <w:i/>
          <w:color w:val="000000"/>
          <w:sz w:val="20"/>
          <w:u w:val="single"/>
        </w:rPr>
        <w:t>Commercial Milestone Payments and Royalties</w:t>
      </w:r>
      <w:r>
        <w:rPr>
          <w:rFonts w:ascii="Times New Roman" w:hAnsi="Times New Roman"/>
          <w:color w:val="000000"/>
          <w:sz w:val="20"/>
        </w:rPr>
        <w:t>: For arrangements that include sales-based royalties, including milestone payments based on the level of commercial sales, and the license is deemed to be the predominant item to which the royalties or commercial milestones relate, the Company will recognize revenue at the later of when the related sales occur or when the performance obligation to which some or all of the royalty has been allocated has been satisfied (or partially satisfied). To date no commercial milestone payments or royalties have been achieved.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When no performance obligations are required of the Company, or following the completion of the performance obligation period, such amounts are recognized as revenue upon transfer of control of the goods or services to the customer. Generally, all amounts received or due other than sales-based milestones and royalties are classified as license fees.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Deferred revenue arises from amounts received in advance of the culmination of the earnings process and is recognized as revenue in future periods as performance obligations are satisfied. Deferred revenue expected to be recognized within the next twelve months is classified as a current liability. Upfront payment contract liabilities resulting from the Company’s license agreements do not represent a financing component as the payment is not financing the transfer of goods or services, and the technology underlying the licenses granted reflects research and development expenses already incurred by the Company.</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For additional information on our collaboration and license arrangements, please read </w:t>
      </w:r>
      <w:r>
        <w:rPr>
          <w:rFonts w:ascii="Times New Roman" w:hAnsi="Times New Roman"/>
          <w:i/>
          <w:color w:val="000000"/>
          <w:sz w:val="20"/>
        </w:rPr>
        <w:t>Note 4, Collaborative Research and License Agreements</w:t>
      </w:r>
      <w:r>
        <w:rPr>
          <w:rFonts w:ascii="Times New Roman" w:hAnsi="Times New Roman"/>
          <w:color w:val="000000"/>
          <w:sz w:val="20"/>
        </w:rPr>
        <w:t xml:space="preserve">, to these consolidated financial statements. </w:t>
      </w:r>
    </w:p>
    <w:p>
      <w:pPr>
        <w:pStyle w:val="TextBody"/>
        <w:bidi w:val="0"/>
        <w:spacing w:before="360" w:after="283"/>
        <w:jc w:val="left"/>
        <w:rPr>
          <w:rFonts w:ascii="Times New Roman" w:hAnsi="Times New Roman"/>
          <w:sz w:val="20"/>
        </w:rPr>
      </w:pPr>
      <w:r>
        <w:rPr>
          <w:rFonts w:ascii="Times New Roman" w:hAnsi="Times New Roman"/>
          <w:b/>
          <w:i/>
          <w:color w:val="000000"/>
          <w:sz w:val="20"/>
        </w:rPr>
        <w:t>Research and Development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Research and development costs are expensed as incurred. Research and development expenses include payroll and personnel expenses, consulting costs, external contract research and development expenses, and allocated overhead, including rent, equipment depreciation, and utilities. Research and development costs that are paid in advance of performance are capitalized as a prepaid expense and amortized over the service period as the services are provided. The Company expenses upfront license payments related to acquired technologies that have not yet reached technological feasibility and have no alternative future use.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instances where the Company enters into cost-sharing arrangements, all research and development costs reimbursed by the collaborators are accounted for as reductions to research and development expense. During the years ended December 31, 2023 and 2022, the Company has incurred external costs related to Incyte cost-sharing collaboration. During the year ended December 31, 2021, the Company incurred no external costs related to cost-sharing collaborations.</w:t>
      </w:r>
    </w:p>
    <w:p>
      <w:pPr>
        <w:pStyle w:val="TextBody"/>
        <w:bidi w:val="0"/>
        <w:spacing w:before="360" w:after="283"/>
        <w:jc w:val="left"/>
        <w:rPr>
          <w:rFonts w:ascii="Times New Roman" w:hAnsi="Times New Roman"/>
          <w:sz w:val="20"/>
        </w:rPr>
      </w:pPr>
      <w:r>
        <w:rPr>
          <w:rFonts w:ascii="Times New Roman" w:hAnsi="Times New Roman"/>
          <w:b/>
          <w:i/>
          <w:color w:val="000000"/>
          <w:sz w:val="20"/>
        </w:rPr>
        <w:t>Clinical Costs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study and trial costs are a component of research and development expenses. The Company expenses clinical trial activities performed by third parties based on an evaluation of the progress to completion of specific contract tasks using data such as patient enrollment, clinical site activations, or other information provided to us by our vendors. Depending on the progression of the contract and timing of invoicing and payment the research and development expense can be an accrued expense or a prepaid expense. Prepaid clinical study and trial costs are included in short-term deposits on the accompanying consolidated balance sheet. </w:t>
      </w:r>
    </w:p>
    <w:p>
      <w:pPr>
        <w:pStyle w:val="TextBody"/>
        <w:bidi w:val="0"/>
        <w:spacing w:before="240" w:after="283"/>
        <w:jc w:val="left"/>
        <w:rPr>
          <w:rFonts w:ascii="Times New Roman" w:hAnsi="Times New Roman"/>
          <w:sz w:val="20"/>
        </w:rPr>
      </w:pPr>
      <w:r>
        <w:rPr>
          <w:rFonts w:ascii="Times New Roman" w:hAnsi="Times New Roman"/>
          <w:b/>
          <w:i/>
          <w:color w:val="000000"/>
          <w:sz w:val="20"/>
        </w:rPr>
        <w:t>Income Taxes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records deferred tax assets and liabilities for the expected future tax consequences of temporary differences between the Company’s financial statement carrying amounts and the tax bases of assets and liabilities and for loss and credit carryforwards using enacted tax rates expected to be in effect in the years in which the differences reverse. A valuation allowance is provided to reduce the net deferred tax assets to the amount that will more likely than not be realized. The Company determines whether it is more likely than not that a tax position will be sustained upon examination. If it is not more likely than not that a position will be sustained, none of the benefit attributable to the position is recognized. The tax benefit to be recognized for any tax position that meets the more-likely-than-not recognition threshold is calculated as the largest amount that is more than 50% likely of being realized upon resolution of the contingency. The Company accounts for interest and penalties related to uncertain tax positions as part of its provision for income taxes.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Guarantees and Indemnifications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As permitted under Delaware law, the Company indemnifies its officers, directors, and employees for certain events or occurrences that happen by reason of the relationship with, or position held at, the Company. The Company has standard indemnification arrangements under office leases (as described in Note 5, </w:t>
      </w:r>
      <w:r>
        <w:rPr>
          <w:rFonts w:ascii="Times New Roman" w:hAnsi="Times New Roman"/>
          <w:i/>
          <w:color w:val="000000"/>
          <w:sz w:val="20"/>
        </w:rPr>
        <w:t>Leases</w:t>
      </w:r>
      <w:r>
        <w:rPr>
          <w:rFonts w:ascii="Times New Roman" w:hAnsi="Times New Roman"/>
          <w:color w:val="000000"/>
          <w:sz w:val="20"/>
        </w:rPr>
        <w:t xml:space="preserve"> to these consolidated financial statements) that require it to indemnify the landlord against all costs, expenses, fines, suits, claims, demands, liabilities, and actions directly resulting from any breach, violation, or nonperformance of any covenant or condition of the Company’s lease. Through December 31, 2023, the Company had not experienced any losses related to these indemnification obligations and no claims were outstanding. The Company does not expect significant claims related to these indemnification obligations, and consequently, concluded that the fair value of these obligations is negligible, and no related reserves were established. </w:t>
      </w:r>
    </w:p>
    <w:p>
      <w:pPr>
        <w:pStyle w:val="TextBody"/>
        <w:bidi w:val="0"/>
        <w:spacing w:before="240" w:after="283"/>
        <w:jc w:val="left"/>
        <w:rPr>
          <w:rFonts w:ascii="Times New Roman" w:hAnsi="Times New Roman"/>
          <w:sz w:val="20"/>
        </w:rPr>
      </w:pPr>
      <w:r>
        <w:rPr>
          <w:rFonts w:ascii="Times New Roman" w:hAnsi="Times New Roman"/>
          <w:b/>
          <w:i/>
          <w:color w:val="000000"/>
          <w:sz w:val="20"/>
        </w:rPr>
        <w:t>Stock-Based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accounts for all stock option awards granted to employees and non-employees using a fair value method. Stock-based compensation is measured at the grant date fair value of the stock option grants and is recognized over the requisite service period of the awards (usually the vesting period) on a straight-line basis. For equity awards that have a performance condition, the Company recognizes compensation expense based on its assessment of the probability that the performance condition will be achieved. The Company accounts for forfeitures as they occur.</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(Loss) Earnings Per Share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Basic earnings per share is computed by dividing undistributed net income attributable to Syndax by the weighted-average number of common shares outstanding during the period. Diluted earnings per share is computed based on the treasury method by dividing net income by the weighted-average number of common shares outstanding during the period plus potentially dilutive common equivalent shares outstanding. </w:t>
      </w:r>
    </w:p>
    <w:p>
      <w:pPr>
        <w:pStyle w:val="TextBody"/>
        <w:bidi w:val="0"/>
        <w:spacing w:before="240" w:after="283"/>
        <w:jc w:val="left"/>
        <w:rPr>
          <w:rFonts w:ascii="Times New Roman" w:hAnsi="Times New Roman"/>
          <w:sz w:val="20"/>
        </w:rPr>
      </w:pPr>
      <w:r>
        <w:rPr>
          <w:rFonts w:ascii="Times New Roman" w:hAnsi="Times New Roman"/>
          <w:b/>
          <w:i/>
          <w:color w:val="000000"/>
          <w:sz w:val="20"/>
        </w:rPr>
        <w:t>Recently Issued and Adopted Accounting Pronouncements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From time to time, new accounting pronouncements are issued by the Financial Accounting Standards Board FASB or other accounting standard setting bodies that we adopt as of the specified effective date. Unless otherwise discussed below, we do not believe that the adoption of recently issued standards have or may have a material impact on our consolidated financial statements or disclosures.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4. Collaborative Research and License Agreements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Incyte Collaboration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September 2021, the Company entered into license and collaboration agreement (the "Incyte License and Collaboration Agreement") with Incyte Corporation ("Incyte") covering the worldwide development and commercialization of axatilimab. Also, in September 2021 the Company entered into a share purchase agreement with Incyte, ("Incyte Share Purchase Agreement" and together with Incyte License and Collaboration Agreement, the Incyte Agreements"). Under the terms of the Incyte Agreements, Incyte will receive exclusive commercialization rights outside of the United States, subject to its royalty payment obligations set forth below. In the United States, Incyte and the Company will co-commercialize axatilimab, with the Company having the right to co-promote axatilimab with Incyte, subject to the Company’s exercise of its co-promotion option. Incyte will be responsible for leading all aspects of commercialization of axatilimab in the United States. The Company and Incyte will share equally the profits and losses from co-commercialization efforts in the United States. The Company and Incyte have agreed to co-develop axatilimab and to share development costs associated with global and U.S. – specific clinical trials, with Incyte responsible for 55% of such costs and the Company responsible for 45% of such costs. Each company will be responsible for funding any of its own independent development activities. Incyte is responsible for 100% of future development costs for trials that are specific to ex-U.S. countries. All development costs related to the collaboration with Incyte will be subject to a joint development plan.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the terms of the Incyte Agreements, in December 2021, Incyte paid the Company a non-refundable cash payment of $117.0 million and the Company issued 1,421,523 shares of common stock with an aggregate purchase price of $35.0 million, or $24.62 per share. Additionally, under the terms of the Incyte Agreements, the Company is eligible to receive up to $220.0 million in future contingent development and regulatory milestones and up to $230.0 million in commercialization milestones as well as tiered royalties ranging in the mid-teens percentage on net sales of the licensed product comprising axatilimab in Europe and Japan and low double digit percentage in the rest of the world outside of the United States. The Company's right to receive royalties in any particular country will expire upon the last to occur of (a) the expiration of licensed patent rights covering the licensed product in that particular country, (b) a specified period of time after the first post - marketing authorization sale of a licensed product in that country, and (c) the expiration of any regulatory exclusivity for that licensed product in that country.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Incyte Agreement and the Incyte Share Purchase Agreement were executed on the same date and negotiated simultaneously. Management therefore concluded that the Incyte Agreements are to be combined for accounting purposes and therefore allocated the total consideration to the units of account identified. The common stock issued to Incyte was recorded at fair value of $24.8 million. Pursuant to the Letter Agreement, Incyte is permitted to terminate the Incyte Agreement, under circumstances under which the upfront payment of $117 million would be returned to Incyte and a cash settlement on the sale of the Company's common stock would be made to make the parties whole (the “Letter Agreement”). In connection with the closing of this transaction in December 2021, the Company determined that the cash settlement feature of the Letter Agreement represented an embedded derivative requiring bifurcation and separate accounting recognition at fair value. The Letter Agreement terminated in March 2022. Accordingly, the Company initially allocated $0.6 million of the total consideration received to the derivative liability. As of December 31, 2022, the fair value of the derivative is zero.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The Company evaluated the terms of the Incyte Agreement and determined it is within the scope of Accounting Standard Update </w:t>
      </w:r>
      <w:r>
        <w:rPr>
          <w:rFonts w:ascii="Times New Roman" w:hAnsi="Times New Roman"/>
          <w:i/>
          <w:color w:val="000000"/>
          <w:sz w:val="20"/>
        </w:rPr>
        <w:t>2018-18, Collaborative Arrangements (Topic 808)</w:t>
      </w:r>
      <w:r>
        <w:rPr>
          <w:rFonts w:ascii="Times New Roman" w:hAnsi="Times New Roman"/>
          <w:color w:val="000000"/>
          <w:sz w:val="20"/>
        </w:rPr>
        <w:t xml:space="preserve">, and has elements that are within the scope of </w:t>
      </w:r>
      <w:r>
        <w:rPr>
          <w:rFonts w:ascii="Times New Roman" w:hAnsi="Times New Roman"/>
          <w:i/>
          <w:color w:val="000000"/>
          <w:sz w:val="20"/>
        </w:rPr>
        <w:t>Topic 606</w:t>
      </w:r>
      <w:r>
        <w:rPr>
          <w:rFonts w:ascii="Times New Roman" w:hAnsi="Times New Roman"/>
          <w:color w:val="000000"/>
          <w:sz w:val="20"/>
        </w:rPr>
        <w:t xml:space="preserve"> and </w:t>
      </w:r>
      <w:r>
        <w:rPr>
          <w:rFonts w:ascii="Times New Roman" w:hAnsi="Times New Roman"/>
          <w:i/>
          <w:color w:val="000000"/>
          <w:sz w:val="20"/>
        </w:rPr>
        <w:t>Topic 808</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The Company identified the following promises in the Incyte Agreements that were evaluated under the scope of </w:t>
      </w:r>
      <w:r>
        <w:rPr>
          <w:rFonts w:ascii="Times New Roman" w:hAnsi="Times New Roman"/>
          <w:i/>
          <w:color w:val="000000"/>
          <w:sz w:val="20"/>
        </w:rPr>
        <w:t>Topic 606</w:t>
      </w:r>
      <w:r>
        <w:rPr>
          <w:rFonts w:ascii="Times New Roman" w:hAnsi="Times New Roman"/>
          <w:color w:val="000000"/>
          <w:sz w:val="20"/>
        </w:rPr>
        <w:t xml:space="preserve">: (i) delivery of a license for axatilimab to develop, commercialize, and conduct medical affairs and (ii) services to be performed in accordance with the development plan. The Company also evaluated whether certain options outlined within the Incyte Agreements represented material rights that would give rise to a performance obligation and concluded that none of the options convey a material right to Incyte and therefore are not considered separate performance obligations within the Incyte Agreements. </w:t>
      </w:r>
    </w:p>
    <w:p>
      <w:pPr>
        <w:pStyle w:val="TextBody"/>
        <w:bidi w:val="0"/>
        <w:jc w:val="left"/>
        <w:rPr>
          <w:rFonts w:ascii="Times New Roman" w:hAnsi="Times New Roman"/>
          <w:sz w:val="20"/>
        </w:rPr>
      </w:pPr>
      <w:r>
        <w:rPr>
          <w:rFonts w:ascii="Times New Roman" w:hAnsi="Times New Roman"/>
          <w:color w:val="000000"/>
          <w:sz w:val="20"/>
        </w:rPr>
        <w:t xml:space="preserve">The Company assessed the above promises and determined that the license for axatilimab represents the only performance obligation within the scope of </w:t>
      </w:r>
      <w:r>
        <w:rPr>
          <w:rFonts w:ascii="Times New Roman" w:hAnsi="Times New Roman"/>
          <w:i/>
          <w:color w:val="000000"/>
          <w:sz w:val="20"/>
        </w:rPr>
        <w:t>Topic 606</w:t>
      </w:r>
      <w:r>
        <w:rPr>
          <w:rFonts w:ascii="Times New Roman" w:hAnsi="Times New Roman"/>
          <w:color w:val="000000"/>
          <w:sz w:val="20"/>
        </w:rPr>
        <w:t xml:space="preserve">. The license for axatilimab is considered functional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intellectual property and distinct from other promises under the contract as Incyte can benefit from the license on its own or together with other readily available resources. The services performed by the Company to obtain regulatory approval of axatilimab are not complex or specialized, could be performed by another qualified third party, are not expected to significantly modify or customize the license given that axatilimab is late-stage intellectual property that has completed its Phase 1/2 trial and is currently enrolling in a global pivotal Phase 2 trial, and the services are expected to be performed over a short period of time. Therefore, the license represents a separate performance obligation within a contract with a customer under the scope of </w:t>
      </w:r>
      <w:r>
        <w:rPr>
          <w:rFonts w:ascii="Times New Roman" w:hAnsi="Times New Roman"/>
          <w:i/>
          <w:color w:val="000000"/>
          <w:sz w:val="20"/>
        </w:rPr>
        <w:t>Topic 606</w:t>
      </w:r>
      <w:r>
        <w:rPr>
          <w:rFonts w:ascii="Times New Roman" w:hAnsi="Times New Roman"/>
          <w:color w:val="000000"/>
          <w:sz w:val="20"/>
        </w:rPr>
        <w:t xml:space="preserve"> at contract inception.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The Company considers the collaborative research and development activities and manufacturing activities to be separate units of account within the scope of </w:t>
      </w:r>
      <w:r>
        <w:rPr>
          <w:rFonts w:ascii="Times New Roman" w:hAnsi="Times New Roman"/>
          <w:i/>
          <w:color w:val="000000"/>
          <w:sz w:val="20"/>
        </w:rPr>
        <w:t>Topic 808</w:t>
      </w:r>
      <w:r>
        <w:rPr>
          <w:rFonts w:ascii="Times New Roman" w:hAnsi="Times New Roman"/>
          <w:color w:val="000000"/>
          <w:sz w:val="20"/>
        </w:rPr>
        <w:t xml:space="preserve"> and are not deliverables under </w:t>
      </w:r>
      <w:r>
        <w:rPr>
          <w:rFonts w:ascii="Times New Roman" w:hAnsi="Times New Roman"/>
          <w:i/>
          <w:color w:val="000000"/>
          <w:sz w:val="20"/>
        </w:rPr>
        <w:t>Topic 606</w:t>
      </w:r>
      <w:r>
        <w:rPr>
          <w:rFonts w:ascii="Times New Roman" w:hAnsi="Times New Roman"/>
          <w:color w:val="000000"/>
          <w:sz w:val="20"/>
        </w:rPr>
        <w:t>. The Company and Incyte are both active participants in the activities and are exposed to significant risks and rewards that are dependent on the commercial success of the activities in the arrangement.</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Under the scope of </w:t>
      </w:r>
      <w:r>
        <w:rPr>
          <w:rFonts w:ascii="Times New Roman" w:hAnsi="Times New Roman"/>
          <w:i/>
          <w:color w:val="000000"/>
          <w:sz w:val="20"/>
        </w:rPr>
        <w:t>Topic 606</w:t>
      </w:r>
      <w:r>
        <w:rPr>
          <w:rFonts w:ascii="Times New Roman" w:hAnsi="Times New Roman"/>
          <w:color w:val="000000"/>
          <w:sz w:val="20"/>
        </w:rPr>
        <w:t xml:space="preserve">, the Company identified contract promises for the license of intellectual property and know-how rights for axatilimab. The Company determined that the license was capable of being distinct from the ongoing collaboration activities. After the allocation to the common stock and derivative liability, the total transaction price to be allocated to the Incyte Agreement is $126.6 million. The Company estimated the standalone selling price of the license to be the entire $126.6 million, based on an application of the income approach by measuring the fair value of the discounted cash flows from commercialization. Significant assumptions included in the valuation included judgments relating to the probability of achieving both regulatory and commercial milestones, forecasted future cash flows and the election of the discount rate. As the Company concluded the license was distinct, revenue of $126.6 million was recognized upon transfer of the license to Incyte in the year ended December 31, 2021.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used the most likely amount method to estimate variable consideration and estimated that the most likely amount for each potential preclinical, development, and regulatory variable consideration milestone payment under this agreement is zero, as achievement of those milestones is uncertain and highly susceptible to factors outside the Company’s control. Accordingly, all such milestone payments were excluded from the transaction price. Management will reevaluate the transaction price at the end of each reporting period and as uncertain events are resolved or other changes in circumstances occur, will adjust the transaction price as necessary. Sales based royalties, including milestones based on the level of sales, were also excluded from the transaction price, as the license is deemed to be the predominant item to which the royalties relate. The company will recognize such revenue at the later of (i) when the related sales occur, or (ii) when the performance obligation to which some or all of the royalty has been allocated has been satisfied (or partially satisfied).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Company considers the collaborative research and development activities and manufacturing activities to be separate units of account within the scope of </w:t>
      </w:r>
      <w:r>
        <w:rPr>
          <w:rFonts w:ascii="Times New Roman" w:hAnsi="Times New Roman"/>
          <w:i/>
          <w:color w:val="000000"/>
          <w:sz w:val="20"/>
        </w:rPr>
        <w:t>Topic 808</w:t>
      </w:r>
      <w:r>
        <w:rPr>
          <w:rFonts w:ascii="Times New Roman" w:hAnsi="Times New Roman"/>
          <w:color w:val="000000"/>
          <w:sz w:val="20"/>
        </w:rPr>
        <w:t xml:space="preserve"> and are not deliverables under </w:t>
      </w:r>
      <w:r>
        <w:rPr>
          <w:rFonts w:ascii="Times New Roman" w:hAnsi="Times New Roman"/>
          <w:i/>
          <w:color w:val="000000"/>
          <w:sz w:val="20"/>
        </w:rPr>
        <w:t>Topic 606</w:t>
      </w:r>
      <w:r>
        <w:rPr>
          <w:rFonts w:ascii="Times New Roman" w:hAnsi="Times New Roman"/>
          <w:color w:val="000000"/>
          <w:sz w:val="20"/>
        </w:rPr>
        <w:t>. The Company and Incyte are both active participants in the activities and are exposed to significant risks and rewards that are dependent on the commercial success of the activities in the arrangement.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of December 31, 2023, the Company has recorded $2.2 million as a collaboration receivable due from Incyte related to the Company's development and pre-commercialization costs under the Incyte Agreements and has recorded approximately $9.5 million as a collaboration payable due to Incyte for development and pre-commercialization costs incurred by Incyte as of December 31, 2023. Both expenses and cost offset are recorded as part of research and development and selling, general and administrative expense.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5. Leases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Leases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Company accounts for leases in accordance with </w:t>
      </w:r>
      <w:r>
        <w:rPr>
          <w:rFonts w:ascii="Times New Roman" w:hAnsi="Times New Roman"/>
          <w:i/>
          <w:color w:val="000000"/>
          <w:sz w:val="20"/>
        </w:rPr>
        <w:t>ASC 842, Leases</w:t>
      </w:r>
      <w:r>
        <w:rPr>
          <w:rFonts w:ascii="Times New Roman" w:hAnsi="Times New Roman"/>
          <w:color w:val="000000"/>
          <w:sz w:val="20"/>
        </w:rPr>
        <w:t xml:space="preserve">, and determines whether an arrangement is a lease at inception. Operating lease right-of-use (“ROU”) assets and lease liabilities are recognized based on the present value of the future minimum lease payments over the lease term at commencement date. Lease agreements with lease and non-lease components are accounted for separately. For leases that do not provide an implicit rate, the Company uses the incremental borrowing rate based on the information available at commencement date in determining the present value of future payments. The ROU asset also includes any lease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payments made and excludes lease incentives and initial direct costs incurred. The lease terms may include options to extend or terminate the lease when it is reasonably certain that the Company will exercise that option. Leases with an initial term of 12 months or less are not recorded on the balance sheet as the Company has elected to apply the short-term lease exemption. Lease expense for minimum lease payments is recognized on a straight-line basis over the lease term.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identified three existing long-term building leases under ASC 842 that are classified as operating leases. In September 2016, the Company entered into a five-year operating lease for 12,207 square feet of office space in Waltham, MA, with a lease commencement date of March 1, 2017. On August 17, 2021, the Company signed a 36-month extension to the lease for the Waltham, MA office with aggregate payments of $1.6 million, with a lease commencement date of March 1, 2022.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December 2015, the Company entered into a 62-month operating lease for 4,039 square feet of space in New York, NY, which commenced on January 1, 2016. In February 2021, the Company signed an 18-month extension to the lease for the New York office, which commenced on March 1, 2021. In August 2022, the Company signed a 36-month extension to the lease for the New York office, with aggregate payments of $689,000, with a lease commencement date of September 1, 2022.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May 2023, the Company entered into a 27-month operating lease for an additional 12,217 square feet of space in New York, NY, with aggregate payments of $1.6 million, with a lease commencement date of June 1,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remaining lease terms as of December 31, 2023, for the facility in Waltham, MA and the two facilities in New York, NY, were 14 months and 20 months, respectively.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2023, the consolidated balance sheet includes a $1.5 million operating lease ROU asset and a $1.6 million ROU liability. The Company used a weighted average discount rate of 14% to calculate its lease obligations, and an increase or decrease in the rate does not have a significant impact on the ROU asset or ROU liability. The ROU asset is amortized on a straight-line basis over the remainder of the lease term. For the year ended December 31, 2023, the Company recorded approximately $743,000 in operating lease expense and made approximately $924,000 in lease payments.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Future minimum lease payments under the Company’s operating leases, were as follows:</w:t>
      </w:r>
    </w:p>
    <w:tbl>
      <w:tblPr>
        <w:tblW w:w="5004" w:type="dxa"/>
        <w:jc w:val="left"/>
        <w:tblInd w:w="0" w:type="dxa"/>
        <w:tblLayout w:type="fixed"/>
        <w:tblCellMar>
          <w:top w:w="28" w:type="dxa"/>
          <w:left w:w="28" w:type="dxa"/>
          <w:bottom w:w="28" w:type="dxa"/>
          <w:right w:w="28" w:type="dxa"/>
        </w:tblCellMar>
      </w:tblPr>
      <w:tblGrid>
        <w:gridCol w:w="2776"/>
        <w:gridCol w:w="146"/>
        <w:gridCol w:w="465"/>
        <w:gridCol w:w="1260"/>
        <w:gridCol w:w="166"/>
        <w:gridCol w:w="191"/>
      </w:tblGrid>
      <w:tr>
        <w:trPr/>
        <w:tc>
          <w:tcPr>
            <w:tcW w:w="2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7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Maturity of lease liabilities</w:t>
            </w:r>
          </w:p>
        </w:tc>
        <w:tc>
          <w:tcPr>
            <w:tcW w:w="146" w:type="dxa"/>
            <w:tcBorders/>
            <w:shd w:fill="FFFFFF" w:val="clear"/>
            <w:vAlign w:val="center"/>
          </w:tcPr>
          <w:p>
            <w:pPr>
              <w:pStyle w:val="TableContents"/>
              <w:bidi w:val="0"/>
              <w:spacing w:before="0" w:after="283"/>
              <w:jc w:val="left"/>
              <w:rPr/>
            </w:pPr>
            <w:r>
              <w:rPr/>
              <w:t> </w:t>
            </w:r>
          </w:p>
        </w:tc>
        <w:tc>
          <w:tcPr>
            <w:tcW w:w="1725"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r>
          </w:p>
        </w:tc>
        <w:tc>
          <w:tcPr>
            <w:tcW w:w="166" w:type="dxa"/>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2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277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2024</w:t>
            </w:r>
          </w:p>
        </w:tc>
        <w:tc>
          <w:tcPr>
            <w:tcW w:w="146" w:type="dxa"/>
            <w:tcBorders/>
            <w:shd w:fill="CFF0FC" w:val="clear"/>
            <w:vAlign w:val="center"/>
          </w:tcPr>
          <w:p>
            <w:pPr>
              <w:pStyle w:val="TableContents"/>
              <w:bidi w:val="0"/>
              <w:spacing w:before="0" w:after="283"/>
              <w:jc w:val="left"/>
              <w:rPr/>
            </w:pPr>
            <w:r>
              <w:rPr/>
              <w:t> </w:t>
            </w:r>
          </w:p>
        </w:tc>
        <w:tc>
          <w:tcPr>
            <w:tcW w:w="46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1,196</w:t>
            </w:r>
          </w:p>
        </w:tc>
        <w:tc>
          <w:tcPr>
            <w:tcW w:w="166" w:type="dxa"/>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277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465" w:type="dxa"/>
            <w:tcBorders/>
            <w:shd w:fill="FFFFFF" w:val="clear"/>
            <w:vAlign w:val="center"/>
          </w:tcPr>
          <w:p>
            <w:pPr>
              <w:pStyle w:val="TableContents"/>
              <w:bidi w:val="0"/>
              <w:spacing w:before="0" w:after="283"/>
              <w:jc w:val="left"/>
              <w:rPr/>
            </w:pPr>
            <w:r>
              <w:rPr/>
              <w:t> </w:t>
            </w:r>
          </w:p>
        </w:tc>
        <w:tc>
          <w:tcPr>
            <w:tcW w:w="126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w:t>
            </w:r>
          </w:p>
        </w:tc>
        <w:tc>
          <w:tcPr>
            <w:tcW w:w="16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277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Thereafter</w:t>
            </w:r>
          </w:p>
        </w:tc>
        <w:tc>
          <w:tcPr>
            <w:tcW w:w="146" w:type="dxa"/>
            <w:tcBorders/>
            <w:shd w:fill="CFF0FC" w:val="clear"/>
            <w:vAlign w:val="center"/>
          </w:tcPr>
          <w:p>
            <w:pPr>
              <w:pStyle w:val="TableContents"/>
              <w:bidi w:val="0"/>
              <w:spacing w:before="0" w:after="283"/>
              <w:jc w:val="left"/>
              <w:rPr/>
            </w:pPr>
            <w:r>
              <w:rPr/>
              <w:t> </w:t>
            </w:r>
          </w:p>
        </w:tc>
        <w:tc>
          <w:tcPr>
            <w:tcW w:w="4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277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lease payments</w:t>
            </w:r>
          </w:p>
        </w:tc>
        <w:tc>
          <w:tcPr>
            <w:tcW w:w="146" w:type="dxa"/>
            <w:tcBorders/>
            <w:shd w:fill="FFFFFF" w:val="clear"/>
            <w:vAlign w:val="center"/>
          </w:tcPr>
          <w:p>
            <w:pPr>
              <w:pStyle w:val="TableContents"/>
              <w:bidi w:val="0"/>
              <w:spacing w:before="0" w:after="283"/>
              <w:jc w:val="left"/>
              <w:rPr/>
            </w:pPr>
            <w:r>
              <w:rPr/>
              <w:t> </w:t>
            </w:r>
          </w:p>
        </w:tc>
        <w:tc>
          <w:tcPr>
            <w:tcW w:w="46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1,802</w:t>
            </w:r>
          </w:p>
        </w:tc>
        <w:tc>
          <w:tcPr>
            <w:tcW w:w="16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277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Less: imputed interest</w:t>
            </w:r>
          </w:p>
        </w:tc>
        <w:tc>
          <w:tcPr>
            <w:tcW w:w="146" w:type="dxa"/>
            <w:tcBorders/>
            <w:shd w:fill="CFF0FC" w:val="clear"/>
            <w:vAlign w:val="center"/>
          </w:tcPr>
          <w:p>
            <w:pPr>
              <w:pStyle w:val="TableContents"/>
              <w:bidi w:val="0"/>
              <w:spacing w:before="0" w:after="283"/>
              <w:jc w:val="left"/>
              <w:rPr/>
            </w:pPr>
            <w:r>
              <w:rPr/>
              <w:t> </w:t>
            </w:r>
          </w:p>
        </w:tc>
        <w:tc>
          <w:tcPr>
            <w:tcW w:w="4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CFF0FC" w:val="clear"/>
            <w:vAlign w:val="center"/>
          </w:tcPr>
          <w:p>
            <w:pPr>
              <w:pStyle w:val="TableContents"/>
              <w:bidi w:val="0"/>
              <w:spacing w:before="0" w:after="283"/>
              <w:jc w:val="left"/>
              <w:rPr/>
            </w:pPr>
            <w:r>
              <w:rPr/>
              <w:t> </w:t>
            </w:r>
          </w:p>
        </w:tc>
      </w:tr>
      <w:tr>
        <w:trPr/>
        <w:tc>
          <w:tcPr>
            <w:tcW w:w="277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operating lease liability</w:t>
            </w:r>
          </w:p>
        </w:tc>
        <w:tc>
          <w:tcPr>
            <w:tcW w:w="146" w:type="dxa"/>
            <w:tcBorders/>
            <w:shd w:fill="FFFFFF" w:val="clear"/>
            <w:vAlign w:val="center"/>
          </w:tcPr>
          <w:p>
            <w:pPr>
              <w:pStyle w:val="TableContents"/>
              <w:bidi w:val="0"/>
              <w:spacing w:before="0" w:after="283"/>
              <w:jc w:val="left"/>
              <w:rPr/>
            </w:pPr>
            <w:r>
              <w:rPr/>
              <w:t> </w:t>
            </w:r>
          </w:p>
        </w:tc>
        <w:tc>
          <w:tcPr>
            <w:tcW w:w="4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Future minimum lease payments under the Company’s capital leases as of December 31, 2023 and 2022, were $25,864 and $22,441,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6. (Loss) Earnings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Basic and diluted (loss) earnings per share are calculated as follows (in 000s): </w:t>
      </w:r>
    </w:p>
    <w:tbl>
      <w:tblPr>
        <w:tblW w:w="9158" w:type="dxa"/>
        <w:jc w:val="left"/>
        <w:tblInd w:w="0" w:type="dxa"/>
        <w:tblLayout w:type="fixed"/>
        <w:tblCellMar>
          <w:top w:w="28" w:type="dxa"/>
          <w:left w:w="28" w:type="dxa"/>
          <w:bottom w:w="28" w:type="dxa"/>
          <w:right w:w="28" w:type="dxa"/>
        </w:tblCellMar>
      </w:tblPr>
      <w:tblGrid>
        <w:gridCol w:w="5206"/>
        <w:gridCol w:w="146"/>
        <w:gridCol w:w="211"/>
        <w:gridCol w:w="841"/>
        <w:gridCol w:w="166"/>
        <w:gridCol w:w="146"/>
        <w:gridCol w:w="211"/>
        <w:gridCol w:w="841"/>
        <w:gridCol w:w="166"/>
        <w:gridCol w:w="146"/>
        <w:gridCol w:w="211"/>
        <w:gridCol w:w="676"/>
        <w:gridCol w:w="191"/>
      </w:tblGrid>
      <w:tr>
        <w:trPr/>
        <w:tc>
          <w:tcPr>
            <w:tcW w:w="5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2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61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0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Numerator:</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52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(209,360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(149,338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 attributable to common stockholders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(209,360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(149,338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24,926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0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Denominator:</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52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70,371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60,761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52,065</w:t>
            </w:r>
          </w:p>
        </w:tc>
        <w:tc>
          <w:tcPr>
            <w:tcW w:w="191" w:type="dxa"/>
            <w:tcBorders/>
            <w:shd w:fill="CFF0FC" w:val="clear"/>
            <w:vAlign w:val="center"/>
          </w:tcPr>
          <w:p>
            <w:pPr>
              <w:pStyle w:val="TableContents"/>
              <w:bidi w:val="0"/>
              <w:spacing w:before="0" w:after="283"/>
              <w:jc w:val="left"/>
              <w:rPr/>
            </w:pPr>
            <w:r>
              <w:rPr/>
              <w:t> </w:t>
            </w:r>
          </w:p>
        </w:tc>
      </w:tr>
      <w:tr>
        <w:trPr/>
        <w:tc>
          <w:tcPr>
            <w:tcW w:w="520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Effective of Dilutive Securities</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52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to purchase common stock</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1,429</w:t>
            </w:r>
          </w:p>
        </w:tc>
        <w:tc>
          <w:tcPr>
            <w:tcW w:w="191" w:type="dxa"/>
            <w:tcBorders/>
            <w:shd w:fill="CFF0FC" w:val="clear"/>
            <w:vAlign w:val="center"/>
          </w:tcPr>
          <w:p>
            <w:pPr>
              <w:pStyle w:val="TableContents"/>
              <w:bidi w:val="0"/>
              <w:spacing w:before="0" w:after="283"/>
              <w:jc w:val="left"/>
              <w:rPr/>
            </w:pPr>
            <w:r>
              <w:rPr/>
              <w:t> </w:t>
            </w:r>
          </w:p>
        </w:tc>
      </w:tr>
      <w:tr>
        <w:trPr/>
        <w:tc>
          <w:tcPr>
            <w:tcW w:w="52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 - vested restricted stock units (RSUs)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191" w:type="dxa"/>
            <w:tcBorders/>
            <w:shd w:fill="FFFFFF" w:val="clear"/>
            <w:vAlign w:val="center"/>
          </w:tcPr>
          <w:p>
            <w:pPr>
              <w:pStyle w:val="TableContents"/>
              <w:bidi w:val="0"/>
              <w:spacing w:before="0" w:after="283"/>
              <w:jc w:val="left"/>
              <w:rPr/>
            </w:pPr>
            <w:r>
              <w:rPr/>
              <w:t> </w:t>
            </w:r>
          </w:p>
        </w:tc>
      </w:tr>
      <w:tr>
        <w:trPr/>
        <w:tc>
          <w:tcPr>
            <w:tcW w:w="52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ESPP to purchase common stock</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Dilutive potential common shares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0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Shares used in calculating diluted (loss) earnings per share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70,371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60,761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53,623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potentially dilutive securities have been excluded from the computation of diluted weighted-average shares outstanding because such securities have an antidilutive impact due to losses reported (in common stock equivalent shares, in 000s):</w:t>
      </w:r>
    </w:p>
    <w:tbl>
      <w:tblPr>
        <w:tblW w:w="5713" w:type="dxa"/>
        <w:jc w:val="left"/>
        <w:tblInd w:w="0" w:type="dxa"/>
        <w:tblLayout w:type="fixed"/>
        <w:tblCellMar>
          <w:top w:w="28" w:type="dxa"/>
          <w:left w:w="28" w:type="dxa"/>
          <w:bottom w:w="28" w:type="dxa"/>
          <w:right w:w="28" w:type="dxa"/>
        </w:tblCellMar>
      </w:tblPr>
      <w:tblGrid>
        <w:gridCol w:w="2761"/>
        <w:gridCol w:w="146"/>
        <w:gridCol w:w="146"/>
        <w:gridCol w:w="676"/>
        <w:gridCol w:w="146"/>
        <w:gridCol w:w="146"/>
        <w:gridCol w:w="146"/>
        <w:gridCol w:w="571"/>
        <w:gridCol w:w="146"/>
        <w:gridCol w:w="146"/>
        <w:gridCol w:w="146"/>
        <w:gridCol w:w="346"/>
        <w:gridCol w:w="191"/>
      </w:tblGrid>
      <w:tr>
        <w:trPr/>
        <w:tc>
          <w:tcPr>
            <w:tcW w:w="2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5" w:type="dxa"/>
            <w:gridSpan w:val="10"/>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shd w:fill="FFFFFF" w:val="clear"/>
            <w:vAlign w:val="center"/>
          </w:tcPr>
          <w:p>
            <w:pPr>
              <w:pStyle w:val="TableContents"/>
              <w:bidi w:val="0"/>
              <w:spacing w:before="0" w:after="283"/>
              <w:jc w:val="center"/>
              <w:rPr/>
            </w:pPr>
            <w:r>
              <w:rPr/>
              <w:t> </w:t>
            </w:r>
          </w:p>
        </w:tc>
      </w:tr>
      <w:tr>
        <w:trPr/>
        <w:tc>
          <w:tcPr>
            <w:tcW w:w="27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to purchase common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27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RSUs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146" w:type="dxa"/>
            <w:tcBorders/>
            <w:shd w:fill="CFF0FC"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27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ESPP to purchase common stock</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color w:val="000000"/>
          <w:sz w:val="20"/>
        </w:rPr>
        <w:t xml:space="preserve">For additional information related to the Company's common stock see </w:t>
      </w:r>
      <w:r>
        <w:rPr>
          <w:rFonts w:ascii="Times New Roman" w:hAnsi="Times New Roman"/>
          <w:i/>
          <w:color w:val="000000"/>
          <w:sz w:val="20"/>
        </w:rPr>
        <w:t>Note 12, Common Stock</w:t>
      </w:r>
      <w:r>
        <w:rPr>
          <w:rFonts w:ascii="Times New Roman" w:hAnsi="Times New Roman"/>
          <w:color w:val="000000"/>
          <w:sz w:val="20"/>
        </w:rPr>
        <w:t xml:space="preserve"> to these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7. Significant Agreements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Vitae Pharmaceuticals, Inc.</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October 2017, the Company entered into a license agreement (the “Allergan License Agreement”) with Vitae Pharmaceuticals, Inc., a subsidiary of Allergan (“Allergan”), under which Allergan granted the Company an exclusive, sublicensable, worldwide license to a portfolio of preclinical, orally available, small molecule inhibitors of the interaction of menin with Mixed Lineage Leukemia (“MLL”) protein (the “Menin Assets”). The Company made a nonrefundable upfront payment of $5.0 million to Allergan in the fourth quarter of 2017. Additionally, subject to the achievement of certain milestone events, the Company may be required to pay Allergan up to $99.0 million in one-time development and regulatory milestone payments over the term of the Allergan License Agreement. In the event that the Company or any of its affiliates or sublicensees commercializes the Menin Assets, the Company will also be obligated to pay Allergan low single to low double-digit royalties on sales, subject to reduction in certain circumstances, as well as up to an aggregate of $70.0 million in potential one-time, sales-based milestone payments based on achievement of certain annual sales thresholds. Under certain circumstances, the Company may be required to share a percentage of non-royalty income from sublicensees, subject to certain deductions, with Allergan. The Company is solely responsible for the development and commercialization of the Menin Assets. Each party may terminate the Allergan License Agreement for the other party’s uncured material breach or insolvency; and the Company may terminate the Allergan License Agreement at will at any time upon advance written notice to Allergan. Allergan may terminate the Allergan License Agreement if the Company or any of its affiliates or sublicensees institutes a legal challenge to the validity, enforceability, or patentability of the licensed patent rights. Unless terminated earlier in accordance with its terms, the Allergan License Agreement will continue on a country-by-country and product-by-product basis until the later of: (i) the expiration of all of the licensed patent rights in such country; (ii) the expiration of all regulatory exclusivity applicable to the product in such country; and (iii) 10 years from the date of the first commercial sale of the product in such country.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the date of the Allergan License Agreement, the asset acquired had no alternative future use nor had it reached a stage of technological feasibility. As the processes or activities that were acquired along with the license do not constitute a “business,” the transaction has been accounted for as an asset acquisition. As a result, in 2017, the upfront payment of $5.0 million was recorded as research and development expense in the consolidated statements of operations. Since the inception of the agreement, the Company achieved certain development and regulatory milestones resulting in $8.0 million in expense, which included $2.0 million paid in the first quarter of 2023.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UCB Biopharma Sprl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July 2016, the Company entered into a license agreement (the “UCB License Agreement”) with UCB Biopharma Sprl (“UCB”), under which UCB granted to the Company a worldwide, sublicensable, exclusive license to UCB6352, which the Company refers to as axatilimab, an Investigational New Drug Application-ready anti-CSF-1R monoclonal antibody. The Company made a nonrefundable upfront payment of $5.0 million to UCB in the third quarter of 2016. Additionally, subject to the achievement of certain milestone events, the Company may be required to pay UCB up to $119.5 million in one-time development and regulatory milestone payments over the term of the UCB License Agreement. In the event that the Company or any of its affiliates or sublicensees commercializes axatilimab, the Company will also be obligated to pay UCB low double-digit royalties on sales, subject to reduction in certain circumstances, as well as up to an aggregate of $250.0 million in potential one-time, sales-based milestone payments based on achievement of certain annual sales thresholds. Under certain circumstances, the Company may be required to share a percentage of non-royalty income from sublicensees, subject to certain deductions, with UCB. The Company will be solely responsible for the development and commercialization of axatilimab, except that UCB is performing a limited set of transitional chemistry, manufacturing and control tasks related to axatilimab. Each party may terminate the UCB License Agreement for the other party’s uncured material breach or insolvency; and the Company may terminate the UCB License Agreement at will at any time upon advance written notice to UCB. UCB may terminate the UCB License Agreement if the Company or any of its affiliates or sublicensees institutes a legal challenge to the validity, enforceability, or patentability of the licensed patent rights. Unless terminated earlier in accordance with its terms, the UCB License Agreement will continue on a country-by-country and product-by-product basis until the later of: (i) the expiration of all of the licensed patent rights in such country; (ii) the expiration of all regulatory exclusivity applicable to the product in such country; and (iii) 10 years from the date of the first commercial sale of the product in such country.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the date of the UCB License Agreement, the asset acquired had no alternative future use nor had it reached a stage of technological feasibility. As the processes or activities that were acquired along with the license do not constitute a “business,” the transaction has been accounted for as an asset acquisition. As a result, in 2016, the upfront payment of $5.0 million was recorded as research and development expense in the consolidated statements of operations. Since the start of the license agreement, the Company achieved certain development and regulatory milestones and has recorded $6.0 million as research and development expense. Additionally, in connection with its most recent amendment of the UCB License Agreement, in the second quarter of 2022 the Company paid UCB $5.8 million, which is recognized as a milestone expense. In the fourth quarter of 2023, UCB achieved a development and regulatory milestone resulting in a $10.0 million expense, which has been recorded in accrued expenses as of December 31, 2023. The Company paid the amount to UCB in the first quarter of 2024. </w:t>
      </w:r>
    </w:p>
    <w:p>
      <w:pPr>
        <w:pStyle w:val="TextBody"/>
        <w:bidi w:val="0"/>
        <w:spacing w:before="240" w:after="283"/>
        <w:jc w:val="left"/>
        <w:rPr>
          <w:rFonts w:ascii="Times New Roman" w:hAnsi="Times New Roman"/>
          <w:sz w:val="20"/>
        </w:rPr>
      </w:pPr>
      <w:r>
        <w:rPr>
          <w:rFonts w:ascii="Times New Roman" w:hAnsi="Times New Roman"/>
          <w:b/>
          <w:i/>
          <w:color w:val="000000"/>
          <w:sz w:val="20"/>
        </w:rPr>
        <w:t>Bayer Pharma AG (formerly known as Bayer Schering Pharma AG)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March 2007, the Company entered into a license agreement (the “Bayer Agreement”) with Bayer Schering Pharma AG (“Bayer”) for a worldwide, exclusive license to develop and commercialize entinostat and any other products containing the same active ingredient. Under the terms of the Bayer Agreement, the Company paid a nonrefundable up-front license fee of $2.0 million and is responsible for the development and marketing of entinostat. The Company recorded the $2.0 million license fee as research and development expense during the year ended December 31, 2007, as it had no alternative future use. The Company will pay Bayer royalties on a sliding scale based on net sales, if any, and make future milestone payments to Bayer of up to $150.0 million in the event that certain specified development and regulatory goals and sales levels are achieved. </w:t>
      </w:r>
    </w:p>
    <w:p>
      <w:pPr>
        <w:pStyle w:val="TextBody"/>
        <w:bidi w:val="0"/>
        <w:spacing w:before="360" w:after="283"/>
        <w:jc w:val="left"/>
        <w:rPr>
          <w:rFonts w:ascii="Times New Roman" w:hAnsi="Times New Roman"/>
          <w:sz w:val="20"/>
        </w:rPr>
      </w:pPr>
      <w:r>
        <w:rPr>
          <w:rFonts w:ascii="Times New Roman" w:hAnsi="Times New Roman"/>
          <w:b/>
          <w:color w:val="000000"/>
          <w:sz w:val="20"/>
        </w:rPr>
        <w:t>8. Property and Equipment, net</w:t>
      </w:r>
      <w:r>
        <w:rPr>
          <w:rFonts w:ascii="Times New Roman" w:hAnsi="Times New Roman"/>
          <w:color w:val="000000"/>
          <w:sz w:val="20"/>
        </w:rPr>
        <w:t xml:space="preserve">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Property and equipment, net, consisted of the following (in thousands): </w:t>
      </w:r>
    </w:p>
    <w:tbl>
      <w:tblPr>
        <w:tblW w:w="4984" w:type="dxa"/>
        <w:jc w:val="left"/>
        <w:tblInd w:w="0" w:type="dxa"/>
        <w:tblLayout w:type="fixed"/>
        <w:tblCellMar>
          <w:top w:w="28" w:type="dxa"/>
          <w:left w:w="28" w:type="dxa"/>
          <w:bottom w:w="28" w:type="dxa"/>
          <w:right w:w="28" w:type="dxa"/>
        </w:tblCellMar>
      </w:tblPr>
      <w:tblGrid>
        <w:gridCol w:w="2751"/>
        <w:gridCol w:w="146"/>
        <w:gridCol w:w="211"/>
        <w:gridCol w:w="481"/>
        <w:gridCol w:w="166"/>
        <w:gridCol w:w="146"/>
        <w:gridCol w:w="211"/>
        <w:gridCol w:w="481"/>
        <w:gridCol w:w="391"/>
      </w:tblGrid>
      <w:tr>
        <w:trPr/>
        <w:tc>
          <w:tcPr>
            <w:tcW w:w="2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Equipment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391" w:type="dxa"/>
            <w:tcBorders/>
            <w:shd w:fill="FFFFFF" w:val="clear"/>
            <w:vAlign w:val="center"/>
          </w:tcPr>
          <w:p>
            <w:pPr>
              <w:pStyle w:val="TableContents"/>
              <w:bidi w:val="0"/>
              <w:spacing w:before="0" w:after="283"/>
              <w:jc w:val="left"/>
              <w:rPr/>
            </w:pPr>
            <w:r>
              <w:rPr/>
              <w:t> </w:t>
            </w:r>
          </w:p>
        </w:tc>
      </w:tr>
      <w:tr>
        <w:trPr/>
        <w:tc>
          <w:tcPr>
            <w:tcW w:w="27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391" w:type="dxa"/>
            <w:tcBorders/>
            <w:shd w:fill="CFF0FC" w:val="clear"/>
            <w:vAlign w:val="center"/>
          </w:tcPr>
          <w:p>
            <w:pPr>
              <w:pStyle w:val="TableContents"/>
              <w:bidi w:val="0"/>
              <w:spacing w:before="0" w:after="283"/>
              <w:jc w:val="left"/>
              <w:rPr/>
            </w:pPr>
            <w:r>
              <w:rPr/>
              <w:t> </w:t>
            </w:r>
          </w:p>
        </w:tc>
      </w:tr>
      <w:tr>
        <w:trPr/>
        <w:tc>
          <w:tcPr>
            <w:tcW w:w="27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391" w:type="dxa"/>
            <w:tcBorders/>
            <w:shd w:fill="FFFFFF" w:val="clear"/>
            <w:vAlign w:val="center"/>
          </w:tcPr>
          <w:p>
            <w:pPr>
              <w:pStyle w:val="TableContents"/>
              <w:bidi w:val="0"/>
              <w:spacing w:before="0" w:after="283"/>
              <w:jc w:val="left"/>
              <w:rPr/>
            </w:pPr>
            <w:r>
              <w:rPr/>
              <w:t> </w:t>
            </w:r>
          </w:p>
        </w:tc>
      </w:tr>
      <w:tr>
        <w:trPr/>
        <w:tc>
          <w:tcPr>
            <w:tcW w:w="27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Office and computer equipment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7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property and equipment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w:t>
            </w:r>
          </w:p>
        </w:tc>
        <w:tc>
          <w:tcPr>
            <w:tcW w:w="391" w:type="dxa"/>
            <w:tcBorders/>
            <w:shd w:fill="FFFFFF" w:val="clear"/>
            <w:vAlign w:val="center"/>
          </w:tcPr>
          <w:p>
            <w:pPr>
              <w:pStyle w:val="TableContents"/>
              <w:bidi w:val="0"/>
              <w:spacing w:before="0" w:after="283"/>
              <w:jc w:val="left"/>
              <w:rPr/>
            </w:pPr>
            <w:r>
              <w:rPr/>
              <w:t> </w:t>
            </w:r>
          </w:p>
        </w:tc>
      </w:tr>
      <w:tr>
        <w:trPr/>
        <w:tc>
          <w:tcPr>
            <w:tcW w:w="27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depreciation</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60" w:after="283"/>
        <w:jc w:val="left"/>
        <w:rPr>
          <w:rFonts w:ascii="Times New Roman" w:hAnsi="Times New Roman"/>
          <w:color w:val="000000"/>
          <w:sz w:val="20"/>
        </w:rPr>
      </w:pPr>
      <w:r>
        <w:rPr>
          <w:rFonts w:ascii="Times New Roman" w:hAnsi="Times New Roman"/>
          <w:color w:val="000000"/>
          <w:sz w:val="20"/>
        </w:rPr>
        <w:t>Depreciation expense was $12,000 and $33,000 for the years ended December 31, 2023 and 2022, respectively.</w:t>
      </w:r>
    </w:p>
    <w:p>
      <w:pPr>
        <w:pStyle w:val="TextBody"/>
        <w:bidi w:val="0"/>
        <w:spacing w:before="240" w:after="283"/>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9. Fair Value Measurements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carrying amounts of cash and cash equivalents, restricted cash, accounts payable, and accrued expenses approximated their estimated fair values due to the short-term nature of these financial instruments.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are performed in a manner to maximize the use of observable inputs and minimize the use of unobservable inputs.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accounting standard describes a fair value hierarchy based on three levels of inputs, of which the first two are considered observable and the last unobservable, that may be used to measure fair value, which are the following: </w:t>
      </w:r>
    </w:p>
    <w:p>
      <w:pPr>
        <w:pStyle w:val="TextBody"/>
        <w:bidi w:val="0"/>
        <w:spacing w:before="120" w:after="283"/>
        <w:jc w:val="left"/>
        <w:rPr>
          <w:rFonts w:ascii="Times New Roman" w:hAnsi="Times New Roman"/>
          <w:sz w:val="20"/>
        </w:rPr>
      </w:pPr>
      <w:r>
        <w:rPr>
          <w:rFonts w:ascii="Times New Roman" w:hAnsi="Times New Roman"/>
          <w:i/>
          <w:color w:val="000000"/>
          <w:sz w:val="20"/>
        </w:rPr>
        <w:t>Level 1—</w:t>
      </w:r>
      <w:r>
        <w:rPr>
          <w:rFonts w:ascii="Times New Roman" w:hAnsi="Times New Roman"/>
          <w:color w:val="000000"/>
          <w:sz w:val="20"/>
        </w:rPr>
        <w:t>Quoted prices (unadjusted) in active markets that are accessible at the market date for identical unrestricted assets or liabilities.</w:t>
      </w:r>
    </w:p>
    <w:p>
      <w:pPr>
        <w:pStyle w:val="TextBody"/>
        <w:bidi w:val="0"/>
        <w:spacing w:before="120" w:after="283"/>
        <w:jc w:val="left"/>
        <w:rPr>
          <w:rFonts w:ascii="Times New Roman" w:hAnsi="Times New Roman"/>
          <w:sz w:val="20"/>
        </w:rPr>
      </w:pPr>
      <w:r>
        <w:rPr>
          <w:rFonts w:ascii="Times New Roman" w:hAnsi="Times New Roman"/>
          <w:i/>
          <w:color w:val="000000"/>
          <w:sz w:val="20"/>
        </w:rPr>
        <w:t>Level 2—</w:t>
      </w:r>
      <w:r>
        <w:rPr>
          <w:rFonts w:ascii="Times New Roman" w:hAnsi="Times New Roman"/>
          <w:color w:val="000000"/>
          <w:sz w:val="20"/>
        </w:rPr>
        <w:t>Inputs other than Level 1 that are observable, either directly or indirectly, such as quoted prices for similar assets or liabilities; quoted prices in markets that are not active; or other inputs for which all significant inputs are observable or can be corroborated by observable market data for substantially the full term of the assets or liabilities.</w:t>
      </w:r>
    </w:p>
    <w:p>
      <w:pPr>
        <w:pStyle w:val="TextBody"/>
        <w:bidi w:val="0"/>
        <w:spacing w:before="120" w:after="283"/>
        <w:jc w:val="left"/>
        <w:rPr>
          <w:rFonts w:ascii="Times New Roman" w:hAnsi="Times New Roman"/>
          <w:sz w:val="20"/>
        </w:rPr>
      </w:pPr>
      <w:r>
        <w:rPr>
          <w:rFonts w:ascii="Times New Roman" w:hAnsi="Times New Roman"/>
          <w:i/>
          <w:color w:val="000000"/>
          <w:sz w:val="20"/>
        </w:rPr>
        <w:t>Level 3—</w:t>
      </w:r>
      <w:r>
        <w:rPr>
          <w:rFonts w:ascii="Times New Roman" w:hAnsi="Times New Roman"/>
          <w:color w:val="000000"/>
          <w:sz w:val="20"/>
        </w:rPr>
        <w:t>Unobservable inputs that are supported by little or no market activity and that are significant to the fair value of the assets or liabilities.</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 xml:space="preserve">The table below presents information about the Company’s assets and liabilities that are regularly measured and carried at fair value and indicate the level within the fair value hierarchy of valuation techniques the Company utilized to determine such fair values (in thousands): </w:t>
      </w:r>
    </w:p>
    <w:tbl>
      <w:tblPr>
        <w:tblW w:w="7881" w:type="dxa"/>
        <w:jc w:val="left"/>
        <w:tblInd w:w="0" w:type="dxa"/>
        <w:tblLayout w:type="fixed"/>
        <w:tblCellMar>
          <w:top w:w="28" w:type="dxa"/>
          <w:left w:w="28" w:type="dxa"/>
          <w:bottom w:w="28" w:type="dxa"/>
          <w:right w:w="28" w:type="dxa"/>
        </w:tblCellMar>
      </w:tblPr>
      <w:tblGrid>
        <w:gridCol w:w="2196"/>
        <w:gridCol w:w="146"/>
        <w:gridCol w:w="211"/>
        <w:gridCol w:w="781"/>
        <w:gridCol w:w="146"/>
        <w:gridCol w:w="146"/>
        <w:gridCol w:w="211"/>
        <w:gridCol w:w="781"/>
        <w:gridCol w:w="146"/>
        <w:gridCol w:w="146"/>
        <w:gridCol w:w="211"/>
        <w:gridCol w:w="781"/>
        <w:gridCol w:w="146"/>
        <w:gridCol w:w="146"/>
        <w:gridCol w:w="415"/>
        <w:gridCol w:w="681"/>
        <w:gridCol w:w="591"/>
      </w:tblGrid>
      <w:tr>
        <w:trPr/>
        <w:tc>
          <w:tcPr>
            <w:tcW w:w="2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1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66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Using</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Carrying</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Quoted</w:t>
              <w:br/>
              <w:t>Prices</w:t>
              <w:br/>
              <w:t>in Active</w:t>
              <w:br/>
              <w:t>Markets</w:t>
              <w:b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br/>
              <w:t>Other</w:t>
              <w:br/>
              <w:t>Observable</w:t>
              <w:br/>
              <w:t>Inputs</w:t>
              <w:b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br/>
              <w:t>Unobservable</w:t>
              <w:br/>
              <w:t>Inputs</w:t>
              <w:br/>
              <w:t>(Level 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96" w:type="dxa"/>
            <w:tcBorders/>
            <w:shd w:fill="CFF0FC" w:val="cle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December 31, 2023</w:t>
            </w:r>
          </w:p>
        </w:tc>
        <w:tc>
          <w:tcPr>
            <w:tcW w:w="146" w:type="dxa"/>
            <w:tcBorders/>
            <w:shd w:fill="CFF0FC" w:val="clear"/>
            <w:vAlign w:val="center"/>
          </w:tcPr>
          <w:p>
            <w:pPr>
              <w:pStyle w:val="TableContents"/>
              <w:bidi w:val="0"/>
              <w:spacing w:before="0" w:after="283"/>
              <w:jc w:val="righ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096"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jc w:val="right"/>
              <w:rPr/>
            </w:pPr>
            <w:r>
              <w:rPr/>
              <w:t> </w:t>
            </w:r>
          </w:p>
        </w:tc>
      </w:tr>
      <w:tr>
        <w:trPr/>
        <w:tc>
          <w:tcPr>
            <w:tcW w:w="21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96"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21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295,394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295,394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1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1" w:type="dxa"/>
            <w:tcBorders/>
            <w:shd w:fill="CFF0FC" w:val="clear"/>
            <w:vAlign w:val="center"/>
          </w:tcPr>
          <w:p>
            <w:pPr>
              <w:pStyle w:val="TableContents"/>
              <w:bidi w:val="0"/>
              <w:spacing w:before="0" w:after="283"/>
              <w:jc w:val="right"/>
              <w:rPr>
                <w:color w:val="000000"/>
              </w:rPr>
            </w:pPr>
            <w:r>
              <w:rPr>
                <w:color w:val="000000"/>
              </w:rPr>
              <w:t>—</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21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275,304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275,304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15"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right"/>
              <w:rPr>
                <w:color w:val="000000"/>
              </w:rPr>
            </w:pPr>
            <w:r>
              <w:rPr>
                <w:color w:val="000000"/>
              </w:rPr>
              <w:t>—</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21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Long-term investments</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19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600,527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295,394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305,133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196" w:type="dxa"/>
            <w:tcBorders/>
            <w:shd w:fill="CFF0FC" w:val="clear"/>
            <w:vAlign w:val="center"/>
          </w:tcPr>
          <w:p>
            <w:pPr>
              <w:pStyle w:val="TableContents"/>
              <w:bidi w:val="0"/>
              <w:spacing w:before="0" w:after="283"/>
              <w:ind w:left="400" w:right="0" w:firstLine="400"/>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096"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400"/>
              <w:jc w:val="right"/>
              <w:rPr/>
            </w:pPr>
            <w:r>
              <w:rPr/>
              <w:t> </w:t>
            </w:r>
          </w:p>
        </w:tc>
      </w:tr>
      <w:tr>
        <w:trPr/>
        <w:tc>
          <w:tcPr>
            <w:tcW w:w="2196" w:type="dxa"/>
            <w:tcBorders/>
            <w:shd w:fill="FFFFFF" w:val="clear"/>
            <w:vAlign w:val="center"/>
          </w:tcPr>
          <w:p>
            <w:pPr>
              <w:pStyle w:val="TableContents"/>
              <w:bidi w:val="0"/>
              <w:spacing w:before="0" w:after="283"/>
              <w:ind w:left="400" w:right="0" w:firstLine="400"/>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96"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jc w:val="right"/>
              <w:rPr/>
            </w:pPr>
            <w:r>
              <w:rPr/>
              <w:t> </w:t>
            </w:r>
          </w:p>
        </w:tc>
      </w:tr>
      <w:tr>
        <w:trPr/>
        <w:tc>
          <w:tcPr>
            <w:tcW w:w="2196" w:type="dxa"/>
            <w:tcBorders/>
            <w:shd w:fill="CFF0FC" w:val="cle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December 31, 2022</w:t>
            </w:r>
          </w:p>
        </w:tc>
        <w:tc>
          <w:tcPr>
            <w:tcW w:w="146" w:type="dxa"/>
            <w:tcBorders/>
            <w:shd w:fill="CFF0FC" w:val="clear"/>
            <w:vAlign w:val="center"/>
          </w:tcPr>
          <w:p>
            <w:pPr>
              <w:pStyle w:val="TableContents"/>
              <w:bidi w:val="0"/>
              <w:spacing w:before="0" w:after="283"/>
              <w:jc w:val="righ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096"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jc w:val="right"/>
              <w:rPr/>
            </w:pPr>
            <w:r>
              <w:rPr/>
              <w:t> </w:t>
            </w:r>
          </w:p>
        </w:tc>
      </w:tr>
      <w:tr>
        <w:trPr/>
        <w:tc>
          <w:tcPr>
            <w:tcW w:w="21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96"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21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74,356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59,496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14,860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1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1" w:type="dxa"/>
            <w:tcBorders/>
            <w:shd w:fill="CFF0FC" w:val="clear"/>
            <w:vAlign w:val="center"/>
          </w:tcPr>
          <w:p>
            <w:pPr>
              <w:pStyle w:val="TableContents"/>
              <w:bidi w:val="0"/>
              <w:spacing w:before="0" w:after="283"/>
              <w:jc w:val="right"/>
              <w:rPr>
                <w:color w:val="000000"/>
              </w:rPr>
            </w:pPr>
            <w:r>
              <w:rPr>
                <w:color w:val="000000"/>
              </w:rPr>
              <w:t>—</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21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401,446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401,446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15"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right"/>
              <w:rPr>
                <w:color w:val="000000"/>
              </w:rPr>
            </w:pPr>
            <w:r>
              <w:rPr>
                <w:color w:val="000000"/>
              </w:rPr>
              <w:t>—</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21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Long-term investments</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19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481,271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59,496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421,775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96" w:type="dxa"/>
            <w:gridSpan w:val="2"/>
            <w:tcBorders/>
            <w:shd w:fill="FFFFFF" w:val="clear"/>
            <w:vAlign w:val="center"/>
          </w:tcPr>
          <w:p>
            <w:pPr>
              <w:pStyle w:val="TableContents"/>
              <w:bidi w:val="0"/>
              <w:spacing w:before="0" w:after="283"/>
              <w:jc w:val="left"/>
              <w:rPr/>
            </w:pPr>
            <w:r>
              <w:rPr/>
              <w:t> </w:t>
            </w:r>
          </w:p>
        </w:tc>
        <w:tc>
          <w:tcPr>
            <w:tcW w:w="5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There have been no material impairments of our assets measured and carried at fair value during the years ended December 31, 2023, and 2022. In addition, there have been no changes in valuation techniques during the years ended December 31, 2023, and 2022. The fair value of Level 1 instruments classified as cash equivalents are valued using quoted market prices in active markets. The fair value of Level 2 instruments classified as cash equivalents and short and long-term investments was determined other than quoted prices in active markets, which are either directly or indirectly observable as of the reporting date and fair value is determined using models or other valuation methodologies.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short-term and long-term investments are classified as available-for-sale securities. As of December 31, 2023, the remaining contractual maturities of the available-for-sale securities were 1 to 15 months, and the balance in the Company’s accumulated other comprehensive income was comprised solely of activity related to the Company’s available-for-sale securities. There were no realized gains or losses recognized on the sale or maturity of available-for-sale securities during the three years ended December 31, 2023. As a result, the Company did not reclassify any amounts out of accumulated other comprehensive income for the same periods. The Company has a limited number of available-for-sale securities in insignificant loss positions as of December 31, 2023, which the Company does not intend to sell and has concluded will not be required to sell before recovery of the amortized cost for the investment at maturity.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summarizes the available-for-sale securities (in thousands): </w:t>
      </w:r>
    </w:p>
    <w:p>
      <w:pPr>
        <w:pStyle w:val="TextBody"/>
        <w:bidi w:val="0"/>
        <w:jc w:val="left"/>
        <w:rPr/>
      </w:pPr>
      <w:r>
        <w:rPr/>
        <w:t> </w:t>
      </w:r>
    </w:p>
    <w:tbl>
      <w:tblPr>
        <w:tblW w:w="6995" w:type="dxa"/>
        <w:jc w:val="left"/>
        <w:tblInd w:w="0" w:type="dxa"/>
        <w:tblLayout w:type="fixed"/>
        <w:tblCellMar>
          <w:top w:w="28" w:type="dxa"/>
          <w:left w:w="28" w:type="dxa"/>
          <w:bottom w:w="28" w:type="dxa"/>
          <w:right w:w="28" w:type="dxa"/>
        </w:tblCellMar>
      </w:tblPr>
      <w:tblGrid>
        <w:gridCol w:w="1806"/>
        <w:gridCol w:w="146"/>
        <w:gridCol w:w="211"/>
        <w:gridCol w:w="781"/>
        <w:gridCol w:w="146"/>
        <w:gridCol w:w="146"/>
        <w:gridCol w:w="295"/>
        <w:gridCol w:w="591"/>
        <w:gridCol w:w="146"/>
        <w:gridCol w:w="146"/>
        <w:gridCol w:w="270"/>
        <w:gridCol w:w="616"/>
        <w:gridCol w:w="166"/>
        <w:gridCol w:w="146"/>
        <w:gridCol w:w="211"/>
        <w:gridCol w:w="781"/>
        <w:gridCol w:w="391"/>
      </w:tblGrid>
      <w:tr>
        <w:trPr/>
        <w:tc>
          <w:tcPr>
            <w:tcW w:w="1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8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b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06" w:type="dxa"/>
            <w:tcBorders/>
            <w:shd w:fill="CFF0FC" w:val="cle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December 31, 2023</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8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8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180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160,657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160,806</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180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95" w:type="dxa"/>
            <w:tcBorders/>
            <w:shd w:fill="CFF0FC" w:val="clear"/>
            <w:vAlign w:val="center"/>
          </w:tcPr>
          <w:p>
            <w:pPr>
              <w:pStyle w:val="TableContents"/>
              <w:bidi w:val="0"/>
              <w:spacing w:before="0" w:after="283"/>
              <w:jc w:val="left"/>
              <w:rPr/>
            </w:pPr>
            <w:r>
              <w:rPr/>
              <w:t> </w:t>
            </w:r>
          </w:p>
        </w:tc>
        <w:tc>
          <w:tcPr>
            <w:tcW w:w="5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0" w:type="dxa"/>
            <w:tcBorders/>
            <w:shd w:fill="CFF0FC" w:val="clear"/>
            <w:vAlign w:val="center"/>
          </w:tcPr>
          <w:p>
            <w:pPr>
              <w:pStyle w:val="TableContents"/>
              <w:bidi w:val="0"/>
              <w:spacing w:before="0" w:after="283"/>
              <w:jc w:val="left"/>
              <w:rPr/>
            </w:pPr>
            <w:r>
              <w:rPr/>
              <w:t> </w:t>
            </w:r>
          </w:p>
        </w:tc>
        <w:tc>
          <w:tcPr>
            <w:tcW w:w="6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47,212</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180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Treasury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68,111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5" w:type="dxa"/>
            <w:tcBorders/>
            <w:shd w:fill="FFFFFF" w:val="clear"/>
            <w:vAlign w:val="center"/>
          </w:tcPr>
          <w:p>
            <w:pPr>
              <w:pStyle w:val="TableContents"/>
              <w:bidi w:val="0"/>
              <w:spacing w:before="0" w:after="283"/>
              <w:jc w:val="left"/>
              <w:rPr/>
            </w:pPr>
            <w:r>
              <w:rPr/>
              <w:t> </w:t>
            </w:r>
          </w:p>
        </w:tc>
        <w:tc>
          <w:tcPr>
            <w:tcW w:w="5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0"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68,157</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180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Federal bonds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28,998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28,958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8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304,916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305,133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06" w:type="dxa"/>
            <w:tcBorders/>
            <w:shd w:fill="CFF0FC" w:val="cle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December 31, 2022</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8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8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180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321,630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321,425</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180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Treasury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64,759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95" w:type="dxa"/>
            <w:tcBorders/>
            <w:shd w:fill="CFF0FC" w:val="clear"/>
            <w:vAlign w:val="center"/>
          </w:tcPr>
          <w:p>
            <w:pPr>
              <w:pStyle w:val="TableContents"/>
              <w:bidi w:val="0"/>
              <w:spacing w:before="0" w:after="283"/>
              <w:jc w:val="left"/>
              <w:rPr/>
            </w:pPr>
            <w:r>
              <w:rPr/>
              <w:t> </w:t>
            </w:r>
          </w:p>
        </w:tc>
        <w:tc>
          <w:tcPr>
            <w:tcW w:w="5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0" w:type="dxa"/>
            <w:tcBorders/>
            <w:shd w:fill="CFF0FC" w:val="clear"/>
            <w:vAlign w:val="center"/>
          </w:tcPr>
          <w:p>
            <w:pPr>
              <w:pStyle w:val="TableContents"/>
              <w:bidi w:val="0"/>
              <w:spacing w:before="0" w:after="283"/>
              <w:jc w:val="left"/>
              <w:rPr/>
            </w:pPr>
            <w:r>
              <w:rPr/>
              <w:t> </w:t>
            </w:r>
          </w:p>
        </w:tc>
        <w:tc>
          <w:tcPr>
            <w:tcW w:w="6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64,193</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180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Federal bonds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36,157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0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422,581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421,775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60" w:after="283"/>
        <w:jc w:val="left"/>
        <w:rPr>
          <w:rFonts w:ascii="Times New Roman" w:hAnsi="Times New Roman"/>
          <w:sz w:val="20"/>
        </w:rPr>
      </w:pPr>
      <w:r>
        <w:rPr>
          <w:rFonts w:ascii="Times New Roman" w:hAnsi="Times New Roman"/>
          <w:b/>
          <w:color w:val="000000"/>
          <w:sz w:val="20"/>
        </w:rPr>
        <w:t>10. Prepaid Expenses and Other Current Assets</w:t>
      </w:r>
      <w:r>
        <w:rPr>
          <w:rFonts w:ascii="Times New Roman" w:hAnsi="Times New Roman"/>
          <w:color w:val="000000"/>
          <w:sz w:val="20"/>
        </w:rPr>
        <w:t xml:space="preserve">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Prepaid expenses and other current assets consisted of the following (in thousands): </w:t>
      </w:r>
    </w:p>
    <w:tbl>
      <w:tblPr>
        <w:tblW w:w="6124" w:type="dxa"/>
        <w:jc w:val="left"/>
        <w:tblInd w:w="0" w:type="dxa"/>
        <w:tblLayout w:type="fixed"/>
        <w:tblCellMar>
          <w:top w:w="28" w:type="dxa"/>
          <w:left w:w="28" w:type="dxa"/>
          <w:bottom w:w="28" w:type="dxa"/>
          <w:right w:w="28" w:type="dxa"/>
        </w:tblCellMar>
      </w:tblPr>
      <w:tblGrid>
        <w:gridCol w:w="3931"/>
        <w:gridCol w:w="146"/>
        <w:gridCol w:w="211"/>
        <w:gridCol w:w="571"/>
        <w:gridCol w:w="146"/>
        <w:gridCol w:w="146"/>
        <w:gridCol w:w="211"/>
        <w:gridCol w:w="571"/>
        <w:gridCol w:w="191"/>
      </w:tblGrid>
      <w:tr>
        <w:trPr/>
        <w:tc>
          <w:tcPr>
            <w:tcW w:w="3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insurance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w:t>
            </w:r>
          </w:p>
        </w:tc>
        <w:tc>
          <w:tcPr>
            <w:tcW w:w="191" w:type="dxa"/>
            <w:tcBorders/>
            <w:shd w:fill="CFF0FC" w:val="clear"/>
            <w:vAlign w:val="center"/>
          </w:tcPr>
          <w:p>
            <w:pPr>
              <w:pStyle w:val="TableContents"/>
              <w:bidi w:val="0"/>
              <w:spacing w:before="0" w:after="283"/>
              <w:jc w:val="left"/>
              <w:rPr/>
            </w:pPr>
            <w:r>
              <w:rPr/>
              <w:t> </w:t>
            </w:r>
          </w:p>
        </w:tc>
      </w:tr>
      <w:tr>
        <w:trPr/>
        <w:tc>
          <w:tcPr>
            <w:tcW w:w="39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receivable on investments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w:t>
            </w:r>
          </w:p>
        </w:tc>
        <w:tc>
          <w:tcPr>
            <w:tcW w:w="191" w:type="dxa"/>
            <w:tcBorders/>
            <w:shd w:fill="FFFFFF" w:val="clear"/>
            <w:vAlign w:val="center"/>
          </w:tcPr>
          <w:p>
            <w:pPr>
              <w:pStyle w:val="TableContents"/>
              <w:bidi w:val="0"/>
              <w:spacing w:before="0" w:after="283"/>
              <w:jc w:val="left"/>
              <w:rPr/>
            </w:pPr>
            <w:r>
              <w:rPr/>
              <w:t> </w:t>
            </w:r>
          </w:p>
        </w:tc>
      </w:tr>
      <w:tr>
        <w:trPr/>
        <w:tc>
          <w:tcPr>
            <w:tcW w:w="39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subscriptions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w:t>
            </w:r>
          </w:p>
        </w:tc>
        <w:tc>
          <w:tcPr>
            <w:tcW w:w="191" w:type="dxa"/>
            <w:tcBorders/>
            <w:shd w:fill="CFF0FC" w:val="clear"/>
            <w:vAlign w:val="center"/>
          </w:tcPr>
          <w:p>
            <w:pPr>
              <w:pStyle w:val="TableContents"/>
              <w:bidi w:val="0"/>
              <w:spacing w:before="0" w:after="283"/>
              <w:jc w:val="left"/>
              <w:rPr/>
            </w:pPr>
            <w:r>
              <w:rPr/>
              <w:t> </w:t>
            </w:r>
          </w:p>
        </w:tc>
      </w:tr>
      <w:tr>
        <w:trPr/>
        <w:tc>
          <w:tcPr>
            <w:tcW w:w="39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state and local taxes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91" w:type="dxa"/>
            <w:tcBorders/>
            <w:shd w:fill="FFFFFF" w:val="clear"/>
            <w:vAlign w:val="center"/>
          </w:tcPr>
          <w:p>
            <w:pPr>
              <w:pStyle w:val="TableContents"/>
              <w:bidi w:val="0"/>
              <w:spacing w:before="0" w:after="283"/>
              <w:jc w:val="left"/>
              <w:rPr/>
            </w:pPr>
            <w:r>
              <w:rPr/>
              <w:t> </w:t>
            </w:r>
          </w:p>
        </w:tc>
      </w:tr>
      <w:tr>
        <w:trPr/>
        <w:tc>
          <w:tcPr>
            <w:tcW w:w="39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rent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191" w:type="dxa"/>
            <w:tcBorders/>
            <w:shd w:fill="CFF0FC" w:val="clear"/>
            <w:vAlign w:val="center"/>
          </w:tcPr>
          <w:p>
            <w:pPr>
              <w:pStyle w:val="TableContents"/>
              <w:bidi w:val="0"/>
              <w:spacing w:before="0" w:after="283"/>
              <w:jc w:val="left"/>
              <w:rPr/>
            </w:pPr>
            <w:r>
              <w:rPr/>
              <w:t> </w:t>
            </w:r>
          </w:p>
        </w:tc>
      </w:tr>
      <w:tr>
        <w:trPr/>
        <w:tc>
          <w:tcPr>
            <w:tcW w:w="39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prepaid expenses and other current assets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11. Accrued Expenses and Other Current Liabilities</w:t>
      </w:r>
      <w:r>
        <w:rPr>
          <w:rFonts w:ascii="Times New Roman" w:hAnsi="Times New Roman"/>
          <w:color w:val="000000"/>
          <w:sz w:val="20"/>
        </w:rPr>
        <w:t xml:space="preserve">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Accrued expenses and other current liabilities consisted of the following (in thousands): </w:t>
      </w:r>
    </w:p>
    <w:tbl>
      <w:tblPr>
        <w:tblW w:w="6589" w:type="dxa"/>
        <w:jc w:val="left"/>
        <w:tblInd w:w="0" w:type="dxa"/>
        <w:tblLayout w:type="fixed"/>
        <w:tblCellMar>
          <w:top w:w="28" w:type="dxa"/>
          <w:left w:w="28" w:type="dxa"/>
          <w:bottom w:w="28" w:type="dxa"/>
          <w:right w:w="28" w:type="dxa"/>
        </w:tblCellMar>
      </w:tblPr>
      <w:tblGrid>
        <w:gridCol w:w="4186"/>
        <w:gridCol w:w="146"/>
        <w:gridCol w:w="211"/>
        <w:gridCol w:w="676"/>
        <w:gridCol w:w="146"/>
        <w:gridCol w:w="146"/>
        <w:gridCol w:w="211"/>
        <w:gridCol w:w="676"/>
        <w:gridCol w:w="191"/>
      </w:tblGrid>
      <w:tr>
        <w:trPr/>
        <w:tc>
          <w:tcPr>
            <w:tcW w:w="4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clinical study and trial costs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16,346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14,375</w:t>
            </w:r>
          </w:p>
        </w:tc>
        <w:tc>
          <w:tcPr>
            <w:tcW w:w="191" w:type="dxa"/>
            <w:tcBorders/>
            <w:shd w:fill="CFF0FC" w:val="clear"/>
            <w:vAlign w:val="center"/>
          </w:tcPr>
          <w:p>
            <w:pPr>
              <w:pStyle w:val="TableContents"/>
              <w:bidi w:val="0"/>
              <w:spacing w:before="0" w:after="283"/>
              <w:jc w:val="left"/>
              <w:rPr/>
            </w:pPr>
            <w:r>
              <w:rPr/>
              <w:t> </w:t>
            </w:r>
          </w:p>
        </w:tc>
      </w:tr>
      <w:tr>
        <w:trPr/>
        <w:tc>
          <w:tcPr>
            <w:tcW w:w="41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 and related costs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11,172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5,945</w:t>
            </w:r>
          </w:p>
        </w:tc>
        <w:tc>
          <w:tcPr>
            <w:tcW w:w="191" w:type="dxa"/>
            <w:tcBorders/>
            <w:shd w:fill="FFFFFF" w:val="clear"/>
            <w:vAlign w:val="center"/>
          </w:tcPr>
          <w:p>
            <w:pPr>
              <w:pStyle w:val="TableContents"/>
              <w:bidi w:val="0"/>
              <w:spacing w:before="0" w:after="283"/>
              <w:jc w:val="left"/>
              <w:rPr/>
            </w:pPr>
            <w:r>
              <w:rPr/>
              <w:t> </w:t>
            </w:r>
          </w:p>
        </w:tc>
      </w:tr>
      <w:tr>
        <w:trPr/>
        <w:tc>
          <w:tcPr>
            <w:tcW w:w="41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professional fees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1,352</w:t>
            </w:r>
          </w:p>
        </w:tc>
        <w:tc>
          <w:tcPr>
            <w:tcW w:w="191" w:type="dxa"/>
            <w:tcBorders/>
            <w:shd w:fill="CFF0FC" w:val="clear"/>
            <w:vAlign w:val="center"/>
          </w:tcPr>
          <w:p>
            <w:pPr>
              <w:pStyle w:val="TableContents"/>
              <w:bidi w:val="0"/>
              <w:spacing w:before="0" w:after="283"/>
              <w:jc w:val="left"/>
              <w:rPr/>
            </w:pPr>
            <w:r>
              <w:rPr/>
              <w:t> </w:t>
            </w:r>
          </w:p>
        </w:tc>
      </w:tr>
      <w:tr>
        <w:trPr/>
        <w:tc>
          <w:tcPr>
            <w:tcW w:w="41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milestone costs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191" w:type="dxa"/>
            <w:tcBorders/>
            <w:shd w:fill="FFFFFF" w:val="clear"/>
            <w:vAlign w:val="center"/>
          </w:tcPr>
          <w:p>
            <w:pPr>
              <w:pStyle w:val="TableContents"/>
              <w:bidi w:val="0"/>
              <w:spacing w:before="0" w:after="283"/>
              <w:jc w:val="left"/>
              <w:rPr/>
            </w:pPr>
            <w:r>
              <w:rPr/>
              <w:t> </w:t>
            </w:r>
          </w:p>
        </w:tc>
      </w:tr>
      <w:tr>
        <w:trPr/>
        <w:tc>
          <w:tcPr>
            <w:tcW w:w="41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accrued expense and other current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39,856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24,276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60" w:after="283"/>
        <w:jc w:val="left"/>
        <w:rPr>
          <w:rFonts w:ascii="Times New Roman" w:hAnsi="Times New Roman"/>
          <w:sz w:val="20"/>
        </w:rPr>
      </w:pPr>
      <w:r>
        <w:rPr>
          <w:rFonts w:ascii="Times New Roman" w:hAnsi="Times New Roman"/>
          <w:b/>
          <w:color w:val="000000"/>
          <w:sz w:val="20"/>
        </w:rPr>
        <w:t>12.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is authorized to issue 200,000,000 shares of common stock. The holders of each share of common stock are entitled to one vote per share held and are entitled to receive dividends, if and when declared by the Board, and to share ratably in the Company’s assets available for distribution to stockholders, in the event of liquidation.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March 2021, the Company entered into a sales agreement with Cowen and Company, LLC, or TD Cowen, under which the Company could, from time to time, issue and sell shares of its common stock having aggregate sales proceeds of up to $75.0 million, in a series of one or more at-the-market, or ATM, equity offerings, or the 2021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ATM Program. On May 26, 2023, the Company terminated the 2021 ATM Program. Prior to termination the Company sold shares under the 2021 ATM Program for net proceeds of approximately $25.0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May 2023, the Company entered into a new sales agreement with TD Cowen under which the Company could, from time to time, issue and sell shares of its common stock having aggregate sales proceeds of up to $200.0 million, in a series of one or more ATM equity offerings, or the 2023 ATM Program. TD Cowen is not required to sell any specific share amounts but acts as the Company’s sales agent, using commercially reasonable efforts consistent with its normal trading and sales practices. Pursuant to the new sales agreement, shares will be sold pursuant to the previous shelf registration statement on Form S-3ASR (Registration No. 333-254661), which became automatically effective upon filing on March 24, 2021. The Company’s common stock will be sold at prevailing market prices at the time of the sale, and as a result, prices may vary. In the year ended December 31, 2023, the Company sold 2,719,744 common shares of common stock under the 2023 ATM Program, with net proceeds of approximately $42.1 million.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December 2021, the Company issued 3,802,144 shares of common stock and pre-funded warrants to purchase 1,142,856 shares of common stock. The offering price for the securities was $17.50 per share or $17.4999 for each Pre-Funded Warrant, with net proceeds of approximately $81.2 million. On January 24, 2023, 86,000 pre-funded warrants were exercised for 85,998 shares of common stock, under a cashless exercise. On April 12, 2023, 273,000 pre-funded warrants were exercised for 272,996 shares of common stock, under a cashless exercise. On May 9, 2023, 498,142 pre-funded warrants were exercised for 498,137 shares of common stock, under a cashless exercise. As of December 31, 2023, 285,714 pre-funded warrants were considered issued and outstanding.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December 2021, in connection with the Incyte License and Collaboration Agreement and Share Purchase Agreement, the Company issued 1,421,523 shares of common stock, with net proceeds of approximately $35.0 million. The Company recorded the equity issuance at a fair value of $24.8 million based on the market price of the stock on the date of issuance.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December 2022, the Company issued 7,840,909 shares of common stock. The offering price for the securities was $22.00 per share, with gross proceeds of approximately $172.5 million, offset by $10.5 million of issuance cost.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December 2023, the Company issued 12,432,431 shares of common stock. The offering price for the securities was $18.50 per share, with gross proceeds of approximately $230.0 million, offset by $14.0 million of issuance cost.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The Company has reserved for future issuance the following shares of common stock pursuant to the following outstanding securities or equity plans: </w:t>
      </w:r>
    </w:p>
    <w:tbl>
      <w:tblPr>
        <w:tblW w:w="5907" w:type="dxa"/>
        <w:jc w:val="left"/>
        <w:tblInd w:w="0" w:type="dxa"/>
        <w:tblLayout w:type="fixed"/>
        <w:tblCellMar>
          <w:top w:w="28" w:type="dxa"/>
          <w:left w:w="28" w:type="dxa"/>
          <w:bottom w:w="28" w:type="dxa"/>
          <w:right w:w="28" w:type="dxa"/>
        </w:tblCellMar>
      </w:tblPr>
      <w:tblGrid>
        <w:gridCol w:w="4216"/>
        <w:gridCol w:w="185"/>
        <w:gridCol w:w="1315"/>
        <w:gridCol w:w="191"/>
      </w:tblGrid>
      <w:tr>
        <w:trPr/>
        <w:tc>
          <w:tcPr>
            <w:tcW w:w="421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16" w:type="dxa"/>
            <w:tcBorders/>
            <w:shd w:fill="FFFFFF" w:val="cle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issuable under pre-funded warrants</w:t>
            </w:r>
          </w:p>
        </w:tc>
        <w:tc>
          <w:tcPr>
            <w:tcW w:w="185" w:type="dxa"/>
            <w:tcBorders/>
            <w:shd w:fill="CFF0FC" w:val="clear"/>
            <w:vAlign w:val="center"/>
          </w:tcPr>
          <w:p>
            <w:pPr>
              <w:pStyle w:val="TableContents"/>
              <w:bidi w:val="0"/>
              <w:spacing w:before="0" w:after="283"/>
              <w:jc w:val="left"/>
              <w:rPr/>
            </w:pPr>
            <w:r>
              <w:rPr/>
              <w:t> </w:t>
            </w:r>
          </w:p>
        </w:tc>
        <w:tc>
          <w:tcPr>
            <w:tcW w:w="131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285,714</w:t>
            </w:r>
          </w:p>
        </w:tc>
        <w:tc>
          <w:tcPr>
            <w:tcW w:w="191" w:type="dxa"/>
            <w:tcBorders/>
            <w:shd w:fill="CFF0FC" w:val="clear"/>
            <w:vAlign w:val="center"/>
          </w:tcPr>
          <w:p>
            <w:pPr>
              <w:pStyle w:val="TableContents"/>
              <w:bidi w:val="0"/>
              <w:spacing w:before="0" w:after="283"/>
              <w:jc w:val="left"/>
              <w:rPr/>
            </w:pPr>
            <w:r>
              <w:rPr/>
              <w:t> </w:t>
            </w:r>
          </w:p>
        </w:tc>
      </w:tr>
      <w:tr>
        <w:trPr/>
        <w:tc>
          <w:tcPr>
            <w:tcW w:w="42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At-the-market program</w:t>
            </w:r>
          </w:p>
        </w:tc>
        <w:tc>
          <w:tcPr>
            <w:tcW w:w="185" w:type="dxa"/>
            <w:tcBorders/>
            <w:shd w:fill="FFFFFF" w:val="clear"/>
            <w:vAlign w:val="center"/>
          </w:tcPr>
          <w:p>
            <w:pPr>
              <w:pStyle w:val="TableContents"/>
              <w:bidi w:val="0"/>
              <w:spacing w:before="0" w:after="283"/>
              <w:jc w:val="left"/>
              <w:rPr/>
            </w:pPr>
            <w:r>
              <w:rPr/>
              <w:t> </w:t>
            </w:r>
          </w:p>
        </w:tc>
        <w:tc>
          <w:tcPr>
            <w:tcW w:w="131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7,280,256</w:t>
            </w:r>
          </w:p>
        </w:tc>
        <w:tc>
          <w:tcPr>
            <w:tcW w:w="191" w:type="dxa"/>
            <w:tcBorders/>
            <w:shd w:fill="FFFFFF" w:val="clear"/>
            <w:vAlign w:val="center"/>
          </w:tcPr>
          <w:p>
            <w:pPr>
              <w:pStyle w:val="TableContents"/>
              <w:bidi w:val="0"/>
              <w:spacing w:before="0" w:after="283"/>
              <w:jc w:val="left"/>
              <w:rPr/>
            </w:pPr>
            <w:r>
              <w:rPr/>
              <w:t> </w:t>
            </w:r>
          </w:p>
        </w:tc>
      </w:tr>
      <w:tr>
        <w:trPr/>
        <w:tc>
          <w:tcPr>
            <w:tcW w:w="42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 and Options to purchase common stock</w:t>
            </w:r>
          </w:p>
        </w:tc>
        <w:tc>
          <w:tcPr>
            <w:tcW w:w="185" w:type="dxa"/>
            <w:tcBorders/>
            <w:shd w:fill="CFF0FC" w:val="clear"/>
            <w:vAlign w:val="center"/>
          </w:tcPr>
          <w:p>
            <w:pPr>
              <w:pStyle w:val="TableContents"/>
              <w:bidi w:val="0"/>
              <w:spacing w:before="0" w:after="283"/>
              <w:jc w:val="left"/>
              <w:rPr/>
            </w:pPr>
            <w:r>
              <w:rPr/>
              <w:t> </w:t>
            </w:r>
          </w:p>
        </w:tc>
        <w:tc>
          <w:tcPr>
            <w:tcW w:w="131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11,204,294</w:t>
            </w:r>
          </w:p>
        </w:tc>
        <w:tc>
          <w:tcPr>
            <w:tcW w:w="191" w:type="dxa"/>
            <w:tcBorders/>
            <w:shd w:fill="CFF0FC" w:val="clear"/>
            <w:vAlign w:val="center"/>
          </w:tcPr>
          <w:p>
            <w:pPr>
              <w:pStyle w:val="TableContents"/>
              <w:bidi w:val="0"/>
              <w:spacing w:before="0" w:after="283"/>
              <w:jc w:val="left"/>
              <w:rPr/>
            </w:pPr>
            <w:r>
              <w:rPr/>
              <w:t> </w:t>
            </w:r>
          </w:p>
        </w:tc>
      </w:tr>
      <w:tr>
        <w:trPr/>
        <w:tc>
          <w:tcPr>
            <w:tcW w:w="42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plans</w:t>
            </w:r>
          </w:p>
        </w:tc>
        <w:tc>
          <w:tcPr>
            <w:tcW w:w="185" w:type="dxa"/>
            <w:tcBorders/>
            <w:shd w:fill="FFFFFF" w:val="clear"/>
            <w:vAlign w:val="center"/>
          </w:tcPr>
          <w:p>
            <w:pPr>
              <w:pStyle w:val="TableContents"/>
              <w:bidi w:val="0"/>
              <w:spacing w:before="0" w:after="283"/>
              <w:jc w:val="left"/>
              <w:rPr/>
            </w:pPr>
            <w:r>
              <w:rPr/>
              <w:t> </w:t>
            </w:r>
          </w:p>
        </w:tc>
        <w:tc>
          <w:tcPr>
            <w:tcW w:w="131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3,403,382</w:t>
            </w:r>
          </w:p>
        </w:tc>
        <w:tc>
          <w:tcPr>
            <w:tcW w:w="191" w:type="dxa"/>
            <w:tcBorders/>
            <w:shd w:fill="FFFFFF" w:val="clear"/>
            <w:vAlign w:val="center"/>
          </w:tcPr>
          <w:p>
            <w:pPr>
              <w:pStyle w:val="TableContents"/>
              <w:bidi w:val="0"/>
              <w:spacing w:before="0" w:after="283"/>
              <w:jc w:val="left"/>
              <w:rPr/>
            </w:pPr>
            <w:r>
              <w:rPr/>
              <w:t> </w:t>
            </w:r>
          </w:p>
        </w:tc>
      </w:tr>
      <w:tr>
        <w:trPr/>
        <w:tc>
          <w:tcPr>
            <w:tcW w:w="42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2015 Employee Stock Purchase Plan (the “ESPP”)</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1,732,614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23,906,260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color w:val="000000"/>
          <w:sz w:val="20"/>
        </w:rPr>
        <w:t>13. Stock-Based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September 2015, the Company’s board of directors adopted its 2015 Omnibus Incentive Plan (“2015 Plan”), which was subsequently approved by its stockholders and became effective upon the closing of the IPO on March 8, 2016. The 2015 Plan replaced the 2007 Stock Plan (“2007 Plan”) and allows for the granting of incentive stock options, nonqualified stock options, stock appreciation rights, restricted stock, unrestricted stock, stock units, dividend equivalent rights, performance awards, annual incentive awards, and other equity-based awards to the Company’s executives and other employees, non-employee members of the board of directors, and consultants of the Company. Any options or awards outstanding under the Company’s 2007 Plan remain outstanding and continue to govern the terms of any equity grants that remain outstanding under the 2007 Plan. Any shares of common stock related to awards outstanding under the 2007 Plan that thereafter terminate by expiration, forfeiture, cancellation or otherwise without the issuance of such shares will be added to, and included in, the 2015 Plan reserve amount. The Company initially reserved 1,750,000 shares of its common stock for the issuance of awards under the 2015 Plan. The 2015 Plan provides that the number of shares reserved and available for issuance under the 2015 Plan will automatically increase each January 1, beginning on January 1, 2017, by 4% of the outstanding number of shares of common stock on the immediately preceding December 31 or such lesser number of shares as determined by the Company’s board of directors. On January 1, 2024, the shares available for issuance under the 2015 was increased to 3,393,065.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February 2023, the Company's board of directors adopted its 2023 Inducement Plan (the “2023 Inducement Plan”), which became effective March 1, 2023. The 2023 Inducement Plan allows for the granting of nonqualified stock options, restricted stock units, and other awards under the 2023 Inducement Plan to persons not previously an employee or director of the Company, or following a bona fide period of non-employment, an inducement material to such persons entering into employment with the Company. The Company initially reserved 1,900,000 shares of its common stock for the issuance of awards under the 2023 Inducement Plan. On December 6, 2023, the Company's board of directors increased the reserve by 1,100,000 shares.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2023, there were 2,191,732 shares available for issuance under the 2015 Plan and 1,211,650 shares available for issuance under the 2023 Inducement Plan.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recognized stock-based compensation expense related to the issuance of stock option awards to employees and non-employees and related to the Employee Stock Purchase Plan in the consolidated statements of operations as follows (in thousands): </w:t>
      </w:r>
    </w:p>
    <w:tbl>
      <w:tblPr>
        <w:tblW w:w="6538" w:type="dxa"/>
        <w:jc w:val="left"/>
        <w:tblInd w:w="0" w:type="dxa"/>
        <w:tblLayout w:type="fixed"/>
        <w:tblCellMar>
          <w:top w:w="28" w:type="dxa"/>
          <w:left w:w="28" w:type="dxa"/>
          <w:bottom w:w="28" w:type="dxa"/>
          <w:right w:w="28" w:type="dxa"/>
        </w:tblCellMar>
      </w:tblPr>
      <w:tblGrid>
        <w:gridCol w:w="2956"/>
        <w:gridCol w:w="146"/>
        <w:gridCol w:w="211"/>
        <w:gridCol w:w="676"/>
        <w:gridCol w:w="146"/>
        <w:gridCol w:w="146"/>
        <w:gridCol w:w="211"/>
        <w:gridCol w:w="676"/>
        <w:gridCol w:w="146"/>
        <w:gridCol w:w="146"/>
        <w:gridCol w:w="211"/>
        <w:gridCol w:w="676"/>
        <w:gridCol w:w="191"/>
      </w:tblGrid>
      <w:tr>
        <w:trPr/>
        <w:tc>
          <w:tcPr>
            <w:tcW w:w="2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24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14,147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4,398</w:t>
            </w:r>
          </w:p>
        </w:tc>
        <w:tc>
          <w:tcPr>
            <w:tcW w:w="191" w:type="dxa"/>
            <w:tcBorders/>
            <w:shd w:fill="CFF0FC" w:val="clear"/>
            <w:vAlign w:val="center"/>
          </w:tcPr>
          <w:p>
            <w:pPr>
              <w:pStyle w:val="TableContents"/>
              <w:bidi w:val="0"/>
              <w:spacing w:before="0" w:after="283"/>
              <w:jc w:val="left"/>
              <w:rPr/>
            </w:pPr>
            <w:r>
              <w:rPr/>
              <w:t> </w:t>
            </w:r>
          </w:p>
        </w:tc>
      </w:tr>
      <w:tr>
        <w:trPr/>
        <w:tc>
          <w:tcPr>
            <w:tcW w:w="29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30,951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16,019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13,317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Stock Options and Restricted Stock Units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2023, there was $74.8 million of unrecognized compensation cost related to employee and non-employee unvested stock options and RSUs granted under the 2015 Plan and the 2023 Inducement Plan, which is expected to be recognized over a weighted-average remaining service period of 2.8 years. Stock compensation costs have not been capitalized by the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stock-based awards are subject to either service or performance-based vesting conditions. Compensation expense related to awards to employees, directors and non-employees with service-based vesting conditions is recognized on a straight-line basis based on the grant date fair value over the associated service period of the award, which is generally the vesting term. Compensation expense related to awards to employees with performance-based vesting conditions is recognized based on the grant date fair value over the requisite service period using the straight-line method to the extent achievement of the performance condition is probable.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2019, the Company granted to certain employees 583,000 stock options that contain performance-based vesting criteria (“2019 Performance Awards”), primarily related to the achievement of certain clinical and regulatory development milestones related to product candidates. In the fourth quarter of 2020, one performance milestone, for the 2019 Performance Awards, was achieved. The Company recorded approximately $128,000 of stock compensation related to the achievement of the performance milestone for years ended December 31, 2022. As of December 31, 2022, all other performance milestones were not achieved, and the associated awards have been cancelled.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2022, the Company granted to certain employees 140,000 performance-based stock options (“2022 Performance Awards”), primarily related to the achievement of certain regulatory development milestones related to product candidates. Recognition of stock-based compensation expense associated with these performance-based stock options commences when the performance condition is considered probable of achievement, using management’s best estimates, which consider the inherent risk and uncertainty regarding the future outcomes of the milestones.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first quarter of 2022, management estimated one of the milestones, for the 2022 Performance Awards, was probable of achievement. The Company recorded approximately $258,000 and $479,000 of stock compensation expense for these awards for the year ended December 31, 2023 and 2022, respectively. As of December 31, 2023, 140,000 stock options outstanding were unvested, and no options had been cancelled.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first quarter of 2023, the Company granted to certain employees 129,550 performance-based RSUs, primarily related to the achievement of certain regulatory development milestones related to product candidates. Recognition of stock-based compensation expense associated with these performance-based RSUs commences when the performance condition is considered probable of achievement, using management’s best estimates, which consider the inherent risk and uncertainty regarding the future outcomes of the milestones.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October 2021, in connection with the retirement of two employees, the Company entered into severance and consulting agreements. Under these agreements the Company extended the vesting term for an aggregate of 34,728 unvested options, which would not have otherwise vested and extended the exercise period of the vested options post termination of the consulting agreement. The Company accounted for the change as a modification of an equity award under ASC 718. As a result of the modifications, the Company recognized approximately $0.8 million of incremental stock compensation expense in 2021.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fair value of each option award is estimated on the date of grant using the Black-Scholes option-pricing model with the weighted-average assumptions noted in the table below. Expected volatility for the Company’s common stock was determined based on an average of the historical volatility of the Company's public stock price. The Company estimated the expected term of its employee stock options using the “simplified” method, whereby, the expected term equals the average of the vesting term and the original contractual term of the option. The contractual life of the option was used for the estimated life of the non-employee grants. The assumed dividend yield is based upon the Company’s expectation of not paying dividends in the foreseeable future. The risk-free interest rate for periods within the expected life of the option is based upon the U.S. Treasury yield curve in effect at the time of grant. The Company accounts for forfeitures when they occur. The grant date fair values of options issued to employees and non-employees were estimated using the Black-Scholes option-pricing model with the following assumptions: </w:t>
      </w:r>
    </w:p>
    <w:tbl>
      <w:tblPr>
        <w:tblW w:w="5578" w:type="dxa"/>
        <w:jc w:val="left"/>
        <w:tblInd w:w="0" w:type="dxa"/>
        <w:tblLayout w:type="fixed"/>
        <w:tblCellMar>
          <w:top w:w="28" w:type="dxa"/>
          <w:left w:w="28" w:type="dxa"/>
          <w:bottom w:w="28" w:type="dxa"/>
          <w:right w:w="28" w:type="dxa"/>
        </w:tblCellMar>
      </w:tblPr>
      <w:tblGrid>
        <w:gridCol w:w="2131"/>
        <w:gridCol w:w="146"/>
        <w:gridCol w:w="146"/>
        <w:gridCol w:w="571"/>
        <w:gridCol w:w="271"/>
        <w:gridCol w:w="146"/>
        <w:gridCol w:w="146"/>
        <w:gridCol w:w="571"/>
        <w:gridCol w:w="271"/>
        <w:gridCol w:w="146"/>
        <w:gridCol w:w="146"/>
        <w:gridCol w:w="571"/>
        <w:gridCol w:w="316"/>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98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w:t>
            </w:r>
          </w:p>
        </w:tc>
        <w:tc>
          <w:tcPr>
            <w:tcW w:w="316" w:type="dxa"/>
            <w:tcBorders/>
            <w:shd w:fill="CFF0FC" w:val="clear"/>
            <w:vAlign w:val="center"/>
          </w:tcPr>
          <w:p>
            <w:pPr>
              <w:pStyle w:val="TableContents"/>
              <w:bidi w:val="0"/>
              <w:spacing w:before="0" w:after="283"/>
              <w:jc w:val="left"/>
              <w:rPr/>
            </w:pPr>
            <w:r>
              <w:rPr/>
              <w:t> </w:t>
            </w:r>
          </w:p>
        </w:tc>
      </w:tr>
      <w:tr>
        <w:trPr/>
        <w:tc>
          <w:tcPr>
            <w:tcW w:w="21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Volatility rate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75.13</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77.87</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85.84</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0.67</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 summary of employee and non-employee option activity under the Company’s equity award plans is presented below (in thousands, except share data): </w:t>
      </w:r>
    </w:p>
    <w:tbl>
      <w:tblPr>
        <w:tblW w:w="7985" w:type="dxa"/>
        <w:jc w:val="left"/>
        <w:tblInd w:w="0" w:type="dxa"/>
        <w:tblLayout w:type="fixed"/>
        <w:tblCellMar>
          <w:top w:w="28" w:type="dxa"/>
          <w:left w:w="28" w:type="dxa"/>
          <w:bottom w:w="28" w:type="dxa"/>
          <w:right w:w="28" w:type="dxa"/>
        </w:tblCellMar>
      </w:tblPr>
      <w:tblGrid>
        <w:gridCol w:w="2896"/>
        <w:gridCol w:w="146"/>
        <w:gridCol w:w="146"/>
        <w:gridCol w:w="1036"/>
        <w:gridCol w:w="166"/>
        <w:gridCol w:w="146"/>
        <w:gridCol w:w="214"/>
        <w:gridCol w:w="582"/>
        <w:gridCol w:w="146"/>
        <w:gridCol w:w="146"/>
        <w:gridCol w:w="285"/>
        <w:gridCol w:w="706"/>
        <w:gridCol w:w="146"/>
        <w:gridCol w:w="146"/>
        <w:gridCol w:w="211"/>
        <w:gridCol w:w="676"/>
        <w:gridCol w:w="191"/>
      </w:tblGrid>
      <w:tr>
        <w:trPr/>
        <w:tc>
          <w:tcPr>
            <w:tcW w:w="2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Number</w:t>
            </w:r>
            <w:r>
              <w:rPr>
                <w:rFonts w:ascii="Times New Roman" w:hAnsi="Times New Roman"/>
                <w:color w:val="000000"/>
                <w:sz w:val="16"/>
              </w:rPr>
              <w:t xml:space="preserve"> </w:t>
            </w:r>
            <w:r>
              <w:rPr>
                <w:rFonts w:ascii="Times New Roman" w:hAnsi="Times New Roman"/>
                <w:b/>
                <w:color w:val="000000"/>
                <w:sz w:val="16"/>
              </w:rPr>
              <w:t>of</w:t>
              <w:b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Term</w:t>
              <w:b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 xml:space="preserve">Intrinsic </w:t>
              <w:br/>
              <w:t>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Outstanding—January 1,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7,981,677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5"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88,016</w:t>
            </w:r>
          </w:p>
        </w:tc>
        <w:tc>
          <w:tcPr>
            <w:tcW w:w="191" w:type="dxa"/>
            <w:tcBorders/>
            <w:shd w:fill="CFF0FC" w:val="clear"/>
            <w:vAlign w:val="center"/>
          </w:tcPr>
          <w:p>
            <w:pPr>
              <w:pStyle w:val="TableContents"/>
              <w:bidi w:val="0"/>
              <w:spacing w:before="0" w:after="283"/>
              <w:jc w:val="left"/>
              <w:rPr/>
            </w:pPr>
            <w:r>
              <w:rPr/>
              <w:t> </w:t>
            </w:r>
          </w:p>
        </w:tc>
      </w:tr>
      <w:tr>
        <w:trPr/>
        <w:tc>
          <w:tcPr>
            <w:tcW w:w="28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3,800,691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28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(662,042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1"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28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Cancelled, forfeited or expired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(435,468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28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10,684,858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5"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55,091</w:t>
            </w:r>
          </w:p>
        </w:tc>
        <w:tc>
          <w:tcPr>
            <w:tcW w:w="191" w:type="dxa"/>
            <w:tcBorders/>
            <w:shd w:fill="CFF0FC" w:val="clear"/>
            <w:vAlign w:val="center"/>
          </w:tcPr>
          <w:p>
            <w:pPr>
              <w:pStyle w:val="TableContents"/>
              <w:bidi w:val="0"/>
              <w:spacing w:before="0" w:after="283"/>
              <w:jc w:val="left"/>
              <w:rPr/>
            </w:pPr>
            <w:r>
              <w:rPr/>
              <w:t> </w:t>
            </w:r>
          </w:p>
        </w:tc>
      </w:tr>
      <w:tr>
        <w:trPr/>
        <w:tc>
          <w:tcPr>
            <w:tcW w:w="28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Exercisable—December 31,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5,468,638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43,160</w:t>
            </w:r>
          </w:p>
        </w:tc>
        <w:tc>
          <w:tcPr>
            <w:tcW w:w="191" w:type="dxa"/>
            <w:tcBorders/>
            <w:shd w:fill="FFFFFF" w:val="clear"/>
            <w:vAlign w:val="center"/>
          </w:tcPr>
          <w:p>
            <w:pPr>
              <w:pStyle w:val="TableContents"/>
              <w:bidi w:val="0"/>
              <w:spacing w:before="0" w:after="283"/>
              <w:jc w:val="left"/>
              <w:rPr/>
            </w:pPr>
            <w:r>
              <w:rPr/>
              <w:t> </w:t>
            </w:r>
          </w:p>
        </w:tc>
      </w:tr>
      <w:tr>
        <w:trPr/>
        <w:tc>
          <w:tcPr>
            <w:tcW w:w="28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vested, or expected to</w:t>
              <w:br/>
              <w:t>   vest—December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10,684,858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5"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55,091</w:t>
            </w:r>
          </w:p>
        </w:tc>
        <w:tc>
          <w:tcPr>
            <w:tcW w:w="191" w:type="dxa"/>
            <w:tcBorders/>
            <w:shd w:fill="CFF0FC" w:val="cle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weighted-average grant date fair value of options granted during the years ended December 31, 2023, 2022 and 2021, was $16.20, $12.64, and $14.70 per share, respectively. The fair value is being expensed over the vesting period of the options (usually three to four years) on a straight-line basis as the services are being provided.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were 662,042 options exercised for the year ended December 31, 2023, resulting in total proceeds of $5.1 million; 1.3 million options exercised for the year ended December 31, 2022, resulting in total proceeds of $11.5 million; and 842,424 options exercised for the year ended December 31, 2021, resulting in total proceeds of 6.3 million. The intrinsic value of options exercised during the years ended December 31, 2023, 2022 and 2021 was $9.5 million, $17.0 million, and $10.1 million, respectively. In accordance with the Company’s policy, the shares were issued from a pool of shares reserved for issuance under the 2015 Plan and 2023 Inducement Plan.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Restricted Stock Units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RSUs awarded to Board of Directors or employees vest on either i) one – year anniversary date of the related grant or ii) 25% on each anniversary for 4 years. The following table summarizes our RSU activity:</w:t>
      </w:r>
    </w:p>
    <w:p>
      <w:pPr>
        <w:pStyle w:val="TextBody"/>
        <w:bidi w:val="0"/>
        <w:spacing w:before="120" w:after="283"/>
        <w:jc w:val="left"/>
        <w:rPr/>
      </w:pPr>
      <w:r>
        <w:rPr/>
        <w:t> </w:t>
      </w:r>
    </w:p>
    <w:tbl>
      <w:tblPr>
        <w:tblW w:w="6148" w:type="dxa"/>
        <w:jc w:val="left"/>
        <w:tblInd w:w="0" w:type="dxa"/>
        <w:tblLayout w:type="fixed"/>
        <w:tblCellMar>
          <w:top w:w="28" w:type="dxa"/>
          <w:left w:w="28" w:type="dxa"/>
          <w:bottom w:w="28" w:type="dxa"/>
          <w:right w:w="28" w:type="dxa"/>
        </w:tblCellMar>
      </w:tblPr>
      <w:tblGrid>
        <w:gridCol w:w="2656"/>
        <w:gridCol w:w="146"/>
        <w:gridCol w:w="146"/>
        <w:gridCol w:w="781"/>
        <w:gridCol w:w="166"/>
        <w:gridCol w:w="146"/>
        <w:gridCol w:w="476"/>
        <w:gridCol w:w="1294"/>
        <w:gridCol w:w="146"/>
        <w:gridCol w:w="191"/>
      </w:tblGrid>
      <w:tr>
        <w:trPr/>
        <w:tc>
          <w:tcPr>
            <w:tcW w:w="2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Number</w:t>
            </w:r>
            <w:r>
              <w:rPr>
                <w:rFonts w:ascii="Times New Roman" w:hAnsi="Times New Roman"/>
                <w:color w:val="000000"/>
                <w:sz w:val="16"/>
              </w:rPr>
              <w:t xml:space="preserve"> </w:t>
            </w:r>
            <w:r>
              <w:rPr>
                <w:rFonts w:ascii="Times New Roman" w:hAnsi="Times New Roman"/>
                <w:b/>
                <w:color w:val="000000"/>
                <w:sz w:val="16"/>
              </w:rPr>
              <w:t>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Grant Date 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center"/>
              <w:rPr/>
            </w:pPr>
            <w:r>
              <w:rPr/>
              <w:t> </w:t>
            </w:r>
          </w:p>
        </w:tc>
      </w:tr>
      <w:tr>
        <w:trPr/>
        <w:tc>
          <w:tcPr>
            <w:tcW w:w="26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Unvested—December 31,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224,788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18.02</w:t>
            </w:r>
          </w:p>
        </w:tc>
        <w:tc>
          <w:tcPr>
            <w:tcW w:w="146" w:type="dxa"/>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265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Granted </w:t>
            </w:r>
            <w:r>
              <w:rPr>
                <w:rFonts w:ascii="Times New Roman" w:hAnsi="Times New Roman"/>
                <w:color w:val="000000"/>
                <w:sz w:val="14"/>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308,550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24.94</w:t>
            </w:r>
          </w:p>
        </w:tc>
        <w:tc>
          <w:tcPr>
            <w:tcW w:w="14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26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4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13.87</w:t>
            </w:r>
          </w:p>
        </w:tc>
        <w:tc>
          <w:tcPr>
            <w:tcW w:w="146" w:type="dxa"/>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26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Cancelled/Forfeited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20.36</w:t>
            </w:r>
          </w:p>
        </w:tc>
        <w:tc>
          <w:tcPr>
            <w:tcW w:w="14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26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519,436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22.17</w:t>
            </w:r>
          </w:p>
        </w:tc>
        <w:tc>
          <w:tcPr>
            <w:tcW w:w="146" w:type="dxa"/>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265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70"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jc w:val="left"/>
        <w:rPr>
          <w:rFonts w:ascii="Times New Roman" w:hAnsi="Times New Roman"/>
          <w:sz w:val="20"/>
        </w:rPr>
      </w:pPr>
      <w:r>
        <w:rPr>
          <w:rFonts w:ascii="Times New Roman" w:hAnsi="Times New Roman"/>
          <w:color w:val="000000"/>
          <w:sz w:val="17"/>
        </w:rPr>
        <w:t>(1)</w:t>
      </w:r>
      <w:r>
        <w:rPr>
          <w:rFonts w:ascii="Times New Roman" w:hAnsi="Times New Roman"/>
          <w:color w:val="000000"/>
          <w:sz w:val="20"/>
        </w:rPr>
        <w:t xml:space="preserve"> RSUs granted in 2023 and 2022 had a weighted average grant date fair value of $24.94</w:t>
      </w:r>
      <w:r>
        <w:rPr>
          <w:rFonts w:ascii="Times New Roman" w:hAnsi="Times New Roman"/>
          <w:color w:val="FF0000"/>
          <w:sz w:val="20"/>
        </w:rPr>
        <w:t xml:space="preserve"> </w:t>
      </w:r>
      <w:r>
        <w:rPr>
          <w:rFonts w:ascii="Times New Roman" w:hAnsi="Times New Roman"/>
          <w:color w:val="000000"/>
          <w:sz w:val="20"/>
        </w:rPr>
        <w:t>and $15.79, respectively. The fair values of RSUs vested in 2023 and 2022 totaled $126,000 and $705,000,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Employee Stock Purchase Plan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September 2015, the Company’s Board adopted the ESPP, which was subsequently approved by the Company’s stockholders and became effective in 2016. The ESPP authorized the initial issuance of up to a total of 250,000 shares of common stock to the Company’s employees. The number of shares of common stock available under the ESPP will automatically increase on January 1st of each year, continuing until the expiration of the ESPP, in an amount equal to the lesser of (a) 1% of the total number of shares of common stock outstanding on December 31st of the preceding calendar year, or (b) 250,000 shares. On January 1, 2024, the shares of common stock reserved for issuance under the ESPP was increased to 1,982,614. Under the terms of the ESPP, eligible employees can elect to acquire shares of the Company’s common stock through periodic payroll deductions during a series of six-month offering periods. Purchases under the ESPP are affected on the last business day of each offering period at a 15% discount to the lower of closing price on that day or the closing price on the first day of the offering period. The Company issued 34,797 and 28,999 shares during 2023 and 2022,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ESPP is considered a compensatory plan with the related compensation cost expensed over the six-month offering period. For the years ended December 31, 2023, 2022 and 2021 the Company recorded stock-based compensation expense related to the ESPP of $308,000, $166,000, and $175,000 respectively.</w:t>
      </w:r>
    </w:p>
    <w:p>
      <w:pPr>
        <w:pStyle w:val="TextBody"/>
        <w:bidi w:val="0"/>
        <w:spacing w:before="360" w:after="283"/>
        <w:jc w:val="left"/>
        <w:rPr>
          <w:rFonts w:ascii="Times New Roman" w:hAnsi="Times New Roman"/>
          <w:sz w:val="20"/>
        </w:rPr>
      </w:pPr>
      <w:r>
        <w:rPr>
          <w:rFonts w:ascii="Times New Roman" w:hAnsi="Times New Roman"/>
          <w:b/>
          <w:i/>
          <w:color w:val="000000"/>
          <w:sz w:val="20"/>
        </w:rPr>
        <w:t>Employee Benefit Plan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a Section 401(k) defined contribution savings plan for its employees. The plan covers substantially all employees who meet minimum age and service requirements and allows participants to defer a portion of their annual compensation on a pretax basis, subject to legal limitations. Company contributions to the plan may be made at the discretion of the Board. For the years ended December 31, 2023, 2022 and 2021, the Company made $1.3 million, $712,000, and $444,000 contributions to the plan, respectively.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14. Loan Payable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February 2020, the Company entered into a loan and security agreement (the “Loan Agreement”) with Hercules Capital, Inc. (“Hercules”). In December 2021, the Company entered into Amendment No. 1 to the Company’s Loan Agreement (the “First Amendment” and the Loan Agreement, as amended, the “Amended Loan Agreement”) with several banks and financial institutions or entities from time-to-time party thereto (collectively, the “Lender”) and Hercules, in its capacity as administrative agent for itself and the Lender.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September 23, 2022, the Company made a prepayment of $21.5 million to satisfy in full all of the Company's principal and interest obligations and related fees under the Amended Loan Agreement. The payoff amount paid by the Company in connection with the termination of the Amended Loan Agreement was pursuant to a payoff letter with Hercules and included payment of (a) $1.0 million as an end-of term fee and (b) $0.4 million as a pre-payment fee. Hercules released all security interests held on the assets of the Company and its subsidiaries. The Amended Loan Agreement was fully terminated as of September 23, 2022.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the year ended December 31, 2022, the Company recognized $2.1 million, which included $0.4 million of pre-payment fee, of interest expense related to the initial advance pursuant to the Amended Loan Agreement. </w:t>
      </w:r>
    </w:p>
    <w:p>
      <w:pPr>
        <w:pStyle w:val="TextBody"/>
        <w:bidi w:val="0"/>
        <w:spacing w:before="120" w:after="283"/>
        <w:jc w:val="left"/>
        <w:rPr>
          <w:rFonts w:ascii="Times New Roman" w:hAnsi="Times New Roman"/>
          <w:sz w:val="20"/>
        </w:rPr>
      </w:pPr>
      <w:r>
        <w:rPr>
          <w:rFonts w:ascii="Times New Roman" w:hAnsi="Times New Roman"/>
          <w:b/>
          <w:color w:val="000000"/>
          <w:sz w:val="20"/>
        </w:rPr>
        <w:t>15. Income Taxes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recognized current state income expense of $0.3 million in the year ending December 31, 2023 as a result of investment income earned in Syndax Securities Corporation. The Company recognized no income taxes in the years ended December 31, 2022 and 2021, due to the utilization of tax attributes to offset current year federal and state taxable income, immaterial investment income earned at Syndax Securities Corporation, the historical losses incurred and the need for a full valuation allowance on deferred tax assets. The Company’s current year profit and historical losses before income tax for the periods presented was generated entirely in the United States.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A reconciliation of the provision for income taxes computed at the statutory federal income tax rate to the provision for income taxes as reflected in the financial statements is as follows: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7093" w:type="dxa"/>
        <w:jc w:val="left"/>
        <w:tblInd w:w="0" w:type="dxa"/>
        <w:tblLayout w:type="fixed"/>
        <w:tblCellMar>
          <w:top w:w="28" w:type="dxa"/>
          <w:left w:w="28" w:type="dxa"/>
          <w:bottom w:w="28" w:type="dxa"/>
          <w:right w:w="28" w:type="dxa"/>
        </w:tblCellMar>
      </w:tblPr>
      <w:tblGrid>
        <w:gridCol w:w="3781"/>
        <w:gridCol w:w="146"/>
        <w:gridCol w:w="146"/>
        <w:gridCol w:w="526"/>
        <w:gridCol w:w="271"/>
        <w:gridCol w:w="146"/>
        <w:gridCol w:w="146"/>
        <w:gridCol w:w="526"/>
        <w:gridCol w:w="271"/>
        <w:gridCol w:w="146"/>
        <w:gridCol w:w="146"/>
        <w:gridCol w:w="526"/>
        <w:gridCol w:w="316"/>
      </w:tblGrid>
      <w:tr>
        <w:trPr/>
        <w:tc>
          <w:tcPr>
            <w:tcW w:w="3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7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5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computed at federal statutory rate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taxes, net of federal benefit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business credit carryovers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Non-deductible expenses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valuation allowance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Return to provision true up</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significant components of the Company’s deferred tax are as follows (in thousands): </w:t>
      </w:r>
    </w:p>
    <w:tbl>
      <w:tblPr>
        <w:tblW w:w="7424" w:type="dxa"/>
        <w:jc w:val="left"/>
        <w:tblInd w:w="0" w:type="dxa"/>
        <w:tblLayout w:type="fixed"/>
        <w:tblCellMar>
          <w:top w:w="28" w:type="dxa"/>
          <w:left w:w="28" w:type="dxa"/>
          <w:bottom w:w="28" w:type="dxa"/>
          <w:right w:w="28" w:type="dxa"/>
        </w:tblCellMar>
      </w:tblPr>
      <w:tblGrid>
        <w:gridCol w:w="4271"/>
        <w:gridCol w:w="146"/>
        <w:gridCol w:w="211"/>
        <w:gridCol w:w="841"/>
        <w:gridCol w:w="166"/>
        <w:gridCol w:w="146"/>
        <w:gridCol w:w="211"/>
        <w:gridCol w:w="841"/>
        <w:gridCol w:w="591"/>
      </w:tblGrid>
      <w:tr>
        <w:trPr/>
        <w:tc>
          <w:tcPr>
            <w:tcW w:w="4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w:t>
              <w:br/>
              <w:t>December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assets (liabilities):</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left"/>
              <w:rPr/>
            </w:pPr>
            <w:r>
              <w:rPr/>
              <w:t> </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42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operating loss carryforwards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32,664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23,650</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42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 credits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11,765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8,124</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42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Capitalized start-up and other costs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68,859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45,374</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42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Capitalized research and development costs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79,562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48,917</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42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Equity based compensation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10,276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5,004</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42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Accruals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1,985</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42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temporary differences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27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Deferred tax assets before valuation allowance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205,957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133,081</w:t>
            </w:r>
          </w:p>
        </w:tc>
        <w:tc>
          <w:tcPr>
            <w:tcW w:w="591" w:type="dxa"/>
            <w:tcBorders/>
            <w:shd w:fill="CFF0FC" w:val="clear"/>
            <w:vAlign w:val="center"/>
          </w:tcPr>
          <w:p>
            <w:pPr>
              <w:pStyle w:val="TableContents"/>
              <w:bidi w:val="0"/>
              <w:spacing w:before="0" w:after="283"/>
              <w:jc w:val="left"/>
              <w:rPr/>
            </w:pPr>
            <w:r>
              <w:rPr/>
              <w:t> </w:t>
            </w:r>
          </w:p>
        </w:tc>
      </w:tr>
      <w:tr>
        <w:trPr/>
        <w:tc>
          <w:tcPr>
            <w:tcW w:w="4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Valuation allowances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(205,957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(133,081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deferred tax assets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has provided a valuation allowance for the full amount of the net deferred tax assets as the realization of the deferred tax assets is not determined to be more likely than not. The valuation allowance increased by $72.9 million in 2023 due to the increase in deferred tax assets, primarily driven by the generation of net operating losses and capitalized research expenses, and capitalized start-up costs. The valuation allowance increased by $35.9 million in 2022 due to the increase in deferred tax assets, primarily driven by the generation of net operating losses and capitalized start-up costs, partially offset by a decrease to other deferred tax assets.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2023, the Company had approximately $136.4 million and $63.5 million in federal and state Net Operating Losses (“NOLs”), respectively, which may be available to offset future taxable income. The Company has generated federal NOLs of $114.3 million and state NOLs of $0.9 million which have indefinite carryforward period. The remaining $22.1 million of federal NOLs and $62.6 million the Company’s state NOLs will begin to expire at various dates starting in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December 31, 2023, the Company had federal and state research credits of $8.9 million and $3.8 million, respectively, which began to expire in 2024.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Realization of future tax benefits is dependent on many factors, including the Company’s ability to generate taxable income within the net operating loss carryforward period. Under the Internal Revenue Code provisions, certain substantial changes in the Company’s ownership, including the sale of the Company or significant changes in ownership due to sales of equity, may have limited, or may limit in the future, the amount of net operating loss carryforwards which could be used annually to offset future taxable income. The Company last completed an analysis from January 1, 2021 through December 31, 2022 and determined that no ownership changes had occurred in that period. Prior analyses determined that on March 30, 2007, August 21, 2015 and May 4, 2020, ownership changes had occurred. The Company may also experience ownership changes in the future as a result of subsequent shifts in our stock ownership, some of which may be outside of our control. As a result, its ability to use its pre- change NOLs to offset U.S. federal taxable income may be subject to limitations, which could potentially result in increased future tax liability. In addition, at the state level, there may be periods during which the use of NOLs is suspended or otherwise limited, which could accelerate or permanently increase state taxes owed.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Coronavirus Aid, Relief and Economic Security Act (the “CARES Act”) was enacted in the United States on March 27, 2020. The CARES Act is an emergency economic stimulus package that includes spending and tax breaks to strengthen the United States economy and fund a nationwide effort to curtail the effect of COVID-19. While the CARES Act provides extensive tax changes in response to the COVID-19 pandemic, the provisions did not have a significant impact on the Company’s financial results. Beginning in 2022, the Tax Cuts and Jobs Act of 2017 (“TCJA”) eliminates the option to deduct research and development expenditures currently and requires taxpayers to amortize them, over five years for domestically incurred expenditures and over fifteen years for foreign incurred expenditures, pursuant to IRC Section 174. As of December 31, 2023, the Company has recorded a deferred tax asset of $79.6 million related to the Capitalized IRC Section 174 expenditures, of which $53.7 million relate to expenses required to be capitalized under the TCJA.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December 31, 2023, and 2022, the Company had uncertain tax positions of $0.1 million related to research and development credits, which reduce the deferred tax assets with a corresponding decrease to the valuation allowance. The Company has elected to recognize interest and penalties related to income tax matters as a component of income tax expense, of which no interest or penalties were recorded for the years ended December 31, 2023 and 2022. The Company expects none of the unrecognized tax benefits to decrease within the next 12 months related to expired statutes or settlement with the taxing authorities. Due to the Company’s valuation allowance as of December 31, 2023, none of the Company’s unrecognized tax benefits, if recognized, would affect the effective tax rate.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reconciliation of the Company’s unrecognized tax benefits is as follows (in thousands): </w:t>
      </w:r>
    </w:p>
    <w:tbl>
      <w:tblPr>
        <w:tblW w:w="6573" w:type="dxa"/>
        <w:jc w:val="left"/>
        <w:tblInd w:w="0" w:type="dxa"/>
        <w:tblLayout w:type="fixed"/>
        <w:tblCellMar>
          <w:top w:w="28" w:type="dxa"/>
          <w:left w:w="28" w:type="dxa"/>
          <w:bottom w:w="28" w:type="dxa"/>
          <w:right w:w="28" w:type="dxa"/>
        </w:tblCellMar>
      </w:tblPr>
      <w:tblGrid>
        <w:gridCol w:w="3736"/>
        <w:gridCol w:w="146"/>
        <w:gridCol w:w="211"/>
        <w:gridCol w:w="421"/>
        <w:gridCol w:w="146"/>
        <w:gridCol w:w="146"/>
        <w:gridCol w:w="211"/>
        <w:gridCol w:w="421"/>
        <w:gridCol w:w="166"/>
        <w:gridCol w:w="146"/>
        <w:gridCol w:w="211"/>
        <w:gridCol w:w="421"/>
        <w:gridCol w:w="191"/>
      </w:tblGrid>
      <w:tr>
        <w:trPr/>
        <w:tc>
          <w:tcPr>
            <w:tcW w:w="3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0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Unrecognized tax benefit--beginning of year</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191" w:type="dxa"/>
            <w:tcBorders/>
            <w:shd w:fill="CFF0FC" w:val="clear"/>
            <w:vAlign w:val="center"/>
          </w:tcPr>
          <w:p>
            <w:pPr>
              <w:pStyle w:val="TableContents"/>
              <w:bidi w:val="0"/>
              <w:spacing w:before="0" w:after="283"/>
              <w:jc w:val="left"/>
              <w:rPr/>
            </w:pPr>
            <w:r>
              <w:rPr/>
              <w:t> </w:t>
            </w:r>
          </w:p>
        </w:tc>
      </w:tr>
      <w:tr>
        <w:trPr/>
        <w:tc>
          <w:tcPr>
            <w:tcW w:w="37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Decreases related to prior period positions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Unrecognized tax benefit--end of year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files tax returns in the U.S. and various states. All tax years since inception (October 11, 2005) remain open to examination by major tax jurisdictions to which the Company is subject, as carryforward attributes generated in years past may still be adjusted upon examination by the Internal Revenue Service or state tax authorities if they have or will be used in a future period. The Company is currently not under examination by the Internal Revenue Service or any other jurisdictions for any tax years.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16. Commitments and Contingencies</w:t>
      </w:r>
    </w:p>
    <w:p>
      <w:pPr>
        <w:pStyle w:val="TextBody"/>
        <w:bidi w:val="0"/>
        <w:spacing w:before="120" w:after="283"/>
        <w:jc w:val="left"/>
        <w:rPr>
          <w:rFonts w:ascii="Times New Roman" w:hAnsi="Times New Roman"/>
          <w:sz w:val="20"/>
        </w:rPr>
      </w:pPr>
      <w:r>
        <w:rPr>
          <w:rFonts w:ascii="Times New Roman" w:hAnsi="Times New Roman"/>
          <w:b/>
          <w:i/>
          <w:color w:val="000000"/>
          <w:sz w:val="20"/>
        </w:rPr>
        <w:t>License Agreements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Incyte – In September 2021, the Company entered into the Incyte Agreement and Incyte Stock Purchase Agreement. Under the terms of the Incyte Agreement, Incyte will receive exclusive commercialization rights of axatilimab outside of the United States. In the United States, Incyte and the Company will co-commercialize axatilimab, with the Company having the right to co-promote the product with Incyte. In exchange for these rights, Incyte agreed to pay a non-refundable cash payment of $117 million and in addition a $35 million equity investment. In certain cases, the Company is required to assist Incyte and is responsible for 45% of development costs associated with global and U.S. specific clinical trials.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Eddingpharm—In April 2013, the Company entered into a License and Development Agreement (the “Eddingpharm License Agreement”) and a Series B-1 purchase agreement (the “Eddingpharm Purchase Agreement”) with Eddingpharm International Company Limited (“Eddingpharm”). Under the terms of the Eddingpharm License Agreement, Eddingpharm, in exchange for rights to develop and commercialize entinostat in China and certain other Asian countries, purchased $5.0 million of Series B-1 and agreed to make certain contingent milestone and royalty payments based on revenue targets. In certain cases, the Company is required to assist Eddingpharm, and Eddingpharm is required to reimburse the Company for any out-of-pocket expenses incurred in providing this assistance, including reimbursement for person-hours above a certain cap.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From time to time, the Company may be subject to various claims and proceedings in the ordinary course of business. If the potential loss from any claim, asserted or unasserted, or proceeding is considered probable and the amount is reasonably estimable, the Company will accrue a liability for the estimated loss. There were no contingent liabilities recorded as of December 31, 2023, or 2022.</w:t>
      </w:r>
    </w:p>
    <w:p>
      <w:pPr>
        <w:pStyle w:val="TextBody"/>
        <w:bidi w:val="0"/>
        <w:spacing w:before="360" w:after="283"/>
        <w:jc w:val="left"/>
        <w:rPr>
          <w:rFonts w:ascii="Times New Roman" w:hAnsi="Times New Roman"/>
          <w:sz w:val="20"/>
        </w:rPr>
      </w:pPr>
      <w:r>
        <w:rPr>
          <w:rFonts w:ascii="Times New Roman" w:hAnsi="Times New Roman"/>
          <w:b/>
          <w:color w:val="000000"/>
          <w:sz w:val="20"/>
        </w:rPr>
        <w:t>17. Supplemental Cash Flow Information</w:t>
      </w:r>
      <w:r>
        <w:rPr>
          <w:rFonts w:ascii="Times New Roman" w:hAnsi="Times New Roman"/>
          <w:color w:val="000000"/>
          <w:sz w:val="20"/>
        </w:rPr>
        <w:t xml:space="preserve"> </w:t>
      </w:r>
    </w:p>
    <w:tbl>
      <w:tblPr>
        <w:tblW w:w="8653" w:type="dxa"/>
        <w:jc w:val="left"/>
        <w:tblInd w:w="0" w:type="dxa"/>
        <w:tblLayout w:type="fixed"/>
        <w:tblCellMar>
          <w:top w:w="28" w:type="dxa"/>
          <w:left w:w="28" w:type="dxa"/>
          <w:bottom w:w="28" w:type="dxa"/>
          <w:right w:w="28" w:type="dxa"/>
        </w:tblCellMar>
      </w:tblPr>
      <w:tblGrid>
        <w:gridCol w:w="5491"/>
        <w:gridCol w:w="146"/>
        <w:gridCol w:w="211"/>
        <w:gridCol w:w="466"/>
        <w:gridCol w:w="146"/>
        <w:gridCol w:w="146"/>
        <w:gridCol w:w="211"/>
        <w:gridCol w:w="571"/>
        <w:gridCol w:w="146"/>
        <w:gridCol w:w="146"/>
        <w:gridCol w:w="211"/>
        <w:gridCol w:w="571"/>
        <w:gridCol w:w="191"/>
      </w:tblGrid>
      <w:tr>
        <w:trPr/>
        <w:tc>
          <w:tcPr>
            <w:tcW w:w="5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4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2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25" w:type="dxa"/>
            <w:gridSpan w:val="10"/>
            <w:tcBorders/>
            <w:shd w:fill="FFFFFF" w:val="cle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(In thousands)</w:t>
            </w:r>
          </w:p>
        </w:tc>
        <w:tc>
          <w:tcPr>
            <w:tcW w:w="191" w:type="dxa"/>
            <w:tcBorders/>
            <w:shd w:fill="FFFFFF" w:val="clear"/>
            <w:vAlign w:val="center"/>
          </w:tcPr>
          <w:p>
            <w:pPr>
              <w:pStyle w:val="TableContents"/>
              <w:bidi w:val="0"/>
              <w:spacing w:before="0" w:after="283"/>
              <w:jc w:val="center"/>
              <w:rPr/>
            </w:pPr>
            <w:r>
              <w:rPr/>
              <w:t> </w:t>
            </w:r>
          </w:p>
        </w:tc>
      </w:tr>
      <w:tr>
        <w:trPr/>
        <w:tc>
          <w:tcPr>
            <w:tcW w:w="549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Disclosures of Cash Flow Information</w:t>
            </w:r>
          </w:p>
        </w:tc>
        <w:tc>
          <w:tcPr>
            <w:tcW w:w="146" w:type="dxa"/>
            <w:tcBorders/>
            <w:shd w:fill="CFF0FC" w:val="clear"/>
            <w:vAlign w:val="center"/>
          </w:tcPr>
          <w:p>
            <w:pPr>
              <w:pStyle w:val="TableContents"/>
              <w:bidi w:val="0"/>
              <w:spacing w:before="0" w:after="283"/>
              <w:jc w:val="left"/>
              <w:rPr/>
            </w:pPr>
            <w:r>
              <w:rPr/>
              <w:t> </w:t>
            </w:r>
          </w:p>
        </w:tc>
        <w:tc>
          <w:tcPr>
            <w:tcW w:w="67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54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paid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1,997</w:t>
            </w:r>
          </w:p>
        </w:tc>
        <w:tc>
          <w:tcPr>
            <w:tcW w:w="191" w:type="dxa"/>
            <w:tcBorders/>
            <w:shd w:fill="FFFFFF" w:val="clear"/>
            <w:vAlign w:val="center"/>
          </w:tcPr>
          <w:p>
            <w:pPr>
              <w:pStyle w:val="TableContents"/>
              <w:bidi w:val="0"/>
              <w:spacing w:before="0" w:after="283"/>
              <w:jc w:val="left"/>
              <w:rPr/>
            </w:pPr>
            <w:r>
              <w:rPr/>
              <w:t> </w:t>
            </w:r>
          </w:p>
        </w:tc>
      </w:tr>
      <w:tr>
        <w:trPr/>
        <w:tc>
          <w:tcPr>
            <w:tcW w:w="549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Disclosures of Non-Cash Investing and Financing</w:t>
              <w:br/>
              <w:t>   Activities:</w:t>
            </w:r>
          </w:p>
        </w:tc>
        <w:tc>
          <w:tcPr>
            <w:tcW w:w="146" w:type="dxa"/>
            <w:tcBorders/>
            <w:shd w:fill="CFF0FC" w:val="clear"/>
            <w:vAlign w:val="center"/>
          </w:tcPr>
          <w:p>
            <w:pPr>
              <w:pStyle w:val="TableContents"/>
              <w:bidi w:val="0"/>
              <w:spacing w:before="0" w:after="283"/>
              <w:jc w:val="left"/>
              <w:rPr/>
            </w:pPr>
            <w:r>
              <w:rPr/>
              <w:t> </w:t>
            </w:r>
          </w:p>
        </w:tc>
        <w:tc>
          <w:tcPr>
            <w:tcW w:w="67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54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costs included in accounts payable and accrued expenses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F-30</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bookmarkStart w:id="39" w:name="sndx-ex4_3.htm"/>
      <w:bookmarkStart w:id="40" w:name="kssndxex4_3"/>
      <w:bookmarkEnd w:id="39"/>
      <w:bookmarkEnd w:id="40"/>
      <w:r>
        <w:rPr>
          <w:rFonts w:ascii="Times New Roman" w:hAnsi="Times New Roman"/>
          <w:color w:val="000000"/>
          <w:sz w:val="20"/>
        </w:rPr>
        <w:t>Exhibit 4.3</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DESCRIPTION OF CAPITAL STOCK</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The following description of our capital stock and provisions of our amended and restated certificate of incorporation and amended and restated bylaws are summaries. You should also refer to the amended and restated certificate of incorporation and the amended and restated bylaws, which are included as an exhibit to our Annual Report on Form 10-K. All references to the “we,” “our,” or “us” refer to Syndax Pharmaceuticals, Inc.</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General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our amended and restated certificate of incorporation we are authorized to issue up to 200,000,000 shares of common stock, par value $0.0001 per share, and 10,000,000 shares of preferred stock, par value $0.001 per share, all of which shares of preferred stock are undesignated. Our board of directors may establish the rights and preferences of the preferred stock from time to time.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Common Stock</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Voting Rights</w:t>
      </w:r>
    </w:p>
    <w:p>
      <w:pPr>
        <w:pStyle w:val="TextBody"/>
        <w:bidi w:val="0"/>
        <w:spacing w:before="120" w:after="283"/>
        <w:jc w:val="left"/>
        <w:rPr>
          <w:rFonts w:ascii="Times New Roman" w:hAnsi="Times New Roman"/>
          <w:sz w:val="20"/>
        </w:rPr>
      </w:pPr>
      <w:r>
        <w:rPr>
          <w:rFonts w:ascii="Times New Roman" w:hAnsi="Times New Roman"/>
          <w:color w:val="000000"/>
          <w:sz w:val="20"/>
        </w:rPr>
        <w:t>Each holder of common stock is entitled to one vote for each share on all matters submitted to a vote of the stockholders. The affirmative vote of holders of at least 66</w:t>
      </w:r>
      <w:r>
        <w:rPr>
          <w:rFonts w:ascii="Times New Roman" w:hAnsi="Times New Roman"/>
          <w:color w:val="000000"/>
          <w:sz w:val="13"/>
        </w:rPr>
        <w:t>2</w:t>
      </w:r>
      <w:r>
        <w:rPr>
          <w:rFonts w:ascii="Times New Roman" w:hAnsi="Times New Roman"/>
          <w:color w:val="000000"/>
          <w:sz w:val="20"/>
        </w:rPr>
        <w:t>⁄</w:t>
      </w:r>
      <w:r>
        <w:rPr>
          <w:rFonts w:ascii="Times New Roman" w:hAnsi="Times New Roman"/>
          <w:color w:val="000000"/>
          <w:sz w:val="13"/>
        </w:rPr>
        <w:t>3</w:t>
      </w:r>
      <w:r>
        <w:rPr>
          <w:rFonts w:ascii="Times New Roman" w:hAnsi="Times New Roman"/>
          <w:color w:val="000000"/>
          <w:sz w:val="20"/>
        </w:rPr>
        <w:t>% of the voting power of all of the then-outstanding shares of capital stock, voting as a single class, will be required to amend certain provisions of our amended and restated certificate of incorporation, including provisions relating to amending our amended and restated bylaws, the classified board, the size of our board, removal of directors, director liability, vacancies on our board, special meetings, stockholder notices, actions by written consent and exclusive jurisdiction.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Dividends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Subject to preferences that may apply to any outstanding preferred stock, holders of our common stock are entitled to receive ratably any dividends that our board of directors may declare out of funds legally available for that purpose on a non-cumulative basis.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Liquidation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event of our liquidation, dissolution or winding up, holders of our common stock are entitled to share ratably in all assets remaining after payment of liabilities and the liquidation preference of any outstanding preferred stock.</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Rights and Preferences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Holders of our common stock have no preemptive, conversion, subscription or other rights, and there are no redemption or sinking fund provisions applicable to our common stock. The rights, preferences and privileges of the holders of our common stock are subject to and may be adversely affected by the rights of the holders of shares of any series of our preferred stock that we may designate in the future.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Preferred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our amended and restated certificate of incorporation, our board of directors has the authority, without further action by our stockholders, to issue up to 10,000,000 shares of preferred stock in one or more series and to fix the number, rights, preferences, privileges and restrictions thereof. These rights, preferences and privileges could include dividend rights, conversion rights, voting rights, terms of redemption, liquidation preferences and sinking fund terms, and the number of shares constituting any series or the designation of such</w:t>
      </w:r>
    </w:p>
    <w:p>
      <w:pPr>
        <w:pStyle w:val="TextBody"/>
        <w:bidi w:val="0"/>
        <w:jc w:val="left"/>
        <w:rPr>
          <w:rFonts w:ascii="Times New Roman" w:hAnsi="Times New Roman"/>
          <w:color w:val="000000"/>
          <w:sz w:val="20"/>
        </w:rPr>
      </w:pPr>
      <w:r>
        <w:rPr>
          <w:rFonts w:ascii="Times New Roman" w:hAnsi="Times New Roman"/>
          <w:color w:val="000000"/>
          <w:sz w:val="20"/>
        </w:rPr>
        <w:t xml:space="preserve">series, any or all of which may be greater than the rights of common stock. The issuance of our preferred stock could adversely affect the voting power of holders of common stock and the likelihood that such holders will receive dividend payments and payments upon liquidation. In addition, the issuance of preferred stock could have the effect of delaying, deferring or preventing a change of control or other corporate action, or make the removal of management more difficult.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Anti-Takeover Provisions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Amended and Restated Certificate of Incorporation and Amended and Restated Bylaws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amended and restated certificate of incorporation and amended and restated bylaws include a number of provisions that may deter or impede hostile takeovers or changes of control or management. These provisions include: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Issuance of Undesignated Preferred Stock.</w:t>
      </w:r>
      <w:r>
        <w:rPr>
          <w:color w:val="000000"/>
        </w:rPr>
        <w:t xml:space="preserve"> </w:t>
      </w:r>
      <w:r>
        <w:rPr>
          <w:rFonts w:ascii="Times New Roman" w:hAnsi="Times New Roman"/>
          <w:color w:val="000000"/>
          <w:sz w:val="20"/>
        </w:rPr>
        <w:t>Our board of directors has the authority, without further action by the stockholders, to issue up to 10,000,000 shares of undesignated preferred stock with rights and preferences, including voting rights, designated from time to time by our board of directors. The existence of authorized but unissued shares of preferred stock enables our board of directors to make it more difficult or to discourage an attempt to obtain control of us by means of a merger, tender offer, proxy contest or otherwise.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Classified Board.</w:t>
      </w:r>
      <w:r>
        <w:rPr>
          <w:color w:val="000000"/>
        </w:rPr>
        <w:t xml:space="preserve"> </w:t>
      </w:r>
      <w:r>
        <w:rPr>
          <w:rFonts w:ascii="Times New Roman" w:hAnsi="Times New Roman"/>
          <w:color w:val="000000"/>
          <w:sz w:val="20"/>
        </w:rPr>
        <w:t>Our amended and restated certificate of incorporation provides for a classified board of directors consisting of three classes of directors, with staggered three-year terms. Only one class of directors will be elected at each annual meeting of our stockholders, with the other classes continuing for the remainder of their respective three-year terms. This provision may have the effect of delaying a change in control of our board.</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Board of Directors Vacancies.</w:t>
      </w:r>
      <w:r>
        <w:rPr>
          <w:color w:val="000000"/>
        </w:rPr>
        <w:t xml:space="preserve"> </w:t>
      </w:r>
      <w:r>
        <w:rPr>
          <w:rFonts w:ascii="Times New Roman" w:hAnsi="Times New Roman"/>
          <w:color w:val="000000"/>
          <w:sz w:val="20"/>
        </w:rPr>
        <w:t>Our amended and restated certificate of incorporation and amended and restated bylaws authorize only our board of directors to fill vacant directorships. In addition, the number of directors constituting our board of directors may be set only by resolution adopted by a majority vote of our entire board of directors. These provisions prevent a stockholder from increasing the size of our board of directors and gaining control of our board of directors by filling the resulting vacancies with its own nominee.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Stockholder Action; Special Meetings of Stockholders.</w:t>
      </w:r>
      <w:r>
        <w:rPr>
          <w:color w:val="000000"/>
        </w:rPr>
        <w:t xml:space="preserve"> </w:t>
      </w:r>
      <w:r>
        <w:rPr>
          <w:rFonts w:ascii="Times New Roman" w:hAnsi="Times New Roman"/>
          <w:color w:val="000000"/>
          <w:sz w:val="20"/>
        </w:rPr>
        <w:t>Our amended and restated certificate of incorporation provides that our stockholders may not take action by written consent, but may only take action at annual or special meetings of our stockholders. Stockholders will not be permitted to cumulate their votes for the election of directors. Our amended and restated certificate of incorporation further provides that only the chairman of our board of directors or a majority of our board of directors may call special meetings of our stockholders.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Advance Notice Requirements for Stockholder Proposals and Director Nominations.</w:t>
      </w:r>
      <w:r>
        <w:rPr>
          <w:color w:val="000000"/>
        </w:rPr>
        <w:t xml:space="preserve"> </w:t>
      </w:r>
      <w:r>
        <w:rPr>
          <w:rFonts w:ascii="Times New Roman" w:hAnsi="Times New Roman"/>
          <w:color w:val="000000"/>
          <w:sz w:val="20"/>
        </w:rPr>
        <w:t>Our amended and restated bylaws provide advance notice procedures for stockholders seeking to bring business before our annual meeting of stockholders, or to nominate candidates for election as directors at our annual meeting of stockholders. Our amended and restated bylaws also specify certain requirements as to the form and content of a stockholder’s notice. These provisions may make it more difficult for our stockholders to bring matters before our annual meeting of stockholders or to nominate directors at annual meetings of stockholders.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designed these provisions to enhance the likelihood of continued stability in the composition of our board of directors and its policies, to discourage certain types of transactions that may involve an actual or threatened acquisition of us, and to reduce our vulnerability to an unsolicited acquisition proposal. We also designed these provisions to discourage certain tactics that may be used in proxy fights. However, these provisions could have the effect of discouraging others from making tender offers for our shares and, as a consequence, they may also reduce fluctuations in the market price of our shares that could result from actual or rumored takeover attempts.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Section 203 of the Delaware General Corporation Law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Section 203 of the DGCL, which prohibits a Delaware corporation from engaging in any business combination with any interested stockholder for a period of three years after the date that such stockholder became an interested stockholder, with the following exceptions: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before such date, the board of directors of the corporation approved either the business combination or the transaction that resulted in the stockholder becoming an interested stockholder;</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on or after such date, the business combination is approved by the board of directors and authorized at an annual or special meeting of the stockholders, and not by written consent, by the affirmative vote of at least 66</w:t>
      </w:r>
      <w:r>
        <w:rPr>
          <w:rFonts w:ascii="Times New Roman" w:hAnsi="Times New Roman"/>
          <w:color w:val="000000"/>
          <w:sz w:val="13"/>
        </w:rPr>
        <w:t>2</w:t>
      </w:r>
      <w:r>
        <w:rPr>
          <w:color w:val="000000"/>
        </w:rPr>
        <w:t>⁄</w:t>
      </w:r>
      <w:r>
        <w:rPr>
          <w:rFonts w:ascii="Times New Roman" w:hAnsi="Times New Roman"/>
          <w:color w:val="000000"/>
          <w:sz w:val="13"/>
        </w:rPr>
        <w:t>3</w:t>
      </w:r>
      <w:r>
        <w:rPr>
          <w:rFonts w:ascii="Times New Roman" w:hAnsi="Times New Roman"/>
          <w:color w:val="000000"/>
          <w:sz w:val="20"/>
        </w:rPr>
        <w:t>% of the outstanding voting stock that is not owned by the interested stockholder.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general, Section 203 defines a “business combination” to include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merger or consolidation involving the corporation and the interested stockholder;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sale, transfer, pledge or other disposition of 10% or more of the assets of the corporation involving the interested stockholder;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subject to certain exceptions, any transaction that results in the issuance or transfer by the corporation of any stock of the corporation to the interested stockholder;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transaction involving the corporation that has the effect of increasing the proportionate share of the stock or any class or series of the corporation beneficially owned by the interested stockholder;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receipt by the interested stockholder of the benefit of any loans, advances, guarantees, pledges or other financial benefits by or through the corporation.</w:t>
      </w:r>
    </w:p>
    <w:p>
      <w:pPr>
        <w:pStyle w:val="TextBody"/>
        <w:bidi w:val="0"/>
        <w:jc w:val="left"/>
        <w:rPr>
          <w:rFonts w:ascii="Times New Roman" w:hAnsi="Times New Roman"/>
          <w:color w:val="000000"/>
          <w:sz w:val="20"/>
        </w:rPr>
      </w:pPr>
      <w:r>
        <w:rPr>
          <w:rFonts w:ascii="Times New Roman" w:hAnsi="Times New Roman"/>
          <w:color w:val="000000"/>
          <w:sz w:val="20"/>
        </w:rPr>
        <w:t>In general, Section 203 defines an “interested stockholder” as an entity or person who, together with the entity or person’s affiliates and associates, beneficially owns, or is an affiliate or associate of the corporation and within three years prior to the time of determination of interested stockholder status did own, 15% or more of the outstanding voting stock of the corporation.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Delaware corporation may “opt out” of these provisions with an express provision in its certificate of incorporation. We have not opted out of these provisions, which may as a result, discourage or prevent mergers or other takeover or change of control attempts of us.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Choice of Forum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amended and restated certificate of incorporation will provide that unless we consent in writing to the selection of an alternative forum, the Court of Chancery of the State of Delaware shall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the Court of Chancery of the State of Delaware will be the exclusive forum for (1) any derivative action or proceeding brought on our behalf, (2) any action or proceeding commenced by any of our stockholders (including any class action) asserting a breach of fiduciary duty owed, or other wrongdoing, by any director, officer, employee or agent to us or our stockholders, (3) any action or proceeding commenced by any of our stockholders (including any class action) asserting a claim against us arising pursuant to the DGCL or our amended and restated certificate of incorporation or our amended and restated bylaws, (4) any action or proceeding commenced by any of our stockholders (including any class action) to interpret, apply, enforce or determine the validity of our amended and restated certificate of incorporation or our amended and restated bylaws, or (5) any action or proceeding commenced by any of our stockholders (including any class action) asserting a claim against us that is governed by the internal affairs doctrine.</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2"/>
        </w:rPr>
      </w:pPr>
      <w:bookmarkStart w:id="41" w:name="sndx-ex10_16.htm"/>
      <w:bookmarkStart w:id="42" w:name="kssndxex10_16"/>
      <w:bookmarkEnd w:id="41"/>
      <w:bookmarkEnd w:id="42"/>
      <w:r>
        <w:rPr>
          <w:rFonts w:ascii="Times New Roman" w:hAnsi="Times New Roman"/>
          <w:color w:val="000000"/>
          <w:sz w:val="22"/>
        </w:rPr>
        <w:t>Exhibit 10.16</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SYNDAX PHARMACEUTICALS, INC.</w:t>
      </w:r>
    </w:p>
    <w:p>
      <w:pPr>
        <w:pStyle w:val="TextBody"/>
        <w:bidi w:val="0"/>
        <w:jc w:val="center"/>
        <w:rPr>
          <w:rFonts w:ascii="Times New Roman" w:hAnsi="Times New Roman"/>
          <w:b/>
          <w:color w:val="000000"/>
          <w:sz w:val="20"/>
        </w:rPr>
      </w:pPr>
      <w:r>
        <w:rPr>
          <w:rFonts w:ascii="Times New Roman" w:hAnsi="Times New Roman"/>
          <w:b/>
          <w:color w:val="000000"/>
          <w:sz w:val="20"/>
        </w:rPr>
        <w:t>2023 INDUCEMENT PLAN</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As Amended: December 6, 2023</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Syndax Pharmaceuticals, Inc., a Delaware corporation (the “</w:t>
      </w:r>
      <w:r>
        <w:rPr>
          <w:rFonts w:ascii="Times New Roman" w:hAnsi="Times New Roman"/>
          <w:b/>
          <w:color w:val="000000"/>
          <w:sz w:val="20"/>
        </w:rPr>
        <w:t>Company</w:t>
      </w:r>
      <w:r>
        <w:rPr>
          <w:rFonts w:ascii="Times New Roman" w:hAnsi="Times New Roman"/>
          <w:color w:val="000000"/>
          <w:sz w:val="20"/>
        </w:rPr>
        <w:t>”), sets forth herein the terms of its 2023 Inducement Plan (the “</w:t>
      </w:r>
      <w:r>
        <w:rPr>
          <w:rFonts w:ascii="Times New Roman" w:hAnsi="Times New Roman"/>
          <w:b/>
          <w:color w:val="000000"/>
          <w:sz w:val="20"/>
        </w:rPr>
        <w:t>Plan</w:t>
      </w:r>
      <w:r>
        <w:rPr>
          <w:rFonts w:ascii="Times New Roman" w:hAnsi="Times New Roman"/>
          <w:color w:val="000000"/>
          <w:sz w:val="20"/>
        </w:rPr>
        <w:t>”), as follows:</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1.</w:t>
      </w:r>
    </w:p>
    <w:p>
      <w:pPr>
        <w:pStyle w:val="TextBody"/>
        <w:bidi w:val="0"/>
        <w:jc w:val="both"/>
        <w:rPr>
          <w:rFonts w:ascii="Times New Roman" w:hAnsi="Times New Roman"/>
          <w:b/>
          <w:color w:val="000000"/>
          <w:sz w:val="20"/>
        </w:rPr>
      </w:pPr>
      <w:r>
        <w:rPr>
          <w:rFonts w:ascii="Times New Roman" w:hAnsi="Times New Roman"/>
          <w:b/>
          <w:color w:val="000000"/>
          <w:sz w:val="20"/>
        </w:rPr>
        <w:t>GENERAL</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1.1</w:t>
      </w:r>
    </w:p>
    <w:p>
      <w:pPr>
        <w:pStyle w:val="TextBody"/>
        <w:bidi w:val="0"/>
        <w:jc w:val="both"/>
        <w:rPr>
          <w:rFonts w:ascii="Times New Roman" w:hAnsi="Times New Roman"/>
          <w:b/>
          <w:color w:val="000000"/>
          <w:sz w:val="20"/>
        </w:rPr>
      </w:pPr>
      <w:r>
        <w:rPr>
          <w:rFonts w:ascii="Times New Roman" w:hAnsi="Times New Roman"/>
          <w:b/>
          <w:color w:val="000000"/>
          <w:sz w:val="20"/>
        </w:rPr>
        <w:t>Purpose.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This Plan is intended to provide (a) an inducement material for certain individuals to enter into employment with the Company within the meaning of Rule 5635(c)(4) of the NASDAQ Marketplace Rules, and (b) incentives to Eligible Employees to stimulate their efforts towards the success of the Company and to operate and manage its business in a manner that will provide for the long-term growth and profitability of the Company. To that end, the Plan provides for the grant of Awards of Options, Stock Appreciation Rights, Restricted Stock, Unrestricted Stock, Stock Units, Dividend Equivalent Rights, Performance Awards, and Other Equity-Based Awards.</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1.2</w:t>
      </w:r>
    </w:p>
    <w:p>
      <w:pPr>
        <w:pStyle w:val="TextBody"/>
        <w:bidi w:val="0"/>
        <w:jc w:val="both"/>
        <w:rPr>
          <w:rFonts w:ascii="Times New Roman" w:hAnsi="Times New Roman"/>
          <w:b/>
          <w:color w:val="000000"/>
          <w:sz w:val="20"/>
        </w:rPr>
      </w:pPr>
      <w:r>
        <w:rPr>
          <w:rFonts w:ascii="Times New Roman" w:hAnsi="Times New Roman"/>
          <w:b/>
          <w:color w:val="000000"/>
          <w:sz w:val="20"/>
        </w:rPr>
        <w:t xml:space="preserve">Eligible Award Recipients.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The only persons eligible to receive grants of Awards under this Plan are individuals who satisfy the standards for inducement grants under NASDAQ Marketplace Rule 5635(c)(4) or 5635(c)(3), if applicable, and the related guidance under NASDAQ IM 5635-1. A person who previously served as an Employee or Director will not be eligible to receive Awards under the Plan, other than following a </w:t>
      </w:r>
      <w:r>
        <w:rPr>
          <w:rFonts w:ascii="Times New Roman" w:hAnsi="Times New Roman"/>
          <w:i/>
          <w:color w:val="000000"/>
          <w:sz w:val="20"/>
        </w:rPr>
        <w:t xml:space="preserve">bona fide </w:t>
      </w:r>
      <w:r>
        <w:rPr>
          <w:rFonts w:ascii="Times New Roman" w:hAnsi="Times New Roman"/>
          <w:color w:val="000000"/>
          <w:sz w:val="20"/>
        </w:rPr>
        <w:t>period of non-employment. Persons eligible to receive grants of Awards under this Plan are referred to in this Plan as “</w:t>
      </w:r>
      <w:r>
        <w:rPr>
          <w:rFonts w:ascii="Times New Roman" w:hAnsi="Times New Roman"/>
          <w:b/>
          <w:color w:val="000000"/>
          <w:sz w:val="20"/>
        </w:rPr>
        <w:t>Eligible Employees</w:t>
      </w:r>
      <w:r>
        <w:rPr>
          <w:rFonts w:ascii="Times New Roman" w:hAnsi="Times New Roman"/>
          <w:color w:val="000000"/>
          <w:sz w:val="20"/>
        </w:rPr>
        <w:t>.” These Awards must be approved by either a majority of the Company’s “Independent Directors” (as such term is defined in NASDAQ Marketplace Rule 5605(a)(2)) (“</w:t>
      </w:r>
      <w:r>
        <w:rPr>
          <w:rFonts w:ascii="Times New Roman" w:hAnsi="Times New Roman"/>
          <w:b/>
          <w:color w:val="000000"/>
          <w:sz w:val="20"/>
        </w:rPr>
        <w:t>Independent Directors</w:t>
      </w:r>
      <w:r>
        <w:rPr>
          <w:rFonts w:ascii="Times New Roman" w:hAnsi="Times New Roman"/>
          <w:color w:val="000000"/>
          <w:sz w:val="20"/>
        </w:rPr>
        <w:t>”) or the Company’s compensation committee, provided such committee is comprised solely of Independent Directors of the Company (the “</w:t>
      </w:r>
      <w:r>
        <w:rPr>
          <w:rFonts w:ascii="Times New Roman" w:hAnsi="Times New Roman"/>
          <w:b/>
          <w:color w:val="000000"/>
          <w:sz w:val="20"/>
        </w:rPr>
        <w:t>Independent Compensation Committee</w:t>
      </w:r>
      <w:r>
        <w:rPr>
          <w:rFonts w:ascii="Times New Roman" w:hAnsi="Times New Roman"/>
          <w:color w:val="000000"/>
          <w:sz w:val="20"/>
        </w:rPr>
        <w:t>”) in order to comply with the exemption from the stockholder approval requirement for “inducement grants” provided under Rule 5635(c)(4) of the NASDAQ Marketplace Rules. NASDAQ Marketplace Rule 5635(c)(4) and the related guidance under NASDAQ IM 5635-1 (together with any analogous rules or guidance effective after the date hereof, the “</w:t>
      </w:r>
      <w:r>
        <w:rPr>
          <w:rFonts w:ascii="Times New Roman" w:hAnsi="Times New Roman"/>
          <w:b/>
          <w:color w:val="000000"/>
          <w:sz w:val="20"/>
        </w:rPr>
        <w:t>Inducement Award Rules</w:t>
      </w:r>
      <w:r>
        <w:rPr>
          <w:rFonts w:ascii="Times New Roman" w:hAnsi="Times New Roman"/>
          <w:color w:val="000000"/>
          <w:sz w:val="20"/>
        </w:rPr>
        <w:t>”).</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2.</w:t>
      </w:r>
    </w:p>
    <w:p>
      <w:pPr>
        <w:pStyle w:val="TextBody"/>
        <w:bidi w:val="0"/>
        <w:jc w:val="both"/>
        <w:rPr>
          <w:rFonts w:ascii="Times New Roman" w:hAnsi="Times New Roman"/>
          <w:b/>
          <w:color w:val="000000"/>
          <w:sz w:val="20"/>
        </w:rPr>
      </w:pPr>
      <w:r>
        <w:rPr>
          <w:rFonts w:ascii="Times New Roman" w:hAnsi="Times New Roman"/>
          <w:b/>
          <w:color w:val="000000"/>
          <w:sz w:val="20"/>
        </w:rPr>
        <w:t>DEFINITIONS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For purposes of interpreting the Plan and related documents (including Award Agreements), the following definitions shall apply:</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2.1</w:t>
      </w:r>
    </w:p>
    <w:p>
      <w:pPr>
        <w:pStyle w:val="TextBody"/>
        <w:bidi w:val="0"/>
        <w:jc w:val="both"/>
        <w:rPr/>
      </w:pPr>
      <w:r>
        <w:rPr>
          <w:color w:val="000000"/>
        </w:rPr>
        <w:t>“</w:t>
      </w:r>
      <w:r>
        <w:rPr>
          <w:rFonts w:ascii="Times New Roman" w:hAnsi="Times New Roman"/>
          <w:b/>
          <w:color w:val="000000"/>
          <w:sz w:val="20"/>
        </w:rPr>
        <w:t>Affiliate</w:t>
      </w:r>
      <w:r>
        <w:rPr>
          <w:color w:val="000000"/>
        </w:rPr>
        <w:t xml:space="preserve">” </w:t>
      </w:r>
      <w:r>
        <w:rPr>
          <w:rFonts w:ascii="Times New Roman" w:hAnsi="Times New Roman"/>
          <w:color w:val="000000"/>
          <w:sz w:val="20"/>
        </w:rPr>
        <w:t>means, with respect to the Company, any company or other trade or business that controls, is controlled by, or is under common control with, the Company within the meaning of Rule 405 of Regulation C under the Securities Act, including, without limitation, any Subsidiary. For purposes of grants of Options or Stock Appreciation Rights, an entity may not be considered an Affiliate of the Company unless the Company holds a “controlling interest” in such entity, where the term “controlling interest” has the same meaning as provided in Treasury Regulation Section 1.414(c)-2(b)(2)(i), provided that the language “at least 50 percent” is used instead of “at least 80 percent” and, provided further, that where granting of Options or Stock Appreciation Rights is based upon a legitimate business criteria, the language “at least 20 percent” is used instead of “at least 80 percent” each place it appears in Treasury Regulation Section 1.414(c)-2(b)(2)(i).</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2.2</w:t>
      </w:r>
    </w:p>
    <w:p>
      <w:pPr>
        <w:pStyle w:val="TextBody"/>
        <w:bidi w:val="0"/>
        <w:jc w:val="both"/>
        <w:rPr/>
      </w:pPr>
      <w:r>
        <w:rPr>
          <w:color w:val="000000"/>
        </w:rPr>
        <w:t>“</w:t>
      </w:r>
      <w:r>
        <w:rPr>
          <w:rFonts w:ascii="Times New Roman" w:hAnsi="Times New Roman"/>
          <w:b/>
          <w:color w:val="000000"/>
          <w:sz w:val="20"/>
        </w:rPr>
        <w:t>Applicable Laws</w:t>
      </w:r>
      <w:r>
        <w:rPr>
          <w:color w:val="000000"/>
        </w:rPr>
        <w:t xml:space="preserve">” </w:t>
      </w:r>
      <w:r>
        <w:rPr>
          <w:rFonts w:ascii="Times New Roman" w:hAnsi="Times New Roman"/>
          <w:color w:val="000000"/>
          <w:sz w:val="20"/>
        </w:rPr>
        <w:t>means the legal requirements relating to the Plan and the Awards under (a) applicable provisions of the Code, the Securities Act, the Exchange Act, any rules or regulations thereunder, and any other laws, rules, regulations, and government orders of any jurisdiction applicable to the Company or its Affiliates, (b) applicable provisions of the corporate, securities, tax and other laws, rules, regulations and government orders of any jurisdiction applicable to Awards granted to residents thereof, and (c) the rules of any Stock Exchange or Securities Market on which the Stock is listed or publicly traded.</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2.3</w:t>
      </w:r>
    </w:p>
    <w:p>
      <w:pPr>
        <w:pStyle w:val="TextBody"/>
        <w:bidi w:val="0"/>
        <w:jc w:val="both"/>
        <w:rPr/>
      </w:pPr>
      <w:r>
        <w:rPr>
          <w:color w:val="000000"/>
        </w:rPr>
        <w:t>“</w:t>
      </w:r>
      <w:r>
        <w:rPr>
          <w:rFonts w:ascii="Times New Roman" w:hAnsi="Times New Roman"/>
          <w:b/>
          <w:color w:val="000000"/>
          <w:sz w:val="20"/>
        </w:rPr>
        <w:t>Award</w:t>
      </w:r>
      <w:r>
        <w:rPr>
          <w:color w:val="000000"/>
        </w:rPr>
        <w:t xml:space="preserve">” </w:t>
      </w:r>
      <w:r>
        <w:rPr>
          <w:rFonts w:ascii="Times New Roman" w:hAnsi="Times New Roman"/>
          <w:color w:val="000000"/>
          <w:sz w:val="20"/>
        </w:rPr>
        <w:t>means a grant of an Option, Stock Appreciation Right, Restricted Stock, Unrestricted Stock, Stock Units, Dividend Equivalent Right, Performance Award, or Other Equity-Based Award under the Plan.</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2.4</w:t>
      </w:r>
    </w:p>
    <w:p>
      <w:pPr>
        <w:pStyle w:val="TextBody"/>
        <w:bidi w:val="0"/>
        <w:spacing w:before="0" w:after="0"/>
        <w:jc w:val="both"/>
        <w:rPr/>
      </w:pPr>
      <w:r>
        <w:rPr>
          <w:color w:val="000000"/>
        </w:rPr>
        <w:t>“</w:t>
      </w:r>
      <w:r>
        <w:rPr>
          <w:rFonts w:ascii="Times New Roman" w:hAnsi="Times New Roman"/>
          <w:b/>
          <w:color w:val="000000"/>
          <w:sz w:val="20"/>
        </w:rPr>
        <w:t>Award Agreement</w:t>
      </w:r>
      <w:r>
        <w:rPr>
          <w:color w:val="000000"/>
        </w:rPr>
        <w:t xml:space="preserve">” </w:t>
      </w:r>
      <w:r>
        <w:rPr>
          <w:rFonts w:ascii="Times New Roman" w:hAnsi="Times New Roman"/>
          <w:color w:val="000000"/>
          <w:sz w:val="20"/>
        </w:rPr>
        <w:t xml:space="preserve">means the written agreement, in such written, electronic, or other form as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determined by the Committee, between the Company and a Grantee that evidences and sets forth the terms and conditions of an Award.</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2.5</w:t>
      </w:r>
    </w:p>
    <w:p>
      <w:pPr>
        <w:pStyle w:val="TextBody"/>
        <w:bidi w:val="0"/>
        <w:jc w:val="both"/>
        <w:rPr/>
      </w:pPr>
      <w:r>
        <w:rPr>
          <w:color w:val="000000"/>
        </w:rPr>
        <w:t>“</w:t>
      </w:r>
      <w:r>
        <w:rPr>
          <w:rFonts w:ascii="Times New Roman" w:hAnsi="Times New Roman"/>
          <w:b/>
          <w:color w:val="000000"/>
          <w:sz w:val="20"/>
        </w:rPr>
        <w:t>Benefit Arrangement</w:t>
      </w:r>
      <w:r>
        <w:rPr>
          <w:color w:val="000000"/>
        </w:rPr>
        <w:t xml:space="preserve">” </w:t>
      </w:r>
      <w:r>
        <w:rPr>
          <w:rFonts w:ascii="Times New Roman" w:hAnsi="Times New Roman"/>
          <w:color w:val="000000"/>
          <w:sz w:val="20"/>
        </w:rPr>
        <w:t xml:space="preserve">shall have the meaning set forth in </w:t>
      </w:r>
      <w:r>
        <w:rPr>
          <w:rFonts w:ascii="Times New Roman" w:hAnsi="Times New Roman"/>
          <w:b/>
          <w:color w:val="000000"/>
          <w:sz w:val="20"/>
        </w:rPr>
        <w:t>Section 15</w:t>
      </w:r>
      <w:r>
        <w:rPr>
          <w:rFonts w:ascii="Times New Roman" w:hAnsi="Times New Roman"/>
          <w:color w:val="000000"/>
          <w:sz w:val="20"/>
        </w:rPr>
        <w:t>.</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2.6</w:t>
      </w:r>
    </w:p>
    <w:p>
      <w:pPr>
        <w:pStyle w:val="TextBody"/>
        <w:bidi w:val="0"/>
        <w:jc w:val="both"/>
        <w:rPr/>
      </w:pPr>
      <w:r>
        <w:rPr>
          <w:color w:val="000000"/>
        </w:rPr>
        <w:t>“</w:t>
      </w:r>
      <w:r>
        <w:rPr>
          <w:rFonts w:ascii="Times New Roman" w:hAnsi="Times New Roman"/>
          <w:b/>
          <w:color w:val="000000"/>
          <w:sz w:val="20"/>
        </w:rPr>
        <w:t>Board</w:t>
      </w:r>
      <w:r>
        <w:rPr>
          <w:color w:val="000000"/>
        </w:rPr>
        <w:t xml:space="preserve">” </w:t>
      </w:r>
      <w:r>
        <w:rPr>
          <w:rFonts w:ascii="Times New Roman" w:hAnsi="Times New Roman"/>
          <w:color w:val="000000"/>
          <w:sz w:val="20"/>
        </w:rPr>
        <w:t>means the Board of Directors of the Company.</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2.7</w:t>
      </w:r>
    </w:p>
    <w:p>
      <w:pPr>
        <w:pStyle w:val="TextBody"/>
        <w:bidi w:val="0"/>
        <w:jc w:val="both"/>
        <w:rPr/>
      </w:pPr>
      <w:r>
        <w:rPr>
          <w:color w:val="000000"/>
        </w:rPr>
        <w:t>“</w:t>
      </w:r>
      <w:r>
        <w:rPr>
          <w:rFonts w:ascii="Times New Roman" w:hAnsi="Times New Roman"/>
          <w:b/>
          <w:color w:val="000000"/>
          <w:sz w:val="20"/>
        </w:rPr>
        <w:t>Capital Stock</w:t>
      </w:r>
      <w:r>
        <w:rPr>
          <w:color w:val="000000"/>
        </w:rPr>
        <w:t xml:space="preserve">” </w:t>
      </w:r>
      <w:r>
        <w:rPr>
          <w:rFonts w:ascii="Times New Roman" w:hAnsi="Times New Roman"/>
          <w:color w:val="000000"/>
          <w:sz w:val="20"/>
        </w:rPr>
        <w:t>shall mean, with respect to any Person, any and all shares, interests, participations, or other equivalents (however designated, whether voting or non-voting) in equity of such Person, whether outstanding on the Effective Date or issued thereafter, including, without limitation, all shares of Stock.</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2.8</w:t>
      </w:r>
    </w:p>
    <w:p>
      <w:pPr>
        <w:pStyle w:val="TextBody"/>
        <w:bidi w:val="0"/>
        <w:jc w:val="both"/>
        <w:rPr/>
      </w:pPr>
      <w:r>
        <w:rPr>
          <w:color w:val="000000"/>
        </w:rPr>
        <w:t>“</w:t>
      </w:r>
      <w:r>
        <w:rPr>
          <w:rFonts w:ascii="Times New Roman" w:hAnsi="Times New Roman"/>
          <w:b/>
          <w:color w:val="000000"/>
          <w:sz w:val="20"/>
        </w:rPr>
        <w:t>Cause</w:t>
      </w:r>
      <w:r>
        <w:rPr>
          <w:color w:val="000000"/>
        </w:rPr>
        <w:t xml:space="preserve">” </w:t>
      </w:r>
      <w:r>
        <w:rPr>
          <w:rFonts w:ascii="Times New Roman" w:hAnsi="Times New Roman"/>
          <w:color w:val="000000"/>
          <w:sz w:val="20"/>
        </w:rPr>
        <w:t xml:space="preserve">shall have the meaning set forth in an applicable agreement between a Grantee and the Company or an Affiliate, and in the absence of such agreement, shall mean, with respect to any Grantee and as determined by the Board, (i) gross negligence or willful misconduct in connection with the performance of duties; (ii) conviction of, or pleading guilty or </w:t>
      </w:r>
      <w:r>
        <w:rPr>
          <w:rFonts w:ascii="Times New Roman" w:hAnsi="Times New Roman"/>
          <w:i/>
          <w:color w:val="000000"/>
          <w:sz w:val="20"/>
        </w:rPr>
        <w:t xml:space="preserve">nolo contendere </w:t>
      </w:r>
      <w:r>
        <w:rPr>
          <w:rFonts w:ascii="Times New Roman" w:hAnsi="Times New Roman"/>
          <w:color w:val="000000"/>
          <w:sz w:val="20"/>
        </w:rPr>
        <w:t>to, a criminal offense (other than minor traffic offenses); (iii) a material violation of a Company policy; or (iv) a material breach of any term of any employment, consulting, or other services, confidentiality, intellectual property, or non-competition agreements, if any, between such Grantee and the Company or an Affiliate. Any determination by the Committee regarding whether an event constituting Cause shall have occurred shall be final, binding, and conclusive.</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2.9</w:t>
      </w:r>
    </w:p>
    <w:p>
      <w:pPr>
        <w:pStyle w:val="TextBody"/>
        <w:bidi w:val="0"/>
        <w:spacing w:before="0" w:after="0"/>
        <w:jc w:val="both"/>
        <w:rPr/>
      </w:pPr>
      <w:r>
        <w:rPr>
          <w:color w:val="000000"/>
        </w:rPr>
        <w:t>“</w:t>
      </w:r>
      <w:r>
        <w:rPr>
          <w:rFonts w:ascii="Times New Roman" w:hAnsi="Times New Roman"/>
          <w:b/>
          <w:color w:val="000000"/>
          <w:sz w:val="20"/>
        </w:rPr>
        <w:t>Change in Control</w:t>
      </w:r>
      <w:r>
        <w:rPr>
          <w:color w:val="000000"/>
        </w:rPr>
        <w:t xml:space="preserve">” </w:t>
      </w:r>
      <w:r>
        <w:rPr>
          <w:rFonts w:ascii="Times New Roman" w:hAnsi="Times New Roman"/>
          <w:color w:val="000000"/>
          <w:sz w:val="20"/>
        </w:rPr>
        <w:t xml:space="preserve">shall mean, subject to </w:t>
      </w:r>
      <w:r>
        <w:rPr>
          <w:rFonts w:ascii="Times New Roman" w:hAnsi="Times New Roman"/>
          <w:b/>
          <w:color w:val="000000"/>
          <w:sz w:val="20"/>
        </w:rPr>
        <w:t>Section 18.9</w:t>
      </w:r>
      <w:r>
        <w:rPr>
          <w:rFonts w:ascii="Times New Roman" w:hAnsi="Times New Roman"/>
          <w:color w:val="000000"/>
          <w:sz w:val="20"/>
        </w:rPr>
        <w:t>, the occurrence of any of the following:</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(a)</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 transaction or a series of related transactions whereby any person (as defined in Sections 13(d) and 14(d)(2) of the Exchange Act) or Group (other than the Company or any Affiliate) becomes the Beneficial Owner of more than fifty percent (50%) of the total voting power of the Voting Stock of the Company, on a Fully Diluted Basis;</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(b)</w:t>
      </w:r>
    </w:p>
    <w:p>
      <w:pPr>
        <w:pStyle w:val="TextBody"/>
        <w:bidi w:val="0"/>
        <w:spacing w:before="0" w:after="0"/>
        <w:jc w:val="both"/>
        <w:rPr/>
      </w:pPr>
      <w:r>
        <w:rPr>
          <w:rFonts w:ascii="Times New Roman" w:hAnsi="Times New Roman"/>
          <w:color w:val="000000"/>
          <w:sz w:val="20"/>
        </w:rPr>
        <w:t>Individuals who, as of the Effective Date, constitute the Board (the “</w:t>
      </w:r>
      <w:r>
        <w:rPr>
          <w:rFonts w:ascii="Times New Roman" w:hAnsi="Times New Roman"/>
          <w:b/>
          <w:color w:val="000000"/>
          <w:sz w:val="20"/>
        </w:rPr>
        <w:t>Incumbent Board</w:t>
      </w:r>
      <w:r>
        <w:rPr>
          <w:color w:val="000000"/>
        </w:rPr>
        <w:t>”</w:t>
      </w:r>
      <w:r>
        <w:rPr>
          <w:rFonts w:ascii="Times New Roman" w:hAnsi="Times New Roman"/>
          <w:color w:val="000000"/>
          <w:sz w:val="20"/>
        </w:rPr>
        <w:t>) (together with any new directors whose election by such Incumbent Board or whose nomination by such Incumbent Board for election by the stockholders of the Company was approved by a vote of at least a majority of the members of such Incumbent Board then in office who either were members of such Incumbent Board or whose election or nomination for election was previously so approved) cease for any reason to constitute a majority of the members of such Board then in office;</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(c)</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Company consolidates with, or merges with or into, any Person, or any Person consolidates with, or merges with or into, the Company (regardless of whether the Company is the surviving Person), other than any such transaction in which the Prior Stockholders own directly or indirectly at least a majority of the voting power of the Voting Stock of the surviving Person in such reorganization, merger, or consolidation transaction immediately after such transaction;</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(d)</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consummation of any direct or indirect sale, lease, transfer, conveyance, or other disposition (other than by way of reorganization, merger, or consolidation), in one transaction or a series of related transactions, of all or substantially all of the assets of the Company and its Subsidiaries, taken as a whole, to any person (as defined in Sections 13(d) and 14(d)(2) of the Exchange Act) or Group (other than the Company or any Affiliate); or</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(e)</w:t>
      </w:r>
    </w:p>
    <w:p>
      <w:pPr>
        <w:pStyle w:val="TextBody"/>
        <w:bidi w:val="0"/>
        <w:jc w:val="both"/>
        <w:rPr>
          <w:rFonts w:ascii="Times New Roman" w:hAnsi="Times New Roman"/>
          <w:color w:val="000000"/>
          <w:sz w:val="20"/>
        </w:rPr>
      </w:pPr>
      <w:r>
        <w:rPr>
          <w:rFonts w:ascii="Times New Roman" w:hAnsi="Times New Roman"/>
          <w:color w:val="000000"/>
          <w:sz w:val="20"/>
        </w:rPr>
        <w:t>The stockholders of the Company adopt a plan or proposal for the liquidation, winding up, or dissolution of the Company.</w:t>
      </w:r>
    </w:p>
    <w:p>
      <w:pPr>
        <w:pStyle w:val="TextBody"/>
        <w:bidi w:val="0"/>
        <w:jc w:val="both"/>
        <w:rPr>
          <w:rFonts w:ascii="Times New Roman" w:hAnsi="Times New Roman"/>
          <w:color w:val="000000"/>
          <w:sz w:val="20"/>
        </w:rPr>
      </w:pPr>
      <w:r>
        <w:rPr>
          <w:rFonts w:ascii="Times New Roman" w:hAnsi="Times New Roman"/>
          <w:color w:val="000000"/>
          <w:sz w:val="20"/>
        </w:rPr>
        <w:t>The Board shall have full and final authority, in its sole discretion, to determine conclusively whether a Change in Control has occurred pursuant to the above definition, the date of the occurrence of such Change in Control, and any incidental matters relating thereto.</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2.10</w:t>
      </w:r>
    </w:p>
    <w:p>
      <w:pPr>
        <w:pStyle w:val="TextBody"/>
        <w:bidi w:val="0"/>
        <w:jc w:val="both"/>
        <w:rPr/>
      </w:pPr>
      <w:r>
        <w:rPr>
          <w:color w:val="000000"/>
        </w:rPr>
        <w:t>“</w:t>
      </w:r>
      <w:r>
        <w:rPr>
          <w:rFonts w:ascii="Times New Roman" w:hAnsi="Times New Roman"/>
          <w:b/>
          <w:color w:val="000000"/>
          <w:sz w:val="20"/>
        </w:rPr>
        <w:t>Code</w:t>
      </w:r>
      <w:r>
        <w:rPr>
          <w:color w:val="000000"/>
        </w:rPr>
        <w:t xml:space="preserve">” </w:t>
      </w:r>
      <w:r>
        <w:rPr>
          <w:rFonts w:ascii="Times New Roman" w:hAnsi="Times New Roman"/>
          <w:color w:val="000000"/>
          <w:sz w:val="20"/>
        </w:rPr>
        <w:t>means the Internal Revenue Code of 1986, as amended, as now in effect or as hereafter amended, and any successor thereto. References in the Plan to any Code Section shall be deemed to include, as applicable, regulations and guidance promulgated under such Code Section.</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2.11</w:t>
      </w:r>
    </w:p>
    <w:p>
      <w:pPr>
        <w:pStyle w:val="TextBody"/>
        <w:bidi w:val="0"/>
        <w:jc w:val="both"/>
        <w:rPr/>
      </w:pPr>
      <w:r>
        <w:rPr>
          <w:color w:val="000000"/>
        </w:rPr>
        <w:t>“</w:t>
      </w:r>
      <w:r>
        <w:rPr>
          <w:rFonts w:ascii="Times New Roman" w:hAnsi="Times New Roman"/>
          <w:b/>
          <w:color w:val="000000"/>
          <w:sz w:val="20"/>
        </w:rPr>
        <w:t>Committee</w:t>
      </w:r>
      <w:r>
        <w:rPr>
          <w:color w:val="000000"/>
        </w:rPr>
        <w:t xml:space="preserve">” </w:t>
      </w:r>
      <w:r>
        <w:rPr>
          <w:rFonts w:ascii="Times New Roman" w:hAnsi="Times New Roman"/>
          <w:color w:val="000000"/>
          <w:sz w:val="20"/>
        </w:rPr>
        <w:t xml:space="preserve">means a committee of, and designated from time to time by resolution of, the Board, which shall be constituted as provided in </w:t>
      </w:r>
      <w:r>
        <w:rPr>
          <w:rFonts w:ascii="Times New Roman" w:hAnsi="Times New Roman"/>
          <w:b/>
          <w:color w:val="000000"/>
          <w:sz w:val="20"/>
        </w:rPr>
        <w:t>Section 3.3</w:t>
      </w:r>
      <w:r>
        <w:rPr>
          <w:color w:val="000000"/>
        </w:rPr>
        <w:t xml:space="preserve"> </w:t>
      </w:r>
      <w:r>
        <w:rPr>
          <w:rFonts w:ascii="Times New Roman" w:hAnsi="Times New Roman"/>
          <w:color w:val="000000"/>
          <w:sz w:val="20"/>
        </w:rPr>
        <w:t>(or, if no Committee has been designated, the Board itself).</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2.12</w:t>
      </w:r>
    </w:p>
    <w:p>
      <w:pPr>
        <w:pStyle w:val="TextBody"/>
        <w:bidi w:val="0"/>
        <w:jc w:val="both"/>
        <w:rPr/>
      </w:pPr>
      <w:r>
        <w:rPr>
          <w:color w:val="000000"/>
        </w:rPr>
        <w:t>“</w:t>
      </w:r>
      <w:r>
        <w:rPr>
          <w:rFonts w:ascii="Times New Roman" w:hAnsi="Times New Roman"/>
          <w:b/>
          <w:color w:val="000000"/>
          <w:sz w:val="20"/>
        </w:rPr>
        <w:t>Company</w:t>
      </w:r>
      <w:r>
        <w:rPr>
          <w:color w:val="000000"/>
        </w:rPr>
        <w:t xml:space="preserve">” </w:t>
      </w:r>
      <w:r>
        <w:rPr>
          <w:rFonts w:ascii="Times New Roman" w:hAnsi="Times New Roman"/>
          <w:color w:val="000000"/>
          <w:sz w:val="20"/>
        </w:rPr>
        <w:t>means Syndax Pharmaceuticals, Inc., a Delaware corporation, and any successor thereto.</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2.13</w:t>
      </w:r>
    </w:p>
    <w:p>
      <w:pPr>
        <w:pStyle w:val="TextBody"/>
        <w:bidi w:val="0"/>
        <w:jc w:val="both"/>
        <w:rPr/>
      </w:pPr>
      <w:r>
        <w:rPr>
          <w:color w:val="000000"/>
        </w:rPr>
        <w:t>“</w:t>
      </w:r>
      <w:r>
        <w:rPr>
          <w:rFonts w:ascii="Times New Roman" w:hAnsi="Times New Roman"/>
          <w:b/>
          <w:color w:val="000000"/>
          <w:sz w:val="20"/>
        </w:rPr>
        <w:t>Determination Date</w:t>
      </w:r>
      <w:r>
        <w:rPr>
          <w:color w:val="000000"/>
        </w:rPr>
        <w:t xml:space="preserve">” </w:t>
      </w:r>
      <w:r>
        <w:rPr>
          <w:rFonts w:ascii="Times New Roman" w:hAnsi="Times New Roman"/>
          <w:color w:val="000000"/>
          <w:sz w:val="20"/>
        </w:rPr>
        <w:t>means the Grant Date or such other date as of which the Fair Market Value of a share of Stock is required to be established for purposes of the Plan.</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2.14</w:t>
      </w:r>
    </w:p>
    <w:p>
      <w:pPr>
        <w:pStyle w:val="TextBody"/>
        <w:bidi w:val="0"/>
        <w:jc w:val="both"/>
        <w:rPr/>
      </w:pPr>
      <w:r>
        <w:rPr>
          <w:color w:val="000000"/>
        </w:rPr>
        <w:t>“</w:t>
      </w:r>
      <w:r>
        <w:rPr>
          <w:rFonts w:ascii="Times New Roman" w:hAnsi="Times New Roman"/>
          <w:b/>
          <w:color w:val="000000"/>
          <w:sz w:val="20"/>
        </w:rPr>
        <w:t>Director</w:t>
      </w:r>
      <w:r>
        <w:rPr>
          <w:color w:val="000000"/>
        </w:rPr>
        <w:t xml:space="preserve">” </w:t>
      </w:r>
      <w:r>
        <w:rPr>
          <w:rFonts w:ascii="Times New Roman" w:hAnsi="Times New Roman"/>
          <w:color w:val="000000"/>
          <w:sz w:val="20"/>
        </w:rPr>
        <w:t>means a member of the Board. Directors are not eligible to receive Awards under the Plan with respect to their service in such capacity.</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2.15</w:t>
      </w:r>
    </w:p>
    <w:p>
      <w:pPr>
        <w:pStyle w:val="TextBody"/>
        <w:bidi w:val="0"/>
        <w:jc w:val="both"/>
        <w:rPr/>
      </w:pPr>
      <w:r>
        <w:rPr>
          <w:color w:val="000000"/>
        </w:rPr>
        <w:t>“</w:t>
      </w:r>
      <w:r>
        <w:rPr>
          <w:rFonts w:ascii="Times New Roman" w:hAnsi="Times New Roman"/>
          <w:b/>
          <w:color w:val="000000"/>
          <w:sz w:val="20"/>
        </w:rPr>
        <w:t>Disability</w:t>
      </w:r>
      <w:r>
        <w:rPr>
          <w:color w:val="000000"/>
        </w:rPr>
        <w:t xml:space="preserve">” </w:t>
      </w:r>
      <w:r>
        <w:rPr>
          <w:rFonts w:ascii="Times New Roman" w:hAnsi="Times New Roman"/>
          <w:color w:val="000000"/>
          <w:sz w:val="20"/>
        </w:rPr>
        <w:t>means the inability of the Grantee to perform each of the essential duties of such Grantee’s position by reason of a medically determinable physical or mental impairment which is potentially permanent in character or which can be expected to last for a continuous period of not less than 12 months.</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2.16</w:t>
      </w:r>
    </w:p>
    <w:p>
      <w:pPr>
        <w:pStyle w:val="TextBody"/>
        <w:bidi w:val="0"/>
        <w:jc w:val="both"/>
        <w:rPr/>
      </w:pPr>
      <w:r>
        <w:rPr>
          <w:color w:val="000000"/>
        </w:rPr>
        <w:t>“</w:t>
      </w:r>
      <w:r>
        <w:rPr>
          <w:rFonts w:ascii="Times New Roman" w:hAnsi="Times New Roman"/>
          <w:b/>
          <w:color w:val="000000"/>
          <w:sz w:val="20"/>
        </w:rPr>
        <w:t>Dividend Equivalent Right</w:t>
      </w:r>
      <w:r>
        <w:rPr>
          <w:color w:val="000000"/>
        </w:rPr>
        <w:t xml:space="preserve">” </w:t>
      </w:r>
      <w:r>
        <w:rPr>
          <w:rFonts w:ascii="Times New Roman" w:hAnsi="Times New Roman"/>
          <w:color w:val="000000"/>
          <w:sz w:val="20"/>
        </w:rPr>
        <w:t xml:space="preserve">means a right, granted to a Grantee under </w:t>
      </w:r>
      <w:r>
        <w:rPr>
          <w:rFonts w:ascii="Times New Roman" w:hAnsi="Times New Roman"/>
          <w:b/>
          <w:color w:val="000000"/>
          <w:sz w:val="20"/>
        </w:rPr>
        <w:t>Section 13</w:t>
      </w:r>
      <w:r>
        <w:rPr>
          <w:rFonts w:ascii="Times New Roman" w:hAnsi="Times New Roman"/>
          <w:color w:val="000000"/>
          <w:sz w:val="20"/>
        </w:rPr>
        <w:t>, to receive, or to receive credits for the future payment of, cash, Stock, other Awards or other property equal in value to dividend payments or distributions or other periodic payments, declared or paid with respect to a specified number of shares of Stock, as if such shares of Stock had been issued to and held by the Grantee of such Dividend Equivalent Right as of the record date.</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2.17</w:t>
      </w:r>
    </w:p>
    <w:p>
      <w:pPr>
        <w:pStyle w:val="TextBody"/>
        <w:bidi w:val="0"/>
        <w:jc w:val="both"/>
        <w:rPr/>
      </w:pPr>
      <w:r>
        <w:rPr>
          <w:color w:val="000000"/>
        </w:rPr>
        <w:t>“</w:t>
      </w:r>
      <w:r>
        <w:rPr>
          <w:rFonts w:ascii="Times New Roman" w:hAnsi="Times New Roman"/>
          <w:b/>
          <w:color w:val="000000"/>
          <w:sz w:val="20"/>
        </w:rPr>
        <w:t>Effective Date</w:t>
      </w:r>
      <w:r>
        <w:rPr>
          <w:color w:val="000000"/>
        </w:rPr>
        <w:t xml:space="preserve">” </w:t>
      </w:r>
      <w:r>
        <w:rPr>
          <w:rFonts w:ascii="Times New Roman" w:hAnsi="Times New Roman"/>
          <w:color w:val="000000"/>
          <w:sz w:val="20"/>
        </w:rPr>
        <w:t>means February 2, 2023.</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2.18</w:t>
      </w:r>
    </w:p>
    <w:p>
      <w:pPr>
        <w:pStyle w:val="TextBody"/>
        <w:bidi w:val="0"/>
        <w:jc w:val="both"/>
        <w:rPr/>
      </w:pPr>
      <w:r>
        <w:rPr>
          <w:color w:val="000000"/>
        </w:rPr>
        <w:t>“</w:t>
      </w:r>
      <w:r>
        <w:rPr>
          <w:rFonts w:ascii="Times New Roman" w:hAnsi="Times New Roman"/>
          <w:b/>
          <w:color w:val="000000"/>
          <w:sz w:val="20"/>
        </w:rPr>
        <w:t>Eligible Employee</w:t>
      </w:r>
      <w:r>
        <w:rPr>
          <w:color w:val="000000"/>
        </w:rPr>
        <w:t xml:space="preserve">” </w:t>
      </w:r>
      <w:r>
        <w:rPr>
          <w:rFonts w:ascii="Times New Roman" w:hAnsi="Times New Roman"/>
          <w:color w:val="000000"/>
          <w:sz w:val="20"/>
        </w:rPr>
        <w:t xml:space="preserve">shall have the meaning set forth in </w:t>
      </w:r>
      <w:r>
        <w:rPr>
          <w:rFonts w:ascii="Times New Roman" w:hAnsi="Times New Roman"/>
          <w:b/>
          <w:color w:val="000000"/>
          <w:sz w:val="20"/>
        </w:rPr>
        <w:t>Section 1.2</w:t>
      </w:r>
      <w:r>
        <w:rPr>
          <w:rFonts w:ascii="Times New Roman" w:hAnsi="Times New Roman"/>
          <w:color w:val="000000"/>
          <w:sz w:val="20"/>
        </w:rPr>
        <w:t>.</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2.19</w:t>
      </w:r>
    </w:p>
    <w:p>
      <w:pPr>
        <w:pStyle w:val="TextBody"/>
        <w:bidi w:val="0"/>
        <w:jc w:val="both"/>
        <w:rPr/>
      </w:pPr>
      <w:r>
        <w:rPr>
          <w:color w:val="000000"/>
        </w:rPr>
        <w:t>“</w:t>
      </w:r>
      <w:r>
        <w:rPr>
          <w:rFonts w:ascii="Times New Roman" w:hAnsi="Times New Roman"/>
          <w:b/>
          <w:color w:val="000000"/>
          <w:sz w:val="20"/>
        </w:rPr>
        <w:t>Employee</w:t>
      </w:r>
      <w:r>
        <w:rPr>
          <w:color w:val="000000"/>
        </w:rPr>
        <w:t xml:space="preserve">” </w:t>
      </w:r>
      <w:r>
        <w:rPr>
          <w:rFonts w:ascii="Times New Roman" w:hAnsi="Times New Roman"/>
          <w:color w:val="000000"/>
          <w:sz w:val="20"/>
        </w:rPr>
        <w:t>means any person employed by the Company or an Affiliate. However, service solely as a Director, or payment of a fee for such services, will not cause a Director to be considered an “Employee” for purposes of the Plan.</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2.20</w:t>
      </w:r>
    </w:p>
    <w:p>
      <w:pPr>
        <w:pStyle w:val="TextBody"/>
        <w:bidi w:val="0"/>
        <w:jc w:val="both"/>
        <w:rPr/>
      </w:pPr>
      <w:r>
        <w:rPr>
          <w:color w:val="000000"/>
        </w:rPr>
        <w:t>“</w:t>
      </w:r>
      <w:r>
        <w:rPr>
          <w:rFonts w:ascii="Times New Roman" w:hAnsi="Times New Roman"/>
          <w:b/>
          <w:color w:val="000000"/>
          <w:sz w:val="20"/>
        </w:rPr>
        <w:t>Exchange Act</w:t>
      </w:r>
      <w:r>
        <w:rPr>
          <w:color w:val="000000"/>
        </w:rPr>
        <w:t xml:space="preserve">” </w:t>
      </w:r>
      <w:r>
        <w:rPr>
          <w:rFonts w:ascii="Times New Roman" w:hAnsi="Times New Roman"/>
          <w:color w:val="000000"/>
          <w:sz w:val="20"/>
        </w:rPr>
        <w:t>means the Securities Exchange Act of 1934, as now in effect or as hereafter amended.</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2.21</w:t>
      </w:r>
    </w:p>
    <w:p>
      <w:pPr>
        <w:pStyle w:val="TextBody"/>
        <w:bidi w:val="0"/>
        <w:spacing w:before="0" w:after="0"/>
        <w:jc w:val="both"/>
        <w:rPr/>
      </w:pPr>
      <w:r>
        <w:rPr>
          <w:color w:val="000000"/>
        </w:rPr>
        <w:t>“</w:t>
      </w:r>
      <w:r>
        <w:rPr>
          <w:rFonts w:ascii="Times New Roman" w:hAnsi="Times New Roman"/>
          <w:b/>
          <w:color w:val="000000"/>
          <w:sz w:val="20"/>
        </w:rPr>
        <w:t>Fair Market Value</w:t>
      </w:r>
      <w:r>
        <w:rPr>
          <w:color w:val="000000"/>
        </w:rPr>
        <w:t xml:space="preserve">” </w:t>
      </w:r>
      <w:r>
        <w:rPr>
          <w:rFonts w:ascii="Times New Roman" w:hAnsi="Times New Roman"/>
          <w:color w:val="000000"/>
          <w:sz w:val="20"/>
        </w:rPr>
        <w:t>means the fair market value of a share of Stock for purposes of the Plan, which shall be determined as of any Determination Date as follows:</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(a)</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If on such Determination Date the shares of Stock are listed on a Stock Exchange, or are publicly traded on another Securities Market, the Fair Market Value of a share of Stock shall be the closing price of the Stock as reported on such Stock Exchange or such Securities Market (provided that, if there is more than one such Stock Exchange or Securities Market, the Committee shall designate the appropriate Stock Exchange or Securities Market for purposes of the Fair Market Value determination). If there is no such reported closing price on such Determination Date, the Fair Market Value of a share of Stock shall be the closing price of the Stock on the next preceding day on which any sale of Stock shall have been reported on such Stock Exchange or such Securities Market.</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(b)</w:t>
      </w:r>
    </w:p>
    <w:p>
      <w:pPr>
        <w:pStyle w:val="TextBody"/>
        <w:bidi w:val="0"/>
        <w:jc w:val="both"/>
        <w:rPr>
          <w:rFonts w:ascii="Times New Roman" w:hAnsi="Times New Roman"/>
          <w:color w:val="000000"/>
          <w:sz w:val="20"/>
        </w:rPr>
      </w:pPr>
      <w:r>
        <w:rPr>
          <w:rFonts w:ascii="Times New Roman" w:hAnsi="Times New Roman"/>
          <w:color w:val="000000"/>
          <w:sz w:val="20"/>
        </w:rPr>
        <w:t>If on such Determination Date the shares of Stock are not listed on a Stock Exchange or publicly traded on a Securities Market, the Fair Market Value of a share of Stock shall be the value of the Stock as determined by the Committee by the reasonable application of a reasonable valuation method, in a manner consistent with Code Section 409A.</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Notwithstanding this </w:t>
      </w:r>
      <w:r>
        <w:rPr>
          <w:rFonts w:ascii="Times New Roman" w:hAnsi="Times New Roman"/>
          <w:b/>
          <w:color w:val="000000"/>
          <w:sz w:val="20"/>
        </w:rPr>
        <w:t xml:space="preserve">Section 2.21 </w:t>
      </w:r>
      <w:r>
        <w:rPr>
          <w:rFonts w:ascii="Times New Roman" w:hAnsi="Times New Roman"/>
          <w:color w:val="000000"/>
          <w:sz w:val="20"/>
        </w:rPr>
        <w:t xml:space="preserve">or </w:t>
      </w:r>
      <w:r>
        <w:rPr>
          <w:rFonts w:ascii="Times New Roman" w:hAnsi="Times New Roman"/>
          <w:b/>
          <w:color w:val="000000"/>
          <w:sz w:val="20"/>
        </w:rPr>
        <w:t>Section 18.3</w:t>
      </w:r>
      <w:r>
        <w:rPr>
          <w:rFonts w:ascii="Times New Roman" w:hAnsi="Times New Roman"/>
          <w:color w:val="000000"/>
          <w:sz w:val="20"/>
        </w:rPr>
        <w:t xml:space="preserve">, for purposes of determining taxable income and the amount of the related tax withholding obligation pursuant to </w:t>
      </w:r>
      <w:r>
        <w:rPr>
          <w:rFonts w:ascii="Times New Roman" w:hAnsi="Times New Roman"/>
          <w:b/>
          <w:color w:val="000000"/>
          <w:sz w:val="20"/>
        </w:rPr>
        <w:t>Section 18.3</w:t>
      </w:r>
      <w:r>
        <w:rPr>
          <w:rFonts w:ascii="Times New Roman" w:hAnsi="Times New Roman"/>
          <w:color w:val="000000"/>
          <w:sz w:val="20"/>
        </w:rPr>
        <w:t xml:space="preserve">, the Fair Market Value will be determined by the Committee in good faith using any reasonable method as it deems appropriate, to be applied consistently with respect to Grantees; </w:t>
      </w:r>
      <w:r>
        <w:rPr>
          <w:rFonts w:ascii="Times New Roman" w:hAnsi="Times New Roman"/>
          <w:color w:val="000000"/>
          <w:sz w:val="20"/>
          <w:u w:val="single"/>
        </w:rPr>
        <w:t>provided, further</w:t>
      </w:r>
      <w:r>
        <w:rPr>
          <w:rFonts w:ascii="Times New Roman" w:hAnsi="Times New Roman"/>
          <w:color w:val="000000"/>
          <w:sz w:val="20"/>
        </w:rPr>
        <w:t xml:space="preserve">, that the Committee shall determine the Fair Market Value of shares of Stock for tax withholding obligations due in connection with sales, by or on behalf of a Grantee, of such shares of Stock subject to an Award to pay the Option Price, SAR Exercise Price, and/or any tax withholding obligation on the same date on which such shares may first be sold pursuant to the terms of the applicable Award Agreement (including broker-assisted cashless exercises of Options and Stock Appreciation Rights, as described in </w:t>
      </w:r>
      <w:r>
        <w:rPr>
          <w:rFonts w:ascii="Times New Roman" w:hAnsi="Times New Roman"/>
          <w:b/>
          <w:color w:val="000000"/>
          <w:sz w:val="20"/>
        </w:rPr>
        <w:t>Section 12.3</w:t>
      </w:r>
      <w:r>
        <w:rPr>
          <w:rFonts w:ascii="Times New Roman" w:hAnsi="Times New Roman"/>
          <w:color w:val="000000"/>
          <w:sz w:val="20"/>
        </w:rPr>
        <w:t>, and sell-to-cover transactions) in any manner consistent with applicable provisions of the Code, including but not limited to using the sale price of such shares on such date (or if sales of such shares are effectuated at more than one sale price, the weighted average sale price of such shares on such date) as the Fair Market Value of such shares, so long as such Grantee has provided to the Company, or its designee or agent, with advance written notice of such sale.</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2.22</w:t>
      </w:r>
    </w:p>
    <w:p>
      <w:pPr>
        <w:pStyle w:val="TextBody"/>
        <w:bidi w:val="0"/>
        <w:spacing w:before="0" w:after="0"/>
        <w:jc w:val="both"/>
        <w:rPr/>
      </w:pPr>
      <w:r>
        <w:rPr>
          <w:color w:val="000000"/>
        </w:rPr>
        <w:t>“</w:t>
      </w:r>
      <w:r>
        <w:rPr>
          <w:rFonts w:ascii="Times New Roman" w:hAnsi="Times New Roman"/>
          <w:b/>
          <w:color w:val="000000"/>
          <w:sz w:val="20"/>
        </w:rPr>
        <w:t>Family Member</w:t>
      </w:r>
      <w:r>
        <w:rPr>
          <w:color w:val="000000"/>
        </w:rPr>
        <w:t xml:space="preserve">” </w:t>
      </w:r>
      <w:r>
        <w:rPr>
          <w:rFonts w:ascii="Times New Roman" w:hAnsi="Times New Roman"/>
          <w:color w:val="000000"/>
          <w:sz w:val="20"/>
        </w:rPr>
        <w:t xml:space="preserve">shall mean, with respect to any Grantee as of any date of determination, (a) a person who is a spouse, former spouse, child, stepchild, grandchild, parent, stepparent, grandparent, niece, nephew, mother-in-law, father-in-law, son-in-law, daughter-in-law, brother, sister, brother-in-law, or sister-in-law, including adoptive relationships, of the Grantee, (b) any person sharing the Grantee’s household (other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than a tenant or employee), (c) a trust in which any one or more of the persons specified in clauses (a) and (b) above (and such Grantee) own more than fifty percent (50%) of the beneficial interest, (d) a foundation in which any one or more of the persons specified in clauses (a) and (b) above and (and such Grantee) control the management of assets, and (e) any other entity in which one or more of the persons specified in clauses (a) and (b) above and (and such Grantee) own more than fifty percent (50%) of the voting interests.</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2.23</w:t>
      </w:r>
    </w:p>
    <w:p>
      <w:pPr>
        <w:pStyle w:val="TextBody"/>
        <w:bidi w:val="0"/>
        <w:jc w:val="both"/>
        <w:rPr/>
      </w:pPr>
      <w:r>
        <w:rPr>
          <w:color w:val="000000"/>
        </w:rPr>
        <w:t>“</w:t>
      </w:r>
      <w:r>
        <w:rPr>
          <w:rFonts w:ascii="Times New Roman" w:hAnsi="Times New Roman"/>
          <w:b/>
          <w:color w:val="000000"/>
          <w:sz w:val="20"/>
        </w:rPr>
        <w:t>Fully Diluted Basis</w:t>
      </w:r>
      <w:r>
        <w:rPr>
          <w:color w:val="000000"/>
        </w:rPr>
        <w:t xml:space="preserve">” </w:t>
      </w:r>
      <w:r>
        <w:rPr>
          <w:rFonts w:ascii="Times New Roman" w:hAnsi="Times New Roman"/>
          <w:color w:val="000000"/>
          <w:sz w:val="20"/>
        </w:rPr>
        <w:t>shall mean, as of any date of determination, the sum of (x) the number of shares of Voting Stock outstanding as of such date of determination plus (y) the number of shares of Voting Stock issuable upon the exercise, conversion, or exchange of all then- outstanding warrants, options, convertible Capital Stock or indebtedness, exchangeable Capital Stock or indebtedness, or other rights exercisable for or convertible or exchangeable into, directly or indirectly, shares of Voting Stock, whether at the time of issue or upon the passage of time or upon the occurrence of some future event, and whether or not in-the-money as of such date of determination.</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2.24</w:t>
      </w:r>
    </w:p>
    <w:p>
      <w:pPr>
        <w:pStyle w:val="TextBody"/>
        <w:bidi w:val="0"/>
        <w:jc w:val="both"/>
        <w:rPr/>
      </w:pPr>
      <w:r>
        <w:rPr>
          <w:color w:val="000000"/>
        </w:rPr>
        <w:t>“</w:t>
      </w:r>
      <w:r>
        <w:rPr>
          <w:rFonts w:ascii="Times New Roman" w:hAnsi="Times New Roman"/>
          <w:b/>
          <w:color w:val="000000"/>
          <w:sz w:val="20"/>
        </w:rPr>
        <w:t>Grant Date</w:t>
      </w:r>
      <w:r>
        <w:rPr>
          <w:color w:val="000000"/>
        </w:rPr>
        <w:t xml:space="preserve">” </w:t>
      </w:r>
      <w:r>
        <w:rPr>
          <w:rFonts w:ascii="Times New Roman" w:hAnsi="Times New Roman"/>
          <w:color w:val="000000"/>
          <w:sz w:val="20"/>
        </w:rPr>
        <w:t xml:space="preserve">means, as determined by the Board, the latest to occur of (i) the date as of which the Board approves the Award, (ii) the date on which the recipient of an Award first becomes eligible to receive an Award under </w:t>
      </w:r>
      <w:r>
        <w:rPr>
          <w:rFonts w:ascii="Times New Roman" w:hAnsi="Times New Roman"/>
          <w:b/>
          <w:color w:val="000000"/>
          <w:sz w:val="20"/>
        </w:rPr>
        <w:t>Section 6</w:t>
      </w:r>
      <w:r>
        <w:rPr>
          <w:rFonts w:ascii="Times New Roman" w:hAnsi="Times New Roman"/>
          <w:color w:val="000000"/>
          <w:sz w:val="20"/>
        </w:rPr>
        <w:t>, or (iii) such subsequent date as may be specified by the Board in a corporate action approving the Award.</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2.25</w:t>
      </w:r>
    </w:p>
    <w:p>
      <w:pPr>
        <w:pStyle w:val="TextBody"/>
        <w:bidi w:val="0"/>
        <w:jc w:val="both"/>
        <w:rPr/>
      </w:pPr>
      <w:r>
        <w:rPr>
          <w:color w:val="000000"/>
        </w:rPr>
        <w:t>“</w:t>
      </w:r>
      <w:r>
        <w:rPr>
          <w:rFonts w:ascii="Times New Roman" w:hAnsi="Times New Roman"/>
          <w:b/>
          <w:color w:val="000000"/>
          <w:sz w:val="20"/>
        </w:rPr>
        <w:t>Grantee</w:t>
      </w:r>
      <w:r>
        <w:rPr>
          <w:color w:val="000000"/>
        </w:rPr>
        <w:t xml:space="preserve">” </w:t>
      </w:r>
      <w:r>
        <w:rPr>
          <w:rFonts w:ascii="Times New Roman" w:hAnsi="Times New Roman"/>
          <w:color w:val="000000"/>
          <w:sz w:val="20"/>
        </w:rPr>
        <w:t>means a person who receives or holds an Award under the Plan.</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2.26</w:t>
      </w:r>
    </w:p>
    <w:p>
      <w:pPr>
        <w:pStyle w:val="TextBody"/>
        <w:bidi w:val="0"/>
        <w:jc w:val="both"/>
        <w:rPr/>
      </w:pPr>
      <w:r>
        <w:rPr>
          <w:color w:val="000000"/>
        </w:rPr>
        <w:t>“</w:t>
      </w:r>
      <w:r>
        <w:rPr>
          <w:rFonts w:ascii="Times New Roman" w:hAnsi="Times New Roman"/>
          <w:b/>
          <w:color w:val="000000"/>
          <w:sz w:val="20"/>
        </w:rPr>
        <w:t>Group</w:t>
      </w:r>
      <w:r>
        <w:rPr>
          <w:color w:val="000000"/>
        </w:rPr>
        <w:t xml:space="preserve">” </w:t>
      </w:r>
      <w:r>
        <w:rPr>
          <w:rFonts w:ascii="Times New Roman" w:hAnsi="Times New Roman"/>
          <w:color w:val="000000"/>
          <w:sz w:val="20"/>
        </w:rPr>
        <w:t>shall have the meaning set forth in Sections 13(d) and 14(d)(2) of the Exchange Act.</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2.27</w:t>
      </w:r>
    </w:p>
    <w:p>
      <w:pPr>
        <w:pStyle w:val="TextBody"/>
        <w:bidi w:val="0"/>
        <w:jc w:val="both"/>
        <w:rPr/>
      </w:pPr>
      <w:r>
        <w:rPr>
          <w:color w:val="000000"/>
        </w:rPr>
        <w:t>“</w:t>
      </w:r>
      <w:r>
        <w:rPr>
          <w:rFonts w:ascii="Times New Roman" w:hAnsi="Times New Roman"/>
          <w:b/>
          <w:color w:val="000000"/>
          <w:sz w:val="20"/>
        </w:rPr>
        <w:t>Independent Compensation Committee</w:t>
      </w:r>
      <w:r>
        <w:rPr>
          <w:color w:val="000000"/>
        </w:rPr>
        <w:t xml:space="preserve">” </w:t>
      </w:r>
      <w:r>
        <w:rPr>
          <w:rFonts w:ascii="Times New Roman" w:hAnsi="Times New Roman"/>
          <w:color w:val="000000"/>
          <w:sz w:val="20"/>
        </w:rPr>
        <w:t xml:space="preserve">shall have the meaning set forth in </w:t>
      </w:r>
      <w:r>
        <w:rPr>
          <w:rFonts w:ascii="Times New Roman" w:hAnsi="Times New Roman"/>
          <w:b/>
          <w:color w:val="000000"/>
          <w:sz w:val="20"/>
        </w:rPr>
        <w:t>Section 1.2</w:t>
      </w:r>
      <w:r>
        <w:rPr>
          <w:rFonts w:ascii="Times New Roman" w:hAnsi="Times New Roman"/>
          <w:color w:val="000000"/>
          <w:sz w:val="20"/>
        </w:rPr>
        <w:t>.</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2.28</w:t>
      </w:r>
    </w:p>
    <w:p>
      <w:pPr>
        <w:pStyle w:val="TextBody"/>
        <w:bidi w:val="0"/>
        <w:jc w:val="both"/>
        <w:rPr/>
      </w:pPr>
      <w:r>
        <w:rPr>
          <w:color w:val="000000"/>
        </w:rPr>
        <w:t>“</w:t>
      </w:r>
      <w:r>
        <w:rPr>
          <w:rFonts w:ascii="Times New Roman" w:hAnsi="Times New Roman"/>
          <w:b/>
          <w:color w:val="000000"/>
          <w:sz w:val="20"/>
        </w:rPr>
        <w:t>Independent Director</w:t>
      </w:r>
      <w:r>
        <w:rPr>
          <w:color w:val="000000"/>
        </w:rPr>
        <w:t xml:space="preserve">” </w:t>
      </w:r>
      <w:r>
        <w:rPr>
          <w:rFonts w:ascii="Times New Roman" w:hAnsi="Times New Roman"/>
          <w:color w:val="000000"/>
          <w:sz w:val="20"/>
        </w:rPr>
        <w:t xml:space="preserve">shall have the meaning set forth in </w:t>
      </w:r>
      <w:r>
        <w:rPr>
          <w:rFonts w:ascii="Times New Roman" w:hAnsi="Times New Roman"/>
          <w:b/>
          <w:color w:val="000000"/>
          <w:sz w:val="20"/>
        </w:rPr>
        <w:t>Section 1.2</w:t>
      </w:r>
      <w:r>
        <w:rPr>
          <w:rFonts w:ascii="Times New Roman" w:hAnsi="Times New Roman"/>
          <w:color w:val="000000"/>
          <w:sz w:val="20"/>
        </w:rPr>
        <w:t>.</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2.29</w:t>
      </w:r>
    </w:p>
    <w:p>
      <w:pPr>
        <w:pStyle w:val="TextBody"/>
        <w:bidi w:val="0"/>
        <w:jc w:val="both"/>
        <w:rPr/>
      </w:pPr>
      <w:r>
        <w:rPr>
          <w:color w:val="000000"/>
        </w:rPr>
        <w:t>“</w:t>
      </w:r>
      <w:r>
        <w:rPr>
          <w:rFonts w:ascii="Times New Roman" w:hAnsi="Times New Roman"/>
          <w:b/>
          <w:color w:val="000000"/>
          <w:sz w:val="20"/>
        </w:rPr>
        <w:t>Inducement Award Rules</w:t>
      </w:r>
      <w:r>
        <w:rPr>
          <w:color w:val="000000"/>
        </w:rPr>
        <w:t xml:space="preserve">” </w:t>
      </w:r>
      <w:r>
        <w:rPr>
          <w:rFonts w:ascii="Times New Roman" w:hAnsi="Times New Roman"/>
          <w:color w:val="000000"/>
          <w:sz w:val="20"/>
        </w:rPr>
        <w:t xml:space="preserve">shall have the meaning set forth in </w:t>
      </w:r>
      <w:r>
        <w:rPr>
          <w:rFonts w:ascii="Times New Roman" w:hAnsi="Times New Roman"/>
          <w:b/>
          <w:color w:val="000000"/>
          <w:sz w:val="20"/>
        </w:rPr>
        <w:t>Section 1.2</w:t>
      </w:r>
      <w:r>
        <w:rPr>
          <w:rFonts w:ascii="Times New Roman" w:hAnsi="Times New Roman"/>
          <w:color w:val="000000"/>
          <w:sz w:val="20"/>
        </w:rPr>
        <w:t>.</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2.30</w:t>
      </w:r>
    </w:p>
    <w:p>
      <w:pPr>
        <w:pStyle w:val="TextBody"/>
        <w:bidi w:val="0"/>
        <w:jc w:val="both"/>
        <w:rPr/>
      </w:pPr>
      <w:r>
        <w:rPr>
          <w:color w:val="000000"/>
        </w:rPr>
        <w:t>“</w:t>
      </w:r>
      <w:r>
        <w:rPr>
          <w:rFonts w:ascii="Times New Roman" w:hAnsi="Times New Roman"/>
          <w:b/>
          <w:color w:val="000000"/>
          <w:sz w:val="20"/>
        </w:rPr>
        <w:t>Non-Employee Director</w:t>
      </w:r>
      <w:r>
        <w:rPr>
          <w:color w:val="000000"/>
        </w:rPr>
        <w:t xml:space="preserve">” </w:t>
      </w:r>
      <w:r>
        <w:rPr>
          <w:rFonts w:ascii="Times New Roman" w:hAnsi="Times New Roman"/>
          <w:color w:val="000000"/>
          <w:sz w:val="20"/>
        </w:rPr>
        <w:t>shall have the meaning set forth in Rule 16b-3 under the Exchange Act.</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2.31</w:t>
      </w:r>
    </w:p>
    <w:p>
      <w:pPr>
        <w:pStyle w:val="TextBody"/>
        <w:bidi w:val="0"/>
        <w:jc w:val="both"/>
        <w:rPr/>
      </w:pPr>
      <w:r>
        <w:rPr>
          <w:color w:val="000000"/>
        </w:rPr>
        <w:t>“</w:t>
      </w:r>
      <w:r>
        <w:rPr>
          <w:rFonts w:ascii="Times New Roman" w:hAnsi="Times New Roman"/>
          <w:b/>
          <w:color w:val="000000"/>
          <w:sz w:val="20"/>
        </w:rPr>
        <w:t>Option</w:t>
      </w:r>
      <w:r>
        <w:rPr>
          <w:color w:val="000000"/>
        </w:rPr>
        <w:t xml:space="preserve">” </w:t>
      </w:r>
      <w:r>
        <w:rPr>
          <w:rFonts w:ascii="Times New Roman" w:hAnsi="Times New Roman"/>
          <w:color w:val="000000"/>
          <w:sz w:val="20"/>
        </w:rPr>
        <w:t xml:space="preserve">means an option to purchase one or more shares of Stock at a specified Option Price awarded to a Grantee pursuant to </w:t>
      </w:r>
      <w:r>
        <w:rPr>
          <w:rFonts w:ascii="Times New Roman" w:hAnsi="Times New Roman"/>
          <w:b/>
          <w:color w:val="000000"/>
          <w:sz w:val="20"/>
        </w:rPr>
        <w:t>Section 8</w:t>
      </w:r>
      <w:r>
        <w:rPr>
          <w:color w:val="000000"/>
        </w:rPr>
        <w:t xml:space="preserve"> </w:t>
      </w:r>
      <w:r>
        <w:rPr>
          <w:rFonts w:ascii="Times New Roman" w:hAnsi="Times New Roman"/>
          <w:color w:val="000000"/>
          <w:sz w:val="20"/>
        </w:rPr>
        <w:t>that does not qualify as an “incentive stock option” within the meaning of Section 422 of the Code.</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2.32</w:t>
      </w:r>
    </w:p>
    <w:p>
      <w:pPr>
        <w:pStyle w:val="TextBody"/>
        <w:bidi w:val="0"/>
        <w:jc w:val="both"/>
        <w:rPr/>
      </w:pPr>
      <w:r>
        <w:rPr>
          <w:color w:val="000000"/>
        </w:rPr>
        <w:t>“</w:t>
      </w:r>
      <w:r>
        <w:rPr>
          <w:rFonts w:ascii="Times New Roman" w:hAnsi="Times New Roman"/>
          <w:b/>
          <w:color w:val="000000"/>
          <w:sz w:val="20"/>
        </w:rPr>
        <w:t>Option Price</w:t>
      </w:r>
      <w:r>
        <w:rPr>
          <w:color w:val="000000"/>
        </w:rPr>
        <w:t xml:space="preserve">” </w:t>
      </w:r>
      <w:r>
        <w:rPr>
          <w:rFonts w:ascii="Times New Roman" w:hAnsi="Times New Roman"/>
          <w:color w:val="000000"/>
          <w:sz w:val="20"/>
        </w:rPr>
        <w:t>means the per share exercise price for shares of Stock subject to an Option.</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2.33</w:t>
      </w:r>
    </w:p>
    <w:p>
      <w:pPr>
        <w:pStyle w:val="TextBody"/>
        <w:bidi w:val="0"/>
        <w:jc w:val="both"/>
        <w:rPr/>
      </w:pPr>
      <w:r>
        <w:rPr>
          <w:color w:val="000000"/>
        </w:rPr>
        <w:t>“</w:t>
      </w:r>
      <w:r>
        <w:rPr>
          <w:rFonts w:ascii="Times New Roman" w:hAnsi="Times New Roman"/>
          <w:b/>
          <w:color w:val="000000"/>
          <w:sz w:val="20"/>
        </w:rPr>
        <w:t>Other Agreement</w:t>
      </w:r>
      <w:r>
        <w:rPr>
          <w:color w:val="000000"/>
        </w:rPr>
        <w:t xml:space="preserve">” </w:t>
      </w:r>
      <w:r>
        <w:rPr>
          <w:rFonts w:ascii="Times New Roman" w:hAnsi="Times New Roman"/>
          <w:color w:val="000000"/>
          <w:sz w:val="20"/>
        </w:rPr>
        <w:t xml:space="preserve">shall have the meaning set forth in </w:t>
      </w:r>
      <w:r>
        <w:rPr>
          <w:rFonts w:ascii="Times New Roman" w:hAnsi="Times New Roman"/>
          <w:b/>
          <w:color w:val="000000"/>
          <w:sz w:val="20"/>
        </w:rPr>
        <w:t>Section 15</w:t>
      </w:r>
      <w:r>
        <w:rPr>
          <w:rFonts w:ascii="Times New Roman" w:hAnsi="Times New Roman"/>
          <w:color w:val="000000"/>
          <w:sz w:val="20"/>
        </w:rPr>
        <w:t>.</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2.34</w:t>
      </w:r>
    </w:p>
    <w:p>
      <w:pPr>
        <w:pStyle w:val="TextBody"/>
        <w:bidi w:val="0"/>
        <w:jc w:val="both"/>
        <w:rPr/>
      </w:pPr>
      <w:r>
        <w:rPr>
          <w:color w:val="000000"/>
        </w:rPr>
        <w:t>“</w:t>
      </w:r>
      <w:r>
        <w:rPr>
          <w:rFonts w:ascii="Times New Roman" w:hAnsi="Times New Roman"/>
          <w:b/>
          <w:color w:val="000000"/>
          <w:sz w:val="20"/>
        </w:rPr>
        <w:t>Outside Director</w:t>
      </w:r>
      <w:r>
        <w:rPr>
          <w:color w:val="000000"/>
        </w:rPr>
        <w:t xml:space="preserve">” </w:t>
      </w:r>
      <w:r>
        <w:rPr>
          <w:rFonts w:ascii="Times New Roman" w:hAnsi="Times New Roman"/>
          <w:color w:val="000000"/>
          <w:sz w:val="20"/>
        </w:rPr>
        <w:t>means a member of the Board who is not an officer or Employee of the Company.</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2.35</w:t>
      </w:r>
    </w:p>
    <w:p>
      <w:pPr>
        <w:pStyle w:val="TextBody"/>
        <w:bidi w:val="0"/>
        <w:jc w:val="both"/>
        <w:rPr/>
      </w:pPr>
      <w:r>
        <w:rPr>
          <w:color w:val="000000"/>
        </w:rPr>
        <w:t>“</w:t>
      </w:r>
      <w:r>
        <w:rPr>
          <w:rFonts w:ascii="Times New Roman" w:hAnsi="Times New Roman"/>
          <w:b/>
          <w:color w:val="000000"/>
          <w:sz w:val="20"/>
        </w:rPr>
        <w:t>Other Equity-Based Award</w:t>
      </w:r>
      <w:r>
        <w:rPr>
          <w:color w:val="000000"/>
        </w:rPr>
        <w:t xml:space="preserve">” </w:t>
      </w:r>
      <w:r>
        <w:rPr>
          <w:rFonts w:ascii="Times New Roman" w:hAnsi="Times New Roman"/>
          <w:color w:val="000000"/>
          <w:sz w:val="20"/>
        </w:rPr>
        <w:t>means an Award representing a right or other interest that may be denominated or payable in, valued in whole or in part by reference to, or otherwise based on, or related to, Stock, other than an Option, Stock Appreciation Right, Restricted Stock, a Stock Unit, Unrestricted Stock, a Dividend Equivalent Right, or a Performance Award.</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2.36</w:t>
      </w:r>
    </w:p>
    <w:p>
      <w:pPr>
        <w:pStyle w:val="TextBody"/>
        <w:bidi w:val="0"/>
        <w:jc w:val="both"/>
        <w:rPr/>
      </w:pPr>
      <w:r>
        <w:rPr>
          <w:color w:val="000000"/>
        </w:rPr>
        <w:t>“</w:t>
      </w:r>
      <w:r>
        <w:rPr>
          <w:rFonts w:ascii="Times New Roman" w:hAnsi="Times New Roman"/>
          <w:b/>
          <w:color w:val="000000"/>
          <w:sz w:val="20"/>
        </w:rPr>
        <w:t>Parachute Payment</w:t>
      </w:r>
      <w:r>
        <w:rPr>
          <w:color w:val="000000"/>
        </w:rPr>
        <w:t xml:space="preserve">” </w:t>
      </w:r>
      <w:r>
        <w:rPr>
          <w:rFonts w:ascii="Times New Roman" w:hAnsi="Times New Roman"/>
          <w:color w:val="000000"/>
          <w:sz w:val="20"/>
        </w:rPr>
        <w:t xml:space="preserve">shall have the meaning set forth in </w:t>
      </w:r>
      <w:r>
        <w:rPr>
          <w:rFonts w:ascii="Times New Roman" w:hAnsi="Times New Roman"/>
          <w:b/>
          <w:color w:val="000000"/>
          <w:sz w:val="20"/>
        </w:rPr>
        <w:t>Section 15.</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2.37</w:t>
      </w:r>
    </w:p>
    <w:p>
      <w:pPr>
        <w:pStyle w:val="TextBody"/>
        <w:bidi w:val="0"/>
        <w:jc w:val="both"/>
        <w:rPr/>
      </w:pPr>
      <w:r>
        <w:rPr>
          <w:color w:val="000000"/>
        </w:rPr>
        <w:t>“</w:t>
      </w:r>
      <w:r>
        <w:rPr>
          <w:rFonts w:ascii="Times New Roman" w:hAnsi="Times New Roman"/>
          <w:b/>
          <w:color w:val="000000"/>
          <w:sz w:val="20"/>
        </w:rPr>
        <w:t>Performance Award</w:t>
      </w:r>
      <w:r>
        <w:rPr>
          <w:color w:val="000000"/>
        </w:rPr>
        <w:t xml:space="preserve">” </w:t>
      </w:r>
      <w:r>
        <w:rPr>
          <w:rFonts w:ascii="Times New Roman" w:hAnsi="Times New Roman"/>
          <w:color w:val="000000"/>
          <w:sz w:val="20"/>
        </w:rPr>
        <w:t>means an Award made subject to the attainment of performance goals (as determined by the Board) over a Performance Period of up to ten (10) years.</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2.38</w:t>
      </w:r>
    </w:p>
    <w:p>
      <w:pPr>
        <w:pStyle w:val="TextBody"/>
        <w:bidi w:val="0"/>
        <w:jc w:val="both"/>
        <w:rPr/>
      </w:pPr>
      <w:r>
        <w:rPr>
          <w:color w:val="000000"/>
        </w:rPr>
        <w:t>“</w:t>
      </w:r>
      <w:r>
        <w:rPr>
          <w:rFonts w:ascii="Times New Roman" w:hAnsi="Times New Roman"/>
          <w:b/>
          <w:color w:val="000000"/>
          <w:sz w:val="20"/>
        </w:rPr>
        <w:t>Performance Measures</w:t>
      </w:r>
      <w:r>
        <w:rPr>
          <w:color w:val="000000"/>
        </w:rPr>
        <w:t xml:space="preserve">” </w:t>
      </w:r>
      <w:r>
        <w:rPr>
          <w:rFonts w:ascii="Times New Roman" w:hAnsi="Times New Roman"/>
          <w:color w:val="000000"/>
          <w:sz w:val="20"/>
        </w:rPr>
        <w:t xml:space="preserve">means measures as specified in </w:t>
      </w:r>
      <w:r>
        <w:rPr>
          <w:rFonts w:ascii="Times New Roman" w:hAnsi="Times New Roman"/>
          <w:b/>
          <w:color w:val="000000"/>
          <w:sz w:val="20"/>
        </w:rPr>
        <w:t>Section 14.</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2.39</w:t>
      </w:r>
    </w:p>
    <w:p>
      <w:pPr>
        <w:pStyle w:val="TextBody"/>
        <w:bidi w:val="0"/>
        <w:jc w:val="both"/>
        <w:rPr/>
      </w:pPr>
      <w:r>
        <w:rPr>
          <w:color w:val="000000"/>
        </w:rPr>
        <w:t>“</w:t>
      </w:r>
      <w:r>
        <w:rPr>
          <w:rFonts w:ascii="Times New Roman" w:hAnsi="Times New Roman"/>
          <w:b/>
          <w:color w:val="000000"/>
          <w:sz w:val="20"/>
        </w:rPr>
        <w:t>Performance Period</w:t>
      </w:r>
      <w:r>
        <w:rPr>
          <w:color w:val="000000"/>
        </w:rPr>
        <w:t xml:space="preserve">” </w:t>
      </w:r>
      <w:r>
        <w:rPr>
          <w:rFonts w:ascii="Times New Roman" w:hAnsi="Times New Roman"/>
          <w:color w:val="000000"/>
          <w:sz w:val="20"/>
        </w:rPr>
        <w:t>means the period of time, up to ten (10) years, during which the performance goals must be met in order to determine the degree of payout and/or vesting with respect to a Performance Award.</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2.40</w:t>
      </w:r>
    </w:p>
    <w:p>
      <w:pPr>
        <w:pStyle w:val="TextBody"/>
        <w:bidi w:val="0"/>
        <w:spacing w:before="0" w:after="0"/>
        <w:jc w:val="both"/>
        <w:rPr/>
      </w:pPr>
      <w:r>
        <w:rPr>
          <w:color w:val="000000"/>
        </w:rPr>
        <w:t>“</w:t>
      </w:r>
      <w:r>
        <w:rPr>
          <w:rFonts w:ascii="Times New Roman" w:hAnsi="Times New Roman"/>
          <w:b/>
          <w:color w:val="000000"/>
          <w:sz w:val="20"/>
        </w:rPr>
        <w:t>Plan</w:t>
      </w:r>
      <w:r>
        <w:rPr>
          <w:color w:val="000000"/>
        </w:rPr>
        <w:t xml:space="preserve">” </w:t>
      </w:r>
      <w:r>
        <w:rPr>
          <w:rFonts w:ascii="Times New Roman" w:hAnsi="Times New Roman"/>
          <w:color w:val="000000"/>
          <w:sz w:val="20"/>
        </w:rPr>
        <w:t>means this Syndax Pharmaceuticals, Inc. 2023 Inducement Plan, as amended from time to time.</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2.41</w:t>
      </w:r>
    </w:p>
    <w:p>
      <w:pPr>
        <w:pStyle w:val="TextBody"/>
        <w:bidi w:val="0"/>
        <w:jc w:val="both"/>
        <w:rPr/>
      </w:pPr>
      <w:r>
        <w:rPr>
          <w:color w:val="000000"/>
        </w:rPr>
        <w:t>“</w:t>
      </w:r>
      <w:r>
        <w:rPr>
          <w:rFonts w:ascii="Times New Roman" w:hAnsi="Times New Roman"/>
          <w:b/>
          <w:color w:val="000000"/>
          <w:sz w:val="20"/>
        </w:rPr>
        <w:t>Purchase Price</w:t>
      </w:r>
      <w:r>
        <w:rPr>
          <w:color w:val="000000"/>
        </w:rPr>
        <w:t xml:space="preserve">” </w:t>
      </w:r>
      <w:r>
        <w:rPr>
          <w:rFonts w:ascii="Times New Roman" w:hAnsi="Times New Roman"/>
          <w:color w:val="000000"/>
          <w:sz w:val="20"/>
        </w:rPr>
        <w:t>means the purchase price for each share of Stock pursuant to a grant of Restricted Stock, Stock Units or Unrestricted Stock.</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2.42</w:t>
      </w:r>
    </w:p>
    <w:p>
      <w:pPr>
        <w:pStyle w:val="TextBody"/>
        <w:bidi w:val="0"/>
        <w:jc w:val="both"/>
        <w:rPr/>
      </w:pPr>
      <w:r>
        <w:rPr>
          <w:color w:val="000000"/>
        </w:rPr>
        <w:t>“</w:t>
      </w:r>
      <w:r>
        <w:rPr>
          <w:rFonts w:ascii="Times New Roman" w:hAnsi="Times New Roman"/>
          <w:b/>
          <w:color w:val="000000"/>
          <w:sz w:val="20"/>
        </w:rPr>
        <w:t>Restricted Stock</w:t>
      </w:r>
      <w:r>
        <w:rPr>
          <w:color w:val="000000"/>
        </w:rPr>
        <w:t xml:space="preserve">” </w:t>
      </w:r>
      <w:r>
        <w:rPr>
          <w:rFonts w:ascii="Times New Roman" w:hAnsi="Times New Roman"/>
          <w:color w:val="000000"/>
          <w:sz w:val="20"/>
        </w:rPr>
        <w:t xml:space="preserve">means shares of Stock awarded to a Grantee pursuant to </w:t>
      </w:r>
      <w:r>
        <w:rPr>
          <w:rFonts w:ascii="Times New Roman" w:hAnsi="Times New Roman"/>
          <w:b/>
          <w:color w:val="000000"/>
          <w:sz w:val="20"/>
        </w:rPr>
        <w:t>Section 10</w:t>
      </w:r>
      <w:r>
        <w:rPr>
          <w:rFonts w:ascii="Times New Roman" w:hAnsi="Times New Roman"/>
          <w:color w:val="000000"/>
          <w:sz w:val="20"/>
        </w:rPr>
        <w:t>.</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2.43</w:t>
      </w:r>
    </w:p>
    <w:p>
      <w:pPr>
        <w:pStyle w:val="TextBody"/>
        <w:bidi w:val="0"/>
        <w:jc w:val="both"/>
        <w:rPr/>
      </w:pPr>
      <w:r>
        <w:rPr>
          <w:color w:val="000000"/>
        </w:rPr>
        <w:t>“</w:t>
      </w:r>
      <w:r>
        <w:rPr>
          <w:rFonts w:ascii="Times New Roman" w:hAnsi="Times New Roman"/>
          <w:b/>
          <w:color w:val="000000"/>
          <w:sz w:val="20"/>
        </w:rPr>
        <w:t>SAR Exercise Price</w:t>
      </w:r>
      <w:r>
        <w:rPr>
          <w:color w:val="000000"/>
        </w:rPr>
        <w:t xml:space="preserve">” </w:t>
      </w:r>
      <w:r>
        <w:rPr>
          <w:rFonts w:ascii="Times New Roman" w:hAnsi="Times New Roman"/>
          <w:color w:val="000000"/>
          <w:sz w:val="20"/>
        </w:rPr>
        <w:t>means the per share exercise price of a SAR.</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2.44</w:t>
      </w:r>
    </w:p>
    <w:p>
      <w:pPr>
        <w:pStyle w:val="TextBody"/>
        <w:bidi w:val="0"/>
        <w:jc w:val="both"/>
        <w:rPr/>
      </w:pPr>
      <w:r>
        <w:rPr>
          <w:color w:val="000000"/>
        </w:rPr>
        <w:t>“</w:t>
      </w:r>
      <w:r>
        <w:rPr>
          <w:rFonts w:ascii="Times New Roman" w:hAnsi="Times New Roman"/>
          <w:b/>
          <w:color w:val="000000"/>
          <w:sz w:val="20"/>
        </w:rPr>
        <w:t>Securities Act</w:t>
      </w:r>
      <w:r>
        <w:rPr>
          <w:color w:val="000000"/>
        </w:rPr>
        <w:t xml:space="preserve">” </w:t>
      </w:r>
      <w:r>
        <w:rPr>
          <w:rFonts w:ascii="Times New Roman" w:hAnsi="Times New Roman"/>
          <w:color w:val="000000"/>
          <w:sz w:val="20"/>
        </w:rPr>
        <w:t>means the Securities Act of 1933, as now in effect or as hereafter amended.</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2.45</w:t>
      </w:r>
    </w:p>
    <w:p>
      <w:pPr>
        <w:pStyle w:val="TextBody"/>
        <w:bidi w:val="0"/>
        <w:jc w:val="both"/>
        <w:rPr/>
      </w:pPr>
      <w:r>
        <w:rPr>
          <w:color w:val="000000"/>
        </w:rPr>
        <w:t>“</w:t>
      </w:r>
      <w:r>
        <w:rPr>
          <w:rFonts w:ascii="Times New Roman" w:hAnsi="Times New Roman"/>
          <w:b/>
          <w:color w:val="000000"/>
          <w:sz w:val="20"/>
        </w:rPr>
        <w:t>Securities Market</w:t>
      </w:r>
      <w:r>
        <w:rPr>
          <w:color w:val="000000"/>
        </w:rPr>
        <w:t xml:space="preserve">” </w:t>
      </w:r>
      <w:r>
        <w:rPr>
          <w:rFonts w:ascii="Times New Roman" w:hAnsi="Times New Roman"/>
          <w:color w:val="000000"/>
          <w:sz w:val="20"/>
        </w:rPr>
        <w:t>shall mean an established securities market.</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2.46</w:t>
      </w:r>
    </w:p>
    <w:p>
      <w:pPr>
        <w:pStyle w:val="TextBody"/>
        <w:bidi w:val="0"/>
        <w:jc w:val="both"/>
        <w:rPr/>
      </w:pPr>
      <w:r>
        <w:rPr>
          <w:color w:val="000000"/>
        </w:rPr>
        <w:t>“</w:t>
      </w:r>
      <w:r>
        <w:rPr>
          <w:rFonts w:ascii="Times New Roman" w:hAnsi="Times New Roman"/>
          <w:b/>
          <w:color w:val="000000"/>
          <w:sz w:val="20"/>
        </w:rPr>
        <w:t>Separation from Service</w:t>
      </w:r>
      <w:r>
        <w:rPr>
          <w:color w:val="000000"/>
        </w:rPr>
        <w:t xml:space="preserve">” </w:t>
      </w:r>
      <w:r>
        <w:rPr>
          <w:rFonts w:ascii="Times New Roman" w:hAnsi="Times New Roman"/>
          <w:color w:val="000000"/>
          <w:sz w:val="20"/>
        </w:rPr>
        <w:t>shall have the meaning set forth in Code Section 409A.</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2.47</w:t>
      </w:r>
    </w:p>
    <w:p>
      <w:pPr>
        <w:pStyle w:val="TextBody"/>
        <w:bidi w:val="0"/>
        <w:jc w:val="both"/>
        <w:rPr/>
      </w:pPr>
      <w:r>
        <w:rPr>
          <w:color w:val="000000"/>
        </w:rPr>
        <w:t>“</w:t>
      </w:r>
      <w:r>
        <w:rPr>
          <w:rFonts w:ascii="Times New Roman" w:hAnsi="Times New Roman"/>
          <w:b/>
          <w:color w:val="000000"/>
          <w:sz w:val="20"/>
        </w:rPr>
        <w:t>Service</w:t>
      </w:r>
      <w:r>
        <w:rPr>
          <w:color w:val="000000"/>
        </w:rPr>
        <w:t xml:space="preserve">” </w:t>
      </w:r>
      <w:r>
        <w:rPr>
          <w:rFonts w:ascii="Times New Roman" w:hAnsi="Times New Roman"/>
          <w:color w:val="000000"/>
          <w:sz w:val="20"/>
        </w:rPr>
        <w:t>means service qualifying a Grantee as a Service Provider to the Company or any Affiliate. Unless otherwise provided in the applicable Award Agreement, a Grantee’s change in position or duties shall not result in interrupted or terminated Service, so long as such Grantee continues to be a Service Provider to the Company or any Affiliate. Subject to the preceding sentence, any determination by the Board whether a termination of Service shall have occurred for purposes of the Plan shall be final, binding, and conclusive. If a Service Provider’s employment or other Service relationship is with an Affiliate of the Company and the applicable entity ceases to be an Affiliate of the Company, a termination of Service shall be deemed to have occurred when such entity ceases to be an Affiliate unless the Service Provider transfers his or her employment or other Service relationship to the Company or any of its other Affiliates.</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2.48</w:t>
      </w:r>
    </w:p>
    <w:p>
      <w:pPr>
        <w:pStyle w:val="TextBody"/>
        <w:bidi w:val="0"/>
        <w:jc w:val="both"/>
        <w:rPr/>
      </w:pPr>
      <w:r>
        <w:rPr>
          <w:color w:val="000000"/>
        </w:rPr>
        <w:t>“</w:t>
      </w:r>
      <w:r>
        <w:rPr>
          <w:rFonts w:ascii="Times New Roman" w:hAnsi="Times New Roman"/>
          <w:b/>
          <w:color w:val="000000"/>
          <w:sz w:val="20"/>
        </w:rPr>
        <w:t>Service Provider</w:t>
      </w:r>
      <w:r>
        <w:rPr>
          <w:color w:val="000000"/>
        </w:rPr>
        <w:t xml:space="preserve">” </w:t>
      </w:r>
      <w:r>
        <w:rPr>
          <w:rFonts w:ascii="Times New Roman" w:hAnsi="Times New Roman"/>
          <w:color w:val="000000"/>
          <w:sz w:val="20"/>
        </w:rPr>
        <w:t>shall mean (a) an Employee or Director of the Company or an Affiliate, or (b) a consultant or adviser to the Company or an Affiliate (i) who is a natural person, (ii) who is currently providing bona fide services to the Company or an Affiliate, and (iii) whose services are not in connection with the Company’s sale of securities in a capital-raising transaction and do not directly or indirectly promote or maintain a market for the Company’s Capital Stock; provided, that consultants and advisers are not eligible to receive Awards under the Plan with respect to their service in such capacity.</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2.49</w:t>
      </w:r>
    </w:p>
    <w:p>
      <w:pPr>
        <w:pStyle w:val="TextBody"/>
        <w:bidi w:val="0"/>
        <w:jc w:val="both"/>
        <w:rPr/>
      </w:pPr>
      <w:r>
        <w:rPr>
          <w:color w:val="000000"/>
        </w:rPr>
        <w:t>“</w:t>
      </w:r>
      <w:r>
        <w:rPr>
          <w:rFonts w:ascii="Times New Roman" w:hAnsi="Times New Roman"/>
          <w:b/>
          <w:color w:val="000000"/>
          <w:sz w:val="20"/>
        </w:rPr>
        <w:t>Service Recipient Stock</w:t>
      </w:r>
      <w:r>
        <w:rPr>
          <w:color w:val="000000"/>
        </w:rPr>
        <w:t xml:space="preserve">” </w:t>
      </w:r>
      <w:r>
        <w:rPr>
          <w:rFonts w:ascii="Times New Roman" w:hAnsi="Times New Roman"/>
          <w:color w:val="000000"/>
          <w:sz w:val="20"/>
        </w:rPr>
        <w:t>shall have the meaning set forth in Code Section 409A.</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2.50</w:t>
      </w:r>
    </w:p>
    <w:p>
      <w:pPr>
        <w:pStyle w:val="TextBody"/>
        <w:bidi w:val="0"/>
        <w:jc w:val="both"/>
        <w:rPr/>
      </w:pPr>
      <w:r>
        <w:rPr>
          <w:color w:val="000000"/>
        </w:rPr>
        <w:t>“</w:t>
      </w:r>
      <w:r>
        <w:rPr>
          <w:rFonts w:ascii="Times New Roman" w:hAnsi="Times New Roman"/>
          <w:b/>
          <w:color w:val="000000"/>
          <w:sz w:val="20"/>
        </w:rPr>
        <w:t>Share Reserve</w:t>
      </w:r>
      <w:r>
        <w:rPr>
          <w:color w:val="000000"/>
        </w:rPr>
        <w:t xml:space="preserve">” </w:t>
      </w:r>
      <w:r>
        <w:rPr>
          <w:rFonts w:ascii="Times New Roman" w:hAnsi="Times New Roman"/>
          <w:color w:val="000000"/>
          <w:sz w:val="20"/>
        </w:rPr>
        <w:t xml:space="preserve">shall have the meaning set forth in </w:t>
      </w:r>
      <w:r>
        <w:rPr>
          <w:rFonts w:ascii="Times New Roman" w:hAnsi="Times New Roman"/>
          <w:b/>
          <w:color w:val="000000"/>
          <w:sz w:val="20"/>
        </w:rPr>
        <w:t>Section 4.1.</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2.51</w:t>
      </w:r>
    </w:p>
    <w:p>
      <w:pPr>
        <w:pStyle w:val="TextBody"/>
        <w:bidi w:val="0"/>
        <w:jc w:val="both"/>
        <w:rPr/>
      </w:pPr>
      <w:r>
        <w:rPr>
          <w:color w:val="000000"/>
        </w:rPr>
        <w:t>“</w:t>
      </w:r>
      <w:r>
        <w:rPr>
          <w:rFonts w:ascii="Times New Roman" w:hAnsi="Times New Roman"/>
          <w:b/>
          <w:color w:val="000000"/>
          <w:sz w:val="20"/>
        </w:rPr>
        <w:t>Stock</w:t>
      </w:r>
      <w:r>
        <w:rPr>
          <w:color w:val="000000"/>
        </w:rPr>
        <w:t xml:space="preserve">” </w:t>
      </w:r>
      <w:r>
        <w:rPr>
          <w:rFonts w:ascii="Times New Roman" w:hAnsi="Times New Roman"/>
          <w:color w:val="000000"/>
          <w:sz w:val="20"/>
        </w:rPr>
        <w:t xml:space="preserve">means the common stock, par value $0.0001 per share, of the Company, or any security into which shares of Stock may be changed or for which shares of Stock may be exchanged as provided in </w:t>
      </w:r>
      <w:r>
        <w:rPr>
          <w:rFonts w:ascii="Times New Roman" w:hAnsi="Times New Roman"/>
          <w:b/>
          <w:color w:val="000000"/>
          <w:sz w:val="20"/>
        </w:rPr>
        <w:t>Section 17.1</w:t>
      </w:r>
      <w:r>
        <w:rPr>
          <w:rFonts w:ascii="Times New Roman" w:hAnsi="Times New Roman"/>
          <w:color w:val="000000"/>
          <w:sz w:val="20"/>
        </w:rPr>
        <w:t>.</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2.52</w:t>
      </w:r>
    </w:p>
    <w:p>
      <w:pPr>
        <w:pStyle w:val="TextBody"/>
        <w:bidi w:val="0"/>
        <w:jc w:val="both"/>
        <w:rPr/>
      </w:pPr>
      <w:r>
        <w:rPr>
          <w:color w:val="000000"/>
        </w:rPr>
        <w:t>“</w:t>
      </w:r>
      <w:r>
        <w:rPr>
          <w:rFonts w:ascii="Times New Roman" w:hAnsi="Times New Roman"/>
          <w:b/>
          <w:color w:val="000000"/>
          <w:sz w:val="20"/>
        </w:rPr>
        <w:t>Stock Appreciation Right</w:t>
      </w:r>
      <w:r>
        <w:rPr>
          <w:color w:val="000000"/>
        </w:rPr>
        <w:t xml:space="preserve">” </w:t>
      </w:r>
      <w:r>
        <w:rPr>
          <w:rFonts w:ascii="Times New Roman" w:hAnsi="Times New Roman"/>
          <w:color w:val="000000"/>
          <w:sz w:val="20"/>
        </w:rPr>
        <w:t>or “</w:t>
      </w:r>
      <w:r>
        <w:rPr>
          <w:rFonts w:ascii="Times New Roman" w:hAnsi="Times New Roman"/>
          <w:b/>
          <w:color w:val="000000"/>
          <w:sz w:val="20"/>
        </w:rPr>
        <w:t>SAR</w:t>
      </w:r>
      <w:r>
        <w:rPr>
          <w:color w:val="000000"/>
        </w:rPr>
        <w:t xml:space="preserve">” </w:t>
      </w:r>
      <w:r>
        <w:rPr>
          <w:rFonts w:ascii="Times New Roman" w:hAnsi="Times New Roman"/>
          <w:color w:val="000000"/>
          <w:sz w:val="20"/>
        </w:rPr>
        <w:t xml:space="preserve">means a right awarded to a Grantee under </w:t>
      </w:r>
      <w:r>
        <w:rPr>
          <w:rFonts w:ascii="Times New Roman" w:hAnsi="Times New Roman"/>
          <w:b/>
          <w:color w:val="000000"/>
          <w:sz w:val="20"/>
        </w:rPr>
        <w:t>Section 9</w:t>
      </w:r>
      <w:r>
        <w:rPr>
          <w:rFonts w:ascii="Times New Roman" w:hAnsi="Times New Roman"/>
          <w:color w:val="000000"/>
          <w:sz w:val="20"/>
        </w:rPr>
        <w:t>.</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2.53</w:t>
      </w:r>
    </w:p>
    <w:p>
      <w:pPr>
        <w:pStyle w:val="TextBody"/>
        <w:bidi w:val="0"/>
        <w:jc w:val="both"/>
        <w:rPr/>
      </w:pPr>
      <w:r>
        <w:rPr>
          <w:color w:val="000000"/>
        </w:rPr>
        <w:t>“</w:t>
      </w:r>
      <w:r>
        <w:rPr>
          <w:rFonts w:ascii="Times New Roman" w:hAnsi="Times New Roman"/>
          <w:b/>
          <w:color w:val="000000"/>
          <w:sz w:val="20"/>
        </w:rPr>
        <w:t>Stock Exchange</w:t>
      </w:r>
      <w:r>
        <w:rPr>
          <w:color w:val="000000"/>
        </w:rPr>
        <w:t xml:space="preserve">” </w:t>
      </w:r>
      <w:r>
        <w:rPr>
          <w:rFonts w:ascii="Times New Roman" w:hAnsi="Times New Roman"/>
          <w:color w:val="000000"/>
          <w:sz w:val="20"/>
        </w:rPr>
        <w:t>means the NASDAQ Stock Market LLC, any successor thereto, or another established national or regional stock exchange.</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2.54</w:t>
      </w:r>
    </w:p>
    <w:p>
      <w:pPr>
        <w:pStyle w:val="TextBody"/>
        <w:bidi w:val="0"/>
        <w:jc w:val="both"/>
        <w:rPr/>
      </w:pPr>
      <w:r>
        <w:rPr>
          <w:color w:val="000000"/>
        </w:rPr>
        <w:t>“</w:t>
      </w:r>
      <w:r>
        <w:rPr>
          <w:rFonts w:ascii="Times New Roman" w:hAnsi="Times New Roman"/>
          <w:b/>
          <w:color w:val="000000"/>
          <w:sz w:val="20"/>
        </w:rPr>
        <w:t>Stock Unit</w:t>
      </w:r>
      <w:r>
        <w:rPr>
          <w:color w:val="000000"/>
        </w:rPr>
        <w:t xml:space="preserve">” </w:t>
      </w:r>
      <w:r>
        <w:rPr>
          <w:rFonts w:ascii="Times New Roman" w:hAnsi="Times New Roman"/>
          <w:color w:val="000000"/>
          <w:sz w:val="20"/>
        </w:rPr>
        <w:t xml:space="preserve">means a bookkeeping entry representing the equivalent of one share of Stock awarded to a Grantee pursuant to </w:t>
      </w:r>
      <w:r>
        <w:rPr>
          <w:rFonts w:ascii="Times New Roman" w:hAnsi="Times New Roman"/>
          <w:b/>
          <w:color w:val="000000"/>
          <w:sz w:val="20"/>
        </w:rPr>
        <w:t xml:space="preserve">Section 10 </w:t>
      </w:r>
      <w:r>
        <w:rPr>
          <w:rFonts w:ascii="Times New Roman" w:hAnsi="Times New Roman"/>
          <w:color w:val="000000"/>
          <w:sz w:val="20"/>
        </w:rPr>
        <w:t>that may be settled, subject to the terms and conditions of the applicable Award Agreement, in shares of Stock, cash, or a combination thereof.</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2.55</w:t>
      </w:r>
    </w:p>
    <w:p>
      <w:pPr>
        <w:pStyle w:val="TextBody"/>
        <w:bidi w:val="0"/>
        <w:jc w:val="both"/>
        <w:rPr/>
      </w:pPr>
      <w:r>
        <w:rPr>
          <w:color w:val="000000"/>
        </w:rPr>
        <w:t>“</w:t>
      </w:r>
      <w:r>
        <w:rPr>
          <w:rFonts w:ascii="Times New Roman" w:hAnsi="Times New Roman"/>
          <w:b/>
          <w:color w:val="000000"/>
          <w:sz w:val="20"/>
        </w:rPr>
        <w:t>Subsidiary</w:t>
      </w:r>
      <w:r>
        <w:rPr>
          <w:color w:val="000000"/>
        </w:rPr>
        <w:t xml:space="preserve">” </w:t>
      </w:r>
      <w:r>
        <w:rPr>
          <w:rFonts w:ascii="Times New Roman" w:hAnsi="Times New Roman"/>
          <w:color w:val="000000"/>
          <w:sz w:val="20"/>
        </w:rPr>
        <w:t>shall mean any corporation (other than the Company) or non-corporate entity with respect to which the Company owns, directly or indirectly, fifty percent (50%) or more of the total combined voting power of all classes of Voting Stock. In addition, any other entity may be designated by the Committee as a Subsidiary, provided that (a) such entity could be considered as a subsidiary according to generally accepted accounting principles in the United States of America and (b) in the case of an Award of Options or Stock Appreciation Rights, such Award would be considered to be granted in respect of Service Recipient Stock under Code Section 409A.</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2.56</w:t>
      </w:r>
    </w:p>
    <w:p>
      <w:pPr>
        <w:pStyle w:val="TextBody"/>
        <w:bidi w:val="0"/>
        <w:spacing w:before="0" w:after="0"/>
        <w:jc w:val="both"/>
        <w:rPr/>
      </w:pPr>
      <w:r>
        <w:rPr>
          <w:color w:val="000000"/>
        </w:rPr>
        <w:t>“</w:t>
      </w:r>
      <w:r>
        <w:rPr>
          <w:rFonts w:ascii="Times New Roman" w:hAnsi="Times New Roman"/>
          <w:b/>
          <w:color w:val="000000"/>
          <w:sz w:val="20"/>
        </w:rPr>
        <w:t>Substitute Award</w:t>
      </w:r>
      <w:r>
        <w:rPr>
          <w:color w:val="000000"/>
        </w:rPr>
        <w:t xml:space="preserve">” </w:t>
      </w:r>
      <w:r>
        <w:rPr>
          <w:rFonts w:ascii="Times New Roman" w:hAnsi="Times New Roman"/>
          <w:color w:val="000000"/>
          <w:sz w:val="20"/>
        </w:rPr>
        <w:t>means an Award granted upon assumption of, or in substitution for, outstanding awards previously granted by a company or other entity acquired by the Company or an Affiliate or with which the Company or an Affiliate combines.</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2.57</w:t>
      </w:r>
    </w:p>
    <w:p>
      <w:pPr>
        <w:pStyle w:val="TextBody"/>
        <w:bidi w:val="0"/>
        <w:jc w:val="both"/>
        <w:rPr/>
      </w:pPr>
      <w:r>
        <w:rPr>
          <w:color w:val="000000"/>
        </w:rPr>
        <w:t>“</w:t>
      </w:r>
      <w:r>
        <w:rPr>
          <w:rFonts w:ascii="Times New Roman" w:hAnsi="Times New Roman"/>
          <w:b/>
          <w:color w:val="000000"/>
          <w:sz w:val="20"/>
        </w:rPr>
        <w:t>Unrestricted Stock</w:t>
      </w:r>
      <w:r>
        <w:rPr>
          <w:color w:val="000000"/>
        </w:rPr>
        <w:t xml:space="preserve">” </w:t>
      </w:r>
      <w:r>
        <w:rPr>
          <w:rFonts w:ascii="Times New Roman" w:hAnsi="Times New Roman"/>
          <w:color w:val="000000"/>
          <w:sz w:val="20"/>
        </w:rPr>
        <w:t>shall mean Stock that is free of any restrictions.</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2.58</w:t>
      </w:r>
    </w:p>
    <w:p>
      <w:pPr>
        <w:pStyle w:val="TextBody"/>
        <w:bidi w:val="0"/>
        <w:jc w:val="both"/>
        <w:rPr/>
      </w:pPr>
      <w:r>
        <w:rPr>
          <w:color w:val="000000"/>
        </w:rPr>
        <w:t>“</w:t>
      </w:r>
      <w:r>
        <w:rPr>
          <w:rFonts w:ascii="Times New Roman" w:hAnsi="Times New Roman"/>
          <w:b/>
          <w:color w:val="000000"/>
          <w:sz w:val="20"/>
        </w:rPr>
        <w:t>Voting Stock</w:t>
      </w:r>
      <w:r>
        <w:rPr>
          <w:color w:val="000000"/>
        </w:rPr>
        <w:t xml:space="preserve">” </w:t>
      </w:r>
      <w:r>
        <w:rPr>
          <w:rFonts w:ascii="Times New Roman" w:hAnsi="Times New Roman"/>
          <w:color w:val="000000"/>
          <w:sz w:val="20"/>
        </w:rPr>
        <w:t>shall mean, with respect to any Person, Capital Stock of any class or kind ordinarily having the power to vote for the election of directors, managers, or other voting members of the governing body of such Person.</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3.</w:t>
      </w:r>
    </w:p>
    <w:p>
      <w:pPr>
        <w:pStyle w:val="TextBody"/>
        <w:bidi w:val="0"/>
        <w:jc w:val="both"/>
        <w:rPr>
          <w:rFonts w:ascii="Times New Roman" w:hAnsi="Times New Roman"/>
          <w:b/>
          <w:color w:val="000000"/>
          <w:sz w:val="20"/>
        </w:rPr>
      </w:pPr>
      <w:r>
        <w:rPr>
          <w:rFonts w:ascii="Times New Roman" w:hAnsi="Times New Roman"/>
          <w:b/>
          <w:color w:val="000000"/>
          <w:sz w:val="20"/>
        </w:rPr>
        <w:t>ADMINISTRATION</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3.1.</w:t>
      </w:r>
    </w:p>
    <w:p>
      <w:pPr>
        <w:pStyle w:val="TextBody"/>
        <w:bidi w:val="0"/>
        <w:jc w:val="both"/>
        <w:rPr>
          <w:rFonts w:ascii="Times New Roman" w:hAnsi="Times New Roman"/>
          <w:b/>
          <w:color w:val="000000"/>
          <w:sz w:val="20"/>
        </w:rPr>
      </w:pPr>
      <w:r>
        <w:rPr>
          <w:rFonts w:ascii="Times New Roman" w:hAnsi="Times New Roman"/>
          <w:b/>
          <w:color w:val="000000"/>
          <w:sz w:val="20"/>
        </w:rPr>
        <w:t>Board.</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The Board shall have such powers and authorities related to the administration of the Plan as are consistent with the Company’s certificate of incorporation and by-laws, Applicable Laws, and the Inducement Award Rules. The Board shall have full power and authority to take all actions and to make all determinations required or provided for under the Plan, any Award, or any Award Agreement and shall have full power and authority to take all such other actions and to make all such other determinations not inconsistent with the specific terms and provisions of the Plan that the Board deems to be necessary or appropriate to the administration of the Plan, any Award, or any Award Agreement; provided, however, that Awards may only be granted by either (a) a majority of the Company’s Independent Directors or (b) the Independent Compensation Committee. Subject to those constraints and the other constraints of the Inducement Award Rules, the Board may delegate some of its powers of administration of the Plan to a Committee or Committees, as provided in </w:t>
      </w:r>
      <w:r>
        <w:rPr>
          <w:rFonts w:ascii="Times New Roman" w:hAnsi="Times New Roman"/>
          <w:b/>
          <w:color w:val="000000"/>
          <w:sz w:val="20"/>
        </w:rPr>
        <w:t>Section 3.2</w:t>
      </w:r>
      <w:r>
        <w:rPr>
          <w:rFonts w:ascii="Times New Roman" w:hAnsi="Times New Roman"/>
          <w:color w:val="000000"/>
          <w:sz w:val="20"/>
        </w:rPr>
        <w:t>. All such actions and determinations shall be made by the affirmative vote of a majority of the members of the Board present at a meeting at which a quorum is present or by unanimous consent of the members of the Board executed in writing or evidenced by electronic transmission in accordance with the Company’s certificate of incorporation and by-laws and Applicable Laws. The Board shall have the authority to interpret and construe all provisions of the Plan, any Award, and any Award Agreement, and any such interpretation and construction, and any other determination contemplated to be made under the Plan, any Award, or any Award Agreement, by the Board shall be final, binding, and conclusive on all persons, whether or not expressly provided for in any provision of the Plan, such Award, or such Award Agreement.</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3.2.</w:t>
      </w:r>
    </w:p>
    <w:p>
      <w:pPr>
        <w:pStyle w:val="TextBody"/>
        <w:bidi w:val="0"/>
        <w:jc w:val="both"/>
        <w:rPr>
          <w:rFonts w:ascii="Times New Roman" w:hAnsi="Times New Roman"/>
          <w:b/>
          <w:color w:val="000000"/>
          <w:sz w:val="20"/>
        </w:rPr>
      </w:pPr>
      <w:r>
        <w:rPr>
          <w:rFonts w:ascii="Times New Roman" w:hAnsi="Times New Roman"/>
          <w:b/>
          <w:color w:val="000000"/>
          <w:sz w:val="20"/>
        </w:rPr>
        <w:t>Committee.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The Board from time to time may delegate to the Committee such powers and authorities related to the administration and implementation of the Plan, as set forth in </w:t>
      </w:r>
      <w:r>
        <w:rPr>
          <w:rFonts w:ascii="Times New Roman" w:hAnsi="Times New Roman"/>
          <w:b/>
          <w:color w:val="000000"/>
          <w:sz w:val="20"/>
        </w:rPr>
        <w:t xml:space="preserve">Section 3.1 </w:t>
      </w:r>
      <w:r>
        <w:rPr>
          <w:rFonts w:ascii="Times New Roman" w:hAnsi="Times New Roman"/>
          <w:color w:val="000000"/>
          <w:sz w:val="20"/>
        </w:rPr>
        <w:t>above and other applicable provisions, as the Board shall determine, consistent with the Company’s certificate of incorporation and by-laws, Applicable Laws, and the Inducement Award Rules.</w:t>
      </w:r>
    </w:p>
    <w:p>
      <w:pPr>
        <w:pStyle w:val="TextBody"/>
        <w:bidi w:val="0"/>
        <w:spacing w:before="119" w:after="283"/>
        <w:jc w:val="both"/>
        <w:rPr>
          <w:rFonts w:ascii="Times New Roman" w:hAnsi="Times New Roman"/>
          <w:color w:val="000000"/>
          <w:sz w:val="20"/>
        </w:rPr>
      </w:pPr>
      <w:r>
        <w:rPr>
          <w:rFonts w:ascii="Times New Roman" w:hAnsi="Times New Roman"/>
          <w:color w:val="000000"/>
          <w:sz w:val="20"/>
        </w:rPr>
        <w:t>(i)</w:t>
      </w:r>
    </w:p>
    <w:p>
      <w:pPr>
        <w:pStyle w:val="TextBody"/>
        <w:bidi w:val="0"/>
        <w:spacing w:before="119" w:after="283"/>
        <w:jc w:val="both"/>
        <w:rPr>
          <w:rFonts w:ascii="Times New Roman" w:hAnsi="Times New Roman"/>
          <w:color w:val="000000"/>
          <w:sz w:val="20"/>
        </w:rPr>
      </w:pPr>
      <w:r>
        <w:rPr>
          <w:rFonts w:ascii="Times New Roman" w:hAnsi="Times New Roman"/>
          <w:color w:val="000000"/>
          <w:sz w:val="20"/>
        </w:rPr>
        <w:t>Except as provided in Subsection (ii) and except as the Board may otherwise determine, the Committee, if any, appointed by the Board to administer the Plan shall consist of two or more Outside Directors of the Company who: (a) meet such requirements as may be established from time to time by the Securities and Exchange Commission for plans intended to qualify for exemption under Rule 16b-3 (or its successor) under the Exchange Act, and (b) comply with the independence requirements of the Stock Exchange or Securities Market on which the shares of Stock are listed or publicly traded.</w:t>
      </w:r>
    </w:p>
    <w:p>
      <w:pPr>
        <w:pStyle w:val="TextBody"/>
        <w:bidi w:val="0"/>
        <w:spacing w:before="119" w:after="283"/>
        <w:jc w:val="both"/>
        <w:rPr>
          <w:rFonts w:ascii="Times New Roman" w:hAnsi="Times New Roman"/>
          <w:color w:val="000000"/>
          <w:sz w:val="20"/>
        </w:rPr>
      </w:pPr>
      <w:r>
        <w:rPr>
          <w:rFonts w:ascii="Times New Roman" w:hAnsi="Times New Roman"/>
          <w:color w:val="000000"/>
          <w:sz w:val="20"/>
        </w:rPr>
        <w:t>(ii)</w:t>
      </w:r>
    </w:p>
    <w:p>
      <w:pPr>
        <w:pStyle w:val="TextBody"/>
        <w:bidi w:val="0"/>
        <w:spacing w:before="119" w:after="283"/>
        <w:jc w:val="both"/>
        <w:rPr>
          <w:rFonts w:ascii="Times New Roman" w:hAnsi="Times New Roman"/>
          <w:color w:val="000000"/>
          <w:sz w:val="20"/>
        </w:rPr>
      </w:pPr>
      <w:r>
        <w:rPr>
          <w:rFonts w:ascii="Times New Roman" w:hAnsi="Times New Roman"/>
          <w:color w:val="000000"/>
          <w:sz w:val="20"/>
        </w:rPr>
        <w:t>The Board may also appoint one or more separate committees of the Board, each composed of one or more directors of the Company who need not be Outside Directors, who may administer the Plan with respect to Employees or other Service Providers who are not executive officers (as defined under Rule 3b-7 or the Exchange Act) or Directors of the Company, may grant Awards under the Plan to Eligible Employees (provided that Awards may only be granted by either (x) a majority of the Company’s Independent Directors or (y) the Independent Compensation Committee), and may determine all terms of such Awards, subject to the requirements of the Inducement Award Rules, Rule 16b-3 and the rules of the Stock Exchange or Securities Market on which the shares of Stock are listed or publicly traded.</w:t>
      </w:r>
    </w:p>
    <w:p>
      <w:pPr>
        <w:pStyle w:val="TextBody"/>
        <w:bidi w:val="0"/>
        <w:spacing w:before="119" w:after="283"/>
        <w:jc w:val="both"/>
        <w:rPr>
          <w:rFonts w:ascii="Times New Roman" w:hAnsi="Times New Roman"/>
          <w:color w:val="000000"/>
          <w:sz w:val="20"/>
        </w:rPr>
      </w:pPr>
      <w:r>
        <w:rPr>
          <w:rFonts w:ascii="Times New Roman" w:hAnsi="Times New Roman"/>
          <w:color w:val="000000"/>
          <w:sz w:val="20"/>
        </w:rPr>
        <w:t>In the event that the Plan, any Award, or any Award Agreement entered into hereunder provides for any action to be taken by or determination to be made by the Board, such action may be taken or such determination may be made by a Committee if the power and authority to do so has been delegated (and such delegated authority has not been revoked) to such Committee by the Board as provided for in this Section. Unless otherwise expressly determined by the Board, any such action or determination by the Committee shall be final, binding, and conclusive. To the extent permitted by Applicable Laws, the Committee may delegate its authority under the Plan to a member of the Board, provided, that such member of the Board to whom the Committee delegates authority under the Plan must be an Outside Director who satisfies the requirements of Subsection (i) (a)-(b) of this Section 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3.3.</w:t>
      </w:r>
    </w:p>
    <w:p>
      <w:pPr>
        <w:pStyle w:val="TextBody"/>
        <w:bidi w:val="0"/>
        <w:jc w:val="both"/>
        <w:rPr>
          <w:rFonts w:ascii="Times New Roman" w:hAnsi="Times New Roman"/>
          <w:b/>
          <w:color w:val="000000"/>
          <w:sz w:val="20"/>
        </w:rPr>
      </w:pPr>
      <w:r>
        <w:rPr>
          <w:rFonts w:ascii="Times New Roman" w:hAnsi="Times New Roman"/>
          <w:b/>
          <w:color w:val="000000"/>
          <w:sz w:val="20"/>
        </w:rPr>
        <w:t>Terms of Awards.</w:t>
      </w:r>
    </w:p>
    <w:p>
      <w:pPr>
        <w:pStyle w:val="TextBody"/>
        <w:bidi w:val="0"/>
        <w:spacing w:before="119" w:after="283"/>
        <w:jc w:val="both"/>
        <w:rPr>
          <w:rFonts w:ascii="Times New Roman" w:hAnsi="Times New Roman"/>
          <w:color w:val="000000"/>
          <w:sz w:val="20"/>
        </w:rPr>
      </w:pPr>
      <w:r>
        <w:rPr>
          <w:rFonts w:ascii="Times New Roman" w:hAnsi="Times New Roman"/>
          <w:color w:val="000000"/>
          <w:sz w:val="20"/>
        </w:rPr>
        <w:t>Subject to the other terms and conditions of the Plan and the Inducement Award Rules, the Board shall have full and final authority to:</w:t>
      </w:r>
    </w:p>
    <w:p>
      <w:pPr>
        <w:pStyle w:val="TextBody"/>
        <w:bidi w:val="0"/>
        <w:spacing w:before="119" w:after="283"/>
        <w:jc w:val="both"/>
        <w:rPr>
          <w:rFonts w:ascii="Times New Roman" w:hAnsi="Times New Roman"/>
          <w:color w:val="000000"/>
          <w:sz w:val="20"/>
        </w:rPr>
      </w:pPr>
      <w:r>
        <w:rPr>
          <w:rFonts w:ascii="Times New Roman" w:hAnsi="Times New Roman"/>
          <w:color w:val="000000"/>
          <w:sz w:val="20"/>
        </w:rPr>
        <w:t>(i)</w:t>
      </w:r>
    </w:p>
    <w:p>
      <w:pPr>
        <w:pStyle w:val="TextBody"/>
        <w:bidi w:val="0"/>
        <w:spacing w:before="119" w:after="283"/>
        <w:jc w:val="both"/>
        <w:rPr>
          <w:rFonts w:ascii="Times New Roman" w:hAnsi="Times New Roman"/>
          <w:color w:val="000000"/>
          <w:sz w:val="20"/>
        </w:rPr>
      </w:pPr>
      <w:r>
        <w:rPr>
          <w:rFonts w:ascii="Times New Roman" w:hAnsi="Times New Roman"/>
          <w:color w:val="000000"/>
          <w:sz w:val="20"/>
        </w:rPr>
        <w:t>designate Grantees (provided that Awards may only be granted by either (x) a majority of the Company’s Independent Directors or (y) the Independent Compensation Committee);</w:t>
      </w:r>
    </w:p>
    <w:p>
      <w:pPr>
        <w:pStyle w:val="TextBody"/>
        <w:bidi w:val="0"/>
        <w:spacing w:before="119" w:after="283"/>
        <w:jc w:val="both"/>
        <w:rPr>
          <w:rFonts w:ascii="Times New Roman" w:hAnsi="Times New Roman"/>
          <w:color w:val="000000"/>
          <w:sz w:val="20"/>
        </w:rPr>
      </w:pPr>
      <w:r>
        <w:rPr>
          <w:rFonts w:ascii="Times New Roman" w:hAnsi="Times New Roman"/>
          <w:color w:val="000000"/>
          <w:sz w:val="20"/>
        </w:rPr>
        <w:t>(ii)</w:t>
      </w:r>
    </w:p>
    <w:p>
      <w:pPr>
        <w:pStyle w:val="TextBody"/>
        <w:bidi w:val="0"/>
        <w:spacing w:before="119" w:after="283"/>
        <w:jc w:val="both"/>
        <w:rPr>
          <w:rFonts w:ascii="Times New Roman" w:hAnsi="Times New Roman"/>
          <w:color w:val="000000"/>
          <w:sz w:val="20"/>
        </w:rPr>
      </w:pPr>
      <w:r>
        <w:rPr>
          <w:rFonts w:ascii="Times New Roman" w:hAnsi="Times New Roman"/>
          <w:color w:val="000000"/>
          <w:sz w:val="20"/>
        </w:rPr>
        <w:t>determine the type or types of Awards to be made to a Grantee;</w:t>
      </w:r>
    </w:p>
    <w:p>
      <w:pPr>
        <w:pStyle w:val="TextBody"/>
        <w:bidi w:val="0"/>
        <w:spacing w:before="119" w:after="283"/>
        <w:jc w:val="both"/>
        <w:rPr>
          <w:rFonts w:ascii="Times New Roman" w:hAnsi="Times New Roman"/>
          <w:color w:val="000000"/>
          <w:sz w:val="20"/>
        </w:rPr>
      </w:pPr>
      <w:r>
        <w:rPr>
          <w:rFonts w:ascii="Times New Roman" w:hAnsi="Times New Roman"/>
          <w:color w:val="000000"/>
          <w:sz w:val="20"/>
        </w:rPr>
        <w:t>(iii)</w:t>
      </w:r>
    </w:p>
    <w:p>
      <w:pPr>
        <w:pStyle w:val="TextBody"/>
        <w:bidi w:val="0"/>
        <w:spacing w:before="119" w:after="283"/>
        <w:jc w:val="both"/>
        <w:rPr>
          <w:rFonts w:ascii="Times New Roman" w:hAnsi="Times New Roman"/>
          <w:color w:val="000000"/>
          <w:sz w:val="20"/>
        </w:rPr>
      </w:pPr>
      <w:r>
        <w:rPr>
          <w:rFonts w:ascii="Times New Roman" w:hAnsi="Times New Roman"/>
          <w:color w:val="000000"/>
          <w:sz w:val="20"/>
        </w:rPr>
        <w:t>determine the number of shares of Stock to be subject to an Award or to which an Award relates;</w:t>
      </w:r>
    </w:p>
    <w:p>
      <w:pPr>
        <w:pStyle w:val="TextBody"/>
        <w:bidi w:val="0"/>
        <w:spacing w:before="119" w:after="283"/>
        <w:jc w:val="both"/>
        <w:rPr>
          <w:rFonts w:ascii="Times New Roman" w:hAnsi="Times New Roman"/>
          <w:color w:val="000000"/>
          <w:sz w:val="20"/>
        </w:rPr>
      </w:pPr>
      <w:r>
        <w:rPr>
          <w:rFonts w:ascii="Times New Roman" w:hAnsi="Times New Roman"/>
          <w:color w:val="000000"/>
          <w:sz w:val="20"/>
        </w:rPr>
        <w:t>(iv)</w:t>
      </w:r>
    </w:p>
    <w:p>
      <w:pPr>
        <w:pStyle w:val="TextBody"/>
        <w:bidi w:val="0"/>
        <w:spacing w:before="119" w:after="283"/>
        <w:jc w:val="both"/>
        <w:rPr>
          <w:rFonts w:ascii="Times New Roman" w:hAnsi="Times New Roman"/>
          <w:color w:val="000000"/>
          <w:sz w:val="20"/>
        </w:rPr>
      </w:pPr>
      <w:r>
        <w:rPr>
          <w:rFonts w:ascii="Times New Roman" w:hAnsi="Times New Roman"/>
          <w:color w:val="000000"/>
          <w:sz w:val="20"/>
        </w:rPr>
        <w:t>establish the terms and conditions of each Award (including, but not limited to, the Option Price, SAR Exercise Price, the Purchase Price, the nature and duration of any restriction or condition (or provision for lapse thereof) relating to the vesting, exercise, transfer, or forfeiture of an Award or the shares of Stock subject thereto, the treatment of an Award in the event of a Change in Control (subject to applicable agreements);</w:t>
      </w:r>
    </w:p>
    <w:p>
      <w:pPr>
        <w:pStyle w:val="TextBody"/>
        <w:bidi w:val="0"/>
        <w:spacing w:before="119" w:after="283"/>
        <w:jc w:val="both"/>
        <w:rPr>
          <w:rFonts w:ascii="Times New Roman" w:hAnsi="Times New Roman"/>
          <w:color w:val="000000"/>
          <w:sz w:val="20"/>
        </w:rPr>
      </w:pPr>
      <w:r>
        <w:rPr>
          <w:rFonts w:ascii="Times New Roman" w:hAnsi="Times New Roman"/>
          <w:color w:val="000000"/>
          <w:sz w:val="20"/>
        </w:rPr>
        <w:t>(v)</w:t>
      </w:r>
    </w:p>
    <w:p>
      <w:pPr>
        <w:pStyle w:val="TextBody"/>
        <w:bidi w:val="0"/>
        <w:spacing w:before="119" w:after="283"/>
        <w:jc w:val="both"/>
        <w:rPr>
          <w:rFonts w:ascii="Times New Roman" w:hAnsi="Times New Roman"/>
          <w:color w:val="000000"/>
          <w:sz w:val="20"/>
        </w:rPr>
      </w:pPr>
      <w:r>
        <w:rPr>
          <w:rFonts w:ascii="Times New Roman" w:hAnsi="Times New Roman"/>
          <w:color w:val="000000"/>
          <w:sz w:val="20"/>
        </w:rPr>
        <w:t>prescribe the form of each Award Agreement evidencing an Award;</w:t>
      </w:r>
    </w:p>
    <w:p>
      <w:pPr>
        <w:pStyle w:val="TextBody"/>
        <w:bidi w:val="0"/>
        <w:spacing w:before="119" w:after="283"/>
        <w:jc w:val="both"/>
        <w:rPr>
          <w:rFonts w:ascii="Times New Roman" w:hAnsi="Times New Roman"/>
          <w:color w:val="000000"/>
          <w:sz w:val="20"/>
        </w:rPr>
      </w:pPr>
      <w:r>
        <w:rPr>
          <w:rFonts w:ascii="Times New Roman" w:hAnsi="Times New Roman"/>
          <w:color w:val="000000"/>
          <w:sz w:val="20"/>
        </w:rPr>
        <w:t>(vi)</w:t>
      </w:r>
    </w:p>
    <w:p>
      <w:pPr>
        <w:pStyle w:val="TextBody"/>
        <w:bidi w:val="0"/>
        <w:spacing w:before="119" w:after="283"/>
        <w:jc w:val="both"/>
        <w:rPr/>
      </w:pPr>
      <w:r>
        <w:rPr>
          <w:rFonts w:ascii="Times New Roman" w:hAnsi="Times New Roman"/>
          <w:color w:val="000000"/>
          <w:sz w:val="20"/>
        </w:rPr>
        <w:t xml:space="preserve">subject to the limitations on repricing in </w:t>
      </w:r>
      <w:r>
        <w:rPr>
          <w:rFonts w:ascii="Times New Roman" w:hAnsi="Times New Roman"/>
          <w:b/>
          <w:color w:val="000000"/>
          <w:sz w:val="20"/>
        </w:rPr>
        <w:t>Section 3.6</w:t>
      </w:r>
      <w:r>
        <w:rPr>
          <w:rFonts w:ascii="Times New Roman" w:hAnsi="Times New Roman"/>
          <w:color w:val="000000"/>
          <w:sz w:val="20"/>
        </w:rPr>
        <w:t>, amend, modify or supplement the terms of any outstanding Award. Such authority specifically includes the authority, in order to effectuate the purposes of the Plan but without amending the Plan, to make or modify outstanding Awards made to Eligible Employees who are foreign nationals or are individuals who are employed outside the United States to recognize differences in local law, tax policy, or custom. Notwithstanding the foregoing, no amendment, modification, or supplement of the terms of any outstanding Award shall, without the consent of the Grantee thereof, impair the Grantee’s rights under such Award; and</w:t>
      </w:r>
    </w:p>
    <w:p>
      <w:pPr>
        <w:pStyle w:val="TextBody"/>
        <w:bidi w:val="0"/>
        <w:spacing w:before="119" w:after="283"/>
        <w:jc w:val="both"/>
        <w:rPr>
          <w:rFonts w:ascii="Times New Roman" w:hAnsi="Times New Roman"/>
          <w:color w:val="000000"/>
          <w:sz w:val="20"/>
        </w:rPr>
      </w:pPr>
      <w:r>
        <w:rPr>
          <w:rFonts w:ascii="Times New Roman" w:hAnsi="Times New Roman"/>
          <w:color w:val="000000"/>
          <w:sz w:val="20"/>
        </w:rPr>
        <w:t>(vii)</w:t>
      </w:r>
    </w:p>
    <w:p>
      <w:pPr>
        <w:pStyle w:val="TextBody"/>
        <w:bidi w:val="0"/>
        <w:spacing w:before="119" w:after="283"/>
        <w:jc w:val="both"/>
        <w:rPr>
          <w:rFonts w:ascii="Times New Roman" w:hAnsi="Times New Roman"/>
          <w:color w:val="000000"/>
          <w:sz w:val="20"/>
        </w:rPr>
      </w:pPr>
      <w:r>
        <w:rPr>
          <w:rFonts w:ascii="Times New Roman" w:hAnsi="Times New Roman"/>
          <w:color w:val="000000"/>
          <w:sz w:val="20"/>
        </w:rPr>
        <w:t>make Substitute Awards.</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3.4.</w:t>
      </w:r>
    </w:p>
    <w:p>
      <w:pPr>
        <w:pStyle w:val="TextBody"/>
        <w:bidi w:val="0"/>
        <w:jc w:val="both"/>
        <w:rPr>
          <w:rFonts w:ascii="Times New Roman" w:hAnsi="Times New Roman"/>
          <w:b/>
          <w:color w:val="000000"/>
          <w:sz w:val="20"/>
        </w:rPr>
      </w:pPr>
      <w:r>
        <w:rPr>
          <w:rFonts w:ascii="Times New Roman" w:hAnsi="Times New Roman"/>
          <w:b/>
          <w:color w:val="000000"/>
          <w:sz w:val="20"/>
        </w:rPr>
        <w:t>Effect of Board’s Decision.</w:t>
      </w:r>
    </w:p>
    <w:p>
      <w:pPr>
        <w:pStyle w:val="TextBody"/>
        <w:bidi w:val="0"/>
        <w:spacing w:before="119" w:after="283"/>
        <w:jc w:val="both"/>
        <w:rPr>
          <w:rFonts w:ascii="Times New Roman" w:hAnsi="Times New Roman"/>
          <w:color w:val="000000"/>
          <w:sz w:val="20"/>
        </w:rPr>
      </w:pPr>
      <w:r>
        <w:rPr>
          <w:rFonts w:ascii="Times New Roman" w:hAnsi="Times New Roman"/>
          <w:color w:val="000000"/>
          <w:sz w:val="20"/>
        </w:rPr>
        <w:t>All determinations, interpretations and constructions made by the Board in good faith will not be subject to review by any person and will be final, binding and conclusive on all persons.</w:t>
      </w:r>
    </w:p>
    <w:p>
      <w:pPr>
        <w:pStyle w:val="TextBody"/>
        <w:bidi w:val="0"/>
        <w:spacing w:before="119" w:after="283"/>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3.5.</w:t>
      </w:r>
    </w:p>
    <w:p>
      <w:pPr>
        <w:pStyle w:val="TextBody"/>
        <w:bidi w:val="0"/>
        <w:jc w:val="both"/>
        <w:rPr>
          <w:rFonts w:ascii="Times New Roman" w:hAnsi="Times New Roman"/>
          <w:b/>
          <w:color w:val="000000"/>
          <w:sz w:val="20"/>
        </w:rPr>
      </w:pPr>
      <w:r>
        <w:rPr>
          <w:rFonts w:ascii="Times New Roman" w:hAnsi="Times New Roman"/>
          <w:b/>
          <w:color w:val="000000"/>
          <w:sz w:val="20"/>
        </w:rPr>
        <w:t>Forfeiture; Recoupment.</w:t>
      </w:r>
    </w:p>
    <w:p>
      <w:pPr>
        <w:pStyle w:val="TextBody"/>
        <w:bidi w:val="0"/>
        <w:spacing w:before="119" w:after="283"/>
        <w:jc w:val="both"/>
        <w:rPr>
          <w:rFonts w:ascii="Times New Roman" w:hAnsi="Times New Roman"/>
          <w:color w:val="000000"/>
          <w:sz w:val="20"/>
        </w:rPr>
      </w:pPr>
      <w:r>
        <w:rPr>
          <w:rFonts w:ascii="Times New Roman" w:hAnsi="Times New Roman"/>
          <w:color w:val="000000"/>
          <w:sz w:val="20"/>
        </w:rPr>
        <w:t>The Board may reserve the right in an Award Agreement to cause a forfeiture of the gain realized by a Grantee with respect to an Award thereunder on account of actions taken by, or failed to be taken by, such Grantee in violation or breach of, or in conflict with, any (a) employment agreement, (b) non-competition agreement, (c) agreement prohibiting solicitation of employees or clients of the Company or any Affiliate, (d) confidentiality obligation with respect to the Company or any Affiliate, or (e) Company or Affiliate policy or procedure, (f) other agreement, or (g) other obligation of such Grantee to the Company or an Affiliate, as and to the extent specified in such Award Agreement. If the Grantee of an outstanding Award is an employee of the Company or any Affiliate and such Grantee’s Service is terminated for Cause, the Committee may annul such Grantee’s outstanding Award as of the date of the Grantee’s termination of Service for Cause.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Any Award granted pursuant to the Plan shall be subject to mandatory repayment by the Grantee to the Company (x) to the extent set forth in this Plan or an Award Agreement or (y) to the extent the Grantee is, or in the future becomes, subject to (i) any Company “clawback” or recoupment policy that is adopted to comply with the requirements of any Applicable Laws or (ii) any Applicable Laws which impose mandatory recoupment, under circumstances set forth in such Applicable Laws.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Furthermore, if the Company is required to prepare an accounting restatement due to the material noncompliance of the Company, as a result of misconduct, with any financial reporting requirement under the federal securities laws, and any Award Agreement so provides, any Grantee of an Award under such Award Agreement who knowingly engaged in such misconduct, was grossly negligent in engaging in such misconduct, knowingly failed to prevent such misconduct, or was grossly negligent in failing to prevent such misconduct, shall reimburse the Company the amount of any payment in settlement of an Award earned or accrued during the 12-month period following the first public issuance or filing with the United States Securities and Exchange Commission (whichever first occurred) of the financial document that contained information affected by such material noncompliance.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Notwithstanding any other provision of the Plan or any provision of any Award Agreement, if the Company is required to prepare an accounting restatement, then a Grantee shall forfeit any cash or shares of Stock received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connection with an Award (or an amount equal to the Fair Market Value of such shares of Stock on the date of delivery if the Grantee no longer holds the shares of Stock) if pursuant to the terms of the Award Agreement for such Award, the amount of the Award earned or the vesting in the Award was explicitly based on the achievement of pre- established performance goals set forth in the Award Agreement (including earnings, gains, or other performance goals) that are later determined, as a result of the accounting restatement, not to have been achieved.</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3.6.</w:t>
      </w:r>
    </w:p>
    <w:p>
      <w:pPr>
        <w:pStyle w:val="TextBody"/>
        <w:bidi w:val="0"/>
        <w:jc w:val="both"/>
        <w:rPr>
          <w:rFonts w:ascii="Times New Roman" w:hAnsi="Times New Roman"/>
          <w:b/>
          <w:color w:val="000000"/>
          <w:sz w:val="20"/>
        </w:rPr>
      </w:pPr>
      <w:r>
        <w:rPr>
          <w:rFonts w:ascii="Times New Roman" w:hAnsi="Times New Roman"/>
          <w:b/>
          <w:color w:val="000000"/>
          <w:sz w:val="20"/>
        </w:rPr>
        <w:t>No Repricing Without Stockholder Approval.</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Except in connection with a corporate transaction involving the Company (including, without limitation, any stock dividend, distribution (whether in the form of cash, shares of Stock, other securities, or other property), stock split, extraordinary dividend, recapitalization, Change in Control, reorganization, merger, consolidation, split-up, spin-off, combination, repurchase or exchange of shares of Stock, or other securities or similar transaction), the Company may not: (a) amend the terms of outstanding Options or SARs to reduce the Option Price or SAR Exercise Price, as applicable, of such outstanding Options or SARs; (b) cancel outstanding Options or SARs in exchange for or substitution of Options or SARs with an Option Price or SAR Exercise Price, as applicable, that is less than the Option Price or SAR Exercise Price of the original Options or SARs; or (c) cancel outstanding Options or SARs with an Option Price or SAR Exercise Price, as applicable, above the current per share Fair Market Value in exchange for cash or other securities, in each case unless such action (i) is subject to and approved by the Company’s stockholders or (ii) would not be deemed to be a repricing under the rules of any Stock Exchange or Securities Market on which the Stock is listed or publicly traded.</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3.7.</w:t>
      </w:r>
    </w:p>
    <w:p>
      <w:pPr>
        <w:pStyle w:val="TextBody"/>
        <w:bidi w:val="0"/>
        <w:jc w:val="both"/>
        <w:rPr>
          <w:rFonts w:ascii="Times New Roman" w:hAnsi="Times New Roman"/>
          <w:b/>
          <w:color w:val="000000"/>
          <w:sz w:val="20"/>
        </w:rPr>
      </w:pPr>
      <w:r>
        <w:rPr>
          <w:rFonts w:ascii="Times New Roman" w:hAnsi="Times New Roman"/>
          <w:b/>
          <w:color w:val="000000"/>
          <w:sz w:val="20"/>
        </w:rPr>
        <w:t>Deferral Arrangement.</w:t>
      </w:r>
    </w:p>
    <w:p>
      <w:pPr>
        <w:pStyle w:val="TextBody"/>
        <w:bidi w:val="0"/>
        <w:spacing w:before="119" w:after="283"/>
        <w:jc w:val="both"/>
        <w:rPr>
          <w:rFonts w:ascii="Times New Roman" w:hAnsi="Times New Roman"/>
          <w:color w:val="000000"/>
          <w:sz w:val="20"/>
        </w:rPr>
      </w:pPr>
      <w:r>
        <w:rPr>
          <w:rFonts w:ascii="Times New Roman" w:hAnsi="Times New Roman"/>
          <w:color w:val="000000"/>
          <w:sz w:val="20"/>
        </w:rPr>
        <w:t>The Board may permit or require the deferral of any payment pursuant to an Award into a deferred compensation arrangement, subject to such rules and procedures as it may establish, which may include provisions for the payment or crediting of interest or Dividend Equivalent Rights and, in connection therewith, provisions for converting such credits into deferred Stock Units and for restricting deferrals to comply with hardship distribution rules affecting tax-qualified retirement plans subject to Code Section 401(k)(2)(B)(IV); provided that no Dividend Equivalent Rights may be granted in connection with, or related to, an Award of Options or SARs. Any such deferrals shall be made in a manner that complies with Code Section 409A, including, if applicable, with respect to when a Separation from Service occurs.</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3.8.</w:t>
      </w:r>
    </w:p>
    <w:p>
      <w:pPr>
        <w:pStyle w:val="TextBody"/>
        <w:bidi w:val="0"/>
        <w:jc w:val="both"/>
        <w:rPr>
          <w:rFonts w:ascii="Times New Roman" w:hAnsi="Times New Roman"/>
          <w:b/>
          <w:color w:val="000000"/>
          <w:sz w:val="20"/>
        </w:rPr>
      </w:pPr>
      <w:r>
        <w:rPr>
          <w:rFonts w:ascii="Times New Roman" w:hAnsi="Times New Roman"/>
          <w:b/>
          <w:color w:val="000000"/>
          <w:sz w:val="20"/>
        </w:rPr>
        <w:t>Limitation on Liability.</w:t>
      </w:r>
    </w:p>
    <w:p>
      <w:pPr>
        <w:pStyle w:val="TextBody"/>
        <w:bidi w:val="0"/>
        <w:spacing w:before="119" w:after="283"/>
        <w:jc w:val="both"/>
        <w:rPr>
          <w:rFonts w:ascii="Times New Roman" w:hAnsi="Times New Roman"/>
          <w:sz w:val="20"/>
        </w:rPr>
      </w:pPr>
      <w:r>
        <w:rPr>
          <w:rFonts w:ascii="Times New Roman" w:hAnsi="Times New Roman"/>
          <w:color w:val="000000"/>
          <w:sz w:val="20"/>
        </w:rPr>
        <w:t xml:space="preserve">No member of the Board or the Committee shall be liable for any action or determination made in good faith with respect to the Plan, any Award, or any Award Agreement. Notwithstanding any provision of the Plan to the contrary, neither the Company, any of its Affiliates, the Board, the Committee, nor any person acting on behalf of the Company, any of its Affiliates, the Board, or the Committee will be liable to any Grantee or to the estate or beneficiary of any Grantee or to any other holder of an Award under the Plan by reason of any acceleration of income, or any additional tax (including any interest and penalties), asserted by reason of the failure of an Award to satisfy the requirements of Code Section 409A or by reason of Code Section 4999, or otherwise asserted with respect to the Award; </w:t>
      </w:r>
      <w:r>
        <w:rPr>
          <w:rFonts w:ascii="Times New Roman" w:hAnsi="Times New Roman"/>
          <w:color w:val="000000"/>
          <w:sz w:val="20"/>
          <w:u w:val="single"/>
        </w:rPr>
        <w:t>provided</w:t>
      </w:r>
      <w:r>
        <w:rPr>
          <w:rFonts w:ascii="Times New Roman" w:hAnsi="Times New Roman"/>
          <w:color w:val="000000"/>
          <w:sz w:val="20"/>
        </w:rPr>
        <w:t xml:space="preserve">, that this </w:t>
      </w:r>
      <w:r>
        <w:rPr>
          <w:rFonts w:ascii="Times New Roman" w:hAnsi="Times New Roman"/>
          <w:b/>
          <w:color w:val="000000"/>
          <w:sz w:val="20"/>
        </w:rPr>
        <w:t xml:space="preserve">Section 3.8 </w:t>
      </w:r>
      <w:r>
        <w:rPr>
          <w:rFonts w:ascii="Times New Roman" w:hAnsi="Times New Roman"/>
          <w:color w:val="000000"/>
          <w:sz w:val="20"/>
        </w:rPr>
        <w:t>shall not affect any of the rights or obligations set forth in an applicable agreement between the Grantee and the Company or any of its Affiliates.</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3.9.</w:t>
      </w:r>
    </w:p>
    <w:p>
      <w:pPr>
        <w:pStyle w:val="TextBody"/>
        <w:bidi w:val="0"/>
        <w:jc w:val="both"/>
        <w:rPr>
          <w:rFonts w:ascii="Times New Roman" w:hAnsi="Times New Roman"/>
          <w:b/>
          <w:color w:val="000000"/>
          <w:sz w:val="20"/>
        </w:rPr>
      </w:pPr>
      <w:r>
        <w:rPr>
          <w:rFonts w:ascii="Times New Roman" w:hAnsi="Times New Roman"/>
          <w:b/>
          <w:color w:val="000000"/>
          <w:sz w:val="20"/>
        </w:rPr>
        <w:t>Stock Issuance/Book-Entry.</w:t>
      </w:r>
    </w:p>
    <w:p>
      <w:pPr>
        <w:pStyle w:val="TextBody"/>
        <w:bidi w:val="0"/>
        <w:spacing w:before="119" w:after="283"/>
        <w:jc w:val="both"/>
        <w:rPr>
          <w:rFonts w:ascii="Times New Roman" w:hAnsi="Times New Roman"/>
          <w:color w:val="000000"/>
          <w:sz w:val="20"/>
        </w:rPr>
      </w:pPr>
      <w:r>
        <w:rPr>
          <w:rFonts w:ascii="Times New Roman" w:hAnsi="Times New Roman"/>
          <w:color w:val="000000"/>
          <w:sz w:val="20"/>
        </w:rPr>
        <w:t>Notwithstanding any provision of this Plan to the contrary, the issuance of the shares of Stock under the Plan may be evidenced in such a manner as the Board, in its discretion, deems appropriate, including by book-entry or direct registration (including transaction advices) or the issuance of one or more share certificates.</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4.</w:t>
      </w:r>
    </w:p>
    <w:p>
      <w:pPr>
        <w:pStyle w:val="TextBody"/>
        <w:bidi w:val="0"/>
        <w:jc w:val="both"/>
        <w:rPr>
          <w:rFonts w:ascii="Times New Roman" w:hAnsi="Times New Roman"/>
          <w:b/>
          <w:color w:val="000000"/>
          <w:sz w:val="20"/>
        </w:rPr>
      </w:pPr>
      <w:r>
        <w:rPr>
          <w:rFonts w:ascii="Times New Roman" w:hAnsi="Times New Roman"/>
          <w:b/>
          <w:color w:val="000000"/>
          <w:sz w:val="20"/>
        </w:rPr>
        <w:t>STOCK SUBJECT TO THE PLAN</w:t>
      </w:r>
    </w:p>
    <w:p>
      <w:pPr>
        <w:pStyle w:val="TextBody"/>
        <w:bidi w:val="0"/>
        <w:jc w:val="both"/>
        <w:rPr/>
      </w:pPr>
      <w:r>
        <w:rPr/>
        <w:t> </w:t>
      </w:r>
    </w:p>
    <w:p>
      <w:pPr>
        <w:pStyle w:val="TextBody"/>
        <w:bidi w:val="0"/>
        <w:spacing w:before="0" w:after="0"/>
        <w:jc w:val="both"/>
        <w:rPr>
          <w:rFonts w:ascii="Times New Roman" w:hAnsi="Times New Roman"/>
          <w:b/>
          <w:color w:val="000000"/>
          <w:sz w:val="16"/>
        </w:rPr>
      </w:pPr>
      <w:r>
        <w:rPr>
          <w:rFonts w:ascii="Times New Roman" w:hAnsi="Times New Roman"/>
          <w:b/>
          <w:color w:val="000000"/>
          <w:sz w:val="16"/>
        </w:rPr>
        <w:t>4.1.</w:t>
      </w:r>
    </w:p>
    <w:p>
      <w:pPr>
        <w:pStyle w:val="TextBody"/>
        <w:bidi w:val="0"/>
        <w:jc w:val="both"/>
        <w:rPr>
          <w:rFonts w:ascii="Times New Roman" w:hAnsi="Times New Roman"/>
          <w:b/>
          <w:color w:val="000000"/>
          <w:sz w:val="20"/>
        </w:rPr>
      </w:pPr>
      <w:r>
        <w:rPr>
          <w:rFonts w:ascii="Times New Roman" w:hAnsi="Times New Roman"/>
          <w:b/>
          <w:color w:val="000000"/>
          <w:sz w:val="20"/>
        </w:rPr>
        <w:t>Number of Shares of Stock Available for Awards.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Subject to the other provisions of this </w:t>
      </w:r>
      <w:r>
        <w:rPr>
          <w:rFonts w:ascii="Times New Roman" w:hAnsi="Times New Roman"/>
          <w:b/>
          <w:color w:val="000000"/>
          <w:sz w:val="20"/>
        </w:rPr>
        <w:t xml:space="preserve">Section 4 </w:t>
      </w:r>
      <w:r>
        <w:rPr>
          <w:rFonts w:ascii="Times New Roman" w:hAnsi="Times New Roman"/>
          <w:color w:val="000000"/>
          <w:sz w:val="20"/>
        </w:rPr>
        <w:t xml:space="preserve">and subject to adjustment as provided under </w:t>
      </w:r>
      <w:r>
        <w:rPr>
          <w:rFonts w:ascii="Times New Roman" w:hAnsi="Times New Roman"/>
          <w:b/>
          <w:color w:val="000000"/>
          <w:sz w:val="20"/>
        </w:rPr>
        <w:t>Section 17.1</w:t>
      </w:r>
      <w:r>
        <w:rPr>
          <w:rFonts w:ascii="Times New Roman" w:hAnsi="Times New Roman"/>
          <w:color w:val="000000"/>
          <w:sz w:val="20"/>
        </w:rPr>
        <w:t>, 3,000,000 shares of Stock shall be authorized for issuance pursuant to Awards under the Plan (the “</w:t>
      </w:r>
      <w:r>
        <w:rPr>
          <w:rFonts w:ascii="Times New Roman" w:hAnsi="Times New Roman"/>
          <w:b/>
          <w:color w:val="000000"/>
          <w:sz w:val="20"/>
        </w:rPr>
        <w:t>Share Reserve</w:t>
      </w:r>
      <w:r>
        <w:rPr>
          <w:rFonts w:ascii="Times New Roman" w:hAnsi="Times New Roman"/>
          <w:color w:val="000000"/>
          <w:sz w:val="20"/>
        </w:rPr>
        <w:t>”).</w:t>
      </w:r>
    </w:p>
    <w:p>
      <w:pPr>
        <w:pStyle w:val="TextBody"/>
        <w:bidi w:val="0"/>
        <w:jc w:val="both"/>
        <w:rPr/>
      </w:pPr>
      <w:r>
        <w:rPr/>
        <w:t> </w:t>
      </w:r>
    </w:p>
    <w:p>
      <w:pPr>
        <w:pStyle w:val="TextBody"/>
        <w:bidi w:val="0"/>
        <w:spacing w:before="0" w:after="0"/>
        <w:jc w:val="both"/>
        <w:rPr>
          <w:rFonts w:ascii="Times New Roman" w:hAnsi="Times New Roman"/>
          <w:b/>
          <w:color w:val="000000"/>
          <w:sz w:val="16"/>
        </w:rPr>
      </w:pPr>
      <w:r>
        <w:rPr>
          <w:rFonts w:ascii="Times New Roman" w:hAnsi="Times New Roman"/>
          <w:b/>
          <w:color w:val="000000"/>
          <w:sz w:val="16"/>
        </w:rPr>
        <w:t>4.2.</w:t>
      </w:r>
    </w:p>
    <w:p>
      <w:pPr>
        <w:pStyle w:val="TextBody"/>
        <w:bidi w:val="0"/>
        <w:jc w:val="both"/>
        <w:rPr>
          <w:rFonts w:ascii="Times New Roman" w:hAnsi="Times New Roman"/>
          <w:b/>
          <w:color w:val="000000"/>
          <w:sz w:val="20"/>
        </w:rPr>
      </w:pPr>
      <w:r>
        <w:rPr>
          <w:rFonts w:ascii="Times New Roman" w:hAnsi="Times New Roman"/>
          <w:b/>
          <w:color w:val="000000"/>
          <w:sz w:val="20"/>
        </w:rPr>
        <w:t>Adjustments in Authorized Shares of Stock.</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Board shall have the right to substitute or assume awards in connection with mergers, reorganizations, separations, or other transactions. The Share Reserve shall be increased by the corresponding number of awards assumed and, in the case of a substitution, by the net increase in the number of shares of Stock subject to awards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before and after the substitution. Shares available for issuance under a stockholder-approved plan of a business entity that is party to such transaction (as appropriately adjusted, if necessary, to reflect the transaction) may be used for Awards under the Plan and shall not reduce the number of shares of Stock otherwise available for issuance under the Plan, subject to applicable rules of any Stock Exchange or Securities Market on which the Stock is listed or publicly traded.</w:t>
      </w:r>
    </w:p>
    <w:p>
      <w:pPr>
        <w:pStyle w:val="TextBody"/>
        <w:bidi w:val="0"/>
        <w:jc w:val="both"/>
        <w:rPr/>
      </w:pPr>
      <w:r>
        <w:rPr/>
        <w:t> </w:t>
      </w:r>
    </w:p>
    <w:p>
      <w:pPr>
        <w:pStyle w:val="TextBody"/>
        <w:bidi w:val="0"/>
        <w:spacing w:before="0" w:after="0"/>
        <w:jc w:val="both"/>
        <w:rPr>
          <w:rFonts w:ascii="Times New Roman" w:hAnsi="Times New Roman"/>
          <w:b/>
          <w:color w:val="000000"/>
          <w:sz w:val="16"/>
        </w:rPr>
      </w:pPr>
      <w:r>
        <w:rPr>
          <w:rFonts w:ascii="Times New Roman" w:hAnsi="Times New Roman"/>
          <w:b/>
          <w:color w:val="000000"/>
          <w:sz w:val="16"/>
        </w:rPr>
        <w:t>4.3.</w:t>
      </w:r>
    </w:p>
    <w:p>
      <w:pPr>
        <w:pStyle w:val="TextBody"/>
        <w:bidi w:val="0"/>
        <w:jc w:val="both"/>
        <w:rPr>
          <w:rFonts w:ascii="Times New Roman" w:hAnsi="Times New Roman"/>
          <w:b/>
          <w:color w:val="000000"/>
          <w:sz w:val="20"/>
        </w:rPr>
      </w:pPr>
      <w:r>
        <w:rPr>
          <w:rFonts w:ascii="Times New Roman" w:hAnsi="Times New Roman"/>
          <w:b/>
          <w:color w:val="000000"/>
          <w:sz w:val="20"/>
        </w:rPr>
        <w:t>Share Usage.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Shares of Stock covered by an Award shall be counted as used as of the Grant Date for purposes of calculating the number of shares of Stock available for issuance under </w:t>
      </w:r>
      <w:r>
        <w:rPr>
          <w:rFonts w:ascii="Times New Roman" w:hAnsi="Times New Roman"/>
          <w:b/>
          <w:color w:val="000000"/>
          <w:sz w:val="20"/>
        </w:rPr>
        <w:t>Section 4.1</w:t>
      </w:r>
      <w:r>
        <w:rPr>
          <w:rFonts w:ascii="Times New Roman" w:hAnsi="Times New Roman"/>
          <w:color w:val="000000"/>
          <w:sz w:val="20"/>
        </w:rPr>
        <w:t xml:space="preserve">. Any shares of Stock that are subject to Awards, including shares of Stock acquired through dividend reinvestment pursuant to </w:t>
      </w:r>
      <w:r>
        <w:rPr>
          <w:rFonts w:ascii="Times New Roman" w:hAnsi="Times New Roman"/>
          <w:b/>
          <w:color w:val="000000"/>
          <w:sz w:val="20"/>
        </w:rPr>
        <w:t>Section 10</w:t>
      </w:r>
      <w:r>
        <w:rPr>
          <w:rFonts w:ascii="Times New Roman" w:hAnsi="Times New Roman"/>
          <w:color w:val="000000"/>
          <w:sz w:val="20"/>
        </w:rPr>
        <w:t xml:space="preserve">, will be counted against the limit set forth in </w:t>
      </w:r>
      <w:r>
        <w:rPr>
          <w:rFonts w:ascii="Times New Roman" w:hAnsi="Times New Roman"/>
          <w:b/>
          <w:color w:val="000000"/>
          <w:sz w:val="20"/>
        </w:rPr>
        <w:t xml:space="preserve">Section 4.1 </w:t>
      </w:r>
      <w:r>
        <w:rPr>
          <w:rFonts w:ascii="Times New Roman" w:hAnsi="Times New Roman"/>
          <w:color w:val="000000"/>
          <w:sz w:val="20"/>
        </w:rPr>
        <w:t xml:space="preserve">as one (1) share of Stock for every one (1) share of Stock subject to an Award. With respect to SARs, the number of shares of Stock subject to an award of SARs will be counted against the aggregate number of shares of Stock available for issuance under the Plan regardless of the number of shares of Stock actually issued to settle the SAR upon exercise. The target number of shares issuable under a Performance Award grant shall be counted against the limit set forth in </w:t>
      </w:r>
      <w:r>
        <w:rPr>
          <w:rFonts w:ascii="Times New Roman" w:hAnsi="Times New Roman"/>
          <w:b/>
          <w:color w:val="000000"/>
          <w:sz w:val="20"/>
        </w:rPr>
        <w:t xml:space="preserve">Section 4.1 </w:t>
      </w:r>
      <w:r>
        <w:rPr>
          <w:rFonts w:ascii="Times New Roman" w:hAnsi="Times New Roman"/>
          <w:color w:val="000000"/>
          <w:sz w:val="20"/>
        </w:rPr>
        <w:t xml:space="preserve">as of the Grant Date, but such number shall be adjusted to equal the actual number of shares issued upon settlement of the Performance Award to the extent different from such target number of shares. If any shares of Stock covered by an Award granted under the Plan are not purchased or are forfeited or expire, or if an Award otherwise terminates without delivery of any shares of Stock subject thereto or is settled in cash in lieu of shares of Stock, then the number of shares of Stock counted against the aggregate number of shares of Stock available under the Plan with respect to such Award shall, to the extent of any such forfeiture, termination, expiration, or settlement, again be available for making Awards under the Plan in the same amount as such shares of Stock were counted against the limit set forth in </w:t>
      </w:r>
      <w:r>
        <w:rPr>
          <w:rFonts w:ascii="Times New Roman" w:hAnsi="Times New Roman"/>
          <w:b/>
          <w:color w:val="000000"/>
          <w:sz w:val="20"/>
        </w:rPr>
        <w:t>Section 4.1</w:t>
      </w:r>
      <w:r>
        <w:rPr>
          <w:rFonts w:ascii="Times New Roman" w:hAnsi="Times New Roman"/>
          <w:color w:val="000000"/>
          <w:sz w:val="20"/>
        </w:rPr>
        <w: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The number of shares of Stock available for issuance under the Plan will not be increased by the number of shares of Stock (i) tendered, withheld, or subject to an Award granted under the Plan surrendered in connection with the purchase of shares of Stock upon exercise of an Option, (ii) that were not issued upon the net settlement or net exercise of a Stock-settled SAR granted under the Plan, (iii) deducted or delivered from payment of an Award granted under the Plan in connection with the Company’s tax withholding obligations as provided in </w:t>
      </w:r>
      <w:r>
        <w:rPr>
          <w:rFonts w:ascii="Times New Roman" w:hAnsi="Times New Roman"/>
          <w:b/>
          <w:color w:val="000000"/>
          <w:sz w:val="20"/>
        </w:rPr>
        <w:t>Section 18.3</w:t>
      </w:r>
      <w:r>
        <w:rPr>
          <w:rFonts w:ascii="Times New Roman" w:hAnsi="Times New Roman"/>
          <w:color w:val="000000"/>
          <w:sz w:val="20"/>
        </w:rPr>
        <w:t>, or (iv) purchased by the Company with proceeds from Option exercises.</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5.</w:t>
      </w:r>
    </w:p>
    <w:p>
      <w:pPr>
        <w:pStyle w:val="TextBody"/>
        <w:bidi w:val="0"/>
        <w:jc w:val="both"/>
        <w:rPr>
          <w:rFonts w:ascii="Times New Roman" w:hAnsi="Times New Roman"/>
          <w:b/>
          <w:color w:val="000000"/>
          <w:sz w:val="20"/>
        </w:rPr>
      </w:pPr>
      <w:r>
        <w:rPr>
          <w:rFonts w:ascii="Times New Roman" w:hAnsi="Times New Roman"/>
          <w:b/>
          <w:color w:val="000000"/>
          <w:sz w:val="20"/>
        </w:rPr>
        <w:t>EFFECTIVE DATE, DURATION AND AMENDMENTS</w:t>
      </w:r>
    </w:p>
    <w:p>
      <w:pPr>
        <w:pStyle w:val="TextBody"/>
        <w:bidi w:val="0"/>
        <w:jc w:val="both"/>
        <w:rPr/>
      </w:pPr>
      <w:r>
        <w:rPr/>
        <w:t> </w:t>
      </w:r>
    </w:p>
    <w:p>
      <w:pPr>
        <w:pStyle w:val="TextBody"/>
        <w:bidi w:val="0"/>
        <w:spacing w:before="0" w:after="0"/>
        <w:jc w:val="both"/>
        <w:rPr>
          <w:rFonts w:ascii="Times New Roman" w:hAnsi="Times New Roman"/>
          <w:b/>
          <w:color w:val="000000"/>
          <w:sz w:val="16"/>
        </w:rPr>
      </w:pPr>
      <w:r>
        <w:rPr>
          <w:rFonts w:ascii="Times New Roman" w:hAnsi="Times New Roman"/>
          <w:b/>
          <w:color w:val="000000"/>
          <w:sz w:val="16"/>
        </w:rPr>
        <w:t>5.1.</w:t>
      </w:r>
    </w:p>
    <w:p>
      <w:pPr>
        <w:pStyle w:val="TextBody"/>
        <w:bidi w:val="0"/>
        <w:jc w:val="both"/>
        <w:rPr>
          <w:rFonts w:ascii="Times New Roman" w:hAnsi="Times New Roman"/>
          <w:b/>
          <w:color w:val="000000"/>
          <w:sz w:val="20"/>
        </w:rPr>
      </w:pPr>
      <w:r>
        <w:rPr>
          <w:rFonts w:ascii="Times New Roman" w:hAnsi="Times New Roman"/>
          <w:b/>
          <w:color w:val="000000"/>
          <w:sz w:val="20"/>
        </w:rPr>
        <w:t>Effective Date.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Plan shall be effective as of the Effective Date. </w:t>
      </w:r>
    </w:p>
    <w:p>
      <w:pPr>
        <w:pStyle w:val="TextBody"/>
        <w:bidi w:val="0"/>
        <w:jc w:val="both"/>
        <w:rPr/>
      </w:pPr>
      <w:r>
        <w:rPr/>
        <w:t> </w:t>
      </w:r>
    </w:p>
    <w:p>
      <w:pPr>
        <w:pStyle w:val="TextBody"/>
        <w:bidi w:val="0"/>
        <w:spacing w:before="0" w:after="0"/>
        <w:jc w:val="both"/>
        <w:rPr>
          <w:rFonts w:ascii="Times New Roman" w:hAnsi="Times New Roman"/>
          <w:b/>
          <w:color w:val="000000"/>
          <w:sz w:val="16"/>
        </w:rPr>
      </w:pPr>
      <w:r>
        <w:rPr>
          <w:rFonts w:ascii="Times New Roman" w:hAnsi="Times New Roman"/>
          <w:b/>
          <w:color w:val="000000"/>
          <w:sz w:val="16"/>
        </w:rPr>
        <w:t>5.2.</w:t>
      </w:r>
    </w:p>
    <w:p>
      <w:pPr>
        <w:pStyle w:val="TextBody"/>
        <w:bidi w:val="0"/>
        <w:jc w:val="both"/>
        <w:rPr>
          <w:rFonts w:ascii="Times New Roman" w:hAnsi="Times New Roman"/>
          <w:b/>
          <w:color w:val="000000"/>
          <w:sz w:val="20"/>
        </w:rPr>
      </w:pPr>
      <w:r>
        <w:rPr>
          <w:rFonts w:ascii="Times New Roman" w:hAnsi="Times New Roman"/>
          <w:b/>
          <w:color w:val="000000"/>
          <w:sz w:val="20"/>
        </w:rPr>
        <w:t>Term.</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The Plan shall terminate on the first to occur of (a) the tenth (10th) anniversary of the Effective Date, (b) the date determined in accordance with </w:t>
      </w:r>
      <w:r>
        <w:rPr>
          <w:rFonts w:ascii="Times New Roman" w:hAnsi="Times New Roman"/>
          <w:b/>
          <w:color w:val="000000"/>
          <w:sz w:val="20"/>
        </w:rPr>
        <w:t>Section 5.3</w:t>
      </w:r>
      <w:r>
        <w:rPr>
          <w:rFonts w:ascii="Times New Roman" w:hAnsi="Times New Roman"/>
          <w:color w:val="000000"/>
          <w:sz w:val="20"/>
        </w:rPr>
        <w:t xml:space="preserve">, and (c) the date determined in accordance with </w:t>
      </w:r>
      <w:r>
        <w:rPr>
          <w:rFonts w:ascii="Times New Roman" w:hAnsi="Times New Roman"/>
          <w:b/>
          <w:color w:val="000000"/>
          <w:sz w:val="20"/>
        </w:rPr>
        <w:t>Section 17.3</w:t>
      </w:r>
      <w:r>
        <w:rPr>
          <w:rFonts w:ascii="Times New Roman" w:hAnsi="Times New Roman"/>
          <w:color w:val="000000"/>
          <w:sz w:val="20"/>
        </w:rPr>
        <w:t>. Upon such termination of the Plan, all outstanding Awards shall continue to have full force and effect in accordance with the provisions of the terminated Plan and the applicable Award Agreement (or other documents evidencing such Awards).</w:t>
      </w:r>
    </w:p>
    <w:p>
      <w:pPr>
        <w:pStyle w:val="TextBody"/>
        <w:bidi w:val="0"/>
        <w:jc w:val="both"/>
        <w:rPr/>
      </w:pPr>
      <w:r>
        <w:rPr/>
        <w:t> </w:t>
      </w:r>
    </w:p>
    <w:p>
      <w:pPr>
        <w:pStyle w:val="TextBody"/>
        <w:bidi w:val="0"/>
        <w:spacing w:before="0" w:after="0"/>
        <w:jc w:val="both"/>
        <w:rPr>
          <w:rFonts w:ascii="Times New Roman" w:hAnsi="Times New Roman"/>
          <w:b/>
          <w:color w:val="000000"/>
          <w:sz w:val="16"/>
        </w:rPr>
      </w:pPr>
      <w:r>
        <w:rPr>
          <w:rFonts w:ascii="Times New Roman" w:hAnsi="Times New Roman"/>
          <w:b/>
          <w:color w:val="000000"/>
          <w:sz w:val="16"/>
        </w:rPr>
        <w:t>5.3.</w:t>
      </w:r>
    </w:p>
    <w:p>
      <w:pPr>
        <w:pStyle w:val="TextBody"/>
        <w:bidi w:val="0"/>
        <w:jc w:val="both"/>
        <w:rPr>
          <w:rFonts w:ascii="Times New Roman" w:hAnsi="Times New Roman"/>
          <w:b/>
          <w:color w:val="000000"/>
          <w:sz w:val="20"/>
        </w:rPr>
      </w:pPr>
      <w:r>
        <w:rPr>
          <w:rFonts w:ascii="Times New Roman" w:hAnsi="Times New Roman"/>
          <w:b/>
          <w:color w:val="000000"/>
          <w:sz w:val="20"/>
        </w:rPr>
        <w:t>Amendment, Suspension and Termination of the Plan.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Board may, at any time and from time to time, amend, suspend, or terminate the Plan; provided that, with respect to Awards theretofore granted under the Plan, no amendment, suspension, or termination of the Plan shall, without the consent of the Grantee, impair rights or obligations under any such Award theretofore awarded under the Plan. The effectiveness of any amendment to the Plan shall be contingent on approval of such amendment by the Company’s stockholders to the extent stated by the Board, required by Applicable Laws, or required by the Stock Exchange or Securities Market on which the shares of Stock are listed or publicly traded.</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6.</w:t>
      </w:r>
    </w:p>
    <w:p>
      <w:pPr>
        <w:pStyle w:val="TextBody"/>
        <w:bidi w:val="0"/>
        <w:jc w:val="both"/>
        <w:rPr>
          <w:rFonts w:ascii="Times New Roman" w:hAnsi="Times New Roman"/>
          <w:b/>
          <w:color w:val="000000"/>
          <w:sz w:val="20"/>
        </w:rPr>
      </w:pPr>
      <w:r>
        <w:rPr>
          <w:rFonts w:ascii="Times New Roman" w:hAnsi="Times New Roman"/>
          <w:b/>
          <w:color w:val="000000"/>
          <w:sz w:val="20"/>
        </w:rPr>
        <w:t>AWARD ELIGIBILITY AND LIMITATIONS</w:t>
      </w:r>
    </w:p>
    <w:p>
      <w:pPr>
        <w:pStyle w:val="TextBody"/>
        <w:bidi w:val="0"/>
        <w:jc w:val="both"/>
        <w:rPr/>
      </w:pPr>
      <w:r>
        <w:rPr/>
        <w:t> </w:t>
      </w:r>
    </w:p>
    <w:p>
      <w:pPr>
        <w:pStyle w:val="TextBody"/>
        <w:bidi w:val="0"/>
        <w:spacing w:before="0" w:after="0"/>
        <w:jc w:val="both"/>
        <w:rPr>
          <w:rFonts w:ascii="Times New Roman" w:hAnsi="Times New Roman"/>
          <w:b/>
          <w:color w:val="000000"/>
          <w:sz w:val="16"/>
        </w:rPr>
      </w:pPr>
      <w:r>
        <w:rPr>
          <w:rFonts w:ascii="Times New Roman" w:hAnsi="Times New Roman"/>
          <w:b/>
          <w:color w:val="000000"/>
          <w:sz w:val="16"/>
        </w:rPr>
        <w:t>6.1.</w:t>
      </w:r>
    </w:p>
    <w:p>
      <w:pPr>
        <w:pStyle w:val="TextBody"/>
        <w:bidi w:val="0"/>
        <w:jc w:val="both"/>
        <w:rPr>
          <w:rFonts w:ascii="Times New Roman" w:hAnsi="Times New Roman"/>
          <w:b/>
          <w:color w:val="000000"/>
          <w:sz w:val="20"/>
        </w:rPr>
      </w:pPr>
      <w:r>
        <w:rPr>
          <w:rFonts w:ascii="Times New Roman" w:hAnsi="Times New Roman"/>
          <w:b/>
          <w:color w:val="000000"/>
          <w:sz w:val="20"/>
        </w:rPr>
        <w:t>Eligibility for Awards.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Subject to this </w:t>
      </w:r>
      <w:r>
        <w:rPr>
          <w:rFonts w:ascii="Times New Roman" w:hAnsi="Times New Roman"/>
          <w:b/>
          <w:color w:val="000000"/>
          <w:sz w:val="20"/>
        </w:rPr>
        <w:t>Section 6</w:t>
      </w:r>
      <w:r>
        <w:rPr>
          <w:rFonts w:ascii="Times New Roman" w:hAnsi="Times New Roman"/>
          <w:color w:val="000000"/>
          <w:sz w:val="20"/>
        </w:rPr>
        <w:t xml:space="preserve">, Awards may only be granted to persons who are Eligible Employees described in </w:t>
      </w:r>
      <w:r>
        <w:rPr>
          <w:rFonts w:ascii="Times New Roman" w:hAnsi="Times New Roman"/>
          <w:b/>
          <w:color w:val="000000"/>
          <w:sz w:val="20"/>
        </w:rPr>
        <w:t>Section 1.2</w:t>
      </w:r>
      <w:r>
        <w:rPr>
          <w:rFonts w:ascii="Times New Roman" w:hAnsi="Times New Roman"/>
          <w:color w:val="000000"/>
          <w:sz w:val="20"/>
        </w:rPr>
        <w:t xml:space="preserve"> of the Plan, where the Award is an inducement material to the individual’s entering into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employment with the Company or an Affiliate within the meaning of Rule 5635(c)(4) of the NASDAQ Marketplace Rules, provided however, that Awards may not be granted to Employees who are providing Service only to any “parent” of the Company, as such term is defined in Rule 405 of the Securities Act, unless (i) the stock underlying such Awards is treated as “service recipient stock” under Section 409A of the Code (for example, because the Awards are granted pursuant to a corporate transaction such as a spin off transaction), or (ii) the Company, in consultation with its legal counsel, has determined that such Awards are otherwise exempt from or comply with the distribution requirements of Section 409A of the Code. </w:t>
      </w:r>
    </w:p>
    <w:p>
      <w:pPr>
        <w:pStyle w:val="TextBody"/>
        <w:bidi w:val="0"/>
        <w:jc w:val="both"/>
        <w:rPr/>
      </w:pPr>
      <w:r>
        <w:rPr/>
        <w:t> </w:t>
      </w:r>
    </w:p>
    <w:p>
      <w:pPr>
        <w:pStyle w:val="TextBody"/>
        <w:bidi w:val="0"/>
        <w:spacing w:before="0" w:after="0"/>
        <w:jc w:val="both"/>
        <w:rPr>
          <w:rFonts w:ascii="Times New Roman" w:hAnsi="Times New Roman"/>
          <w:b/>
          <w:color w:val="000000"/>
          <w:sz w:val="16"/>
        </w:rPr>
      </w:pPr>
      <w:r>
        <w:rPr>
          <w:rFonts w:ascii="Times New Roman" w:hAnsi="Times New Roman"/>
          <w:b/>
          <w:color w:val="000000"/>
          <w:sz w:val="16"/>
        </w:rPr>
        <w:t>6.2.</w:t>
      </w:r>
    </w:p>
    <w:p>
      <w:pPr>
        <w:pStyle w:val="TextBody"/>
        <w:bidi w:val="0"/>
        <w:jc w:val="both"/>
        <w:rPr>
          <w:rFonts w:ascii="Times New Roman" w:hAnsi="Times New Roman"/>
          <w:b/>
          <w:color w:val="000000"/>
          <w:sz w:val="20"/>
        </w:rPr>
      </w:pPr>
      <w:r>
        <w:rPr>
          <w:rFonts w:ascii="Times New Roman" w:hAnsi="Times New Roman"/>
          <w:b/>
          <w:color w:val="000000"/>
          <w:sz w:val="20"/>
        </w:rPr>
        <w:t>Stand-Alone, Additional, Tandem, and Substitute Awards.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Subject to </w:t>
      </w:r>
      <w:r>
        <w:rPr>
          <w:rFonts w:ascii="Times New Roman" w:hAnsi="Times New Roman"/>
          <w:b/>
          <w:color w:val="000000"/>
          <w:sz w:val="20"/>
        </w:rPr>
        <w:t>Section 3.6</w:t>
      </w:r>
      <w:r>
        <w:rPr>
          <w:rFonts w:ascii="Times New Roman" w:hAnsi="Times New Roman"/>
          <w:color w:val="000000"/>
          <w:sz w:val="20"/>
        </w:rPr>
        <w:t xml:space="preserve">, Awards granted under the Plan may, in the discretion of the Board, be granted either alone or in addition to, in tandem with, or in substitution or exchange for, any other Award or any award granted under another plan of the Company, any Affiliate, or any business entity to be acquired by the Company or an Affiliate, or any other right of a Grantee to receive payment from the Company or any Affiliate. Such additional, tandem, exchange, or Substitute Awards may be granted at any time. If an Award is granted in substitution or exchange for another Award, or for an award granted under another plan of the Company, an Affiliate, or any business entity that has been a party to a transaction with the Company or an Affiliate, the Board shall require the surrender of such other Award or award under such other plan in consideration for such exchange or grant of the Substitute Award. In addition, Awards may be granted in lieu of cash compensation, including in lieu of cash amounts payable under other plans of the Company or any Affiliate. Notwithstanding </w:t>
      </w:r>
      <w:r>
        <w:rPr>
          <w:rFonts w:ascii="Times New Roman" w:hAnsi="Times New Roman"/>
          <w:b/>
          <w:color w:val="000000"/>
          <w:sz w:val="20"/>
        </w:rPr>
        <w:t xml:space="preserve">Section 8.1 </w:t>
      </w:r>
      <w:r>
        <w:rPr>
          <w:rFonts w:ascii="Times New Roman" w:hAnsi="Times New Roman"/>
          <w:color w:val="000000"/>
          <w:sz w:val="20"/>
        </w:rPr>
        <w:t xml:space="preserve">and </w:t>
      </w:r>
      <w:r>
        <w:rPr>
          <w:rFonts w:ascii="Times New Roman" w:hAnsi="Times New Roman"/>
          <w:b/>
          <w:color w:val="000000"/>
          <w:sz w:val="20"/>
        </w:rPr>
        <w:t>Section 9.1</w:t>
      </w:r>
      <w:r>
        <w:rPr>
          <w:rFonts w:ascii="Times New Roman" w:hAnsi="Times New Roman"/>
          <w:color w:val="000000"/>
          <w:sz w:val="20"/>
        </w:rPr>
        <w:t xml:space="preserve">, but subject to </w:t>
      </w:r>
      <w:r>
        <w:rPr>
          <w:rFonts w:ascii="Times New Roman" w:hAnsi="Times New Roman"/>
          <w:b/>
          <w:color w:val="000000"/>
          <w:sz w:val="20"/>
        </w:rPr>
        <w:t>Section 3.6</w:t>
      </w:r>
      <w:r>
        <w:rPr>
          <w:rFonts w:ascii="Times New Roman" w:hAnsi="Times New Roman"/>
          <w:color w:val="000000"/>
          <w:sz w:val="20"/>
        </w:rPr>
        <w:t>, the Option Price of an Option or the SAR Exercise Price of an SAR that is a Substitute Award may be less than one hundred percent (100%) of the Fair Market Value of a share of Stock on the original Grant Date; provided, that, the Option Price or SAR Exercise Price is consistent with Code Section 409A for any Option or SAR.</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7.</w:t>
      </w:r>
    </w:p>
    <w:p>
      <w:pPr>
        <w:pStyle w:val="TextBody"/>
        <w:bidi w:val="0"/>
        <w:jc w:val="both"/>
        <w:rPr>
          <w:rFonts w:ascii="Times New Roman" w:hAnsi="Times New Roman"/>
          <w:b/>
          <w:color w:val="000000"/>
          <w:sz w:val="20"/>
        </w:rPr>
      </w:pPr>
      <w:r>
        <w:rPr>
          <w:rFonts w:ascii="Times New Roman" w:hAnsi="Times New Roman"/>
          <w:b/>
          <w:color w:val="000000"/>
          <w:sz w:val="20"/>
        </w:rPr>
        <w:t>AWARD AGREEMENT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Each Award granted pursuant to the Plan shall be evidenced by an Award Agreement, in such form or forms as the Board shall from time to time determine. Award Agreements utilized under the Plan from time to time or at the same time need not contain similar provisions but shall be consistent with the terms of the Plan. Each Award Agreement evidencing an Award of Options shall specify that such Options are intended to be nonqualified, and, in the absence of such specification, such Options shall be deemed to be nonqualified. In the event of any inconsistency between the Plan and an Award Agreement, the provisions of the Plan shall control.</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8.</w:t>
      </w:r>
    </w:p>
    <w:p>
      <w:pPr>
        <w:pStyle w:val="TextBody"/>
        <w:bidi w:val="0"/>
        <w:jc w:val="both"/>
        <w:rPr>
          <w:rFonts w:ascii="Times New Roman" w:hAnsi="Times New Roman"/>
          <w:b/>
          <w:color w:val="000000"/>
          <w:sz w:val="20"/>
        </w:rPr>
      </w:pPr>
      <w:r>
        <w:rPr>
          <w:rFonts w:ascii="Times New Roman" w:hAnsi="Times New Roman"/>
          <w:b/>
          <w:color w:val="000000"/>
          <w:sz w:val="20"/>
        </w:rPr>
        <w:t>TERMS AND CONDITIONS OF OPTIONS</w:t>
      </w:r>
    </w:p>
    <w:p>
      <w:pPr>
        <w:pStyle w:val="TextBody"/>
        <w:bidi w:val="0"/>
        <w:jc w:val="both"/>
        <w:rPr/>
      </w:pPr>
      <w:r>
        <w:rPr/>
        <w:t> </w:t>
      </w:r>
    </w:p>
    <w:p>
      <w:pPr>
        <w:pStyle w:val="TextBody"/>
        <w:bidi w:val="0"/>
        <w:spacing w:before="0" w:after="0"/>
        <w:jc w:val="both"/>
        <w:rPr>
          <w:rFonts w:ascii="Times New Roman" w:hAnsi="Times New Roman"/>
          <w:b/>
          <w:color w:val="000000"/>
          <w:sz w:val="16"/>
        </w:rPr>
      </w:pPr>
      <w:r>
        <w:rPr>
          <w:rFonts w:ascii="Times New Roman" w:hAnsi="Times New Roman"/>
          <w:b/>
          <w:color w:val="000000"/>
          <w:sz w:val="16"/>
        </w:rPr>
        <w:t>8.1.</w:t>
      </w:r>
    </w:p>
    <w:p>
      <w:pPr>
        <w:pStyle w:val="TextBody"/>
        <w:bidi w:val="0"/>
        <w:jc w:val="both"/>
        <w:rPr>
          <w:rFonts w:ascii="Times New Roman" w:hAnsi="Times New Roman"/>
          <w:b/>
          <w:color w:val="000000"/>
          <w:sz w:val="20"/>
        </w:rPr>
      </w:pPr>
      <w:r>
        <w:rPr>
          <w:rFonts w:ascii="Times New Roman" w:hAnsi="Times New Roman"/>
          <w:b/>
          <w:color w:val="000000"/>
          <w:sz w:val="20"/>
        </w:rPr>
        <w:t>Option Price.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Option Price of each Option shall be fixed by the Board and stated in the Award Agreement evidencing such Option. Except in the case of Substitute Awards, the Option Price of each Option shall be at least the Fair Market Value of one (1) share of Stock on the Grant Date. In no case shall the Option Price of any Option be less than the par value of one (1) share of Stock.</w:t>
      </w:r>
    </w:p>
    <w:p>
      <w:pPr>
        <w:pStyle w:val="TextBody"/>
        <w:bidi w:val="0"/>
        <w:jc w:val="both"/>
        <w:rPr/>
      </w:pPr>
      <w:r>
        <w:rPr/>
        <w:t> </w:t>
      </w:r>
    </w:p>
    <w:p>
      <w:pPr>
        <w:pStyle w:val="TextBody"/>
        <w:bidi w:val="0"/>
        <w:spacing w:before="0" w:after="0"/>
        <w:jc w:val="both"/>
        <w:rPr>
          <w:rFonts w:ascii="Times New Roman" w:hAnsi="Times New Roman"/>
          <w:b/>
          <w:color w:val="000000"/>
          <w:sz w:val="16"/>
        </w:rPr>
      </w:pPr>
      <w:r>
        <w:rPr>
          <w:rFonts w:ascii="Times New Roman" w:hAnsi="Times New Roman"/>
          <w:b/>
          <w:color w:val="000000"/>
          <w:sz w:val="16"/>
        </w:rPr>
        <w:t>8.2.</w:t>
      </w:r>
    </w:p>
    <w:p>
      <w:pPr>
        <w:pStyle w:val="TextBody"/>
        <w:bidi w:val="0"/>
        <w:jc w:val="both"/>
        <w:rPr>
          <w:rFonts w:ascii="Times New Roman" w:hAnsi="Times New Roman"/>
          <w:b/>
          <w:color w:val="000000"/>
          <w:sz w:val="20"/>
        </w:rPr>
      </w:pPr>
      <w:r>
        <w:rPr>
          <w:rFonts w:ascii="Times New Roman" w:hAnsi="Times New Roman"/>
          <w:b/>
          <w:color w:val="000000"/>
          <w:sz w:val="20"/>
        </w:rPr>
        <w:t>Vesting and Exercisability.</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Subject to </w:t>
      </w:r>
      <w:r>
        <w:rPr>
          <w:rFonts w:ascii="Times New Roman" w:hAnsi="Times New Roman"/>
          <w:b/>
          <w:color w:val="000000"/>
          <w:sz w:val="20"/>
        </w:rPr>
        <w:t>Sections 8.3 and 17.3</w:t>
      </w:r>
      <w:r>
        <w:rPr>
          <w:rFonts w:ascii="Times New Roman" w:hAnsi="Times New Roman"/>
          <w:color w:val="000000"/>
          <w:sz w:val="20"/>
        </w:rPr>
        <w:t>, each Option granted under the Plan shall become vested and/or exercisable at such times and under such conditions as shall be determined by the Board and stated in the Award Agreement, in another agreement with the Grantee, or otherwise in writing; provided that no Option shall be granted to Grantees who are entitled to overtime under Applicable Laws that will vest or be exercisable within a six (6)-month period starting on the Grant Date.</w:t>
      </w:r>
    </w:p>
    <w:p>
      <w:pPr>
        <w:pStyle w:val="TextBody"/>
        <w:bidi w:val="0"/>
        <w:jc w:val="both"/>
        <w:rPr/>
      </w:pPr>
      <w:r>
        <w:rPr/>
        <w:t> </w:t>
      </w:r>
    </w:p>
    <w:p>
      <w:pPr>
        <w:pStyle w:val="TextBody"/>
        <w:bidi w:val="0"/>
        <w:spacing w:before="0" w:after="0"/>
        <w:jc w:val="both"/>
        <w:rPr>
          <w:rFonts w:ascii="Times New Roman" w:hAnsi="Times New Roman"/>
          <w:b/>
          <w:color w:val="000000"/>
          <w:sz w:val="16"/>
        </w:rPr>
      </w:pPr>
      <w:r>
        <w:rPr>
          <w:rFonts w:ascii="Times New Roman" w:hAnsi="Times New Roman"/>
          <w:b/>
          <w:color w:val="000000"/>
          <w:sz w:val="16"/>
        </w:rPr>
        <w:t>8.3.</w:t>
      </w:r>
    </w:p>
    <w:p>
      <w:pPr>
        <w:pStyle w:val="TextBody"/>
        <w:bidi w:val="0"/>
        <w:jc w:val="both"/>
        <w:rPr>
          <w:rFonts w:ascii="Times New Roman" w:hAnsi="Times New Roman"/>
          <w:b/>
          <w:color w:val="000000"/>
          <w:sz w:val="20"/>
        </w:rPr>
      </w:pPr>
      <w:r>
        <w:rPr>
          <w:rFonts w:ascii="Times New Roman" w:hAnsi="Times New Roman"/>
          <w:b/>
          <w:color w:val="000000"/>
          <w:sz w:val="20"/>
        </w:rPr>
        <w:t>Term.</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Each Option granted under the Plan shall terminate, and all rights to purchase shares of Stock thereunder shall cease, upon the expiration of ten (10) years from the Grant Date of such Option, or under such circumstances and on such date prior thereto as is set forth in the Plan or as may be fixed by the Board and stated in the Award Agreement relating to such Option; </w:t>
      </w:r>
      <w:r>
        <w:rPr>
          <w:rFonts w:ascii="Times New Roman" w:hAnsi="Times New Roman"/>
          <w:color w:val="000000"/>
          <w:sz w:val="20"/>
          <w:u w:val="single"/>
        </w:rPr>
        <w:t>provided</w:t>
      </w:r>
      <w:r>
        <w:rPr>
          <w:rFonts w:ascii="Times New Roman" w:hAnsi="Times New Roman"/>
          <w:color w:val="000000"/>
          <w:sz w:val="20"/>
        </w:rPr>
        <w:t>, that to the extent deemed necessary or appropriate by the Board to reflect differences in local law, tax policy, or custom with respect to any Option granted to a Grantee who is a foreign national or is a natural Person who is employed outside the United States, such Option may terminate, and all rights to purchase shares of Stock thereunder may cease, upon the expiration of a period longer than ten (10) years from the Grant Date of such Option as the Board shall determine.</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both"/>
        <w:rPr>
          <w:rFonts w:ascii="Times New Roman" w:hAnsi="Times New Roman"/>
          <w:b/>
          <w:color w:val="000000"/>
          <w:sz w:val="16"/>
        </w:rPr>
      </w:pPr>
      <w:r>
        <w:rPr>
          <w:rFonts w:ascii="Times New Roman" w:hAnsi="Times New Roman"/>
          <w:b/>
          <w:color w:val="000000"/>
          <w:sz w:val="16"/>
        </w:rPr>
        <w:t>8.4.</w:t>
      </w:r>
    </w:p>
    <w:p>
      <w:pPr>
        <w:pStyle w:val="TextBody"/>
        <w:bidi w:val="0"/>
        <w:jc w:val="both"/>
        <w:rPr>
          <w:rFonts w:ascii="Times New Roman" w:hAnsi="Times New Roman"/>
          <w:b/>
          <w:color w:val="000000"/>
          <w:sz w:val="20"/>
        </w:rPr>
      </w:pPr>
      <w:r>
        <w:rPr>
          <w:rFonts w:ascii="Times New Roman" w:hAnsi="Times New Roman"/>
          <w:b/>
          <w:color w:val="000000"/>
          <w:sz w:val="20"/>
        </w:rPr>
        <w:t>Termination of Service.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Each Award Agreement with respect to the grant of an Option shall set forth the extent to which the Grantee thereof, if at all, shall have the right to exercise such Option following termination of such Grantee’s Service. Such provisions shall be determined in the sole discretion of the Board, need not be uniform among all Options issued pursuant to the Plan, and may reflect distinctions based on the reasons for termination of Service.</w:t>
      </w:r>
    </w:p>
    <w:p>
      <w:pPr>
        <w:pStyle w:val="TextBody"/>
        <w:bidi w:val="0"/>
        <w:jc w:val="both"/>
        <w:rPr/>
      </w:pPr>
      <w:r>
        <w:rPr/>
        <w:t> </w:t>
      </w:r>
    </w:p>
    <w:p>
      <w:pPr>
        <w:pStyle w:val="TextBody"/>
        <w:bidi w:val="0"/>
        <w:spacing w:before="0" w:after="0"/>
        <w:jc w:val="both"/>
        <w:rPr>
          <w:rFonts w:ascii="Times New Roman" w:hAnsi="Times New Roman"/>
          <w:b/>
          <w:color w:val="000000"/>
          <w:sz w:val="16"/>
        </w:rPr>
      </w:pPr>
      <w:r>
        <w:rPr>
          <w:rFonts w:ascii="Times New Roman" w:hAnsi="Times New Roman"/>
          <w:b/>
          <w:color w:val="000000"/>
          <w:sz w:val="16"/>
        </w:rPr>
        <w:t>8.5.</w:t>
      </w:r>
    </w:p>
    <w:p>
      <w:pPr>
        <w:pStyle w:val="TextBody"/>
        <w:bidi w:val="0"/>
        <w:jc w:val="both"/>
        <w:rPr>
          <w:rFonts w:ascii="Times New Roman" w:hAnsi="Times New Roman"/>
          <w:b/>
          <w:color w:val="000000"/>
          <w:sz w:val="20"/>
        </w:rPr>
      </w:pPr>
      <w:r>
        <w:rPr>
          <w:rFonts w:ascii="Times New Roman" w:hAnsi="Times New Roman"/>
          <w:b/>
          <w:color w:val="000000"/>
          <w:sz w:val="20"/>
        </w:rPr>
        <w:t>Limitations on Exercise of Option.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Notwithstanding any other provision of the Plan, in no event may any Option be exercised, in whole or in part, after the occurrence of an event referred to in </w:t>
      </w:r>
      <w:r>
        <w:rPr>
          <w:rFonts w:ascii="Times New Roman" w:hAnsi="Times New Roman"/>
          <w:b/>
          <w:color w:val="000000"/>
          <w:sz w:val="20"/>
        </w:rPr>
        <w:t xml:space="preserve">Section 17 </w:t>
      </w:r>
      <w:r>
        <w:rPr>
          <w:rFonts w:ascii="Times New Roman" w:hAnsi="Times New Roman"/>
          <w:color w:val="000000"/>
          <w:sz w:val="20"/>
        </w:rPr>
        <w:t>which results in the termination of the Option.</w:t>
      </w:r>
    </w:p>
    <w:p>
      <w:pPr>
        <w:pStyle w:val="TextBody"/>
        <w:bidi w:val="0"/>
        <w:jc w:val="both"/>
        <w:rPr/>
      </w:pPr>
      <w:r>
        <w:rPr/>
        <w:t> </w:t>
      </w:r>
    </w:p>
    <w:p>
      <w:pPr>
        <w:pStyle w:val="TextBody"/>
        <w:bidi w:val="0"/>
        <w:spacing w:before="0" w:after="0"/>
        <w:jc w:val="both"/>
        <w:rPr>
          <w:rFonts w:ascii="Times New Roman" w:hAnsi="Times New Roman"/>
          <w:b/>
          <w:color w:val="000000"/>
          <w:sz w:val="16"/>
        </w:rPr>
      </w:pPr>
      <w:r>
        <w:rPr>
          <w:rFonts w:ascii="Times New Roman" w:hAnsi="Times New Roman"/>
          <w:b/>
          <w:color w:val="000000"/>
          <w:sz w:val="16"/>
        </w:rPr>
        <w:t>8.6.</w:t>
      </w:r>
    </w:p>
    <w:p>
      <w:pPr>
        <w:pStyle w:val="TextBody"/>
        <w:bidi w:val="0"/>
        <w:jc w:val="both"/>
        <w:rPr>
          <w:rFonts w:ascii="Times New Roman" w:hAnsi="Times New Roman"/>
          <w:b/>
          <w:color w:val="000000"/>
          <w:sz w:val="20"/>
        </w:rPr>
      </w:pPr>
      <w:r>
        <w:rPr>
          <w:rFonts w:ascii="Times New Roman" w:hAnsi="Times New Roman"/>
          <w:b/>
          <w:color w:val="000000"/>
          <w:sz w:val="20"/>
        </w:rPr>
        <w:t>Method of Exercise.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Subject to the terms of </w:t>
      </w:r>
      <w:r>
        <w:rPr>
          <w:rFonts w:ascii="Times New Roman" w:hAnsi="Times New Roman"/>
          <w:b/>
          <w:color w:val="000000"/>
          <w:sz w:val="20"/>
        </w:rPr>
        <w:t xml:space="preserve">Section 12 </w:t>
      </w:r>
      <w:r>
        <w:rPr>
          <w:rFonts w:ascii="Times New Roman" w:hAnsi="Times New Roman"/>
          <w:color w:val="000000"/>
          <w:sz w:val="20"/>
        </w:rPr>
        <w:t xml:space="preserve">and </w:t>
      </w:r>
      <w:r>
        <w:rPr>
          <w:rFonts w:ascii="Times New Roman" w:hAnsi="Times New Roman"/>
          <w:b/>
          <w:color w:val="000000"/>
          <w:sz w:val="20"/>
        </w:rPr>
        <w:t>Section 18.3</w:t>
      </w:r>
      <w:r>
        <w:rPr>
          <w:rFonts w:ascii="Times New Roman" w:hAnsi="Times New Roman"/>
          <w:color w:val="000000"/>
          <w:sz w:val="20"/>
        </w:rPr>
        <w:t>, an Option that is exercisable may be exercised by the Grantee’s delivery to the Company or its designee or agent of notice of exercise on any business day, at the Company’s principal office, or the office of such designee or agent, on the form specified by the Company and in accordance with any additional procedures specified by the Board. Such notice shall specify the number of shares of Stock with respect to which the Option is being exercised and shall be accompanied by payment in full of the Option Price of the shares of Stock for which the Option is being exercised plus the amount (if any) of federal and/or other taxes which the Company may, in its judgment, be required to withhold with respect to the exercise of such Option.</w:t>
      </w:r>
    </w:p>
    <w:p>
      <w:pPr>
        <w:pStyle w:val="TextBody"/>
        <w:bidi w:val="0"/>
        <w:jc w:val="both"/>
        <w:rPr/>
      </w:pPr>
      <w:r>
        <w:rPr/>
        <w:t> </w:t>
      </w:r>
    </w:p>
    <w:p>
      <w:pPr>
        <w:pStyle w:val="TextBody"/>
        <w:bidi w:val="0"/>
        <w:spacing w:before="0" w:after="0"/>
        <w:jc w:val="both"/>
        <w:rPr>
          <w:rFonts w:ascii="Times New Roman" w:hAnsi="Times New Roman"/>
          <w:b/>
          <w:color w:val="000000"/>
          <w:sz w:val="16"/>
        </w:rPr>
      </w:pPr>
      <w:r>
        <w:rPr>
          <w:rFonts w:ascii="Times New Roman" w:hAnsi="Times New Roman"/>
          <w:b/>
          <w:color w:val="000000"/>
          <w:sz w:val="16"/>
        </w:rPr>
        <w:t>8.7.</w:t>
      </w:r>
    </w:p>
    <w:p>
      <w:pPr>
        <w:pStyle w:val="TextBody"/>
        <w:bidi w:val="0"/>
        <w:jc w:val="both"/>
        <w:rPr>
          <w:rFonts w:ascii="Times New Roman" w:hAnsi="Times New Roman"/>
          <w:b/>
          <w:color w:val="000000"/>
          <w:sz w:val="20"/>
        </w:rPr>
      </w:pPr>
      <w:r>
        <w:rPr>
          <w:rFonts w:ascii="Times New Roman" w:hAnsi="Times New Roman"/>
          <w:b/>
          <w:color w:val="000000"/>
          <w:sz w:val="20"/>
        </w:rPr>
        <w:t>Rights of Holders of Options.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Unless otherwise stated in the applicable Award Agreement, a Grantee or other person holding or exercising an Option shall have none of the rights of a stockholder of the Company (for example, the right to receive cash or dividend payments or distributions attributable to the subject shares of Stock or to direct the voting of the subject shares of Stock subject to such Option, or to receive notice of any meeting of the Company’s stockholders) until the shares of Stock subject thereto are fully paid and issued to such Grantee or other person. Except as provided in </w:t>
      </w:r>
      <w:r>
        <w:rPr>
          <w:rFonts w:ascii="Times New Roman" w:hAnsi="Times New Roman"/>
          <w:b/>
          <w:color w:val="000000"/>
          <w:sz w:val="20"/>
        </w:rPr>
        <w:t>Section 17</w:t>
      </w:r>
      <w:r>
        <w:rPr>
          <w:rFonts w:ascii="Times New Roman" w:hAnsi="Times New Roman"/>
          <w:color w:val="000000"/>
          <w:sz w:val="20"/>
        </w:rPr>
        <w:t>, no adjustment shall be made for dividends, distributions or other rights with respect to any shares of Stock subject to an Option for which the record date is prior to the date of issuance of such shares of Stock.</w:t>
      </w:r>
    </w:p>
    <w:p>
      <w:pPr>
        <w:pStyle w:val="TextBody"/>
        <w:bidi w:val="0"/>
        <w:jc w:val="both"/>
        <w:rPr/>
      </w:pPr>
      <w:r>
        <w:rPr/>
        <w:t> </w:t>
      </w:r>
    </w:p>
    <w:p>
      <w:pPr>
        <w:pStyle w:val="TextBody"/>
        <w:bidi w:val="0"/>
        <w:spacing w:before="0" w:after="0"/>
        <w:jc w:val="both"/>
        <w:rPr>
          <w:rFonts w:ascii="Times New Roman" w:hAnsi="Times New Roman"/>
          <w:b/>
          <w:color w:val="000000"/>
          <w:sz w:val="16"/>
        </w:rPr>
      </w:pPr>
      <w:r>
        <w:rPr>
          <w:rFonts w:ascii="Times New Roman" w:hAnsi="Times New Roman"/>
          <w:b/>
          <w:color w:val="000000"/>
          <w:sz w:val="16"/>
        </w:rPr>
        <w:t>8.8.</w:t>
      </w:r>
    </w:p>
    <w:p>
      <w:pPr>
        <w:pStyle w:val="TextBody"/>
        <w:bidi w:val="0"/>
        <w:jc w:val="both"/>
        <w:rPr>
          <w:rFonts w:ascii="Times New Roman" w:hAnsi="Times New Roman"/>
          <w:b/>
          <w:color w:val="000000"/>
          <w:sz w:val="20"/>
        </w:rPr>
      </w:pPr>
      <w:r>
        <w:rPr>
          <w:rFonts w:ascii="Times New Roman" w:hAnsi="Times New Roman"/>
          <w:b/>
          <w:color w:val="000000"/>
          <w:sz w:val="20"/>
        </w:rPr>
        <w:t>Delivery of Stock Certificates.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Promptly after the exercise of an Option by a Grantee and the payment in full of the Option Price, such Grantee shall be entitled to the issuance of a stock certificate or certificates evidencing his or her ownership of the shares of Stock subject to the Option, as shall be consistent with </w:t>
      </w:r>
      <w:r>
        <w:rPr>
          <w:rFonts w:ascii="Times New Roman" w:hAnsi="Times New Roman"/>
          <w:b/>
          <w:color w:val="000000"/>
          <w:sz w:val="20"/>
        </w:rPr>
        <w:t>Section 3.9</w:t>
      </w:r>
      <w:r>
        <w:rPr>
          <w:rFonts w:ascii="Times New Roman" w:hAnsi="Times New Roman"/>
          <w:color w:val="000000"/>
          <w:sz w:val="20"/>
        </w:rPr>
        <w:t>.</w:t>
      </w:r>
    </w:p>
    <w:p>
      <w:pPr>
        <w:pStyle w:val="TextBody"/>
        <w:bidi w:val="0"/>
        <w:jc w:val="both"/>
        <w:rPr/>
      </w:pPr>
      <w:r>
        <w:rPr/>
        <w:t> </w:t>
      </w:r>
    </w:p>
    <w:p>
      <w:pPr>
        <w:pStyle w:val="TextBody"/>
        <w:bidi w:val="0"/>
        <w:spacing w:before="0" w:after="0"/>
        <w:jc w:val="both"/>
        <w:rPr>
          <w:rFonts w:ascii="Times New Roman" w:hAnsi="Times New Roman"/>
          <w:b/>
          <w:color w:val="000000"/>
          <w:sz w:val="16"/>
        </w:rPr>
      </w:pPr>
      <w:r>
        <w:rPr>
          <w:rFonts w:ascii="Times New Roman" w:hAnsi="Times New Roman"/>
          <w:b/>
          <w:color w:val="000000"/>
          <w:sz w:val="16"/>
        </w:rPr>
        <w:t>8.9.</w:t>
      </w:r>
    </w:p>
    <w:p>
      <w:pPr>
        <w:pStyle w:val="TextBody"/>
        <w:bidi w:val="0"/>
        <w:jc w:val="both"/>
        <w:rPr>
          <w:rFonts w:ascii="Times New Roman" w:hAnsi="Times New Roman"/>
          <w:b/>
          <w:color w:val="000000"/>
          <w:sz w:val="20"/>
        </w:rPr>
      </w:pPr>
      <w:r>
        <w:rPr>
          <w:rFonts w:ascii="Times New Roman" w:hAnsi="Times New Roman"/>
          <w:b/>
          <w:color w:val="000000"/>
          <w:sz w:val="20"/>
        </w:rPr>
        <w:t>Transferability of Options.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Except as provided in </w:t>
      </w:r>
      <w:r>
        <w:rPr>
          <w:rFonts w:ascii="Times New Roman" w:hAnsi="Times New Roman"/>
          <w:b/>
          <w:color w:val="000000"/>
          <w:sz w:val="20"/>
        </w:rPr>
        <w:t>Section 8.10</w:t>
      </w:r>
      <w:r>
        <w:rPr>
          <w:rFonts w:ascii="Times New Roman" w:hAnsi="Times New Roman"/>
          <w:color w:val="000000"/>
          <w:sz w:val="20"/>
        </w:rPr>
        <w:t xml:space="preserve">, during the lifetime of a Grantee of an Option, only the Grantee (or, in the event of such Grantee’s legal incapacity or incompetency, the Grantee’s guardian or legal representative) may exercise such Option. Except as provided in </w:t>
      </w:r>
      <w:r>
        <w:rPr>
          <w:rFonts w:ascii="Times New Roman" w:hAnsi="Times New Roman"/>
          <w:b/>
          <w:color w:val="000000"/>
          <w:sz w:val="20"/>
        </w:rPr>
        <w:t>Section 8.10</w:t>
      </w:r>
      <w:r>
        <w:rPr>
          <w:rFonts w:ascii="Times New Roman" w:hAnsi="Times New Roman"/>
          <w:color w:val="000000"/>
          <w:sz w:val="20"/>
        </w:rPr>
        <w:t>, no Option shall be assignable or transferable by the Grantee to whom it is granted, other than by will or the laws of descent and distribution.</w:t>
      </w:r>
    </w:p>
    <w:p>
      <w:pPr>
        <w:pStyle w:val="TextBody"/>
        <w:bidi w:val="0"/>
        <w:jc w:val="both"/>
        <w:rPr/>
      </w:pPr>
      <w:r>
        <w:rPr/>
        <w:t> </w:t>
      </w:r>
    </w:p>
    <w:p>
      <w:pPr>
        <w:pStyle w:val="TextBody"/>
        <w:bidi w:val="0"/>
        <w:spacing w:before="0" w:after="0"/>
        <w:jc w:val="both"/>
        <w:rPr>
          <w:rFonts w:ascii="Times New Roman" w:hAnsi="Times New Roman"/>
          <w:b/>
          <w:color w:val="000000"/>
          <w:sz w:val="16"/>
        </w:rPr>
      </w:pPr>
      <w:r>
        <w:rPr>
          <w:rFonts w:ascii="Times New Roman" w:hAnsi="Times New Roman"/>
          <w:b/>
          <w:color w:val="000000"/>
          <w:sz w:val="16"/>
        </w:rPr>
        <w:t>8.10.</w:t>
      </w:r>
    </w:p>
    <w:p>
      <w:pPr>
        <w:pStyle w:val="TextBody"/>
        <w:bidi w:val="0"/>
        <w:jc w:val="both"/>
        <w:rPr>
          <w:rFonts w:ascii="Times New Roman" w:hAnsi="Times New Roman"/>
          <w:b/>
          <w:color w:val="000000"/>
          <w:sz w:val="20"/>
        </w:rPr>
      </w:pPr>
      <w:r>
        <w:rPr>
          <w:rFonts w:ascii="Times New Roman" w:hAnsi="Times New Roman"/>
          <w:b/>
          <w:color w:val="000000"/>
          <w:sz w:val="20"/>
        </w:rPr>
        <w:t>Family Transfers.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If authorized in the applicable Award Agreement and by the Board, in its sole discretion, a Grantee may transfer, not for value, all or part of an Option to any Family Member. For the purpose of this </w:t>
      </w:r>
      <w:r>
        <w:rPr>
          <w:rFonts w:ascii="Times New Roman" w:hAnsi="Times New Roman"/>
          <w:b/>
          <w:color w:val="000000"/>
          <w:sz w:val="20"/>
        </w:rPr>
        <w:t>Section 8.10</w:t>
      </w:r>
      <w:r>
        <w:rPr>
          <w:rFonts w:ascii="Times New Roman" w:hAnsi="Times New Roman"/>
          <w:color w:val="000000"/>
          <w:sz w:val="20"/>
        </w:rPr>
        <w:t xml:space="preserve">, a “not for value” transfer is a transfer which is (i) a gift, (ii) a transfer under a domestic relations order in settlement of marital property rights; or (iii) unless Applicable Laws do not permit such transfer, a transfer to an entity in which more than fifty percent (50%) of the voting interests are owned by Family Members (or the Grantee) in exchange for an interest in that entity. Following a transfer under this </w:t>
      </w:r>
      <w:r>
        <w:rPr>
          <w:rFonts w:ascii="Times New Roman" w:hAnsi="Times New Roman"/>
          <w:b/>
          <w:color w:val="000000"/>
          <w:sz w:val="20"/>
        </w:rPr>
        <w:t>Section 8.10</w:t>
      </w:r>
      <w:r>
        <w:rPr>
          <w:rFonts w:ascii="Times New Roman" w:hAnsi="Times New Roman"/>
          <w:color w:val="000000"/>
          <w:sz w:val="20"/>
        </w:rPr>
        <w:t xml:space="preserve">, any such Option shall continue to be subject to the same terms and conditions as were applicable immediately prior to such transfer. Subsequent transfers of transferred Options are prohibited except to Family Members of the original Grantee in accordance with this </w:t>
      </w:r>
      <w:r>
        <w:rPr>
          <w:rFonts w:ascii="Times New Roman" w:hAnsi="Times New Roman"/>
          <w:b/>
          <w:color w:val="000000"/>
          <w:sz w:val="20"/>
        </w:rPr>
        <w:t xml:space="preserve">Section 8.10 </w:t>
      </w:r>
      <w:r>
        <w:rPr>
          <w:rFonts w:ascii="Times New Roman" w:hAnsi="Times New Roman"/>
          <w:color w:val="000000"/>
          <w:sz w:val="20"/>
        </w:rPr>
        <w:t xml:space="preserve">or by will or the laws of descent and distribution. The events of termination of Service of </w:t>
      </w:r>
      <w:r>
        <w:rPr>
          <w:rFonts w:ascii="Times New Roman" w:hAnsi="Times New Roman"/>
          <w:b/>
          <w:color w:val="000000"/>
          <w:sz w:val="20"/>
        </w:rPr>
        <w:t xml:space="preserve">Section 8.4 </w:t>
      </w:r>
      <w:r>
        <w:rPr>
          <w:rFonts w:ascii="Times New Roman" w:hAnsi="Times New Roman"/>
          <w:color w:val="000000"/>
          <w:sz w:val="20"/>
        </w:rPr>
        <w:t xml:space="preserve">shall continue to be applied with respect to the original Grantee, following which such Option shall be exercisable by the transferee only to the extent, and for the periods specified, in </w:t>
      </w:r>
      <w:r>
        <w:rPr>
          <w:rFonts w:ascii="Times New Roman" w:hAnsi="Times New Roman"/>
          <w:b/>
          <w:color w:val="000000"/>
          <w:sz w:val="20"/>
        </w:rPr>
        <w:t>Section 8.4</w:t>
      </w:r>
      <w:r>
        <w:rPr>
          <w:rFonts w:ascii="Times New Roman" w:hAnsi="Times New Roman"/>
          <w:color w:val="000000"/>
          <w:sz w:val="20"/>
        </w:rPr>
        <w:t>.</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9.</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TERMS AND CONDITIONS OF STOCK APPRECIATION RIGHTS</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spacing w:before="0" w:after="0"/>
        <w:jc w:val="both"/>
        <w:rPr>
          <w:rFonts w:ascii="Times New Roman" w:hAnsi="Times New Roman"/>
          <w:b/>
          <w:color w:val="000000"/>
          <w:sz w:val="16"/>
        </w:rPr>
      </w:pPr>
      <w:r>
        <w:rPr>
          <w:rFonts w:ascii="Times New Roman" w:hAnsi="Times New Roman"/>
          <w:b/>
          <w:color w:val="000000"/>
          <w:sz w:val="16"/>
        </w:rPr>
        <w:t>9.1.</w:t>
      </w:r>
    </w:p>
    <w:p>
      <w:pPr>
        <w:pStyle w:val="TextBody"/>
        <w:bidi w:val="0"/>
        <w:jc w:val="both"/>
        <w:rPr>
          <w:rFonts w:ascii="Times New Roman" w:hAnsi="Times New Roman"/>
          <w:b/>
          <w:color w:val="000000"/>
          <w:sz w:val="20"/>
        </w:rPr>
      </w:pPr>
      <w:r>
        <w:rPr>
          <w:rFonts w:ascii="Times New Roman" w:hAnsi="Times New Roman"/>
          <w:b/>
          <w:color w:val="000000"/>
          <w:sz w:val="20"/>
        </w:rPr>
        <w:t>Right to Payment and SAR Exercise Price.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 SAR shall confer on the Grantee to whom it is granted a right to receive, upon exercise thereof, the excess of (A) the Fair Market Value of one (1) share of Stock on the date of exercise over (B) the SAR Exercise Price as determined by the Board. The Award Agreement for a SAR shall specify the SAR Exercise Price, which shall be no less than the Fair Market Value of one (1) share of Stock on the Grant Date. SARs may be granted in conjunction with all or part of an Option granted under the Plan or at any subsequent time during the term of such Option, in conjunction with all or any part of any other Award or without regard to any Option or other Award; provided that a SAR that is granted in tandem with all or part of an Option will have the same term, and expire at the same time, as the related Option; provided, further, that a SAR that is granted subsequent to the Grant Date of a related Option must have a SAR Exercise Price that is no less than the Fair Market Value of one share of Stock on the SAR Grant Date.</w:t>
      </w:r>
    </w:p>
    <w:p>
      <w:pPr>
        <w:pStyle w:val="TextBody"/>
        <w:bidi w:val="0"/>
        <w:jc w:val="both"/>
        <w:rPr/>
      </w:pPr>
      <w:r>
        <w:rPr/>
        <w:t> </w:t>
      </w:r>
    </w:p>
    <w:p>
      <w:pPr>
        <w:pStyle w:val="TextBody"/>
        <w:bidi w:val="0"/>
        <w:spacing w:before="0" w:after="0"/>
        <w:jc w:val="both"/>
        <w:rPr>
          <w:rFonts w:ascii="Times New Roman" w:hAnsi="Times New Roman"/>
          <w:b/>
          <w:color w:val="000000"/>
          <w:sz w:val="16"/>
        </w:rPr>
      </w:pPr>
      <w:r>
        <w:rPr>
          <w:rFonts w:ascii="Times New Roman" w:hAnsi="Times New Roman"/>
          <w:b/>
          <w:color w:val="000000"/>
          <w:sz w:val="16"/>
        </w:rPr>
        <w:t>9.2.</w:t>
      </w:r>
    </w:p>
    <w:p>
      <w:pPr>
        <w:pStyle w:val="TextBody"/>
        <w:bidi w:val="0"/>
        <w:jc w:val="both"/>
        <w:rPr>
          <w:rFonts w:ascii="Times New Roman" w:hAnsi="Times New Roman"/>
          <w:b/>
          <w:color w:val="000000"/>
          <w:sz w:val="20"/>
        </w:rPr>
      </w:pPr>
      <w:r>
        <w:rPr>
          <w:rFonts w:ascii="Times New Roman" w:hAnsi="Times New Roman"/>
          <w:b/>
          <w:color w:val="000000"/>
          <w:sz w:val="20"/>
        </w:rPr>
        <w:t>Other Terms.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Board shall determine on the Grant Date or thereafter, the time or times at which and the circumstances under which a SAR may be exercised in whole or in part (including based on achievement of performance goals and/or future service requirements), the time or times at which SARs shall cease to be or become exercisable following termination of Service or upon other conditions, the method of exercise, method of settlement, form of consideration payable in settlement, method by or forms in which shares of Stock will be delivered or deemed to be delivered to Grantees, whether or not a SAR shall be granted in tandem or in combination with any other Award; and any and all other terms and conditions of any SAR; provided that no SARs shall be granted to Grantees who are entitled to overtime under Applicable Laws that will vest or be exercisable within a six (6)-month period starting on the Grant Date.</w:t>
      </w:r>
    </w:p>
    <w:p>
      <w:pPr>
        <w:pStyle w:val="TextBody"/>
        <w:bidi w:val="0"/>
        <w:jc w:val="both"/>
        <w:rPr/>
      </w:pPr>
      <w:r>
        <w:rPr/>
        <w:t> </w:t>
      </w:r>
    </w:p>
    <w:p>
      <w:pPr>
        <w:pStyle w:val="TextBody"/>
        <w:bidi w:val="0"/>
        <w:spacing w:before="0" w:after="0"/>
        <w:jc w:val="both"/>
        <w:rPr>
          <w:rFonts w:ascii="Times New Roman" w:hAnsi="Times New Roman"/>
          <w:b/>
          <w:color w:val="000000"/>
          <w:sz w:val="16"/>
        </w:rPr>
      </w:pPr>
      <w:r>
        <w:rPr>
          <w:rFonts w:ascii="Times New Roman" w:hAnsi="Times New Roman"/>
          <w:b/>
          <w:color w:val="000000"/>
          <w:sz w:val="16"/>
        </w:rPr>
        <w:t>9.3.</w:t>
      </w:r>
    </w:p>
    <w:p>
      <w:pPr>
        <w:pStyle w:val="TextBody"/>
        <w:bidi w:val="0"/>
        <w:jc w:val="both"/>
        <w:rPr>
          <w:rFonts w:ascii="Times New Roman" w:hAnsi="Times New Roman"/>
          <w:b/>
          <w:color w:val="000000"/>
          <w:sz w:val="20"/>
        </w:rPr>
      </w:pPr>
      <w:r>
        <w:rPr>
          <w:rFonts w:ascii="Times New Roman" w:hAnsi="Times New Roman"/>
          <w:b/>
          <w:color w:val="000000"/>
          <w:sz w:val="20"/>
        </w:rPr>
        <w:t>Term.</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Each SAR granted under the Plan shall terminate, and all rights thereunder shall cease, upon the expiration of ten (10) years from the Grant Date of such SAR, or under such circumstances and on such date prior thereto as is set forth in the Plan or as may be fixed by the Board and stated in the Award Agreement relating to such SAR.</w:t>
      </w:r>
    </w:p>
    <w:p>
      <w:pPr>
        <w:pStyle w:val="TextBody"/>
        <w:bidi w:val="0"/>
        <w:jc w:val="both"/>
        <w:rPr/>
      </w:pPr>
      <w:r>
        <w:rPr/>
        <w:t> </w:t>
      </w:r>
    </w:p>
    <w:p>
      <w:pPr>
        <w:pStyle w:val="TextBody"/>
        <w:bidi w:val="0"/>
        <w:spacing w:before="0" w:after="0"/>
        <w:jc w:val="both"/>
        <w:rPr>
          <w:rFonts w:ascii="Times New Roman" w:hAnsi="Times New Roman"/>
          <w:b/>
          <w:color w:val="000000"/>
          <w:sz w:val="16"/>
        </w:rPr>
      </w:pPr>
      <w:r>
        <w:rPr>
          <w:rFonts w:ascii="Times New Roman" w:hAnsi="Times New Roman"/>
          <w:b/>
          <w:color w:val="000000"/>
          <w:sz w:val="16"/>
        </w:rPr>
        <w:t>9.4.</w:t>
      </w:r>
    </w:p>
    <w:p>
      <w:pPr>
        <w:pStyle w:val="TextBody"/>
        <w:bidi w:val="0"/>
        <w:jc w:val="both"/>
        <w:rPr>
          <w:rFonts w:ascii="Times New Roman" w:hAnsi="Times New Roman"/>
          <w:b/>
          <w:color w:val="000000"/>
          <w:sz w:val="20"/>
        </w:rPr>
      </w:pPr>
      <w:r>
        <w:rPr>
          <w:rFonts w:ascii="Times New Roman" w:hAnsi="Times New Roman"/>
          <w:b/>
          <w:color w:val="000000"/>
          <w:sz w:val="20"/>
        </w:rPr>
        <w:t>Rights of Holders of SARs.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Unless otherwise stated in the applicable Award Agreement, a Grantee or other Person holding or exercising a SAR shall have none of the rights of a stockholder of the Company (for example, the right to receive cash or dividend payments or distributions attributable to the shares of Stock underlying such SAR, to direct the voting of the shares of Stock underlying such SAR, or to receive notice of any meeting of the Company’s stockholders) until the shares of Stock underlying such SAR, if any, are issued to such Grantee or other Person. Except as provided in </w:t>
      </w:r>
      <w:r>
        <w:rPr>
          <w:rFonts w:ascii="Times New Roman" w:hAnsi="Times New Roman"/>
          <w:b/>
          <w:color w:val="000000"/>
          <w:sz w:val="20"/>
        </w:rPr>
        <w:t>Section 17</w:t>
      </w:r>
      <w:r>
        <w:rPr>
          <w:rFonts w:ascii="Times New Roman" w:hAnsi="Times New Roman"/>
          <w:color w:val="000000"/>
          <w:sz w:val="20"/>
        </w:rPr>
        <w:t>, no adjustment shall be made for dividends, distributions, or other rights with respect to any shares of Stock underlying a SAR for which the record date is prior to the date of issuance of such shares of Stock, if any.</w:t>
      </w:r>
    </w:p>
    <w:p>
      <w:pPr>
        <w:pStyle w:val="TextBody"/>
        <w:bidi w:val="0"/>
        <w:jc w:val="both"/>
        <w:rPr/>
      </w:pPr>
      <w:r>
        <w:rPr/>
        <w:t> </w:t>
      </w:r>
    </w:p>
    <w:p>
      <w:pPr>
        <w:pStyle w:val="TextBody"/>
        <w:bidi w:val="0"/>
        <w:spacing w:before="0" w:after="0"/>
        <w:jc w:val="both"/>
        <w:rPr>
          <w:rFonts w:ascii="Times New Roman" w:hAnsi="Times New Roman"/>
          <w:b/>
          <w:color w:val="000000"/>
          <w:sz w:val="16"/>
        </w:rPr>
      </w:pPr>
      <w:r>
        <w:rPr>
          <w:rFonts w:ascii="Times New Roman" w:hAnsi="Times New Roman"/>
          <w:b/>
          <w:color w:val="000000"/>
          <w:sz w:val="16"/>
        </w:rPr>
        <w:t>9.5.</w:t>
      </w:r>
    </w:p>
    <w:p>
      <w:pPr>
        <w:pStyle w:val="TextBody"/>
        <w:bidi w:val="0"/>
        <w:jc w:val="both"/>
        <w:rPr>
          <w:rFonts w:ascii="Times New Roman" w:hAnsi="Times New Roman"/>
          <w:b/>
          <w:color w:val="000000"/>
          <w:sz w:val="20"/>
        </w:rPr>
      </w:pPr>
      <w:r>
        <w:rPr>
          <w:rFonts w:ascii="Times New Roman" w:hAnsi="Times New Roman"/>
          <w:b/>
          <w:color w:val="000000"/>
          <w:sz w:val="20"/>
        </w:rPr>
        <w:t>Transferability of SARs.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Except as provided in </w:t>
      </w:r>
      <w:r>
        <w:rPr>
          <w:rFonts w:ascii="Times New Roman" w:hAnsi="Times New Roman"/>
          <w:b/>
          <w:color w:val="000000"/>
          <w:sz w:val="20"/>
        </w:rPr>
        <w:t>Section 9.6</w:t>
      </w:r>
      <w:r>
        <w:rPr>
          <w:rFonts w:ascii="Times New Roman" w:hAnsi="Times New Roman"/>
          <w:color w:val="000000"/>
          <w:sz w:val="20"/>
        </w:rPr>
        <w:t xml:space="preserve">, during the lifetime of a Grantee of a SAR, only the Grantee (or, in the event of such Grantee’s legal incapacity or incompetency, such Grantee’s guardian or legal representative) may exercise such SAR. Except as provided in </w:t>
      </w:r>
      <w:r>
        <w:rPr>
          <w:rFonts w:ascii="Times New Roman" w:hAnsi="Times New Roman"/>
          <w:b/>
          <w:color w:val="000000"/>
          <w:sz w:val="20"/>
        </w:rPr>
        <w:t>Section 9.6</w:t>
      </w:r>
      <w:r>
        <w:rPr>
          <w:rFonts w:ascii="Times New Roman" w:hAnsi="Times New Roman"/>
          <w:color w:val="000000"/>
          <w:sz w:val="20"/>
        </w:rPr>
        <w:t>, no SAR shall be assignable or transferable by the Grantee to whom it is granted, other than by will or the laws of descent and distribution.</w:t>
      </w:r>
    </w:p>
    <w:p>
      <w:pPr>
        <w:pStyle w:val="TextBody"/>
        <w:bidi w:val="0"/>
        <w:jc w:val="both"/>
        <w:rPr/>
      </w:pPr>
      <w:r>
        <w:rPr/>
        <w:t> </w:t>
      </w:r>
    </w:p>
    <w:p>
      <w:pPr>
        <w:pStyle w:val="TextBody"/>
        <w:bidi w:val="0"/>
        <w:spacing w:before="0" w:after="0"/>
        <w:jc w:val="both"/>
        <w:rPr>
          <w:rFonts w:ascii="Times New Roman" w:hAnsi="Times New Roman"/>
          <w:b/>
          <w:color w:val="000000"/>
          <w:sz w:val="16"/>
        </w:rPr>
      </w:pPr>
      <w:r>
        <w:rPr>
          <w:rFonts w:ascii="Times New Roman" w:hAnsi="Times New Roman"/>
          <w:b/>
          <w:color w:val="000000"/>
          <w:sz w:val="16"/>
        </w:rPr>
        <w:t>9.6.</w:t>
      </w:r>
    </w:p>
    <w:p>
      <w:pPr>
        <w:pStyle w:val="TextBody"/>
        <w:bidi w:val="0"/>
        <w:jc w:val="both"/>
        <w:rPr>
          <w:rFonts w:ascii="Times New Roman" w:hAnsi="Times New Roman"/>
          <w:b/>
          <w:color w:val="000000"/>
          <w:sz w:val="20"/>
        </w:rPr>
      </w:pPr>
      <w:r>
        <w:rPr>
          <w:rFonts w:ascii="Times New Roman" w:hAnsi="Times New Roman"/>
          <w:b/>
          <w:color w:val="000000"/>
          <w:sz w:val="20"/>
        </w:rPr>
        <w:t>Family Transfers.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If authorized in the applicable Award Agreement and by the Board, in its sole discretion, a Grantee may transfer, not for value, all or part of a SAR to any Family Member. For the purpose of this </w:t>
      </w:r>
      <w:r>
        <w:rPr>
          <w:rFonts w:ascii="Times New Roman" w:hAnsi="Times New Roman"/>
          <w:b/>
          <w:color w:val="000000"/>
          <w:sz w:val="20"/>
        </w:rPr>
        <w:t>Section 9.6</w:t>
      </w:r>
      <w:r>
        <w:rPr>
          <w:rFonts w:ascii="Times New Roman" w:hAnsi="Times New Roman"/>
          <w:color w:val="000000"/>
          <w:sz w:val="20"/>
        </w:rPr>
        <w:t xml:space="preserve">, a “not for value” transfer is a transfer which is (i) a gift, (ii) a transfer under a domestic relations order in settlement of marital property rights; or (iii) unless Applicable Laws do not permit such transfers, a transfer to an entity in which more than fifty percent (50%) of the voting interests are owned by Family Members (and/or the Grantee) in exchange for an interest in that entity. Following a transfer under this </w:t>
      </w:r>
      <w:r>
        <w:rPr>
          <w:rFonts w:ascii="Times New Roman" w:hAnsi="Times New Roman"/>
          <w:b/>
          <w:color w:val="000000"/>
          <w:sz w:val="20"/>
        </w:rPr>
        <w:t>Section 9.6</w:t>
      </w:r>
      <w:r>
        <w:rPr>
          <w:rFonts w:ascii="Times New Roman" w:hAnsi="Times New Roman"/>
          <w:color w:val="000000"/>
          <w:sz w:val="20"/>
        </w:rPr>
        <w:t xml:space="preserve">, any such SAR shall continue to be subject to the same terms and conditions as were applicable immediately prior to such transfer. Subsequent transfers of transferred SARs are prohibited except to Family Members of the original Grantee in accordance with this </w:t>
      </w:r>
      <w:r>
        <w:rPr>
          <w:rFonts w:ascii="Times New Roman" w:hAnsi="Times New Roman"/>
          <w:b/>
          <w:color w:val="000000"/>
          <w:sz w:val="20"/>
        </w:rPr>
        <w:t xml:space="preserve">Section 9.6 </w:t>
      </w:r>
      <w:r>
        <w:rPr>
          <w:rFonts w:ascii="Times New Roman" w:hAnsi="Times New Roman"/>
          <w:color w:val="000000"/>
          <w:sz w:val="20"/>
        </w:rPr>
        <w:t>or by will or the laws of descent and distribution.</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10.</w:t>
      </w:r>
    </w:p>
    <w:p>
      <w:pPr>
        <w:pStyle w:val="TextBody"/>
        <w:bidi w:val="0"/>
        <w:jc w:val="both"/>
        <w:rPr>
          <w:rFonts w:ascii="Times New Roman" w:hAnsi="Times New Roman"/>
          <w:b/>
          <w:color w:val="000000"/>
          <w:sz w:val="20"/>
        </w:rPr>
      </w:pPr>
      <w:r>
        <w:rPr>
          <w:rFonts w:ascii="Times New Roman" w:hAnsi="Times New Roman"/>
          <w:b/>
          <w:color w:val="000000"/>
          <w:sz w:val="20"/>
        </w:rPr>
        <w:t>TERMS AND CONDITIONS OF RESTRICTED STOCK AND STOCK UNITS</w:t>
      </w:r>
    </w:p>
    <w:p>
      <w:pPr>
        <w:pStyle w:val="TextBody"/>
        <w:bidi w:val="0"/>
        <w:jc w:val="both"/>
        <w:rPr/>
      </w:pPr>
      <w:r>
        <w:rPr/>
        <w:t> </w:t>
      </w:r>
    </w:p>
    <w:p>
      <w:pPr>
        <w:pStyle w:val="TextBody"/>
        <w:bidi w:val="0"/>
        <w:spacing w:before="0" w:after="0"/>
        <w:jc w:val="both"/>
        <w:rPr>
          <w:rFonts w:ascii="Times New Roman" w:hAnsi="Times New Roman"/>
          <w:b/>
          <w:color w:val="000000"/>
          <w:sz w:val="16"/>
        </w:rPr>
      </w:pPr>
      <w:r>
        <w:rPr>
          <w:rFonts w:ascii="Times New Roman" w:hAnsi="Times New Roman"/>
          <w:b/>
          <w:color w:val="000000"/>
          <w:sz w:val="16"/>
        </w:rPr>
        <w:t>10.1.</w:t>
      </w:r>
    </w:p>
    <w:p>
      <w:pPr>
        <w:pStyle w:val="TextBody"/>
        <w:bidi w:val="0"/>
        <w:jc w:val="both"/>
        <w:rPr>
          <w:rFonts w:ascii="Times New Roman" w:hAnsi="Times New Roman"/>
          <w:b/>
          <w:color w:val="000000"/>
          <w:sz w:val="20"/>
        </w:rPr>
      </w:pPr>
      <w:r>
        <w:rPr>
          <w:rFonts w:ascii="Times New Roman" w:hAnsi="Times New Roman"/>
          <w:b/>
          <w:color w:val="000000"/>
          <w:sz w:val="20"/>
        </w:rPr>
        <w:t>Grant of Restricted Stock or Stock Units.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Awards of Restricted Stock or Stock Units may be made in consideration for the promise to perform future Service to the Company or an Affiliate.</w:t>
      </w:r>
    </w:p>
    <w:p>
      <w:pPr>
        <w:pStyle w:val="TextBody"/>
        <w:bidi w:val="0"/>
        <w:jc w:val="both"/>
        <w:rPr/>
      </w:pPr>
      <w:r>
        <w:rPr/>
        <w:t> </w:t>
      </w:r>
    </w:p>
    <w:p>
      <w:pPr>
        <w:pStyle w:val="TextBody"/>
        <w:bidi w:val="0"/>
        <w:spacing w:before="0" w:after="0"/>
        <w:jc w:val="both"/>
        <w:rPr>
          <w:rFonts w:ascii="Times New Roman" w:hAnsi="Times New Roman"/>
          <w:b/>
          <w:color w:val="000000"/>
          <w:sz w:val="16"/>
        </w:rPr>
      </w:pPr>
      <w:r>
        <w:rPr>
          <w:rFonts w:ascii="Times New Roman" w:hAnsi="Times New Roman"/>
          <w:b/>
          <w:color w:val="000000"/>
          <w:sz w:val="16"/>
        </w:rPr>
        <w:t>10.2.</w:t>
      </w:r>
    </w:p>
    <w:p>
      <w:pPr>
        <w:pStyle w:val="TextBody"/>
        <w:bidi w:val="0"/>
        <w:jc w:val="both"/>
        <w:rPr>
          <w:rFonts w:ascii="Times New Roman" w:hAnsi="Times New Roman"/>
          <w:b/>
          <w:color w:val="000000"/>
          <w:sz w:val="20"/>
        </w:rPr>
      </w:pPr>
      <w:r>
        <w:rPr>
          <w:rFonts w:ascii="Times New Roman" w:hAnsi="Times New Roman"/>
          <w:b/>
          <w:color w:val="000000"/>
          <w:sz w:val="20"/>
        </w:rPr>
        <w:t>Restrictions.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At the time a grant of Restricted Stock or Stock Units is made, the Board may, in its sole discretion, establish a period of time (a “restricted period”) applicable to such Restricted Stock or Stock Units. Each Award of Restricted Stock or Stock Units may be subject to a different restricted period. The Board may in its sole discretion, at the time a grant of Restricted Stock or Stock Units is made, prescribe restrictions in addition to or other than the expiration of the restricted period, including the achievement of corporate or individual performance objectives, which may be applicable to all or any portion of the Restricted Stock or Stock Units as described in </w:t>
      </w:r>
      <w:r>
        <w:rPr>
          <w:rFonts w:ascii="Times New Roman" w:hAnsi="Times New Roman"/>
          <w:b/>
          <w:color w:val="000000"/>
          <w:sz w:val="20"/>
        </w:rPr>
        <w:t>Section 14</w:t>
      </w:r>
      <w:r>
        <w:rPr>
          <w:rFonts w:ascii="Times New Roman" w:hAnsi="Times New Roman"/>
          <w:color w:val="000000"/>
          <w:sz w:val="20"/>
        </w:rPr>
        <w:t>. Neither Restricted Stock nor Stock Units may be sold, transferred, assigned, pledged or otherwise encumbered or disposed of during the restricted period or prior to the satisfaction of any other restrictions prescribed by the Board with respect to such Restricted Stock or Stock Units.</w:t>
      </w:r>
    </w:p>
    <w:p>
      <w:pPr>
        <w:pStyle w:val="TextBody"/>
        <w:bidi w:val="0"/>
        <w:jc w:val="both"/>
        <w:rPr/>
      </w:pPr>
      <w:r>
        <w:rPr/>
        <w:t> </w:t>
      </w:r>
    </w:p>
    <w:p>
      <w:pPr>
        <w:pStyle w:val="TextBody"/>
        <w:bidi w:val="0"/>
        <w:spacing w:before="0" w:after="0"/>
        <w:jc w:val="both"/>
        <w:rPr>
          <w:rFonts w:ascii="Times New Roman" w:hAnsi="Times New Roman"/>
          <w:b/>
          <w:color w:val="000000"/>
          <w:sz w:val="16"/>
        </w:rPr>
      </w:pPr>
      <w:r>
        <w:rPr>
          <w:rFonts w:ascii="Times New Roman" w:hAnsi="Times New Roman"/>
          <w:b/>
          <w:color w:val="000000"/>
          <w:sz w:val="16"/>
        </w:rPr>
        <w:t>10.3.</w:t>
      </w:r>
    </w:p>
    <w:p>
      <w:pPr>
        <w:pStyle w:val="TextBody"/>
        <w:bidi w:val="0"/>
        <w:jc w:val="both"/>
        <w:rPr>
          <w:rFonts w:ascii="Times New Roman" w:hAnsi="Times New Roman"/>
          <w:b/>
          <w:color w:val="000000"/>
          <w:sz w:val="20"/>
        </w:rPr>
      </w:pPr>
      <w:r>
        <w:rPr>
          <w:rFonts w:ascii="Times New Roman" w:hAnsi="Times New Roman"/>
          <w:b/>
          <w:color w:val="000000"/>
          <w:sz w:val="20"/>
        </w:rPr>
        <w:t>Restricted Stock Certificates.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Pursuant to </w:t>
      </w:r>
      <w:r>
        <w:rPr>
          <w:rFonts w:ascii="Times New Roman" w:hAnsi="Times New Roman"/>
          <w:b/>
          <w:color w:val="000000"/>
          <w:sz w:val="20"/>
        </w:rPr>
        <w:t>Section 3.9</w:t>
      </w:r>
      <w:r>
        <w:rPr>
          <w:rFonts w:ascii="Times New Roman" w:hAnsi="Times New Roman"/>
          <w:color w:val="000000"/>
          <w:sz w:val="20"/>
        </w:rPr>
        <w:t xml:space="preserve">, to the extent that ownership of Restricted Stock is evidenced by a book-entry registration or direct registration (including transaction advices), such registration shall be notated to evidence the restrictions imposed on such Award of Restricted Stock under the Plan and the applicable Award Agreement. Subject to </w:t>
      </w:r>
      <w:r>
        <w:rPr>
          <w:rFonts w:ascii="Times New Roman" w:hAnsi="Times New Roman"/>
          <w:b/>
          <w:color w:val="000000"/>
          <w:sz w:val="20"/>
        </w:rPr>
        <w:t>Section 3.9</w:t>
      </w:r>
      <w:r>
        <w:rPr>
          <w:rFonts w:ascii="Times New Roman" w:hAnsi="Times New Roman"/>
          <w:color w:val="000000"/>
          <w:sz w:val="20"/>
        </w:rPr>
        <w:t xml:space="preserve">, and the immediately following sentence, the Company may issue, in the name of each Grantee to whom Restricted Stock has been granted, certificates representing the total number of shares of Restricted Stock granted to the Grantee, as soon as reasonably practicable after the Grant Date of such Restricted Stock. The Board may provide in an Award Agreement with respect to an Award of Restricted Stock that either (i) the Secretary of the Company shall hold such certificates for the Grantee’s benefit until such time as the shares of Restricted Stock are forfeited to the Company or the restrictions applicable thereto lapse and such Grantee shall deliver a stock power to the Company with respect to each certificate, or (ii) such certificates shall be delivered to such Grantee, </w:t>
      </w:r>
      <w:r>
        <w:rPr>
          <w:rFonts w:ascii="Times New Roman" w:hAnsi="Times New Roman"/>
          <w:color w:val="000000"/>
          <w:sz w:val="20"/>
          <w:u w:val="single"/>
        </w:rPr>
        <w:t>provided</w:t>
      </w:r>
      <w:r>
        <w:rPr>
          <w:rFonts w:ascii="Times New Roman" w:hAnsi="Times New Roman"/>
          <w:color w:val="000000"/>
          <w:sz w:val="20"/>
        </w:rPr>
        <w:t>, that such certificates shall bear a legend or legends that comply with the applicable securities laws and regulations and makes appropriate reference to the restrictions imposed on such Award of Restricted Stock under the Plan and such Award Agreement.</w:t>
      </w:r>
    </w:p>
    <w:p>
      <w:pPr>
        <w:pStyle w:val="TextBody"/>
        <w:bidi w:val="0"/>
        <w:jc w:val="both"/>
        <w:rPr/>
      </w:pPr>
      <w:r>
        <w:rPr/>
        <w:t> </w:t>
      </w:r>
    </w:p>
    <w:p>
      <w:pPr>
        <w:pStyle w:val="TextBody"/>
        <w:bidi w:val="0"/>
        <w:spacing w:before="0" w:after="0"/>
        <w:jc w:val="both"/>
        <w:rPr>
          <w:rFonts w:ascii="Times New Roman" w:hAnsi="Times New Roman"/>
          <w:b/>
          <w:color w:val="000000"/>
          <w:sz w:val="16"/>
        </w:rPr>
      </w:pPr>
      <w:r>
        <w:rPr>
          <w:rFonts w:ascii="Times New Roman" w:hAnsi="Times New Roman"/>
          <w:b/>
          <w:color w:val="000000"/>
          <w:sz w:val="16"/>
        </w:rPr>
        <w:t>10.4.</w:t>
      </w:r>
    </w:p>
    <w:p>
      <w:pPr>
        <w:pStyle w:val="TextBody"/>
        <w:bidi w:val="0"/>
        <w:jc w:val="both"/>
        <w:rPr>
          <w:rFonts w:ascii="Times New Roman" w:hAnsi="Times New Roman"/>
          <w:b/>
          <w:color w:val="000000"/>
          <w:sz w:val="20"/>
        </w:rPr>
      </w:pPr>
      <w:r>
        <w:rPr>
          <w:rFonts w:ascii="Times New Roman" w:hAnsi="Times New Roman"/>
          <w:b/>
          <w:color w:val="000000"/>
          <w:sz w:val="20"/>
        </w:rPr>
        <w:t>Rights of Holders of Restricted Stock.</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Unless the Board otherwise provides in an Award Agreement, holders of Restricted Stock shall have the right to vote such shares of Stock and the right to receive any dividend payments or distributions declared or paid with respect to such shares of Restricted Stock. The Board may provide in an Award Agreement evidencing a grant of Restricted Stock that that (a) any cash dividend payments or distributions paid on Restricted Stock must be reinvested in shares of Stock, which may or may not be subject to the same vesting conditions and restrictions as applicable to such underlying shares of Restricted Stock or (b) any dividend payments or distributions declared or paid on shares of Restricted Stock shall only be made or paid upon satisfaction of the vesting conditions and restrictions applicable to such shares of Restricted Stock. Dividend payments or distributions declared or paid on shares of Restricted Stock which vest or are earned based upon the achievement of performance goals shall not vest unless such performance goals for such shares of Restricted Stock are achieved, and if such performance goals are not achieved, the Grantee of such shares of Restricted Stock shall promptly forfeit and, to the extent already paid or distributed, repay to the Company such dividend payments or distributions. All stock dividend payments or distributions, if any received by a Grantee with respect to shares of Restricted Stock as a result of any stock split, stock dividend, combination of stock, or other similar transaction shall be subject to the same vesting conditions and restrictions as applicable to such underlying shares of Restricted Stock.</w:t>
      </w:r>
    </w:p>
    <w:p>
      <w:pPr>
        <w:pStyle w:val="TextBody"/>
        <w:bidi w:val="0"/>
        <w:jc w:val="both"/>
        <w:rPr/>
      </w:pPr>
      <w:r>
        <w:rPr/>
        <w:t> </w:t>
      </w:r>
    </w:p>
    <w:p>
      <w:pPr>
        <w:pStyle w:val="TextBody"/>
        <w:bidi w:val="0"/>
        <w:spacing w:before="0" w:after="0"/>
        <w:jc w:val="both"/>
        <w:rPr>
          <w:rFonts w:ascii="Times New Roman" w:hAnsi="Times New Roman"/>
          <w:b/>
          <w:color w:val="000000"/>
          <w:sz w:val="16"/>
        </w:rPr>
      </w:pPr>
      <w:r>
        <w:rPr>
          <w:rFonts w:ascii="Times New Roman" w:hAnsi="Times New Roman"/>
          <w:b/>
          <w:color w:val="000000"/>
          <w:sz w:val="16"/>
        </w:rPr>
        <w:t>10.5.</w:t>
      </w:r>
    </w:p>
    <w:p>
      <w:pPr>
        <w:pStyle w:val="TextBody"/>
        <w:bidi w:val="0"/>
        <w:jc w:val="both"/>
        <w:rPr>
          <w:rFonts w:ascii="Times New Roman" w:hAnsi="Times New Roman"/>
          <w:b/>
          <w:color w:val="000000"/>
          <w:sz w:val="20"/>
        </w:rPr>
      </w:pPr>
      <w:r>
        <w:rPr>
          <w:rFonts w:ascii="Times New Roman" w:hAnsi="Times New Roman"/>
          <w:b/>
          <w:color w:val="000000"/>
          <w:sz w:val="20"/>
        </w:rPr>
        <w:t>Rights of Holders of Stock Units.</w:t>
      </w:r>
    </w:p>
    <w:p>
      <w:pPr>
        <w:pStyle w:val="TextBody"/>
        <w:bidi w:val="0"/>
        <w:jc w:val="both"/>
        <w:rPr/>
      </w:pPr>
      <w:r>
        <w:rPr/>
        <w:t> </w:t>
      </w:r>
    </w:p>
    <w:p>
      <w:pPr>
        <w:pStyle w:val="TextBody"/>
        <w:bidi w:val="0"/>
        <w:spacing w:before="0" w:after="0"/>
        <w:jc w:val="both"/>
        <w:rPr>
          <w:rFonts w:ascii="Times New Roman" w:hAnsi="Times New Roman"/>
          <w:b/>
          <w:color w:val="000000"/>
          <w:sz w:val="16"/>
        </w:rPr>
      </w:pPr>
      <w:r>
        <w:rPr>
          <w:rFonts w:ascii="Times New Roman" w:hAnsi="Times New Roman"/>
          <w:b/>
          <w:color w:val="000000"/>
          <w:sz w:val="16"/>
        </w:rPr>
        <w:t>10.5.1.</w:t>
      </w:r>
    </w:p>
    <w:p>
      <w:pPr>
        <w:pStyle w:val="TextBody"/>
        <w:bidi w:val="0"/>
        <w:jc w:val="both"/>
        <w:rPr>
          <w:rFonts w:ascii="Times New Roman" w:hAnsi="Times New Roman"/>
          <w:b/>
          <w:color w:val="000000"/>
          <w:sz w:val="20"/>
        </w:rPr>
      </w:pPr>
      <w:r>
        <w:rPr>
          <w:rFonts w:ascii="Times New Roman" w:hAnsi="Times New Roman"/>
          <w:b/>
          <w:color w:val="000000"/>
          <w:sz w:val="20"/>
        </w:rPr>
        <w:t>Voting and Dividend Rights.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Holders of Stock Units shall have no rights as stockholders of the Company. The Board may provide in an Award Agreement evidencing a grant of Stock Units that the holder of such Stock Units shall be entitled to receive, upon the Company’s payment of a cash dividend on its outstanding shares of Stock, a cash payment for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each Stock Unit held equal to the per-stock dividend paid on the shares of Stock. Such Award Agreement may also provide that such cash payment will be deemed reinvested in additional Stock Units at a price per unit equal to the Fair Market Value of a share of Stock on the date on which such dividend is paid.</w:t>
      </w:r>
    </w:p>
    <w:p>
      <w:pPr>
        <w:pStyle w:val="TextBody"/>
        <w:bidi w:val="0"/>
        <w:jc w:val="both"/>
        <w:rPr/>
      </w:pPr>
      <w:r>
        <w:rPr/>
        <w:t> </w:t>
      </w:r>
    </w:p>
    <w:p>
      <w:pPr>
        <w:pStyle w:val="TextBody"/>
        <w:bidi w:val="0"/>
        <w:spacing w:before="0" w:after="0"/>
        <w:jc w:val="both"/>
        <w:rPr>
          <w:rFonts w:ascii="Times New Roman" w:hAnsi="Times New Roman"/>
          <w:b/>
          <w:color w:val="000000"/>
          <w:sz w:val="16"/>
        </w:rPr>
      </w:pPr>
      <w:r>
        <w:rPr>
          <w:rFonts w:ascii="Times New Roman" w:hAnsi="Times New Roman"/>
          <w:b/>
          <w:color w:val="000000"/>
          <w:sz w:val="16"/>
        </w:rPr>
        <w:t>10.5.2.</w:t>
      </w:r>
    </w:p>
    <w:p>
      <w:pPr>
        <w:pStyle w:val="TextBody"/>
        <w:bidi w:val="0"/>
        <w:jc w:val="both"/>
        <w:rPr>
          <w:rFonts w:ascii="Times New Roman" w:hAnsi="Times New Roman"/>
          <w:b/>
          <w:color w:val="000000"/>
          <w:sz w:val="20"/>
        </w:rPr>
      </w:pPr>
      <w:r>
        <w:rPr>
          <w:rFonts w:ascii="Times New Roman" w:hAnsi="Times New Roman"/>
          <w:b/>
          <w:color w:val="000000"/>
          <w:sz w:val="20"/>
        </w:rPr>
        <w:t>Creditor’s Rights.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 holder of Stock Units shall have no rights other than those of a general unsecured creditor of the Company. Stock Units represent an unfunded and unsecured obligation of the Company, subject to the terms and conditions of the applicable Award Agreement.</w:t>
      </w:r>
    </w:p>
    <w:p>
      <w:pPr>
        <w:pStyle w:val="TextBody"/>
        <w:bidi w:val="0"/>
        <w:jc w:val="both"/>
        <w:rPr/>
      </w:pPr>
      <w:r>
        <w:rPr/>
        <w:t> </w:t>
      </w:r>
    </w:p>
    <w:p>
      <w:pPr>
        <w:pStyle w:val="TextBody"/>
        <w:bidi w:val="0"/>
        <w:spacing w:before="0" w:after="0"/>
        <w:jc w:val="both"/>
        <w:rPr>
          <w:rFonts w:ascii="Times New Roman" w:hAnsi="Times New Roman"/>
          <w:b/>
          <w:color w:val="000000"/>
          <w:sz w:val="16"/>
        </w:rPr>
      </w:pPr>
      <w:r>
        <w:rPr>
          <w:rFonts w:ascii="Times New Roman" w:hAnsi="Times New Roman"/>
          <w:b/>
          <w:color w:val="000000"/>
          <w:sz w:val="16"/>
        </w:rPr>
        <w:t>10.6.</w:t>
      </w:r>
    </w:p>
    <w:p>
      <w:pPr>
        <w:pStyle w:val="TextBody"/>
        <w:bidi w:val="0"/>
        <w:jc w:val="both"/>
        <w:rPr>
          <w:rFonts w:ascii="Times New Roman" w:hAnsi="Times New Roman"/>
          <w:b/>
          <w:color w:val="000000"/>
          <w:sz w:val="20"/>
        </w:rPr>
      </w:pPr>
      <w:r>
        <w:rPr>
          <w:rFonts w:ascii="Times New Roman" w:hAnsi="Times New Roman"/>
          <w:b/>
          <w:color w:val="000000"/>
          <w:sz w:val="20"/>
        </w:rPr>
        <w:t>Termination of Service.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Unless the Board otherwise provides in an Award Agreement, in another agreement with the Grantee, or otherwise in writing after such Award Agreement is issued, but prior to the termination of a Grantee’s Service, upon the termination of such Grantee’s Service, any Restricted Stock or Stock Units held by such Grantee that have not vested, or with respect to which all applicable restrictions and conditions have not lapsed, shall immediately be deemed forfeited. Upon forfeiture of Restricted Stock or Stock Units, the Grantee shall have no further rights with respect to such Award, including but not limited to any right to vote Restricted Stock or any right to receive dividends or Dividend Equivalent Rights, as applicable, with respect to Restricted Stock or Stock Units.</w:t>
      </w:r>
    </w:p>
    <w:p>
      <w:pPr>
        <w:pStyle w:val="TextBody"/>
        <w:bidi w:val="0"/>
        <w:jc w:val="both"/>
        <w:rPr/>
      </w:pPr>
      <w:r>
        <w:rPr/>
        <w:t> </w:t>
      </w:r>
    </w:p>
    <w:p>
      <w:pPr>
        <w:pStyle w:val="TextBody"/>
        <w:bidi w:val="0"/>
        <w:spacing w:before="0" w:after="0"/>
        <w:jc w:val="both"/>
        <w:rPr>
          <w:rFonts w:ascii="Times New Roman" w:hAnsi="Times New Roman"/>
          <w:b/>
          <w:color w:val="000000"/>
          <w:sz w:val="16"/>
        </w:rPr>
      </w:pPr>
      <w:r>
        <w:rPr>
          <w:rFonts w:ascii="Times New Roman" w:hAnsi="Times New Roman"/>
          <w:b/>
          <w:color w:val="000000"/>
          <w:sz w:val="16"/>
        </w:rPr>
        <w:t>10.7.</w:t>
      </w:r>
    </w:p>
    <w:p>
      <w:pPr>
        <w:pStyle w:val="TextBody"/>
        <w:bidi w:val="0"/>
        <w:jc w:val="both"/>
        <w:rPr>
          <w:rFonts w:ascii="Times New Roman" w:hAnsi="Times New Roman"/>
          <w:b/>
          <w:color w:val="000000"/>
          <w:sz w:val="20"/>
        </w:rPr>
      </w:pPr>
      <w:r>
        <w:rPr>
          <w:rFonts w:ascii="Times New Roman" w:hAnsi="Times New Roman"/>
          <w:b/>
          <w:color w:val="000000"/>
          <w:sz w:val="20"/>
        </w:rPr>
        <w:t>Purchase of Restricted Stock and Shares of Stock Subject to Stock Units.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The Grantee of an Award of Restricted Stock or vested Stock Units shall be required, to the extent required by Applicable Laws, to purchase such Restricted Stock or shares of Stock subject to such vested Stock Units from the Company at a Purchase Price equal to the greater of (i) the aggregate par value of the shares of Stock represented by such Restricted Stock or such vested Stock Units or (ii) the Purchase Price, if any, specified in the Award Agreement relating to such Restricted Stock or such vested Stock Units. The Purchase Price shall be payable in a form described in </w:t>
      </w:r>
      <w:r>
        <w:rPr>
          <w:rFonts w:ascii="Times New Roman" w:hAnsi="Times New Roman"/>
          <w:b/>
          <w:color w:val="000000"/>
          <w:sz w:val="20"/>
        </w:rPr>
        <w:t xml:space="preserve">Section 12 </w:t>
      </w:r>
      <w:r>
        <w:rPr>
          <w:rFonts w:ascii="Times New Roman" w:hAnsi="Times New Roman"/>
          <w:color w:val="000000"/>
          <w:sz w:val="20"/>
        </w:rPr>
        <w:t>or in consideration for future Service to be rendered by the Grantee to the Company or an Affiliate.</w:t>
      </w:r>
    </w:p>
    <w:p>
      <w:pPr>
        <w:pStyle w:val="TextBody"/>
        <w:bidi w:val="0"/>
        <w:jc w:val="both"/>
        <w:rPr/>
      </w:pPr>
      <w:r>
        <w:rPr/>
        <w:t> </w:t>
      </w:r>
    </w:p>
    <w:p>
      <w:pPr>
        <w:pStyle w:val="TextBody"/>
        <w:bidi w:val="0"/>
        <w:spacing w:before="0" w:after="0"/>
        <w:jc w:val="both"/>
        <w:rPr>
          <w:rFonts w:ascii="Times New Roman" w:hAnsi="Times New Roman"/>
          <w:b/>
          <w:color w:val="000000"/>
          <w:sz w:val="16"/>
        </w:rPr>
      </w:pPr>
      <w:r>
        <w:rPr>
          <w:rFonts w:ascii="Times New Roman" w:hAnsi="Times New Roman"/>
          <w:b/>
          <w:color w:val="000000"/>
          <w:sz w:val="16"/>
        </w:rPr>
        <w:t>10.8.</w:t>
      </w:r>
    </w:p>
    <w:p>
      <w:pPr>
        <w:pStyle w:val="TextBody"/>
        <w:bidi w:val="0"/>
        <w:jc w:val="both"/>
        <w:rPr>
          <w:rFonts w:ascii="Times New Roman" w:hAnsi="Times New Roman"/>
          <w:b/>
          <w:color w:val="000000"/>
          <w:sz w:val="20"/>
        </w:rPr>
      </w:pPr>
      <w:r>
        <w:rPr>
          <w:rFonts w:ascii="Times New Roman" w:hAnsi="Times New Roman"/>
          <w:b/>
          <w:color w:val="000000"/>
          <w:sz w:val="20"/>
        </w:rPr>
        <w:t>Delivery of Shares of Stock.</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Upon the expiration or termination of any restricted period and the satisfaction of any other conditions prescribed by the Board, the restrictions applicable to Restricted Stock or Stock Units settled in shares of Stock shall lapse, and, unless otherwise provided in the Award Agreement, a book-entry or direct registration (including transaction advices) or a certificate evidencing ownership of such shares of Stock shall, consistent with </w:t>
      </w:r>
      <w:r>
        <w:rPr>
          <w:rFonts w:ascii="Times New Roman" w:hAnsi="Times New Roman"/>
          <w:b/>
          <w:color w:val="000000"/>
          <w:sz w:val="20"/>
        </w:rPr>
        <w:t>Section 3.9</w:t>
      </w:r>
      <w:r>
        <w:rPr>
          <w:rFonts w:ascii="Times New Roman" w:hAnsi="Times New Roman"/>
          <w:color w:val="000000"/>
          <w:sz w:val="20"/>
        </w:rPr>
        <w:t xml:space="preserve">, be issued, free of all such restrictions, to the Grantee thereof or the Grantee’s beneficiary or estate, as the case may be. Neither the Grantee, nor the Grantee’s beneficiary or estate, shall have any further rights with regard to a Stock Unit once the shares of Stock represented by such Stock Unit have been delivered in accordance with this </w:t>
      </w:r>
      <w:r>
        <w:rPr>
          <w:rFonts w:ascii="Times New Roman" w:hAnsi="Times New Roman"/>
          <w:b/>
          <w:color w:val="000000"/>
          <w:sz w:val="20"/>
        </w:rPr>
        <w:t>Section 10.8</w:t>
      </w:r>
      <w:r>
        <w:rPr>
          <w:rFonts w:ascii="Times New Roman" w:hAnsi="Times New Roman"/>
          <w:color w:val="000000"/>
          <w:sz w:val="20"/>
        </w:rPr>
        <w:t>.</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11.</w:t>
      </w:r>
    </w:p>
    <w:p>
      <w:pPr>
        <w:pStyle w:val="TextBody"/>
        <w:bidi w:val="0"/>
        <w:jc w:val="both"/>
        <w:rPr>
          <w:rFonts w:ascii="Times New Roman" w:hAnsi="Times New Roman"/>
          <w:b/>
          <w:color w:val="000000"/>
          <w:sz w:val="20"/>
        </w:rPr>
      </w:pPr>
      <w:r>
        <w:rPr>
          <w:rFonts w:ascii="Times New Roman" w:hAnsi="Times New Roman"/>
          <w:b/>
          <w:color w:val="000000"/>
          <w:sz w:val="20"/>
        </w:rPr>
        <w:t>TERMS AND CONDITIONS OF UNRESTRICTED STOCK AWARDS AND OTHER EQUITY-BASED AWARDS</w:t>
      </w:r>
    </w:p>
    <w:p>
      <w:pPr>
        <w:pStyle w:val="TextBody"/>
        <w:bidi w:val="0"/>
        <w:jc w:val="both"/>
        <w:rPr/>
      </w:pPr>
      <w:r>
        <w:rPr/>
        <w:t> </w:t>
      </w:r>
    </w:p>
    <w:p>
      <w:pPr>
        <w:pStyle w:val="TextBody"/>
        <w:bidi w:val="0"/>
        <w:spacing w:before="0" w:after="0"/>
        <w:jc w:val="both"/>
        <w:rPr>
          <w:rFonts w:ascii="Times New Roman" w:hAnsi="Times New Roman"/>
          <w:b/>
          <w:color w:val="000000"/>
          <w:sz w:val="16"/>
        </w:rPr>
      </w:pPr>
      <w:r>
        <w:rPr>
          <w:rFonts w:ascii="Times New Roman" w:hAnsi="Times New Roman"/>
          <w:b/>
          <w:color w:val="000000"/>
          <w:sz w:val="16"/>
        </w:rPr>
        <w:t>11.1.</w:t>
      </w:r>
    </w:p>
    <w:p>
      <w:pPr>
        <w:pStyle w:val="TextBody"/>
        <w:bidi w:val="0"/>
        <w:jc w:val="both"/>
        <w:rPr>
          <w:rFonts w:ascii="Times New Roman" w:hAnsi="Times New Roman"/>
          <w:b/>
          <w:color w:val="000000"/>
          <w:sz w:val="20"/>
        </w:rPr>
      </w:pPr>
      <w:r>
        <w:rPr>
          <w:rFonts w:ascii="Times New Roman" w:hAnsi="Times New Roman"/>
          <w:b/>
          <w:color w:val="000000"/>
          <w:sz w:val="20"/>
        </w:rPr>
        <w:t>Unrestricted Stock Awards.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Board may, in its sole discretion, grant (or sell at par value or at such other higher purchase price determined by the Board) an Unrestricted Stock Award to any Grantee pursuant to which such Grantee may receive shares of Unrestricted Stock under the Plan. Unrestricted Stock Awards may be granted or sold as described in the preceding sentence in respect of Service rendered or, if so provided in the related Award Agreement or a separate agreement, to be rendered by the Grantee to the Company or an Affiliate or other valid consideration, in lieu of, or in addition to, any cash compensation due to such Grantee.</w:t>
      </w:r>
    </w:p>
    <w:p>
      <w:pPr>
        <w:pStyle w:val="TextBody"/>
        <w:bidi w:val="0"/>
        <w:jc w:val="both"/>
        <w:rPr/>
      </w:pPr>
      <w:r>
        <w:rPr/>
        <w:t> </w:t>
      </w:r>
    </w:p>
    <w:p>
      <w:pPr>
        <w:pStyle w:val="TextBody"/>
        <w:bidi w:val="0"/>
        <w:spacing w:before="0" w:after="0"/>
        <w:jc w:val="both"/>
        <w:rPr>
          <w:rFonts w:ascii="Times New Roman" w:hAnsi="Times New Roman"/>
          <w:b/>
          <w:color w:val="000000"/>
          <w:sz w:val="16"/>
        </w:rPr>
      </w:pPr>
      <w:r>
        <w:rPr>
          <w:rFonts w:ascii="Times New Roman" w:hAnsi="Times New Roman"/>
          <w:b/>
          <w:color w:val="000000"/>
          <w:sz w:val="16"/>
        </w:rPr>
        <w:t>11.2.</w:t>
      </w:r>
    </w:p>
    <w:p>
      <w:pPr>
        <w:pStyle w:val="TextBody"/>
        <w:bidi w:val="0"/>
        <w:jc w:val="both"/>
        <w:rPr>
          <w:rFonts w:ascii="Times New Roman" w:hAnsi="Times New Roman"/>
          <w:b/>
          <w:color w:val="000000"/>
          <w:sz w:val="20"/>
        </w:rPr>
      </w:pPr>
      <w:r>
        <w:rPr>
          <w:rFonts w:ascii="Times New Roman" w:hAnsi="Times New Roman"/>
          <w:b/>
          <w:color w:val="000000"/>
          <w:sz w:val="20"/>
        </w:rPr>
        <w:t>Other Equity-Based Awards.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The Board may, in its sole discretion, grant Awards to Participants in the form of Other Equity-Based Awards, as deemed by the Board to be consistent with the purposes of the Plan. Awards granted pursuant to this </w:t>
      </w:r>
      <w:r>
        <w:rPr>
          <w:rFonts w:ascii="Times New Roman" w:hAnsi="Times New Roman"/>
          <w:b/>
          <w:color w:val="000000"/>
          <w:sz w:val="20"/>
        </w:rPr>
        <w:t xml:space="preserve">Section 11.2 </w:t>
      </w:r>
      <w:r>
        <w:rPr>
          <w:rFonts w:ascii="Times New Roman" w:hAnsi="Times New Roman"/>
          <w:color w:val="000000"/>
          <w:sz w:val="20"/>
        </w:rPr>
        <w:t xml:space="preserve">may be granted with vesting, value and/or payment contingent upon the attainment of one or more performance goals. The Board shall determine the terms and conditions of such Other Equity-Based Awards on the Grant Date or thereafter. Unless the Board otherwise provides in an Award Agreement, in another agreement with the Grantee, or otherwise or in writing after the Award Agreement is issued, upon the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termination of a Grantee’s Service, any Other Equity-Based Awards held by such Grantee that have not vested, or with respect to which all applicable restrictions and conditions have not lapsed, shall immediately be deemed forfeited. Upon forfeiture of Other Equity-Based Awards, the Grantee shall have no further rights with respect to such Award.</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12.</w:t>
      </w:r>
    </w:p>
    <w:p>
      <w:pPr>
        <w:pStyle w:val="TextBody"/>
        <w:bidi w:val="0"/>
        <w:jc w:val="both"/>
        <w:rPr>
          <w:rFonts w:ascii="Times New Roman" w:hAnsi="Times New Roman"/>
          <w:b/>
          <w:color w:val="000000"/>
          <w:sz w:val="20"/>
        </w:rPr>
      </w:pPr>
      <w:r>
        <w:rPr>
          <w:rFonts w:ascii="Times New Roman" w:hAnsi="Times New Roman"/>
          <w:b/>
          <w:color w:val="000000"/>
          <w:sz w:val="20"/>
        </w:rPr>
        <w:t>FORM OF PAYMENT FOR OPTIONS AND RESTRICTED STOCK</w:t>
      </w:r>
    </w:p>
    <w:p>
      <w:pPr>
        <w:pStyle w:val="TextBody"/>
        <w:bidi w:val="0"/>
        <w:jc w:val="both"/>
        <w:rPr/>
      </w:pPr>
      <w:r>
        <w:rPr/>
        <w:t> </w:t>
      </w:r>
    </w:p>
    <w:p>
      <w:pPr>
        <w:pStyle w:val="TextBody"/>
        <w:bidi w:val="0"/>
        <w:spacing w:before="0" w:after="0"/>
        <w:jc w:val="both"/>
        <w:rPr>
          <w:rFonts w:ascii="Times New Roman" w:hAnsi="Times New Roman"/>
          <w:b/>
          <w:color w:val="000000"/>
          <w:sz w:val="16"/>
        </w:rPr>
      </w:pPr>
      <w:r>
        <w:rPr>
          <w:rFonts w:ascii="Times New Roman" w:hAnsi="Times New Roman"/>
          <w:b/>
          <w:color w:val="000000"/>
          <w:sz w:val="16"/>
        </w:rPr>
        <w:t>12.1.</w:t>
      </w:r>
    </w:p>
    <w:p>
      <w:pPr>
        <w:pStyle w:val="TextBody"/>
        <w:bidi w:val="0"/>
        <w:jc w:val="both"/>
        <w:rPr>
          <w:rFonts w:ascii="Times New Roman" w:hAnsi="Times New Roman"/>
          <w:b/>
          <w:color w:val="000000"/>
          <w:sz w:val="20"/>
        </w:rPr>
      </w:pPr>
      <w:r>
        <w:rPr>
          <w:rFonts w:ascii="Times New Roman" w:hAnsi="Times New Roman"/>
          <w:b/>
          <w:color w:val="000000"/>
          <w:sz w:val="20"/>
        </w:rPr>
        <w:t>General Rule.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Payment of the Option Price for the shares of Stock purchased pursuant to the exercise of an Option or the Purchase Price, if any, for Restricted Stock shall be made in cash or in cash equivalents acceptable to the Company.</w:t>
      </w:r>
    </w:p>
    <w:p>
      <w:pPr>
        <w:pStyle w:val="TextBody"/>
        <w:bidi w:val="0"/>
        <w:jc w:val="both"/>
        <w:rPr/>
      </w:pPr>
      <w:r>
        <w:rPr/>
        <w:t> </w:t>
      </w:r>
    </w:p>
    <w:p>
      <w:pPr>
        <w:pStyle w:val="TextBody"/>
        <w:bidi w:val="0"/>
        <w:spacing w:before="0" w:after="0"/>
        <w:jc w:val="both"/>
        <w:rPr>
          <w:rFonts w:ascii="Times New Roman" w:hAnsi="Times New Roman"/>
          <w:b/>
          <w:color w:val="000000"/>
          <w:sz w:val="16"/>
        </w:rPr>
      </w:pPr>
      <w:r>
        <w:rPr>
          <w:rFonts w:ascii="Times New Roman" w:hAnsi="Times New Roman"/>
          <w:b/>
          <w:color w:val="000000"/>
          <w:sz w:val="16"/>
        </w:rPr>
        <w:t>12.2.</w:t>
      </w:r>
    </w:p>
    <w:p>
      <w:pPr>
        <w:pStyle w:val="TextBody"/>
        <w:bidi w:val="0"/>
        <w:jc w:val="both"/>
        <w:rPr>
          <w:rFonts w:ascii="Times New Roman" w:hAnsi="Times New Roman"/>
          <w:b/>
          <w:color w:val="000000"/>
          <w:sz w:val="20"/>
        </w:rPr>
      </w:pPr>
      <w:r>
        <w:rPr>
          <w:rFonts w:ascii="Times New Roman" w:hAnsi="Times New Roman"/>
          <w:b/>
          <w:color w:val="000000"/>
          <w:sz w:val="20"/>
        </w:rPr>
        <w:t>Surrender of Shares of Stock.</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To the extent the Award Agreement so provides, payment of the Option Price for shares of Stock purchased pursuant to the exercise of an Option or the Purchase Price for Restricted Stock may be made all or in part through the tender or attestation to the Company of shares of Stock, which shall be valued, for purposes of determining the extent to which the Option Price or Purchase Price has been paid thereby, at their Fair Market Value on the date of such tender or attestation.</w:t>
      </w:r>
    </w:p>
    <w:p>
      <w:pPr>
        <w:pStyle w:val="TextBody"/>
        <w:bidi w:val="0"/>
        <w:jc w:val="both"/>
        <w:rPr/>
      </w:pPr>
      <w:r>
        <w:rPr/>
        <w:t> </w:t>
      </w:r>
    </w:p>
    <w:p>
      <w:pPr>
        <w:pStyle w:val="TextBody"/>
        <w:bidi w:val="0"/>
        <w:spacing w:before="0" w:after="0"/>
        <w:jc w:val="both"/>
        <w:rPr>
          <w:rFonts w:ascii="Times New Roman" w:hAnsi="Times New Roman"/>
          <w:b/>
          <w:color w:val="000000"/>
          <w:sz w:val="16"/>
        </w:rPr>
      </w:pPr>
      <w:r>
        <w:rPr>
          <w:rFonts w:ascii="Times New Roman" w:hAnsi="Times New Roman"/>
          <w:b/>
          <w:color w:val="000000"/>
          <w:sz w:val="16"/>
        </w:rPr>
        <w:t>12.3.</w:t>
      </w:r>
    </w:p>
    <w:p>
      <w:pPr>
        <w:pStyle w:val="TextBody"/>
        <w:bidi w:val="0"/>
        <w:jc w:val="both"/>
        <w:rPr>
          <w:rFonts w:ascii="Times New Roman" w:hAnsi="Times New Roman"/>
          <w:b/>
          <w:color w:val="000000"/>
          <w:sz w:val="20"/>
        </w:rPr>
      </w:pPr>
      <w:r>
        <w:rPr>
          <w:rFonts w:ascii="Times New Roman" w:hAnsi="Times New Roman"/>
          <w:b/>
          <w:color w:val="000000"/>
          <w:sz w:val="20"/>
        </w:rPr>
        <w:t>Cashless Exercise.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With respect to an Option only (and not with respect to Restricted Stock), to the extent permitted by law and to the extent the Award Agreement so provides, payment of the Option Price for shares of Stock purchased pursuant to the exercise of an Option may be made all or in part by delivery (on a form acceptable to the Board) of an irrevocable direction to a licensed securities broker acceptable to the Company to sell shares of Stock and to deliver all or part of the sales proceeds to the Company in payment of the Option Price and any withholding taxes described in </w:t>
      </w:r>
      <w:r>
        <w:rPr>
          <w:rFonts w:ascii="Times New Roman" w:hAnsi="Times New Roman"/>
          <w:b/>
          <w:color w:val="000000"/>
          <w:sz w:val="20"/>
        </w:rPr>
        <w:t>Section 18.3</w:t>
      </w:r>
      <w:r>
        <w:rPr>
          <w:rFonts w:ascii="Times New Roman" w:hAnsi="Times New Roman"/>
          <w:color w:val="000000"/>
          <w:sz w:val="20"/>
        </w:rPr>
        <w:t>, or, with the consent of the Company, by issuing the number of shares of Stock equal in value to the difference between the Option Price and the Fair Market Value of the shares of Stock subject to the portion of the Option being exercised.</w:t>
      </w:r>
    </w:p>
    <w:p>
      <w:pPr>
        <w:pStyle w:val="TextBody"/>
        <w:bidi w:val="0"/>
        <w:jc w:val="both"/>
        <w:rPr/>
      </w:pPr>
      <w:r>
        <w:rPr/>
        <w:t> </w:t>
      </w:r>
    </w:p>
    <w:p>
      <w:pPr>
        <w:pStyle w:val="TextBody"/>
        <w:bidi w:val="0"/>
        <w:spacing w:before="0" w:after="0"/>
        <w:jc w:val="both"/>
        <w:rPr>
          <w:rFonts w:ascii="Times New Roman" w:hAnsi="Times New Roman"/>
          <w:b/>
          <w:color w:val="000000"/>
          <w:sz w:val="16"/>
        </w:rPr>
      </w:pPr>
      <w:r>
        <w:rPr>
          <w:rFonts w:ascii="Times New Roman" w:hAnsi="Times New Roman"/>
          <w:b/>
          <w:color w:val="000000"/>
          <w:sz w:val="16"/>
        </w:rPr>
        <w:t>12.4.</w:t>
      </w:r>
    </w:p>
    <w:p>
      <w:pPr>
        <w:pStyle w:val="TextBody"/>
        <w:bidi w:val="0"/>
        <w:jc w:val="both"/>
        <w:rPr>
          <w:rFonts w:ascii="Times New Roman" w:hAnsi="Times New Roman"/>
          <w:b/>
          <w:color w:val="000000"/>
          <w:sz w:val="20"/>
        </w:rPr>
      </w:pPr>
      <w:r>
        <w:rPr>
          <w:rFonts w:ascii="Times New Roman" w:hAnsi="Times New Roman"/>
          <w:b/>
          <w:color w:val="000000"/>
          <w:sz w:val="20"/>
        </w:rPr>
        <w:t>Other Forms of Payment.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To the extent the Award Agreement so provides and/or unless otherwise specified in an Award Agreement, payment of the Option Price for shares of Stock purchased pursuant to exercise of an Option or the Purchase Price, if any, for Restricted Stock may be made in any other form that is consistent with Applicable Laws, regulations and rules, including, without limitation, Service by the Grantee thereof to the Company or an Affiliate.</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13.</w:t>
      </w:r>
    </w:p>
    <w:p>
      <w:pPr>
        <w:pStyle w:val="TextBody"/>
        <w:bidi w:val="0"/>
        <w:jc w:val="both"/>
        <w:rPr>
          <w:rFonts w:ascii="Times New Roman" w:hAnsi="Times New Roman"/>
          <w:b/>
          <w:color w:val="000000"/>
          <w:sz w:val="20"/>
        </w:rPr>
      </w:pPr>
      <w:r>
        <w:rPr>
          <w:rFonts w:ascii="Times New Roman" w:hAnsi="Times New Roman"/>
          <w:b/>
          <w:color w:val="000000"/>
          <w:sz w:val="20"/>
        </w:rPr>
        <w:t>TERMS AND CONDITIONS OF DIVIDEND EQUIVALENT RIGHTS</w:t>
      </w:r>
    </w:p>
    <w:p>
      <w:pPr>
        <w:pStyle w:val="TextBody"/>
        <w:bidi w:val="0"/>
        <w:jc w:val="both"/>
        <w:rPr/>
      </w:pPr>
      <w:r>
        <w:rPr/>
        <w:t> </w:t>
      </w:r>
    </w:p>
    <w:p>
      <w:pPr>
        <w:pStyle w:val="TextBody"/>
        <w:bidi w:val="0"/>
        <w:spacing w:before="0" w:after="0"/>
        <w:jc w:val="both"/>
        <w:rPr>
          <w:rFonts w:ascii="Times New Roman" w:hAnsi="Times New Roman"/>
          <w:b/>
          <w:color w:val="000000"/>
          <w:sz w:val="16"/>
        </w:rPr>
      </w:pPr>
      <w:r>
        <w:rPr>
          <w:rFonts w:ascii="Times New Roman" w:hAnsi="Times New Roman"/>
          <w:b/>
          <w:color w:val="000000"/>
          <w:sz w:val="16"/>
        </w:rPr>
        <w:t>13.1.</w:t>
      </w:r>
    </w:p>
    <w:p>
      <w:pPr>
        <w:pStyle w:val="TextBody"/>
        <w:bidi w:val="0"/>
        <w:jc w:val="both"/>
        <w:rPr>
          <w:rFonts w:ascii="Times New Roman" w:hAnsi="Times New Roman"/>
          <w:b/>
          <w:color w:val="000000"/>
          <w:sz w:val="20"/>
        </w:rPr>
      </w:pPr>
      <w:r>
        <w:rPr>
          <w:rFonts w:ascii="Times New Roman" w:hAnsi="Times New Roman"/>
          <w:b/>
          <w:color w:val="000000"/>
          <w:sz w:val="20"/>
        </w:rPr>
        <w:t>Dividend Equivalent Rights.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A Dividend Equivalent Right is an Award entitling the recipient to receive credits based on cash distributions that would have been paid on the shares of Stock specified in the Dividend Equivalent Right (or other award to which it relates) if such shares of Stock had been issued to and held by the recipient. A Dividend Equivalent Right may be granted hereunder to any Grantee, </w:t>
      </w:r>
      <w:r>
        <w:rPr>
          <w:rFonts w:ascii="Times New Roman" w:hAnsi="Times New Roman"/>
          <w:i/>
          <w:color w:val="000000"/>
          <w:sz w:val="20"/>
        </w:rPr>
        <w:t xml:space="preserve">provided </w:t>
      </w:r>
      <w:r>
        <w:rPr>
          <w:rFonts w:ascii="Times New Roman" w:hAnsi="Times New Roman"/>
          <w:color w:val="000000"/>
          <w:sz w:val="20"/>
        </w:rPr>
        <w:t xml:space="preserve">that no Dividend Equivalent Rights may be granted in connection with, or related to, an Award of Options or SARs. The terms and conditions of Dividend Equivalent Rights shall be specified in the Award Agreement therefor. Dividend equivalents credited to the holder of a Dividend Equivalent Right may be paid currently (with or without being subject to forfeiture or a repayment obligation) or may be deemed to be reinvested in additional shares of Stock or Awards, which may thereafter accrue additional Dividend Equivalent Rights (with or without being subject to forfeiture or a repayment obligation). Any such reinvestment shall be at the Fair Market Value on the date of reinvestment. Dividend Equivalent Rights may be settled in cash or shares of Stock or a combination thereof, in a single installment or multiple installments, all determined in the sole discretion of the Board. A Dividend Equivalent Right granted as a component of another Award may provide that such Dividend Equivalent Right shall be settled upon exercise, settlement, or payment of, or lapse of restrictions on, such other award, and that such Dividend Equivalent Right shall expire or be forfeited or annulled under the same conditions as such other award. A Dividend Equivalent Right granted as a component of another Award may also contain terms and conditions different from such other Award; provided, however, that Dividend Equivalent Rights credited pursuant to a Dividend Equivalent Right granted as a component of another Award which vests or is earned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based upon the achievement of performance goals shall not vest unless the performance goals for such underlying Award are achieved, and if such performance goals are not achieved, the Grantee of such Dividend Equivalent Rights shall promptly forfeit and, to the extent already paid or distributed, repay to the Company payments or distributions made in connection with such Dividend Equivalent Rights.</w:t>
      </w:r>
    </w:p>
    <w:p>
      <w:pPr>
        <w:pStyle w:val="TextBody"/>
        <w:bidi w:val="0"/>
        <w:jc w:val="both"/>
        <w:rPr/>
      </w:pPr>
      <w:r>
        <w:rPr/>
        <w:t> </w:t>
      </w:r>
    </w:p>
    <w:p>
      <w:pPr>
        <w:pStyle w:val="TextBody"/>
        <w:bidi w:val="0"/>
        <w:spacing w:before="0" w:after="0"/>
        <w:jc w:val="both"/>
        <w:rPr>
          <w:rFonts w:ascii="Times New Roman" w:hAnsi="Times New Roman"/>
          <w:b/>
          <w:color w:val="000000"/>
          <w:sz w:val="16"/>
        </w:rPr>
      </w:pPr>
      <w:r>
        <w:rPr>
          <w:rFonts w:ascii="Times New Roman" w:hAnsi="Times New Roman"/>
          <w:b/>
          <w:color w:val="000000"/>
          <w:sz w:val="16"/>
        </w:rPr>
        <w:t>13.2.</w:t>
      </w:r>
    </w:p>
    <w:p>
      <w:pPr>
        <w:pStyle w:val="TextBody"/>
        <w:bidi w:val="0"/>
        <w:jc w:val="both"/>
        <w:rPr>
          <w:rFonts w:ascii="Times New Roman" w:hAnsi="Times New Roman"/>
          <w:b/>
          <w:color w:val="000000"/>
          <w:sz w:val="20"/>
        </w:rPr>
      </w:pPr>
      <w:r>
        <w:rPr>
          <w:rFonts w:ascii="Times New Roman" w:hAnsi="Times New Roman"/>
          <w:b/>
          <w:color w:val="000000"/>
          <w:sz w:val="20"/>
        </w:rPr>
        <w:t>Termination of Service.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Unless the Board otherwise provides in an Award Agreement, in another agreement with the Grantee, or otherwise or in writing after the Award Agreement is issued, a Grantee’s rights in all Dividend Equivalent Rights shall automatically terminate upon such Grantee’s termination of Service for any reason.</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14.</w:t>
      </w:r>
    </w:p>
    <w:p>
      <w:pPr>
        <w:pStyle w:val="TextBody"/>
        <w:bidi w:val="0"/>
        <w:jc w:val="both"/>
        <w:rPr>
          <w:rFonts w:ascii="Times New Roman" w:hAnsi="Times New Roman"/>
          <w:b/>
          <w:color w:val="000000"/>
          <w:sz w:val="20"/>
        </w:rPr>
      </w:pPr>
      <w:r>
        <w:rPr>
          <w:rFonts w:ascii="Times New Roman" w:hAnsi="Times New Roman"/>
          <w:b/>
          <w:color w:val="000000"/>
          <w:sz w:val="20"/>
        </w:rPr>
        <w:t xml:space="preserve">TERMS AND CONDITIONS OF PERFORMANCE AWARDS </w:t>
      </w:r>
    </w:p>
    <w:p>
      <w:pPr>
        <w:pStyle w:val="TextBody"/>
        <w:bidi w:val="0"/>
        <w:jc w:val="both"/>
        <w:rPr/>
      </w:pPr>
      <w:r>
        <w:rPr/>
        <w:t> </w:t>
      </w:r>
    </w:p>
    <w:p>
      <w:pPr>
        <w:pStyle w:val="TextBody"/>
        <w:bidi w:val="0"/>
        <w:spacing w:before="0" w:after="0"/>
        <w:jc w:val="both"/>
        <w:rPr>
          <w:rFonts w:ascii="Times New Roman" w:hAnsi="Times New Roman"/>
          <w:b/>
          <w:color w:val="000000"/>
          <w:sz w:val="16"/>
        </w:rPr>
      </w:pPr>
      <w:r>
        <w:rPr>
          <w:rFonts w:ascii="Times New Roman" w:hAnsi="Times New Roman"/>
          <w:b/>
          <w:color w:val="000000"/>
          <w:sz w:val="16"/>
        </w:rPr>
        <w:t>14.1.</w:t>
      </w:r>
    </w:p>
    <w:p>
      <w:pPr>
        <w:pStyle w:val="TextBody"/>
        <w:bidi w:val="0"/>
        <w:jc w:val="both"/>
        <w:rPr>
          <w:rFonts w:ascii="Times New Roman" w:hAnsi="Times New Roman"/>
          <w:b/>
          <w:color w:val="000000"/>
          <w:sz w:val="20"/>
        </w:rPr>
      </w:pPr>
      <w:r>
        <w:rPr>
          <w:rFonts w:ascii="Times New Roman" w:hAnsi="Times New Roman"/>
          <w:b/>
          <w:color w:val="000000"/>
          <w:sz w:val="20"/>
        </w:rPr>
        <w:t>Grant of Performance Awards.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Subject to the terms and provisions of the Plan, the Board, at any time and from time to time, may grant Performance Awards to a Plan participant in such amounts and upon such terms as the Committee shall determine.</w:t>
      </w:r>
    </w:p>
    <w:p>
      <w:pPr>
        <w:pStyle w:val="TextBody"/>
        <w:bidi w:val="0"/>
        <w:jc w:val="both"/>
        <w:rPr/>
      </w:pPr>
      <w:r>
        <w:rPr/>
        <w:t> </w:t>
      </w:r>
    </w:p>
    <w:p>
      <w:pPr>
        <w:pStyle w:val="TextBody"/>
        <w:bidi w:val="0"/>
        <w:spacing w:before="0" w:after="0"/>
        <w:jc w:val="both"/>
        <w:rPr>
          <w:rFonts w:ascii="Times New Roman" w:hAnsi="Times New Roman"/>
          <w:b/>
          <w:color w:val="000000"/>
          <w:sz w:val="16"/>
        </w:rPr>
      </w:pPr>
      <w:r>
        <w:rPr>
          <w:rFonts w:ascii="Times New Roman" w:hAnsi="Times New Roman"/>
          <w:b/>
          <w:color w:val="000000"/>
          <w:sz w:val="16"/>
        </w:rPr>
        <w:t>14.2.</w:t>
      </w:r>
    </w:p>
    <w:p>
      <w:pPr>
        <w:pStyle w:val="TextBody"/>
        <w:bidi w:val="0"/>
        <w:jc w:val="both"/>
        <w:rPr>
          <w:rFonts w:ascii="Times New Roman" w:hAnsi="Times New Roman"/>
          <w:b/>
          <w:color w:val="000000"/>
          <w:sz w:val="20"/>
        </w:rPr>
      </w:pPr>
      <w:r>
        <w:rPr>
          <w:rFonts w:ascii="Times New Roman" w:hAnsi="Times New Roman"/>
          <w:b/>
          <w:color w:val="000000"/>
          <w:sz w:val="20"/>
        </w:rPr>
        <w:t>Value of Performance Awards.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Each Performance Award shall have an initial cash value or an actual or target number of shares of Stock that is established by the Board as of the Grant Date. The Board shall set performance goals in its discretion which, depending on the extent to which they are achieved, shall determine the value and/or number of shares of Stock subject to Performance Awards that will be paid out to the Grantee thereof.</w:t>
      </w:r>
    </w:p>
    <w:p>
      <w:pPr>
        <w:pStyle w:val="TextBody"/>
        <w:bidi w:val="0"/>
        <w:jc w:val="both"/>
        <w:rPr/>
      </w:pPr>
      <w:r>
        <w:rPr/>
        <w:t> </w:t>
      </w:r>
    </w:p>
    <w:p>
      <w:pPr>
        <w:pStyle w:val="TextBody"/>
        <w:bidi w:val="0"/>
        <w:spacing w:before="0" w:after="0"/>
        <w:jc w:val="both"/>
        <w:rPr>
          <w:rFonts w:ascii="Times New Roman" w:hAnsi="Times New Roman"/>
          <w:b/>
          <w:color w:val="000000"/>
          <w:sz w:val="16"/>
        </w:rPr>
      </w:pPr>
      <w:r>
        <w:rPr>
          <w:rFonts w:ascii="Times New Roman" w:hAnsi="Times New Roman"/>
          <w:b/>
          <w:color w:val="000000"/>
          <w:sz w:val="16"/>
        </w:rPr>
        <w:t>14.3.</w:t>
      </w:r>
    </w:p>
    <w:p>
      <w:pPr>
        <w:pStyle w:val="TextBody"/>
        <w:bidi w:val="0"/>
        <w:jc w:val="both"/>
        <w:rPr>
          <w:rFonts w:ascii="Times New Roman" w:hAnsi="Times New Roman"/>
          <w:b/>
          <w:color w:val="000000"/>
          <w:sz w:val="20"/>
        </w:rPr>
      </w:pPr>
      <w:r>
        <w:rPr>
          <w:rFonts w:ascii="Times New Roman" w:hAnsi="Times New Roman"/>
          <w:b/>
          <w:color w:val="000000"/>
          <w:sz w:val="20"/>
        </w:rPr>
        <w:t>Earning of Performance Awards.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Subject to the terms of the Plan, after the applicable Performance Period has ended, the Grantee of Performance Awards shall be entitled to receive a payout of the value earned under such Performance Awards earned by such Grantee over such Performance Period.</w:t>
      </w:r>
    </w:p>
    <w:p>
      <w:pPr>
        <w:pStyle w:val="TextBody"/>
        <w:bidi w:val="0"/>
        <w:jc w:val="both"/>
        <w:rPr/>
      </w:pPr>
      <w:r>
        <w:rPr/>
        <w:t> </w:t>
      </w:r>
    </w:p>
    <w:p>
      <w:pPr>
        <w:pStyle w:val="TextBody"/>
        <w:bidi w:val="0"/>
        <w:spacing w:before="0" w:after="0"/>
        <w:jc w:val="both"/>
        <w:rPr>
          <w:rFonts w:ascii="Times New Roman" w:hAnsi="Times New Roman"/>
          <w:b/>
          <w:color w:val="000000"/>
          <w:sz w:val="16"/>
        </w:rPr>
      </w:pPr>
      <w:r>
        <w:rPr>
          <w:rFonts w:ascii="Times New Roman" w:hAnsi="Times New Roman"/>
          <w:b/>
          <w:color w:val="000000"/>
          <w:sz w:val="16"/>
        </w:rPr>
        <w:t>14.4.</w:t>
      </w:r>
    </w:p>
    <w:p>
      <w:pPr>
        <w:pStyle w:val="TextBody"/>
        <w:bidi w:val="0"/>
        <w:jc w:val="both"/>
        <w:rPr>
          <w:rFonts w:ascii="Times New Roman" w:hAnsi="Times New Roman"/>
          <w:b/>
          <w:color w:val="000000"/>
          <w:sz w:val="20"/>
        </w:rPr>
      </w:pPr>
      <w:r>
        <w:rPr>
          <w:rFonts w:ascii="Times New Roman" w:hAnsi="Times New Roman"/>
          <w:b/>
          <w:color w:val="000000"/>
          <w:sz w:val="20"/>
        </w:rPr>
        <w:t>Form and Timing of Payment of Performance Awards.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Payment of the value earned under Performance Awards shall be made, as determined by the Committee, in the form, at the time, and in the manner described in the applicable Award Agreement. Subject to the terms of the Plan, the Committee, in its sole discretion, (i) may pay the value earned under Performance Awards in the form of cash, shares of Stock, or other Awards, or in a combination thereof, including shares of Stock and/or Awards, including shares of Stock and/or Awards that are subject to any restrictions deemed appropriate by the Committee, and (ii) shall pay the value earned under Performance Awards at the close of the applicable Performance Period, or as soon as reasonably practicable after the Committee has determined that the performance goal or goals relating thereto have been achieved; provided that, unless specifically provided in the Award Agreement, such payment shall occur no later than the fifteenth (15th) day of the third (3rd) month following the end of the calendar year in which such Performance Period ends.</w:t>
      </w:r>
    </w:p>
    <w:p>
      <w:pPr>
        <w:pStyle w:val="TextBody"/>
        <w:bidi w:val="0"/>
        <w:jc w:val="both"/>
        <w:rPr/>
      </w:pPr>
      <w:r>
        <w:rPr/>
        <w:t> </w:t>
      </w:r>
    </w:p>
    <w:p>
      <w:pPr>
        <w:pStyle w:val="TextBody"/>
        <w:bidi w:val="0"/>
        <w:spacing w:before="0" w:after="0"/>
        <w:jc w:val="both"/>
        <w:rPr>
          <w:rFonts w:ascii="Times New Roman" w:hAnsi="Times New Roman"/>
          <w:b/>
          <w:color w:val="000000"/>
          <w:sz w:val="16"/>
        </w:rPr>
      </w:pPr>
      <w:r>
        <w:rPr>
          <w:rFonts w:ascii="Times New Roman" w:hAnsi="Times New Roman"/>
          <w:b/>
          <w:color w:val="000000"/>
          <w:sz w:val="16"/>
        </w:rPr>
        <w:t>14.5.</w:t>
      </w:r>
    </w:p>
    <w:p>
      <w:pPr>
        <w:pStyle w:val="TextBody"/>
        <w:bidi w:val="0"/>
        <w:jc w:val="both"/>
        <w:rPr>
          <w:rFonts w:ascii="Times New Roman" w:hAnsi="Times New Roman"/>
          <w:b/>
          <w:color w:val="000000"/>
          <w:sz w:val="20"/>
        </w:rPr>
      </w:pPr>
      <w:r>
        <w:rPr>
          <w:rFonts w:ascii="Times New Roman" w:hAnsi="Times New Roman"/>
          <w:b/>
          <w:color w:val="000000"/>
          <w:sz w:val="20"/>
        </w:rPr>
        <w:t>Performance Conditions.</w:t>
      </w:r>
    </w:p>
    <w:p>
      <w:pPr>
        <w:pStyle w:val="TextBody"/>
        <w:bidi w:val="0"/>
        <w:spacing w:before="119" w:after="283"/>
        <w:jc w:val="both"/>
        <w:rPr>
          <w:rFonts w:ascii="Times New Roman" w:hAnsi="Times New Roman"/>
          <w:color w:val="000000"/>
          <w:sz w:val="20"/>
        </w:rPr>
      </w:pPr>
      <w:r>
        <w:rPr>
          <w:rFonts w:ascii="Times New Roman" w:hAnsi="Times New Roman"/>
          <w:color w:val="000000"/>
          <w:sz w:val="20"/>
        </w:rPr>
        <w:t>The right of a Grantee to exercise or to receive a grant or settlement of any Performance Award, and the timing thereof, may be subject to such performance conditions as may be specified by the Board. The Board may use such business criteria and other measures of performance as it may deem appropriate in establishing any performance conditions.</w:t>
      </w:r>
    </w:p>
    <w:p>
      <w:pPr>
        <w:pStyle w:val="TextBody"/>
        <w:bidi w:val="0"/>
        <w:jc w:val="both"/>
        <w:rPr/>
      </w:pPr>
      <w:r>
        <w:rPr/>
        <w:t> </w:t>
      </w:r>
    </w:p>
    <w:p>
      <w:pPr>
        <w:pStyle w:val="TextBody"/>
        <w:bidi w:val="0"/>
        <w:spacing w:before="0" w:after="0"/>
        <w:jc w:val="both"/>
        <w:rPr>
          <w:rFonts w:ascii="Times New Roman" w:hAnsi="Times New Roman"/>
          <w:b/>
          <w:color w:val="000000"/>
          <w:sz w:val="16"/>
        </w:rPr>
      </w:pPr>
      <w:r>
        <w:rPr>
          <w:rFonts w:ascii="Times New Roman" w:hAnsi="Times New Roman"/>
          <w:b/>
          <w:color w:val="000000"/>
          <w:sz w:val="16"/>
        </w:rPr>
        <w:t>14.5.1.</w:t>
      </w:r>
    </w:p>
    <w:p>
      <w:pPr>
        <w:pStyle w:val="TextBody"/>
        <w:bidi w:val="0"/>
        <w:jc w:val="both"/>
        <w:rPr>
          <w:rFonts w:ascii="Times New Roman" w:hAnsi="Times New Roman"/>
          <w:b/>
          <w:color w:val="000000"/>
          <w:sz w:val="20"/>
        </w:rPr>
      </w:pPr>
      <w:r>
        <w:rPr>
          <w:rFonts w:ascii="Times New Roman" w:hAnsi="Times New Roman"/>
          <w:b/>
          <w:color w:val="000000"/>
          <w:sz w:val="20"/>
        </w:rPr>
        <w:t>Performance Goals Generally.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performance goals for Performance Awards shall consist of one or more business criteria and a targeted level or levels of performance with respect to each of such criteria, as specified by the Committee. The Committee may determine that such Awards shall be granted, exercised and/or settled upon achievement of any single performance goal or of two (2) or more performance goals. Performance goals may differ for Awards granted to any one Grantee or to different Grantees.</w:t>
      </w:r>
    </w:p>
    <w:p>
      <w:pPr>
        <w:pStyle w:val="TextBody"/>
        <w:bidi w:val="0"/>
        <w:jc w:val="both"/>
        <w:rPr/>
      </w:pPr>
      <w:r>
        <w:rPr/>
        <w:t> </w:t>
      </w:r>
    </w:p>
    <w:p>
      <w:pPr>
        <w:pStyle w:val="TextBody"/>
        <w:bidi w:val="0"/>
        <w:spacing w:before="0" w:after="0"/>
        <w:jc w:val="both"/>
        <w:rPr>
          <w:rFonts w:ascii="Times New Roman" w:hAnsi="Times New Roman"/>
          <w:b/>
          <w:color w:val="000000"/>
          <w:sz w:val="16"/>
        </w:rPr>
      </w:pPr>
      <w:r>
        <w:rPr>
          <w:rFonts w:ascii="Times New Roman" w:hAnsi="Times New Roman"/>
          <w:b/>
          <w:color w:val="000000"/>
          <w:sz w:val="16"/>
        </w:rPr>
        <w:t>14.5.2.</w:t>
      </w:r>
    </w:p>
    <w:p>
      <w:pPr>
        <w:pStyle w:val="TextBody"/>
        <w:bidi w:val="0"/>
        <w:jc w:val="both"/>
        <w:rPr>
          <w:rFonts w:ascii="Times New Roman" w:hAnsi="Times New Roman"/>
          <w:b/>
          <w:color w:val="000000"/>
          <w:sz w:val="20"/>
        </w:rPr>
      </w:pPr>
      <w:r>
        <w:rPr>
          <w:rFonts w:ascii="Times New Roman" w:hAnsi="Times New Roman"/>
          <w:b/>
          <w:color w:val="000000"/>
          <w:sz w:val="20"/>
        </w:rPr>
        <w:t>Payment of Awards; Other Terms.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Payment of such Awards shall be in cash, shares of Stock, other Awards, or a combination thereof, including shares of Stock and/or Awards that are subject to any restrictions deemed appropriate by the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Committee, in each case as determined in the sole discretion of the Committee. The Committee may, in its sole discretion, reduce the amount of a payment otherwise to be made in connection with such Awards. The Committee shall specify the circumstances in which such Performance Awards shall be paid or forfeited in the event of termination of Service by the Grantee prior to the end of a Performance Period or settlement of such Performance Awards. In the event payment of the Performance-Based Award is made in the form of another Award subject to Service-based vesting, the Committee shall specify the circumstances in which the Award will be paid out or forfeited in the event of a termination of Service.</w:t>
      </w:r>
    </w:p>
    <w:p>
      <w:pPr>
        <w:pStyle w:val="TextBody"/>
        <w:bidi w:val="0"/>
        <w:jc w:val="both"/>
        <w:rPr/>
      </w:pPr>
      <w:r>
        <w:rPr/>
        <w:t> </w:t>
      </w:r>
    </w:p>
    <w:p>
      <w:pPr>
        <w:pStyle w:val="TextBody"/>
        <w:bidi w:val="0"/>
        <w:spacing w:before="0" w:after="0"/>
        <w:jc w:val="both"/>
        <w:rPr>
          <w:rFonts w:ascii="Times New Roman" w:hAnsi="Times New Roman"/>
          <w:b/>
          <w:color w:val="000000"/>
          <w:sz w:val="16"/>
        </w:rPr>
      </w:pPr>
      <w:r>
        <w:rPr>
          <w:rFonts w:ascii="Times New Roman" w:hAnsi="Times New Roman"/>
          <w:b/>
          <w:color w:val="000000"/>
          <w:sz w:val="16"/>
        </w:rPr>
        <w:t>14.5.3.</w:t>
      </w:r>
    </w:p>
    <w:p>
      <w:pPr>
        <w:pStyle w:val="TextBody"/>
        <w:bidi w:val="0"/>
        <w:jc w:val="both"/>
        <w:rPr>
          <w:rFonts w:ascii="Times New Roman" w:hAnsi="Times New Roman"/>
          <w:b/>
          <w:color w:val="000000"/>
          <w:sz w:val="20"/>
        </w:rPr>
      </w:pPr>
      <w:r>
        <w:rPr>
          <w:rFonts w:ascii="Times New Roman" w:hAnsi="Times New Roman"/>
          <w:b/>
          <w:color w:val="000000"/>
          <w:sz w:val="20"/>
        </w:rPr>
        <w:t>Performance Measures.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performance goals upon which the payment or vesting of a Performance Award may be conditioned may be based on any one of, or combination of, the following Performance Measures, as selected by the Committee, with or without adjustment (including pro forma adjustments): (a) net earnings or net income; (b) operating earnings; (c) pretax earnings; (d) earnings per share of stock; (e) stock price, including growth measures and total stockholder return; (f) earnings before interest and taxes; (g) earnings before interest, taxes, depreciation and/or amortization; (h) earnings before interest, taxes, depreciation and/or amortization as adjusted to exclude any one or more of the following: stock-based compensation expense; income from discontinued operations; gain on cancellation of debt; debt extinguishment and related costs; restructuring, separation, and/or integration charges and costs; reorganization and/or recapitalization charges and costs; impairment charges; merger-related events; gain or loss related to investments; sales and use tax settlements; and gain on non-monetary transactions; (i) sales or revenue growth, whether in general, by type of product or service, or by type of customer; (j) gross or operating margins; (k) return measures, including return on assets, capital, investment, equity, sales or revenue; (l) cash flow, including operating cash flow, free cash flow, cash flow return on equity and cash flow return on investment; (m) productivity ratios; (n) expense targets; (o) market share; (p) financial ratios as provided in credit agreements of the Company and its subsidiaries; (q) working capital targets; (r) completion of acquisitions of business or companies; (s) completion of divestitures and asset sales; (t) revenues under management; (u) funds from operations; (v) successful implementation of clinical trials, including components thereof; (w) submitting regulatory filings; (x) obtaining regulatory or marketing approvals; (y) entering into contractual agreements; (z) meeting contractual requirements; (aa) achieving contractual milestones; (bb) entering into collaborations; (cc) receipt of grant funding; (dd) developing or expanding manufacturing or production capacity; (ee) any combination of any of the foregoing business criteria; and (ff) other measures of performance selected by the Committee.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Performance under any of the foregoing Performance Measure(s) may be used to measure the performance of the Company, Subsidiary, and/or Affiliate as a whole or any business unit or operating segment of the Company, Subsidiary, and/or Affiliate or any combination thereof, as the Committee may deem appropriate, and any of the above Performance Measures may be compared to the performance of a group of comparator companies, or published or special index that the Committee, in its sole discretion, deems appropriate. In addition, the Company, in its sole discretion may select performance under the Performance Measure specified in clause (e) above for comparison to performance under one or more stock market indices. The Committee also has the authority to provide for accelerated vesting of any Performance Award based on the achievement of performance goals pursuant to the Performance Measures specified in this </w:t>
      </w:r>
      <w:r>
        <w:rPr>
          <w:rFonts w:ascii="Times New Roman" w:hAnsi="Times New Roman"/>
          <w:b/>
          <w:color w:val="000000"/>
          <w:sz w:val="20"/>
        </w:rPr>
        <w:t>Section 14</w:t>
      </w:r>
      <w:r>
        <w:rPr>
          <w:rFonts w:ascii="Times New Roman" w:hAnsi="Times New Roman"/>
          <w:color w:val="000000"/>
          <w:sz w:val="20"/>
        </w:rPr>
        <w:t>.</w:t>
      </w:r>
    </w:p>
    <w:p>
      <w:pPr>
        <w:pStyle w:val="TextBody"/>
        <w:bidi w:val="0"/>
        <w:jc w:val="both"/>
        <w:rPr/>
      </w:pPr>
      <w:r>
        <w:rPr/>
        <w:t> </w:t>
      </w:r>
    </w:p>
    <w:p>
      <w:pPr>
        <w:pStyle w:val="TextBody"/>
        <w:bidi w:val="0"/>
        <w:spacing w:before="0" w:after="0"/>
        <w:jc w:val="both"/>
        <w:rPr>
          <w:rFonts w:ascii="Times New Roman" w:hAnsi="Times New Roman"/>
          <w:b/>
          <w:color w:val="000000"/>
          <w:sz w:val="16"/>
        </w:rPr>
      </w:pPr>
      <w:r>
        <w:rPr>
          <w:rFonts w:ascii="Times New Roman" w:hAnsi="Times New Roman"/>
          <w:b/>
          <w:color w:val="000000"/>
          <w:sz w:val="16"/>
        </w:rPr>
        <w:t>14.5.4.</w:t>
      </w:r>
    </w:p>
    <w:p>
      <w:pPr>
        <w:pStyle w:val="TextBody"/>
        <w:bidi w:val="0"/>
        <w:jc w:val="both"/>
        <w:rPr>
          <w:rFonts w:ascii="Times New Roman" w:hAnsi="Times New Roman"/>
          <w:b/>
          <w:color w:val="000000"/>
          <w:sz w:val="20"/>
        </w:rPr>
      </w:pPr>
      <w:r>
        <w:rPr>
          <w:rFonts w:ascii="Times New Roman" w:hAnsi="Times New Roman"/>
          <w:b/>
          <w:color w:val="000000"/>
          <w:sz w:val="20"/>
        </w:rPr>
        <w:t>Evaluation of Performance.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Committee may provide in any such Award that any evaluation of performance may include or exclude any of the following events that occur during a Performance Period and may make any other appropriate adjustments selected thereby: (a) asset write-downs; (b) litigation or claims, judgments or settlements; (c) the effect of changes in tax laws, accounting principles, or other laws or provisions affecting reported results; (d) any reorganization or restructuring events or programs; (e) extraordinary non-core, non-operating, or non-recurring items; (f) acquisitions or divestitures; (g) foreign exchange gains and losses; (h) impact of shares of Stock purchased through share repurchase programs; (i) tax valuation allowance reversals; (j) impairment expense; and (k) environmental expense. </w:t>
      </w:r>
    </w:p>
    <w:p>
      <w:pPr>
        <w:pStyle w:val="TextBody"/>
        <w:bidi w:val="0"/>
        <w:jc w:val="both"/>
        <w:rPr/>
      </w:pPr>
      <w:r>
        <w:rPr/>
        <w:t> </w:t>
      </w:r>
    </w:p>
    <w:p>
      <w:pPr>
        <w:pStyle w:val="TextBody"/>
        <w:bidi w:val="0"/>
        <w:spacing w:before="0" w:after="0"/>
        <w:jc w:val="both"/>
        <w:rPr>
          <w:rFonts w:ascii="Times New Roman" w:hAnsi="Times New Roman"/>
          <w:b/>
          <w:color w:val="000000"/>
          <w:sz w:val="16"/>
        </w:rPr>
      </w:pPr>
      <w:r>
        <w:rPr>
          <w:rFonts w:ascii="Times New Roman" w:hAnsi="Times New Roman"/>
          <w:b/>
          <w:color w:val="000000"/>
          <w:sz w:val="16"/>
        </w:rPr>
        <w:t>14.5.5.</w:t>
      </w:r>
    </w:p>
    <w:p>
      <w:pPr>
        <w:pStyle w:val="TextBody"/>
        <w:bidi w:val="0"/>
        <w:jc w:val="both"/>
        <w:rPr>
          <w:rFonts w:ascii="Times New Roman" w:hAnsi="Times New Roman"/>
          <w:b/>
          <w:color w:val="000000"/>
          <w:sz w:val="20"/>
        </w:rPr>
      </w:pPr>
      <w:r>
        <w:rPr>
          <w:rFonts w:ascii="Times New Roman" w:hAnsi="Times New Roman"/>
          <w:b/>
          <w:color w:val="000000"/>
          <w:sz w:val="20"/>
        </w:rPr>
        <w:t>Committee Discretion.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Committee shall have the discretion to adjust any Performance Award or the amount payable thereunder and may, in its sole discretion, alter the Performance Measures governing a Performance Award.</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15.</w:t>
      </w:r>
    </w:p>
    <w:p>
      <w:pPr>
        <w:pStyle w:val="TextBody"/>
        <w:bidi w:val="0"/>
        <w:jc w:val="both"/>
        <w:rPr>
          <w:rFonts w:ascii="Times New Roman" w:hAnsi="Times New Roman"/>
          <w:b/>
          <w:color w:val="000000"/>
          <w:sz w:val="20"/>
        </w:rPr>
      </w:pPr>
      <w:r>
        <w:rPr>
          <w:rFonts w:ascii="Times New Roman" w:hAnsi="Times New Roman"/>
          <w:b/>
          <w:color w:val="000000"/>
          <w:sz w:val="20"/>
        </w:rPr>
        <w:t>PARACHUTE LIMITATIONS</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If a Grantee is a “disqualified individual,” as defined in Code Section 280G(c), then, notwithstanding any other provision of this Plan or of any other agreement, contract, or understanding heretofore or hereafter entered into by a Grantee with the Company or an Affiliate, except an agreement, contract, or understanding that expressly addresses Code Section 280G or Code Section 4999 (an “</w:t>
      </w:r>
      <w:r>
        <w:rPr>
          <w:rFonts w:ascii="Times New Roman" w:hAnsi="Times New Roman"/>
          <w:b/>
          <w:color w:val="000000"/>
          <w:sz w:val="20"/>
        </w:rPr>
        <w:t>Other Agreement</w:t>
      </w:r>
      <w:r>
        <w:rPr>
          <w:rFonts w:ascii="Times New Roman" w:hAnsi="Times New Roman"/>
          <w:color w:val="000000"/>
          <w:sz w:val="20"/>
        </w:rPr>
        <w:t>”), and notwithstanding any formal or informal plan or other arrangement for the direct or indirect provision of compensation to the Grantee (including groups or classes of Grantees or beneficiaries of which the Grantee is a member), whether or not such compensation is deferred, is in cash, or is in the form of a benefit to or for the Grantee (a “</w:t>
      </w:r>
      <w:r>
        <w:rPr>
          <w:rFonts w:ascii="Times New Roman" w:hAnsi="Times New Roman"/>
          <w:b/>
          <w:color w:val="000000"/>
          <w:sz w:val="20"/>
        </w:rPr>
        <w:t>Benefit Arrangement</w:t>
      </w:r>
      <w:r>
        <w:rPr>
          <w:rFonts w:ascii="Times New Roman" w:hAnsi="Times New Roman"/>
          <w:color w:val="000000"/>
          <w:sz w:val="20"/>
        </w:rPr>
        <w:t>”), any right to exercise, vesting, payment, or benefit to the Grantee under this Plan shall be reduced or eliminated:</w:t>
      </w:r>
    </w:p>
    <w:p>
      <w:pPr>
        <w:pStyle w:val="TextBody"/>
        <w:bidi w:val="0"/>
        <w:jc w:val="both"/>
        <w:rPr/>
      </w:pPr>
      <w:r>
        <w:rPr/>
        <w:t>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(i)</w:t>
      </w:r>
    </w:p>
    <w:p>
      <w:pPr>
        <w:pStyle w:val="TextBody"/>
        <w:bidi w:val="0"/>
        <w:jc w:val="both"/>
        <w:rPr/>
      </w:pPr>
      <w:r>
        <w:rPr>
          <w:rFonts w:ascii="Times New Roman" w:hAnsi="Times New Roman"/>
          <w:color w:val="000000"/>
          <w:sz w:val="20"/>
        </w:rPr>
        <w:t>to the extent that such right to exercise, vesting, payment, or benefit, taking into account all other rights, payments, or benefits to or for the Grantee under the Plan, all Other Agreements, and all Benefit Arrangements, would cause any exercise, vesting, payment, or benefit to the Grantee under this Plan to be considered a “parachute payment” within the meaning of Code Section 280G(b)(2) as then in effect (a “</w:t>
      </w:r>
      <w:r>
        <w:rPr>
          <w:rFonts w:ascii="Times New Roman" w:hAnsi="Times New Roman"/>
          <w:b/>
          <w:color w:val="000000"/>
          <w:sz w:val="20"/>
        </w:rPr>
        <w:t>Parachute Payment</w:t>
      </w:r>
      <w:r>
        <w:rPr>
          <w:color w:val="000000"/>
        </w:rPr>
        <w:t>”</w:t>
      </w:r>
      <w:r>
        <w:rPr>
          <w:rFonts w:ascii="Times New Roman" w:hAnsi="Times New Roman"/>
          <w:color w:val="000000"/>
          <w:sz w:val="20"/>
        </w:rPr>
        <w:t>); and</w:t>
      </w:r>
    </w:p>
    <w:p>
      <w:pPr>
        <w:pStyle w:val="TextBody"/>
        <w:bidi w:val="0"/>
        <w:jc w:val="both"/>
        <w:rPr/>
      </w:pPr>
      <w:r>
        <w:rPr/>
        <w:t>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(ii)</w:t>
      </w:r>
    </w:p>
    <w:p>
      <w:pPr>
        <w:pStyle w:val="TextBody"/>
        <w:bidi w:val="0"/>
        <w:jc w:val="both"/>
        <w:rPr>
          <w:rFonts w:ascii="Times New Roman" w:hAnsi="Times New Roman"/>
          <w:color w:val="000000"/>
          <w:sz w:val="20"/>
        </w:rPr>
      </w:pPr>
      <w:r>
        <w:rPr>
          <w:rFonts w:ascii="Times New Roman" w:hAnsi="Times New Roman"/>
          <w:color w:val="000000"/>
          <w:sz w:val="20"/>
        </w:rPr>
        <w:t>if, as a result of receiving such Parachute Payment, the aggregate after-tax amounts received by the Grantee from the Company under this Plan, all Other Agreements, and all Benefit Arrangements would be less than the maximum after-tax amount that could be received by the Grantee without causing any such exercise, vesting, payment or benefit to be considered a Parachute Payment.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Except as required by Code Section 409A or to the extent that Code Section 409A permits discretion, the Committee shall have the right, in the Committee’s sole discretion, to designate those rights, payments, or benefits under this Plan, all Other Agreements, and all Benefit Arrangements that should be reduced or eliminated so as to avoid having such rights, payments, or benefits be considered a Parachute Payment;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to the extent any payment or benefit constitutes deferred compensation under Code Section 409A, in order to comply with Code Section 409A, the Company shall instead accomplish such reduction by first reducing or eliminating any cash payments (with the payments to be made furthest in the future being reduced first), then by reducing or eliminating any accelerated vesting of Performance Awards, then by reducing or eliminating any accelerated vesting of Options or SARs, then by reducing or eliminating any accelerated vesting of Restricted Stock or Stock Units, then by reducing or eliminating any other remaining Parachute Payments.</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16.</w:t>
      </w:r>
    </w:p>
    <w:p>
      <w:pPr>
        <w:pStyle w:val="TextBody"/>
        <w:bidi w:val="0"/>
        <w:jc w:val="both"/>
        <w:rPr>
          <w:rFonts w:ascii="Times New Roman" w:hAnsi="Times New Roman"/>
          <w:b/>
          <w:color w:val="000000"/>
          <w:sz w:val="20"/>
        </w:rPr>
      </w:pPr>
      <w:r>
        <w:rPr>
          <w:rFonts w:ascii="Times New Roman" w:hAnsi="Times New Roman"/>
          <w:b/>
          <w:color w:val="000000"/>
          <w:sz w:val="20"/>
        </w:rPr>
        <w:t>REQUIREMENTS OF LAW</w:t>
      </w:r>
    </w:p>
    <w:p>
      <w:pPr>
        <w:pStyle w:val="TextBody"/>
        <w:bidi w:val="0"/>
        <w:jc w:val="both"/>
        <w:rPr/>
      </w:pPr>
      <w:r>
        <w:rPr/>
        <w:t> </w:t>
      </w:r>
    </w:p>
    <w:p>
      <w:pPr>
        <w:pStyle w:val="TextBody"/>
        <w:bidi w:val="0"/>
        <w:spacing w:before="0" w:after="0"/>
        <w:jc w:val="both"/>
        <w:rPr>
          <w:rFonts w:ascii="Times New Roman" w:hAnsi="Times New Roman"/>
          <w:b/>
          <w:color w:val="000000"/>
          <w:sz w:val="16"/>
        </w:rPr>
      </w:pPr>
      <w:r>
        <w:rPr>
          <w:rFonts w:ascii="Times New Roman" w:hAnsi="Times New Roman"/>
          <w:b/>
          <w:color w:val="000000"/>
          <w:sz w:val="16"/>
        </w:rPr>
        <w:t>16.1.</w:t>
      </w:r>
    </w:p>
    <w:p>
      <w:pPr>
        <w:pStyle w:val="TextBody"/>
        <w:bidi w:val="0"/>
        <w:jc w:val="both"/>
        <w:rPr>
          <w:rFonts w:ascii="Times New Roman" w:hAnsi="Times New Roman"/>
          <w:b/>
          <w:color w:val="000000"/>
          <w:sz w:val="20"/>
        </w:rPr>
      </w:pPr>
      <w:r>
        <w:rPr>
          <w:rFonts w:ascii="Times New Roman" w:hAnsi="Times New Roman"/>
          <w:b/>
          <w:color w:val="000000"/>
          <w:sz w:val="20"/>
        </w:rPr>
        <w:t>General.</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 shall not be required to offer, sell or issue any shares of Stock under any Award, whether pursuant to the exercise of an Option, a SAR, or otherwise, if the offer, sale or issuance of such shares of Stock would constitute a violation by the Grantee, any other individual or entity, or the Company or an Affiliate of any provision of the Company’s certificate of incorporation or bylaws or of Applicable Laws, including without limitation any federal or state securities laws or regulations. If at any time the Company shall determine, in its discretion, that the listing, registration, or qualification of any shares of Stock subject to an Award upon any Stock Exchange or Securities Market or under any governmental regulatory body is necessary or desirable as a condition of, or in connection with, the offering, sale issuance or purchase of shares of Stock in connection with any Award, no shares of Stock may be offered, issued or sold to the Grantee or any other individual or entity pursuant to the exercise of such Award unless such listing, registration or qualification shall have been effected or obtained free of any conditions not acceptable to the Company, and any delay caused thereby shall in no way affect the date of termination of the Award. Without limiting the generality of the foregoing, upon the exercise of any Option or any SAR that may be settled in shares of Stock or the delivery of any shares of Stock underlying an Award, unless a registration statement under the Securities Act is in effect with respect to the shares of Stock subject to such Award, the Company shall not be required to offer, sell or issue such shares of Stock unless the Board has received evidence satisfactory to it that the Grantee or any other individual or entity exercising Option or SAR or accepting delivery of such shares may acquire such shares of Stock pursuant to an exemption from registration under the Securities Act. Any determination by the Board in connection with the foregoing shall be final, binding, and conclusive. The Company may register, but shall in no event be obligated to register, any shares of Stock or other securities issuable pursuant to the Plan pursuant to the Securities Act. The Company shall not be obligated to take any affirmative action in order to cause the exercise of an Option or a SAR or the issuance of shares of Stock or other securities pursuant to the Plan to comply with any Applicable Laws. As to any jurisdiction that expressly imposes the requirement that an Option (or SAR that may be settled in shares of Stock) shall not be exercisable until the shares of Stock covered by such Option (or SAR) are registered under the securities laws thereof or are exempt from registration, the exercise of such Option (or SAR) under circumstances in which the laws of such jurisdiction apply shall be deemed conditioned upon the effectiveness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of such registration or the availability of such an exemption.</w:t>
      </w:r>
    </w:p>
    <w:p>
      <w:pPr>
        <w:pStyle w:val="TextBody"/>
        <w:bidi w:val="0"/>
        <w:jc w:val="both"/>
        <w:rPr/>
      </w:pPr>
      <w:r>
        <w:rPr/>
        <w:t> </w:t>
      </w:r>
    </w:p>
    <w:p>
      <w:pPr>
        <w:pStyle w:val="TextBody"/>
        <w:bidi w:val="0"/>
        <w:spacing w:before="0" w:after="0"/>
        <w:jc w:val="both"/>
        <w:rPr>
          <w:rFonts w:ascii="Times New Roman" w:hAnsi="Times New Roman"/>
          <w:b/>
          <w:color w:val="000000"/>
          <w:sz w:val="16"/>
        </w:rPr>
      </w:pPr>
      <w:r>
        <w:rPr>
          <w:rFonts w:ascii="Times New Roman" w:hAnsi="Times New Roman"/>
          <w:b/>
          <w:color w:val="000000"/>
          <w:sz w:val="16"/>
        </w:rPr>
        <w:t>16.2.</w:t>
      </w:r>
    </w:p>
    <w:p>
      <w:pPr>
        <w:pStyle w:val="TextBody"/>
        <w:bidi w:val="0"/>
        <w:jc w:val="both"/>
        <w:rPr>
          <w:rFonts w:ascii="Times New Roman" w:hAnsi="Times New Roman"/>
          <w:b/>
          <w:color w:val="000000"/>
          <w:sz w:val="20"/>
        </w:rPr>
      </w:pPr>
      <w:r>
        <w:rPr>
          <w:rFonts w:ascii="Times New Roman" w:hAnsi="Times New Roman"/>
          <w:b/>
          <w:color w:val="000000"/>
          <w:sz w:val="20"/>
        </w:rPr>
        <w:t>Rule 16b-3.</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During any time when the Company has a class of equity securities registered under Section 12 of the Exchange Act, it is the intent of the Company that Awards pursuant to the Plan and the exercise of Options and SARs granted hereunder that would otherwise be subject to Section 16(b) of the Exchange Act will qualify for the exemption provided by Rule 16b-3 under the Exchange Act. To the extent that any provision of the Plan or action by the Board does not comply with the requirements of Rule 16b-3, such provision or action shall be deemed inoperative with respect to such Awards to the extent permitted by Applicable Laws and deemed advisable by the Board, and shall not affect the validity of the Plan. In the event that Rule 16b-3 is revised or replaced, the Board may exercise its discretion to modify this Plan in any respect necessary or advisable in its judgment to satisfy the requirements of, or to permit the Company to avail itself of the benefits of, the revised exemption or its replacement.</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17.</w:t>
      </w:r>
    </w:p>
    <w:p>
      <w:pPr>
        <w:pStyle w:val="TextBody"/>
        <w:bidi w:val="0"/>
        <w:jc w:val="both"/>
        <w:rPr>
          <w:rFonts w:ascii="Times New Roman" w:hAnsi="Times New Roman"/>
          <w:b/>
          <w:color w:val="000000"/>
          <w:sz w:val="20"/>
        </w:rPr>
      </w:pPr>
      <w:r>
        <w:rPr>
          <w:rFonts w:ascii="Times New Roman" w:hAnsi="Times New Roman"/>
          <w:b/>
          <w:color w:val="000000"/>
          <w:sz w:val="20"/>
        </w:rPr>
        <w:t>EFFECT OF CHANGES IN CAPITALIZATION</w:t>
      </w:r>
    </w:p>
    <w:p>
      <w:pPr>
        <w:pStyle w:val="TextBody"/>
        <w:bidi w:val="0"/>
        <w:jc w:val="both"/>
        <w:rPr/>
      </w:pPr>
      <w:r>
        <w:rPr/>
        <w:t> </w:t>
      </w:r>
    </w:p>
    <w:p>
      <w:pPr>
        <w:pStyle w:val="TextBody"/>
        <w:bidi w:val="0"/>
        <w:spacing w:before="0" w:after="0"/>
        <w:jc w:val="both"/>
        <w:rPr>
          <w:rFonts w:ascii="Times New Roman" w:hAnsi="Times New Roman"/>
          <w:b/>
          <w:color w:val="000000"/>
          <w:sz w:val="16"/>
        </w:rPr>
      </w:pPr>
      <w:r>
        <w:rPr>
          <w:rFonts w:ascii="Times New Roman" w:hAnsi="Times New Roman"/>
          <w:b/>
          <w:color w:val="000000"/>
          <w:sz w:val="16"/>
        </w:rPr>
        <w:t>17.1.</w:t>
      </w:r>
    </w:p>
    <w:p>
      <w:pPr>
        <w:pStyle w:val="TextBody"/>
        <w:bidi w:val="0"/>
        <w:jc w:val="both"/>
        <w:rPr>
          <w:rFonts w:ascii="Times New Roman" w:hAnsi="Times New Roman"/>
          <w:b/>
          <w:color w:val="000000"/>
          <w:sz w:val="20"/>
        </w:rPr>
      </w:pPr>
      <w:r>
        <w:rPr>
          <w:rFonts w:ascii="Times New Roman" w:hAnsi="Times New Roman"/>
          <w:b/>
          <w:color w:val="000000"/>
          <w:sz w:val="20"/>
        </w:rPr>
        <w:t>Changes in Stock.</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If the number of outstanding shares of Stock is increased or decreased or the shares of Stock are changed into or exchanged for a different number of shares or kind of Capital Stock or other securities of the Company on account of any recapitalization, reclassification, stock split, reverse stock split, spin-off, combination of stock, exchange of stock, stock dividend or other distribution payable in capital stock, or other increase or decrease in shares of stock effected without receipt of consideration by the Company occurring after the Effective Date, the number and kinds of shares of Capital Stock for which grants of Options and other Awards may be made under the Plan, including, without limitation, the Share Reserve, shall be adjusted proportionately and accordingly by the Board. In addition, the number and kind of shares of Capital Stock for which Awards are outstanding shall be adjusted proportionately and accordingly by the Committee so that the proportionate interest of the Grantee therein immediately following such event shall, to the extent practicable, be the same as immediately before such event. Any such adjustment in outstanding Options or SARs shall not change the aggregate Option Price or SAR Exercise Price payable with respect to shares that are subject to the unexercised portion of such outstanding Options or SARs, as applicable, but shall include a corresponding proportionate adjustment in the per share Option Price or SAR Exercise Price, as the case may be. The conversion or exercise of any convertible securities of the Company shall not be treated as an increase in shares effected without receipt of consideration. Notwithstanding the foregoing, in the event of any distribution to the Company’s stockholders of securities of any other entity or other assets (including an extraordinary dividend but excluding a non-extraordinary dividend of the Company) without receipt of consideration by the Company, the Board shall, in such manner as it deems appropriate, adjust (i) the number and kind of shares of Capital Stock subject to outstanding Awards and/or (ii) the aggregate and per share Option Price of outstanding Options and the aggregate and per share SAR Exercise Price of outstanding SARs as required to reflect such distribution.</w:t>
      </w:r>
    </w:p>
    <w:p>
      <w:pPr>
        <w:pStyle w:val="TextBody"/>
        <w:bidi w:val="0"/>
        <w:jc w:val="both"/>
        <w:rPr/>
      </w:pPr>
      <w:r>
        <w:rPr/>
        <w:t> </w:t>
      </w:r>
    </w:p>
    <w:p>
      <w:pPr>
        <w:pStyle w:val="TextBody"/>
        <w:bidi w:val="0"/>
        <w:spacing w:before="0" w:after="0"/>
        <w:jc w:val="both"/>
        <w:rPr>
          <w:rFonts w:ascii="Times New Roman" w:hAnsi="Times New Roman"/>
          <w:b/>
          <w:color w:val="000000"/>
          <w:sz w:val="16"/>
        </w:rPr>
      </w:pPr>
      <w:r>
        <w:rPr>
          <w:rFonts w:ascii="Times New Roman" w:hAnsi="Times New Roman"/>
          <w:b/>
          <w:color w:val="000000"/>
          <w:sz w:val="16"/>
        </w:rPr>
        <w:t>17.2.</w:t>
      </w:r>
    </w:p>
    <w:p>
      <w:pPr>
        <w:pStyle w:val="TextBody"/>
        <w:bidi w:val="0"/>
        <w:jc w:val="both"/>
        <w:rPr>
          <w:rFonts w:ascii="Times New Roman" w:hAnsi="Times New Roman"/>
          <w:b/>
          <w:color w:val="000000"/>
          <w:sz w:val="20"/>
        </w:rPr>
      </w:pPr>
      <w:r>
        <w:rPr>
          <w:rFonts w:ascii="Times New Roman" w:hAnsi="Times New Roman"/>
          <w:b/>
          <w:color w:val="000000"/>
          <w:sz w:val="20"/>
        </w:rPr>
        <w:t>Reorganization in Which the Company Is the Surviving Entity Which Does not Constitute a Change in Control.</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Subject to </w:t>
      </w:r>
      <w:r>
        <w:rPr>
          <w:rFonts w:ascii="Times New Roman" w:hAnsi="Times New Roman"/>
          <w:b/>
          <w:color w:val="000000"/>
          <w:sz w:val="20"/>
        </w:rPr>
        <w:t>Section 17.3</w:t>
      </w:r>
      <w:r>
        <w:rPr>
          <w:rFonts w:ascii="Times New Roman" w:hAnsi="Times New Roman"/>
          <w:color w:val="000000"/>
          <w:sz w:val="20"/>
        </w:rPr>
        <w:t xml:space="preserve">, if the Company shall be the surviving entity in any reorganization, merger, or consolidation of the Company with one or more other entities which does not constitute a Change in Control, any Award theretofore granted pursuant to the Plan shall pertain to and apply to the Capital Stock to which a holder of the number of shares of Stock subject to such Award would have been entitled immediately following such reorganization, merger, or consolidation, with a corresponding proportionate adjustment of the per share Option Price or per share SAR Exercise Price of any outstanding Option or SAR so that the aggregate Option Price or SAR Exercise Price thereafter shall be the same as the aggregate Option Price or SAR Exercise Price of the shares of Stock remaining subject to the Option or SAR as in effect immediately prior to such reorganization, merger, or consolidation. Subject to any contrary language in an Award Agreement, in another agreement with the Grantee, or otherwise set forth in writing, any restrictions applicable to such Award shall apply as well to any replacement shares of Capital Stock subject to such Award, or received by the Grantee as a result of such reorganization, merger, or consolidation. In the event of any reorganization, merger, or consolidation of the Company described in this </w:t>
      </w:r>
      <w:r>
        <w:rPr>
          <w:rFonts w:ascii="Times New Roman" w:hAnsi="Times New Roman"/>
          <w:b/>
          <w:color w:val="000000"/>
          <w:sz w:val="20"/>
        </w:rPr>
        <w:t>Section 17.2</w:t>
      </w:r>
      <w:r>
        <w:rPr>
          <w:rFonts w:ascii="Times New Roman" w:hAnsi="Times New Roman"/>
          <w:color w:val="000000"/>
          <w:sz w:val="20"/>
        </w:rPr>
        <w:t>, Awards subject to performance criteria may be adjusted (including any adjustments to the Performance Measures or other performance criteria applicable to such Awards deemed appropriate by the Board) to take into account such reorganization, merger, or consolidation.</w:t>
      </w:r>
    </w:p>
    <w:p>
      <w:pPr>
        <w:pStyle w:val="TextBody"/>
        <w:bidi w:val="0"/>
        <w:jc w:val="both"/>
        <w:rPr/>
      </w:pPr>
      <w:r>
        <w:rPr/>
        <w:t> </w:t>
      </w:r>
    </w:p>
    <w:p>
      <w:pPr>
        <w:pStyle w:val="TextBody"/>
        <w:bidi w:val="0"/>
        <w:spacing w:before="0" w:after="0"/>
        <w:jc w:val="both"/>
        <w:rPr>
          <w:rFonts w:ascii="Times New Roman" w:hAnsi="Times New Roman"/>
          <w:b/>
          <w:color w:val="000000"/>
          <w:sz w:val="16"/>
        </w:rPr>
      </w:pPr>
      <w:r>
        <w:rPr>
          <w:rFonts w:ascii="Times New Roman" w:hAnsi="Times New Roman"/>
          <w:b/>
          <w:color w:val="000000"/>
          <w:sz w:val="16"/>
        </w:rPr>
        <w:t>17.3.</w:t>
      </w:r>
    </w:p>
    <w:p>
      <w:pPr>
        <w:pStyle w:val="TextBody"/>
        <w:bidi w:val="0"/>
        <w:jc w:val="both"/>
        <w:rPr>
          <w:rFonts w:ascii="Times New Roman" w:hAnsi="Times New Roman"/>
          <w:b/>
          <w:color w:val="000000"/>
          <w:sz w:val="20"/>
        </w:rPr>
      </w:pPr>
      <w:r>
        <w:rPr>
          <w:rFonts w:ascii="Times New Roman" w:hAnsi="Times New Roman"/>
          <w:b/>
          <w:color w:val="000000"/>
          <w:sz w:val="20"/>
        </w:rPr>
        <w:t>Change in Control in which Awards are not Assumed.</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Except as otherwise provided in the applicable Award Agreement, in another agreement with the Grantee, or as otherwise set forth in writing, upon the occurrence of a Change in Control in which outstanding Awards are not being assumed or continued, the following provisions shall apply to such Award, to the extent not assumed or continued:</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(i)</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Immediately prior to the occurrence of such Change in Control, in each case with the exception of any Performance Award, all outstanding shares of Restricted Stock and all Stock Units and Dividend Equivalent Rights shall be deemed to have vested, and the shares of Stock and/or cash subject to such Awards shall be delivered; and</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(ii)</w:t>
      </w:r>
    </w:p>
    <w:p>
      <w:pPr>
        <w:pStyle w:val="TextBody"/>
        <w:bidi w:val="0"/>
        <w:jc w:val="both"/>
        <w:rPr>
          <w:rFonts w:ascii="Times New Roman" w:hAnsi="Times New Roman"/>
          <w:color w:val="000000"/>
          <w:sz w:val="20"/>
        </w:rPr>
      </w:pPr>
      <w:r>
        <w:rPr>
          <w:rFonts w:ascii="Times New Roman" w:hAnsi="Times New Roman"/>
          <w:color w:val="000000"/>
          <w:sz w:val="20"/>
        </w:rPr>
        <w:t>Either of the following two actions shall be taken:</w:t>
      </w:r>
    </w:p>
    <w:p>
      <w:pPr>
        <w:pStyle w:val="TextBody"/>
        <w:bidi w:val="0"/>
        <w:jc w:val="both"/>
        <w:rPr/>
      </w:pPr>
      <w:r>
        <w:rPr/>
        <w:t>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(A)</w:t>
      </w:r>
    </w:p>
    <w:p>
      <w:pPr>
        <w:pStyle w:val="TextBody"/>
        <w:bidi w:val="0"/>
        <w:jc w:val="both"/>
        <w:rPr>
          <w:rFonts w:ascii="Times New Roman" w:hAnsi="Times New Roman"/>
          <w:color w:val="000000"/>
          <w:sz w:val="20"/>
        </w:rPr>
      </w:pPr>
      <w:r>
        <w:rPr>
          <w:rFonts w:ascii="Times New Roman" w:hAnsi="Times New Roman"/>
          <w:color w:val="000000"/>
          <w:sz w:val="20"/>
        </w:rPr>
        <w:t>at least fifteen (15) days prior to the scheduled consummation of the Change in Control, all Options and SARs outstanding hereunder shall become immediately exercisable and shall remain exercisable for a period of fifteen (15) days. With respect to the Company’s establishment of an exercise window, any exercise of an Option or SAR during such fifteen (15)-day period shall be conditioned upon the consummation of the Change in Control and shall be effective only immediately before the consummation of the Change in Control, and upon consummation of the Change in Control, the Plan and all outstanding but unexercised Options and SARs shall terminate, with or without consideration (including, without limitation, consideration in accordance with clause (ii) below) as determined by the Board in its sole discretion. The Board shall send notice of an event that will result in such a termination to all Grantees who hold Options and SARs not later than the time at which the Company gives notice thereof to its stockholders; and/or</w:t>
      </w:r>
    </w:p>
    <w:p>
      <w:pPr>
        <w:pStyle w:val="TextBody"/>
        <w:bidi w:val="0"/>
        <w:jc w:val="both"/>
        <w:rPr/>
      </w:pPr>
      <w:r>
        <w:rPr/>
        <w:t>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(B)</w:t>
      </w:r>
    </w:p>
    <w:p>
      <w:pPr>
        <w:pStyle w:val="TextBody"/>
        <w:bidi w:val="0"/>
        <w:jc w:val="both"/>
        <w:rPr>
          <w:rFonts w:ascii="Times New Roman" w:hAnsi="Times New Roman"/>
          <w:color w:val="000000"/>
          <w:sz w:val="20"/>
        </w:rPr>
      </w:pPr>
      <w:r>
        <w:rPr>
          <w:rFonts w:ascii="Times New Roman" w:hAnsi="Times New Roman"/>
          <w:color w:val="000000"/>
          <w:sz w:val="20"/>
        </w:rPr>
        <w:t>the Board may elect, in its sole discretion, to cancel any outstanding Awards of Options, SARs, Restricted Stock, Stock Units, and/or Dividend Equivalent Rights and pay or deliver, or cause to be paid or delivered, to the holder thereof an amount in cash or securities having a value (as determined by the Board acting in good faith), in the case of Restricted Stock, Stock Units, and Dividend Equivalent Rights (for shares of Stock subject thereto) equal to the formula or fixed price per share paid to holders of shares of Stock pursuant to such Change in Control and, in the case of Options or SARs, equal to the product of the number of shares of Stock subject to the Options or SARs multiplied by the amount, if any, by which (I) the formula or fixed price per share paid to holders of shares of Stock pursuant to such transaction exceeds (II) the Option Price or SAR Exercise Price applicable to such Options or SARs.</w:t>
      </w:r>
    </w:p>
    <w:p>
      <w:pPr>
        <w:pStyle w:val="TextBody"/>
        <w:bidi w:val="0"/>
        <w:jc w:val="both"/>
        <w:rPr/>
      </w:pPr>
      <w:r>
        <w:rPr/>
        <w:t>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(iii)</w:t>
      </w:r>
    </w:p>
    <w:p>
      <w:pPr>
        <w:pStyle w:val="TextBody"/>
        <w:bidi w:val="0"/>
        <w:jc w:val="both"/>
        <w:rPr>
          <w:rFonts w:ascii="Times New Roman" w:hAnsi="Times New Roman"/>
          <w:color w:val="000000"/>
          <w:sz w:val="20"/>
        </w:rPr>
      </w:pPr>
      <w:r>
        <w:rPr>
          <w:rFonts w:ascii="Times New Roman" w:hAnsi="Times New Roman"/>
          <w:color w:val="000000"/>
          <w:sz w:val="20"/>
        </w:rPr>
        <w:t>For Performance Awards denominated in Stock or Stock Units, if less than half of the Performance Period has lapsed, the Awards shall be converted into Restricted Stock or Stock Units assuming target performance has been achieved (or Unrestricted Stock if no further restrictions apply). If more than half the Performance Period has lapsed, the Performance Awards shall be converted into Restricted Stock or Stock Units based on actual performance to date (or Unrestricted Stock if no further restrictions apply). If actual performance is not determinable, then Performance Awards shall be converted into Restricted Stock or Stock Units assuming target performance has been achieved, based on the discretion of the Committee (or Unrestricted Stock if no further restrictions apply).</w:t>
      </w:r>
    </w:p>
    <w:p>
      <w:pPr>
        <w:pStyle w:val="TextBody"/>
        <w:bidi w:val="0"/>
        <w:jc w:val="both"/>
        <w:rPr/>
      </w:pPr>
      <w:r>
        <w:rPr/>
        <w:t>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(iv)</w:t>
      </w:r>
    </w:p>
    <w:p>
      <w:pPr>
        <w:pStyle w:val="TextBody"/>
        <w:bidi w:val="0"/>
        <w:jc w:val="both"/>
        <w:rPr>
          <w:rFonts w:ascii="Times New Roman" w:hAnsi="Times New Roman"/>
          <w:color w:val="000000"/>
          <w:sz w:val="20"/>
        </w:rPr>
      </w:pPr>
      <w:r>
        <w:rPr>
          <w:rFonts w:ascii="Times New Roman" w:hAnsi="Times New Roman"/>
          <w:color w:val="000000"/>
          <w:sz w:val="20"/>
        </w:rPr>
        <w:t>Other Equity-Based Awards shall be governed by the terms of the applicable Award Agreement.</w:t>
      </w:r>
    </w:p>
    <w:p>
      <w:pPr>
        <w:pStyle w:val="TextBody"/>
        <w:bidi w:val="0"/>
        <w:jc w:val="both"/>
        <w:rPr/>
      </w:pPr>
      <w:r>
        <w:rPr/>
        <w:t> </w:t>
      </w:r>
    </w:p>
    <w:p>
      <w:pPr>
        <w:pStyle w:val="TextBody"/>
        <w:bidi w:val="0"/>
        <w:spacing w:before="0" w:after="0"/>
        <w:jc w:val="both"/>
        <w:rPr>
          <w:rFonts w:ascii="Times New Roman" w:hAnsi="Times New Roman"/>
          <w:b/>
          <w:color w:val="000000"/>
          <w:sz w:val="16"/>
        </w:rPr>
      </w:pPr>
      <w:r>
        <w:rPr>
          <w:rFonts w:ascii="Times New Roman" w:hAnsi="Times New Roman"/>
          <w:b/>
          <w:color w:val="000000"/>
          <w:sz w:val="16"/>
        </w:rPr>
        <w:t>17.4.</w:t>
      </w:r>
    </w:p>
    <w:p>
      <w:pPr>
        <w:pStyle w:val="TextBody"/>
        <w:bidi w:val="0"/>
        <w:jc w:val="both"/>
        <w:rPr>
          <w:rFonts w:ascii="Times New Roman" w:hAnsi="Times New Roman"/>
          <w:b/>
          <w:color w:val="000000"/>
          <w:sz w:val="20"/>
        </w:rPr>
      </w:pPr>
      <w:r>
        <w:rPr>
          <w:rFonts w:ascii="Times New Roman" w:hAnsi="Times New Roman"/>
          <w:b/>
          <w:color w:val="000000"/>
          <w:sz w:val="20"/>
        </w:rPr>
        <w:t>Change in Control in which Awards are Assumed.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Except as otherwise provided in the applicable Award Agreement, in another agreement with the Grantee, or as otherwise set forth in writing, upon the occurrence of a Change in Control in which outstanding Awards are being assumed or continued, the following provisions shall apply to such Award, to the extent assumed or continued: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Plan and the Options, SARs, Restricted Stock, Stock Units, Dividend Equivalent Rights, and Other Equity-Based Awards theretofore granted under the Plan shall continue in the manner and under the terms so provided in the event of any Change in Control to the extent that provision is made in writing in connection with such Change in Control for the assumption or continuation of the Options, SARs, Restricted Stock, Stock Units, Dividend Equivalent Rights, and Other Equity-Based Awards theretofore granted, or for the substitution for such Options, SARs, Restricted Stock, Stock Units, Dividend Equivalent Rights, and Other Equity-Based Awards theretofore granted for new stock options, stock appreciation rights, restricted stock, stock units, dividend equivalent rights, and other equity-based awards relating to the capital stock or other securities of a successor entity, or a parent or subsidiary thereof, with appropriate adjustments as to the number of shares (disregarding any consideration that is not common stock) and exercise prices of options and stock appreciation rights.</w:t>
      </w:r>
    </w:p>
    <w:p>
      <w:pPr>
        <w:pStyle w:val="TextBody"/>
        <w:bidi w:val="0"/>
        <w:jc w:val="both"/>
        <w:rPr/>
      </w:pPr>
      <w:r>
        <w:rPr/>
        <w:t> </w:t>
      </w:r>
    </w:p>
    <w:p>
      <w:pPr>
        <w:pStyle w:val="TextBody"/>
        <w:bidi w:val="0"/>
        <w:spacing w:before="0" w:after="0"/>
        <w:jc w:val="both"/>
        <w:rPr>
          <w:rFonts w:ascii="Times New Roman" w:hAnsi="Times New Roman"/>
          <w:b/>
          <w:color w:val="000000"/>
          <w:sz w:val="16"/>
        </w:rPr>
      </w:pPr>
      <w:r>
        <w:rPr>
          <w:rFonts w:ascii="Times New Roman" w:hAnsi="Times New Roman"/>
          <w:b/>
          <w:color w:val="000000"/>
          <w:sz w:val="16"/>
        </w:rPr>
        <w:t>17.5.</w:t>
      </w:r>
    </w:p>
    <w:p>
      <w:pPr>
        <w:pStyle w:val="TextBody"/>
        <w:bidi w:val="0"/>
        <w:jc w:val="both"/>
        <w:rPr>
          <w:rFonts w:ascii="Times New Roman" w:hAnsi="Times New Roman"/>
          <w:b/>
          <w:color w:val="000000"/>
          <w:sz w:val="20"/>
        </w:rPr>
      </w:pPr>
      <w:r>
        <w:rPr>
          <w:rFonts w:ascii="Times New Roman" w:hAnsi="Times New Roman"/>
          <w:b/>
          <w:color w:val="000000"/>
          <w:sz w:val="20"/>
        </w:rPr>
        <w:t>Adjustments</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Adjustments under this </w:t>
      </w:r>
      <w:r>
        <w:rPr>
          <w:rFonts w:ascii="Times New Roman" w:hAnsi="Times New Roman"/>
          <w:b/>
          <w:color w:val="000000"/>
          <w:sz w:val="20"/>
        </w:rPr>
        <w:t xml:space="preserve">Section 17 </w:t>
      </w:r>
      <w:r>
        <w:rPr>
          <w:rFonts w:ascii="Times New Roman" w:hAnsi="Times New Roman"/>
          <w:color w:val="000000"/>
          <w:sz w:val="20"/>
        </w:rPr>
        <w:t xml:space="preserve">related to shares of Stock or Capital Stock of the Company shall be made by the Board, whose determination in that respect shall be final, binding, and conclusive. No fractional shares or other securities shall be issued pursuant to any such adjustment, and any fractions resulting from any such adjustment shall be eliminated in each case by rounding downward to the nearest whole share. The Board may provide in an applicable Award Agreement as of the Grant Date, in another agreement with the Grantee, or otherwise in writing at any time thereafter with the consent of the Grantee, for different provisions to apply to an Award in place of those described in </w:t>
      </w:r>
      <w:r>
        <w:rPr>
          <w:rFonts w:ascii="Times New Roman" w:hAnsi="Times New Roman"/>
          <w:b/>
          <w:color w:val="000000"/>
          <w:sz w:val="20"/>
        </w:rPr>
        <w:t xml:space="preserve">Sections 17.1, 17.2, 17.3 </w:t>
      </w:r>
      <w:r>
        <w:rPr>
          <w:rFonts w:ascii="Times New Roman" w:hAnsi="Times New Roman"/>
          <w:color w:val="000000"/>
          <w:sz w:val="20"/>
        </w:rPr>
        <w:t xml:space="preserve">and </w:t>
      </w:r>
      <w:r>
        <w:rPr>
          <w:rFonts w:ascii="Times New Roman" w:hAnsi="Times New Roman"/>
          <w:b/>
          <w:color w:val="000000"/>
          <w:sz w:val="20"/>
        </w:rPr>
        <w:t>17.4</w:t>
      </w:r>
      <w:r>
        <w:rPr>
          <w:rFonts w:ascii="Times New Roman" w:hAnsi="Times New Roman"/>
          <w:color w:val="000000"/>
          <w:sz w:val="20"/>
        </w:rPr>
        <w:t xml:space="preserve">. This </w:t>
      </w:r>
      <w:r>
        <w:rPr>
          <w:rFonts w:ascii="Times New Roman" w:hAnsi="Times New Roman"/>
          <w:b/>
          <w:color w:val="000000"/>
          <w:sz w:val="20"/>
        </w:rPr>
        <w:t xml:space="preserve">Section 17 </w:t>
      </w:r>
      <w:r>
        <w:rPr>
          <w:rFonts w:ascii="Times New Roman" w:hAnsi="Times New Roman"/>
          <w:color w:val="000000"/>
          <w:sz w:val="20"/>
        </w:rPr>
        <w:t>does not limit the Company’s ability to provide for alternative treatment of Awards outstanding under the Plan in the event of a change in control event involving the Company that is not a Change in Control.</w:t>
      </w:r>
    </w:p>
    <w:p>
      <w:pPr>
        <w:pStyle w:val="TextBody"/>
        <w:bidi w:val="0"/>
        <w:jc w:val="both"/>
        <w:rPr/>
      </w:pPr>
      <w:r>
        <w:rPr/>
        <w:t> </w:t>
      </w:r>
    </w:p>
    <w:p>
      <w:pPr>
        <w:pStyle w:val="TextBody"/>
        <w:bidi w:val="0"/>
        <w:spacing w:before="0" w:after="0"/>
        <w:jc w:val="both"/>
        <w:rPr>
          <w:rFonts w:ascii="Times New Roman" w:hAnsi="Times New Roman"/>
          <w:b/>
          <w:color w:val="000000"/>
          <w:sz w:val="16"/>
        </w:rPr>
      </w:pPr>
      <w:r>
        <w:rPr>
          <w:rFonts w:ascii="Times New Roman" w:hAnsi="Times New Roman"/>
          <w:b/>
          <w:color w:val="000000"/>
          <w:sz w:val="16"/>
        </w:rPr>
        <w:t>17.6.</w:t>
      </w:r>
    </w:p>
    <w:p>
      <w:pPr>
        <w:pStyle w:val="TextBody"/>
        <w:bidi w:val="0"/>
        <w:jc w:val="both"/>
        <w:rPr>
          <w:rFonts w:ascii="Times New Roman" w:hAnsi="Times New Roman"/>
          <w:b/>
          <w:color w:val="000000"/>
          <w:sz w:val="20"/>
        </w:rPr>
      </w:pPr>
      <w:r>
        <w:rPr>
          <w:rFonts w:ascii="Times New Roman" w:hAnsi="Times New Roman"/>
          <w:b/>
          <w:color w:val="000000"/>
          <w:sz w:val="20"/>
        </w:rPr>
        <w:t>No Limitations on Company.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making of Awards pursuant to the Plan shall not affect or limit in any way the right or power of the Company to make adjustments, reclassifications, reorganizations, or changes of its capital or business structure or to merge, consolidate, dissolve, or liquidate, or to sell or transfer all or any part of its business or assets (including all or any part of the business or assets of any Subsidiary or other Affiliate) or to engage in any other transaction or activity.</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18.</w:t>
      </w:r>
    </w:p>
    <w:p>
      <w:pPr>
        <w:pStyle w:val="TextBody"/>
        <w:bidi w:val="0"/>
        <w:jc w:val="both"/>
        <w:rPr>
          <w:rFonts w:ascii="Times New Roman" w:hAnsi="Times New Roman"/>
          <w:b/>
          <w:color w:val="000000"/>
          <w:sz w:val="20"/>
        </w:rPr>
      </w:pPr>
      <w:r>
        <w:rPr>
          <w:rFonts w:ascii="Times New Roman" w:hAnsi="Times New Roman"/>
          <w:b/>
          <w:color w:val="000000"/>
          <w:sz w:val="20"/>
        </w:rPr>
        <w:t>GENERAL PROVISIONS</w:t>
      </w:r>
    </w:p>
    <w:p>
      <w:pPr>
        <w:pStyle w:val="TextBody"/>
        <w:bidi w:val="0"/>
        <w:jc w:val="both"/>
        <w:rPr/>
      </w:pPr>
      <w:r>
        <w:rPr/>
        <w:t> </w:t>
      </w:r>
    </w:p>
    <w:p>
      <w:pPr>
        <w:pStyle w:val="TextBody"/>
        <w:bidi w:val="0"/>
        <w:spacing w:before="0" w:after="0"/>
        <w:jc w:val="both"/>
        <w:rPr>
          <w:rFonts w:ascii="Times New Roman" w:hAnsi="Times New Roman"/>
          <w:b/>
          <w:color w:val="000000"/>
          <w:sz w:val="16"/>
        </w:rPr>
      </w:pPr>
      <w:r>
        <w:rPr>
          <w:rFonts w:ascii="Times New Roman" w:hAnsi="Times New Roman"/>
          <w:b/>
          <w:color w:val="000000"/>
          <w:sz w:val="16"/>
        </w:rPr>
        <w:t>18.1.</w:t>
      </w:r>
    </w:p>
    <w:p>
      <w:pPr>
        <w:pStyle w:val="TextBody"/>
        <w:bidi w:val="0"/>
        <w:jc w:val="both"/>
        <w:rPr>
          <w:rFonts w:ascii="Times New Roman" w:hAnsi="Times New Roman"/>
          <w:b/>
          <w:color w:val="000000"/>
          <w:sz w:val="20"/>
        </w:rPr>
      </w:pPr>
      <w:r>
        <w:rPr>
          <w:rFonts w:ascii="Times New Roman" w:hAnsi="Times New Roman"/>
          <w:b/>
          <w:color w:val="000000"/>
          <w:sz w:val="20"/>
        </w:rPr>
        <w:t>Disclaimer of Rights.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No provision in the Plan or in any Award or Award Agreement shall be construed to confer upon any individual or entity the right to remain in the Service of the Company or an Affiliate, or to interfere in any way with any contractual or other right or authority of the Company or an Affiliate either to increase or decrease the compensation or other payments to any individual or entity at any time, or to terminate any Service or other relationship between any individual or entity and the Company or an Affiliate. In addition, notwithstanding anything contained in the Plan to the contrary, unless otherwise stated in the applicable Award Agreement, in another agreement with the Grantee, or otherwise in writing, no Award granted under the Plan shall be affected by any change of duties or position of the Grantee thereof, so long as such Grantee continues to provide Service. The obligation of the Company to pay any benefits pursuant to this Plan shall be interpreted as a contractual obligation to pay only those amounts described herein, in the manner and under the conditions prescribed herein. The Plan and Awards shall in no way be interpreted to require the Company to transfer any amounts to a third party trustee or otherwise hold any amounts in trust or escrow for payment to any Grantee or beneficiary under the terms of the Plan.</w:t>
      </w:r>
    </w:p>
    <w:p>
      <w:pPr>
        <w:pStyle w:val="TextBody"/>
        <w:bidi w:val="0"/>
        <w:jc w:val="both"/>
        <w:rPr/>
      </w:pPr>
      <w:r>
        <w:rPr/>
        <w:t> </w:t>
      </w:r>
    </w:p>
    <w:p>
      <w:pPr>
        <w:pStyle w:val="TextBody"/>
        <w:bidi w:val="0"/>
        <w:spacing w:before="0" w:after="0"/>
        <w:jc w:val="both"/>
        <w:rPr>
          <w:rFonts w:ascii="Times New Roman" w:hAnsi="Times New Roman"/>
          <w:b/>
          <w:color w:val="000000"/>
          <w:sz w:val="16"/>
        </w:rPr>
      </w:pPr>
      <w:r>
        <w:rPr>
          <w:rFonts w:ascii="Times New Roman" w:hAnsi="Times New Roman"/>
          <w:b/>
          <w:color w:val="000000"/>
          <w:sz w:val="16"/>
        </w:rPr>
        <w:t>18.2.</w:t>
      </w:r>
    </w:p>
    <w:p>
      <w:pPr>
        <w:pStyle w:val="TextBody"/>
        <w:bidi w:val="0"/>
        <w:jc w:val="both"/>
        <w:rPr>
          <w:rFonts w:ascii="Times New Roman" w:hAnsi="Times New Roman"/>
          <w:b/>
          <w:color w:val="000000"/>
          <w:sz w:val="20"/>
        </w:rPr>
      </w:pPr>
      <w:r>
        <w:rPr>
          <w:rFonts w:ascii="Times New Roman" w:hAnsi="Times New Roman"/>
          <w:b/>
          <w:color w:val="000000"/>
          <w:sz w:val="20"/>
        </w:rPr>
        <w:t>Nonexclusivity of the Plan.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adoption of the Plan shall not be construed as creating any limitations upon the right and authority of the Board to adopt such other incentive compensation arrangements (which arrangements may be applicable either generally to a class or classes of individuals or specifically to a particular individual or particular individuals) as the Board in its discretion determines desirable.</w:t>
      </w:r>
    </w:p>
    <w:p>
      <w:pPr>
        <w:pStyle w:val="TextBody"/>
        <w:bidi w:val="0"/>
        <w:jc w:val="both"/>
        <w:rPr/>
      </w:pPr>
      <w:r>
        <w:rPr/>
        <w:t> </w:t>
      </w:r>
    </w:p>
    <w:p>
      <w:pPr>
        <w:pStyle w:val="TextBody"/>
        <w:bidi w:val="0"/>
        <w:spacing w:before="0" w:after="0"/>
        <w:jc w:val="both"/>
        <w:rPr>
          <w:rFonts w:ascii="Times New Roman" w:hAnsi="Times New Roman"/>
          <w:b/>
          <w:color w:val="000000"/>
          <w:sz w:val="16"/>
        </w:rPr>
      </w:pPr>
      <w:r>
        <w:rPr>
          <w:rFonts w:ascii="Times New Roman" w:hAnsi="Times New Roman"/>
          <w:b/>
          <w:color w:val="000000"/>
          <w:sz w:val="16"/>
        </w:rPr>
        <w:t>18.3.</w:t>
      </w:r>
    </w:p>
    <w:p>
      <w:pPr>
        <w:pStyle w:val="TextBody"/>
        <w:bidi w:val="0"/>
        <w:jc w:val="both"/>
        <w:rPr>
          <w:rFonts w:ascii="Times New Roman" w:hAnsi="Times New Roman"/>
          <w:b/>
          <w:color w:val="000000"/>
          <w:sz w:val="20"/>
        </w:rPr>
      </w:pPr>
      <w:r>
        <w:rPr>
          <w:rFonts w:ascii="Times New Roman" w:hAnsi="Times New Roman"/>
          <w:b/>
          <w:color w:val="000000"/>
          <w:sz w:val="20"/>
        </w:rPr>
        <w:t>Withholding Taxes.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The Company or an Affiliate, as the case may be, shall have the right to deduct from payments of any kind otherwise due to a Grantee any federal, state, or local taxes of any kind required by Applicable Laws to be withheld with respect to the vesting of or other lapse of restrictions applicable to an Award or upon the issuance of any shares of Stock upon the exercise of an Option or pursuant to any other Award. At the time of such vesting, lapse, or exercise, the Grantee shall pay in cash to the Company or an Affiliate, as the case may be, any amount that the Company or an Affiliate may reasonably determine to be necessary to satisfy such withholding obligation; </w:t>
      </w:r>
      <w:r>
        <w:rPr>
          <w:rFonts w:ascii="Times New Roman" w:hAnsi="Times New Roman"/>
          <w:color w:val="000000"/>
          <w:sz w:val="20"/>
          <w:u w:val="single"/>
        </w:rPr>
        <w:t>provided</w:t>
      </w:r>
      <w:r>
        <w:rPr>
          <w:rFonts w:ascii="Times New Roman" w:hAnsi="Times New Roman"/>
          <w:color w:val="000000"/>
          <w:sz w:val="20"/>
        </w:rPr>
        <w:t xml:space="preserve">, that if there is a same-day sale of shares of Stock subject to an Award, the Grantee shall pay such withholding obligation on the day on which the same-day sale is completed. Subject to the prior approval of the Company or an Affiliate, which may be withheld by the Company or an Affiliate, as the case may be, in its sole discretion, the Grantee may elect to satisfy such withholding obligations, in whole or in part, (i) by causing the Company or an Affiliate to withhold shares of Stock otherwise issuable to the Grantee or (ii) by delivering to the Company or an Affiliate shares of Stock already owned by the Grantee. The shares of Stock so withheld or delivered shall have an aggregate Fair Market Value equal to such withholding obligations. The Fair Market Value of the shares of Stock used to satisfy such withholding obligation shall be determined by the Company or an Affiliate as of the date that the amount of tax to be withheld is to be determined. A Grantee who has made an election pursuant to this </w:t>
      </w:r>
      <w:r>
        <w:rPr>
          <w:rFonts w:ascii="Times New Roman" w:hAnsi="Times New Roman"/>
          <w:b/>
          <w:color w:val="000000"/>
          <w:sz w:val="20"/>
        </w:rPr>
        <w:t xml:space="preserve">Section 18.3 </w:t>
      </w:r>
      <w:r>
        <w:rPr>
          <w:rFonts w:ascii="Times New Roman" w:hAnsi="Times New Roman"/>
          <w:color w:val="000000"/>
          <w:sz w:val="20"/>
        </w:rPr>
        <w:t xml:space="preserve">may satisfy such Grantee’s withholding obligation only with shares of Stock that are not subject to any repurchase, forfeiture, unfulfilled vesting, or other similar requirements. The maximum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number of shares of Stock that may be withheld from any Award to satisfy any federal, state, or local tax withholding requirements upon the exercise, vesting, or lapse of restrictions applicable to such Award or payment of shares of Stock pursuant to such Award, as applicable, may not exceed such number of shares of Stock having a Fair Market Value equal to the minimum statutory amount required by the Company or an Affiliate to be withheld and paid to any such federal, state, or local taxing authority with respect to such exercise, vesting, lapse of restrictions, or payment of shares of Stock.</w:t>
      </w:r>
    </w:p>
    <w:p>
      <w:pPr>
        <w:pStyle w:val="TextBody"/>
        <w:bidi w:val="0"/>
        <w:jc w:val="both"/>
        <w:rPr/>
      </w:pPr>
      <w:r>
        <w:rPr/>
        <w:t> </w:t>
      </w:r>
    </w:p>
    <w:p>
      <w:pPr>
        <w:pStyle w:val="TextBody"/>
        <w:bidi w:val="0"/>
        <w:spacing w:before="0" w:after="0"/>
        <w:jc w:val="both"/>
        <w:rPr>
          <w:rFonts w:ascii="Times New Roman" w:hAnsi="Times New Roman"/>
          <w:b/>
          <w:color w:val="000000"/>
          <w:sz w:val="16"/>
        </w:rPr>
      </w:pPr>
      <w:r>
        <w:rPr>
          <w:rFonts w:ascii="Times New Roman" w:hAnsi="Times New Roman"/>
          <w:b/>
          <w:color w:val="000000"/>
          <w:sz w:val="16"/>
        </w:rPr>
        <w:t>18.4.</w:t>
      </w:r>
    </w:p>
    <w:p>
      <w:pPr>
        <w:pStyle w:val="TextBody"/>
        <w:bidi w:val="0"/>
        <w:jc w:val="both"/>
        <w:rPr>
          <w:rFonts w:ascii="Times New Roman" w:hAnsi="Times New Roman"/>
          <w:b/>
          <w:color w:val="000000"/>
          <w:sz w:val="20"/>
        </w:rPr>
      </w:pPr>
      <w:r>
        <w:rPr>
          <w:rFonts w:ascii="Times New Roman" w:hAnsi="Times New Roman"/>
          <w:b/>
          <w:color w:val="000000"/>
          <w:sz w:val="20"/>
        </w:rPr>
        <w:t>Captions.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use of captions in the Plan or any Award Agreement is for convenience of reference only and shall not affect the meaning of any provision of the Plan or such Award Agreement.</w:t>
      </w:r>
    </w:p>
    <w:p>
      <w:pPr>
        <w:pStyle w:val="TextBody"/>
        <w:bidi w:val="0"/>
        <w:jc w:val="both"/>
        <w:rPr/>
      </w:pPr>
      <w:r>
        <w:rPr/>
        <w:t> </w:t>
      </w:r>
    </w:p>
    <w:p>
      <w:pPr>
        <w:pStyle w:val="TextBody"/>
        <w:bidi w:val="0"/>
        <w:spacing w:before="0" w:after="0"/>
        <w:jc w:val="both"/>
        <w:rPr>
          <w:rFonts w:ascii="Times New Roman" w:hAnsi="Times New Roman"/>
          <w:b/>
          <w:color w:val="000000"/>
          <w:sz w:val="16"/>
        </w:rPr>
      </w:pPr>
      <w:r>
        <w:rPr>
          <w:rFonts w:ascii="Times New Roman" w:hAnsi="Times New Roman"/>
          <w:b/>
          <w:color w:val="000000"/>
          <w:sz w:val="16"/>
        </w:rPr>
        <w:t>18.5.</w:t>
      </w:r>
    </w:p>
    <w:p>
      <w:pPr>
        <w:pStyle w:val="TextBody"/>
        <w:bidi w:val="0"/>
        <w:jc w:val="both"/>
        <w:rPr>
          <w:rFonts w:ascii="Times New Roman" w:hAnsi="Times New Roman"/>
          <w:b/>
          <w:color w:val="000000"/>
          <w:sz w:val="20"/>
        </w:rPr>
      </w:pPr>
      <w:r>
        <w:rPr>
          <w:rFonts w:ascii="Times New Roman" w:hAnsi="Times New Roman"/>
          <w:b/>
          <w:color w:val="000000"/>
          <w:sz w:val="20"/>
        </w:rPr>
        <w:t>Other Provisions.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Each Award granted under the Plan may contain such other terms and conditions not inconsistent with the Plan as may be determined by the Board, in its sole discretion.</w:t>
      </w:r>
    </w:p>
    <w:p>
      <w:pPr>
        <w:pStyle w:val="TextBody"/>
        <w:bidi w:val="0"/>
        <w:jc w:val="both"/>
        <w:rPr/>
      </w:pPr>
      <w:r>
        <w:rPr/>
        <w:t> </w:t>
      </w:r>
    </w:p>
    <w:p>
      <w:pPr>
        <w:pStyle w:val="TextBody"/>
        <w:bidi w:val="0"/>
        <w:spacing w:before="0" w:after="0"/>
        <w:jc w:val="both"/>
        <w:rPr>
          <w:rFonts w:ascii="Times New Roman" w:hAnsi="Times New Roman"/>
          <w:b/>
          <w:color w:val="000000"/>
          <w:sz w:val="16"/>
        </w:rPr>
      </w:pPr>
      <w:r>
        <w:rPr>
          <w:rFonts w:ascii="Times New Roman" w:hAnsi="Times New Roman"/>
          <w:b/>
          <w:color w:val="000000"/>
          <w:sz w:val="16"/>
        </w:rPr>
        <w:t>18.6.</w:t>
      </w:r>
    </w:p>
    <w:p>
      <w:pPr>
        <w:pStyle w:val="TextBody"/>
        <w:bidi w:val="0"/>
        <w:jc w:val="both"/>
        <w:rPr>
          <w:rFonts w:ascii="Times New Roman" w:hAnsi="Times New Roman"/>
          <w:b/>
          <w:color w:val="000000"/>
          <w:sz w:val="20"/>
        </w:rPr>
      </w:pPr>
      <w:r>
        <w:rPr>
          <w:rFonts w:ascii="Times New Roman" w:hAnsi="Times New Roman"/>
          <w:b/>
          <w:color w:val="000000"/>
          <w:sz w:val="20"/>
        </w:rPr>
        <w:t>Number and Gender.</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With respect to words used in the Plan, the singular form shall include the plural form, the masculine gender shall include the feminine gender, etc., as the context requires.</w:t>
      </w:r>
    </w:p>
    <w:p>
      <w:pPr>
        <w:pStyle w:val="TextBody"/>
        <w:bidi w:val="0"/>
        <w:jc w:val="both"/>
        <w:rPr/>
      </w:pPr>
      <w:r>
        <w:rPr/>
        <w:t> </w:t>
      </w:r>
    </w:p>
    <w:p>
      <w:pPr>
        <w:pStyle w:val="TextBody"/>
        <w:bidi w:val="0"/>
        <w:spacing w:before="0" w:after="0"/>
        <w:jc w:val="both"/>
        <w:rPr>
          <w:rFonts w:ascii="Times New Roman" w:hAnsi="Times New Roman"/>
          <w:b/>
          <w:color w:val="000000"/>
          <w:sz w:val="16"/>
        </w:rPr>
      </w:pPr>
      <w:r>
        <w:rPr>
          <w:rFonts w:ascii="Times New Roman" w:hAnsi="Times New Roman"/>
          <w:b/>
          <w:color w:val="000000"/>
          <w:sz w:val="16"/>
        </w:rPr>
        <w:t>18.7.</w:t>
      </w:r>
    </w:p>
    <w:p>
      <w:pPr>
        <w:pStyle w:val="TextBody"/>
        <w:bidi w:val="0"/>
        <w:jc w:val="both"/>
        <w:rPr>
          <w:rFonts w:ascii="Times New Roman" w:hAnsi="Times New Roman"/>
          <w:b/>
          <w:color w:val="000000"/>
          <w:sz w:val="20"/>
        </w:rPr>
      </w:pPr>
      <w:r>
        <w:rPr>
          <w:rFonts w:ascii="Times New Roman" w:hAnsi="Times New Roman"/>
          <w:b/>
          <w:color w:val="000000"/>
          <w:sz w:val="20"/>
        </w:rPr>
        <w:t>Severability.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If any provision of the Plan or any Award Agreement shall be determined to be illegal or unenforceable by any court of law in any jurisdiction, the remaining provisions hereof and thereof shall be severable and enforceable in accordance with their terms, and all provisions shall remain enforceable in any other jurisdiction.</w:t>
      </w:r>
    </w:p>
    <w:p>
      <w:pPr>
        <w:pStyle w:val="TextBody"/>
        <w:bidi w:val="0"/>
        <w:jc w:val="both"/>
        <w:rPr/>
      </w:pPr>
      <w:r>
        <w:rPr/>
        <w:t> </w:t>
      </w:r>
    </w:p>
    <w:p>
      <w:pPr>
        <w:pStyle w:val="TextBody"/>
        <w:bidi w:val="0"/>
        <w:spacing w:before="0" w:after="0"/>
        <w:jc w:val="both"/>
        <w:rPr>
          <w:rFonts w:ascii="Times New Roman" w:hAnsi="Times New Roman"/>
          <w:b/>
          <w:color w:val="000000"/>
          <w:sz w:val="16"/>
        </w:rPr>
      </w:pPr>
      <w:r>
        <w:rPr>
          <w:rFonts w:ascii="Times New Roman" w:hAnsi="Times New Roman"/>
          <w:b/>
          <w:color w:val="000000"/>
          <w:sz w:val="16"/>
        </w:rPr>
        <w:t>18.8.</w:t>
      </w:r>
    </w:p>
    <w:p>
      <w:pPr>
        <w:pStyle w:val="TextBody"/>
        <w:bidi w:val="0"/>
        <w:jc w:val="both"/>
        <w:rPr>
          <w:rFonts w:ascii="Times New Roman" w:hAnsi="Times New Roman"/>
          <w:b/>
          <w:color w:val="000000"/>
          <w:sz w:val="20"/>
        </w:rPr>
      </w:pPr>
      <w:r>
        <w:rPr>
          <w:rFonts w:ascii="Times New Roman" w:hAnsi="Times New Roman"/>
          <w:b/>
          <w:color w:val="000000"/>
          <w:sz w:val="20"/>
        </w:rPr>
        <w:t>Governing Law</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validity and construction of this Plan and the instruments evidencing the Awards hereunder shall be governed by, and construed and interpreted in accordance with, the laws of the State of Delaware, other than any conflicts or choice of law rule or principle that might otherwise refer construction or interpretation of this Plan and the instruments evidencing the Awards granted hereunder to the substantive laws of any other jurisdiction.</w:t>
      </w:r>
    </w:p>
    <w:p>
      <w:pPr>
        <w:pStyle w:val="TextBody"/>
        <w:bidi w:val="0"/>
        <w:jc w:val="both"/>
        <w:rPr/>
      </w:pPr>
      <w:r>
        <w:rPr/>
        <w:t> </w:t>
      </w:r>
    </w:p>
    <w:p>
      <w:pPr>
        <w:pStyle w:val="TextBody"/>
        <w:bidi w:val="0"/>
        <w:spacing w:before="0" w:after="0"/>
        <w:jc w:val="both"/>
        <w:rPr>
          <w:rFonts w:ascii="Times New Roman" w:hAnsi="Times New Roman"/>
          <w:b/>
          <w:color w:val="000000"/>
          <w:sz w:val="16"/>
        </w:rPr>
      </w:pPr>
      <w:r>
        <w:rPr>
          <w:rFonts w:ascii="Times New Roman" w:hAnsi="Times New Roman"/>
          <w:b/>
          <w:color w:val="000000"/>
          <w:sz w:val="16"/>
        </w:rPr>
        <w:t>18.9.</w:t>
      </w:r>
    </w:p>
    <w:p>
      <w:pPr>
        <w:pStyle w:val="TextBody"/>
        <w:bidi w:val="0"/>
        <w:jc w:val="both"/>
        <w:rPr>
          <w:rFonts w:ascii="Times New Roman" w:hAnsi="Times New Roman"/>
          <w:b/>
          <w:color w:val="000000"/>
          <w:sz w:val="20"/>
        </w:rPr>
      </w:pPr>
      <w:r>
        <w:rPr>
          <w:rFonts w:ascii="Times New Roman" w:hAnsi="Times New Roman"/>
          <w:b/>
          <w:color w:val="000000"/>
          <w:sz w:val="20"/>
        </w:rPr>
        <w:t>Section 409A of the Code.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Plan is intended to comply with Code Section 409A to the extent subject thereto, and, accordingly, to the maximum extent permitted, the Plan will be interpreted and administered to be in compliance with Code Section 409A. Any payments described in the Plan that are due within the “short-term deferral period” (as defined for purposes of Code Section 409A) will not be treated as deferred compensation unless Applicable Laws require otherwise. Notwithstanding any provision of the Plan to the contrary, to the extent required to avoid accelerated taxation and tax penalties under Code Section 409A, amounts that would otherwise be payable and benefits that would otherwise be provided pursuant to the Plan during the six (6)-month period immediately following the Grantee’s Separation from Service will instead be paid on the first payroll date after the six (6)-month anniversary of the Grantee’s Separation from Service (or the Grantee’s death, if earlier).</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Furthermore, notwithstanding anything to the contrary in the Plan, in the case of an Award that is characterized as deferred compensation under Code Section 409A, and pursuant to which settlement and delivery of the cash or shares of Stock subject to the Award is triggered based on a Change in Control, in no event will a Change in Control be deemed to have occurred for purposes of such settlement and delivery of cash or shares of Stock if the transaction is not also a “change in the ownership or effective control of” the Company or “a change in the ownership of a substantial portion of the assets of” the Company as determined under Treasury Regulation Section 1.409A-3(i)(5) (without regard to any alternative definition thereunder). If an Award characterized as deferred compensation under Code Section 409A is not settled and delivered on account of the provision of the preceding sentence, the settlement and delivery will occur on the next succeeding settlement and delivery triggering event that is a permissible triggering event under Code Section 409A. No provision of this paragraph will in any way affect the determination of a Change in Control for purposes of vesting in an Award that is characterized as deferred compensation under Code Section 409A.</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Notwithstanding the foregoing, neither the Company nor the Committee will have any obligation to take any action to prevent the assessment of any excise tax or penalty on any Grantee under Code Section 409A and neither the Company, nor an Affiliate, nor the Board will have any liability to any Grantee for such tax or penalty.</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To record adoption of the Plan by the Board on February 2, 2023, effectiveness of the Plan on February 2, 2023, and amendment of the Plan on December 6, 2023, the Company has caused its authorized officer to execute the Plan.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SYNDAX PHARMACEUTICALS, INC.</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By: </w:t>
      </w:r>
      <w:r>
        <w:rPr>
          <w:rFonts w:ascii="Times New Roman" w:hAnsi="Times New Roman"/>
          <w:color w:val="000000"/>
          <w:sz w:val="20"/>
          <w:u w:val="single"/>
        </w:rPr>
        <w:t xml:space="preserve">/s/ Luke J. Albrecht </w:t>
      </w:r>
    </w:p>
    <w:p>
      <w:pPr>
        <w:pStyle w:val="TextBody"/>
        <w:bidi w:val="0"/>
        <w:jc w:val="left"/>
        <w:rPr>
          <w:rFonts w:ascii="Times New Roman" w:hAnsi="Times New Roman"/>
          <w:color w:val="000000"/>
          <w:sz w:val="20"/>
        </w:rPr>
      </w:pPr>
      <w:r>
        <w:rPr>
          <w:rFonts w:ascii="Times New Roman" w:hAnsi="Times New Roman"/>
          <w:color w:val="000000"/>
          <w:sz w:val="20"/>
        </w:rPr>
        <w:t>Name: Luke J. Albrecht</w:t>
      </w:r>
    </w:p>
    <w:p>
      <w:pPr>
        <w:pStyle w:val="TextBody"/>
        <w:bidi w:val="0"/>
        <w:jc w:val="both"/>
        <w:rPr>
          <w:rFonts w:ascii="Times New Roman" w:hAnsi="Times New Roman"/>
          <w:color w:val="000000"/>
          <w:sz w:val="20"/>
        </w:rPr>
      </w:pPr>
      <w:r>
        <w:rPr>
          <w:rFonts w:ascii="Times New Roman" w:hAnsi="Times New Roman"/>
          <w:color w:val="000000"/>
          <w:sz w:val="20"/>
        </w:rPr>
        <w:t>Title: General Counsel &amp; Secretary</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2"/>
        </w:rPr>
      </w:pPr>
      <w:bookmarkStart w:id="43" w:name="sndx-ex10_20.htm"/>
      <w:bookmarkStart w:id="44" w:name="kssndxex10_20"/>
      <w:bookmarkEnd w:id="43"/>
      <w:bookmarkEnd w:id="44"/>
      <w:r>
        <w:rPr>
          <w:rFonts w:ascii="Times New Roman" w:hAnsi="Times New Roman"/>
          <w:color w:val="000000"/>
          <w:sz w:val="22"/>
        </w:rPr>
        <w:t>Exhibit 10.20</w:t>
      </w:r>
      <w:r>
        <w:br w:type="page"/>
      </w:r>
    </w:p>
    <w:p>
      <w:pPr>
        <w:pStyle w:val="TextBody"/>
        <w:bidi w:val="0"/>
        <w:jc w:val="center"/>
        <w:rPr>
          <w:rFonts w:ascii="Times New Roman" w:hAnsi="Times New Roman"/>
          <w:b/>
          <w:color w:val="000000"/>
          <w:sz w:val="22"/>
        </w:rPr>
      </w:pPr>
      <w:r>
        <w:rPr>
          <w:rFonts w:ascii="Times New Roman" w:hAnsi="Times New Roman"/>
          <w:b/>
          <w:color w:val="000000"/>
          <w:sz w:val="22"/>
        </w:rPr>
        <w:t>AMENDMENT TO AMENDED AND RESTATED</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EXECUTIVE EMPLOYMENT AGREEMENT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This </w:t>
      </w:r>
      <w:r>
        <w:rPr>
          <w:rFonts w:ascii="Times New Roman" w:hAnsi="Times New Roman"/>
          <w:b/>
          <w:color w:val="000000"/>
          <w:sz w:val="22"/>
        </w:rPr>
        <w:t>AMENDMENT TO AMENDED AND RESTATED EXECUTIVE EMPLOYMENT AGREEMENT</w:t>
      </w:r>
      <w:r>
        <w:rPr>
          <w:rFonts w:ascii="Times New Roman" w:hAnsi="Times New Roman"/>
          <w:color w:val="000000"/>
          <w:sz w:val="20"/>
        </w:rPr>
        <w:t xml:space="preserve"> </w:t>
      </w:r>
      <w:r>
        <w:rPr>
          <w:rFonts w:ascii="Times New Roman" w:hAnsi="Times New Roman"/>
          <w:color w:val="000000"/>
          <w:sz w:val="22"/>
        </w:rPr>
        <w:t>(this “</w:t>
      </w:r>
      <w:r>
        <w:rPr>
          <w:rFonts w:ascii="Times New Roman" w:hAnsi="Times New Roman"/>
          <w:b/>
          <w:i/>
          <w:color w:val="000000"/>
          <w:sz w:val="22"/>
        </w:rPr>
        <w:t>Amendment</w:t>
      </w:r>
      <w:r>
        <w:rPr>
          <w:rFonts w:ascii="Times New Roman" w:hAnsi="Times New Roman"/>
          <w:color w:val="000000"/>
          <w:sz w:val="20"/>
        </w:rPr>
        <w:t>”</w:t>
      </w:r>
      <w:r>
        <w:rPr>
          <w:rFonts w:ascii="Times New Roman" w:hAnsi="Times New Roman"/>
          <w:color w:val="000000"/>
          <w:sz w:val="22"/>
        </w:rPr>
        <w:t>) is entered into as of the 26</w:t>
      </w:r>
      <w:r>
        <w:rPr>
          <w:rFonts w:ascii="Times New Roman" w:hAnsi="Times New Roman"/>
          <w:color w:val="000000"/>
          <w:sz w:val="15"/>
        </w:rPr>
        <w:t xml:space="preserve">th </w:t>
      </w:r>
      <w:r>
        <w:rPr>
          <w:rFonts w:ascii="Times New Roman" w:hAnsi="Times New Roman"/>
          <w:color w:val="000000"/>
          <w:sz w:val="22"/>
        </w:rPr>
        <w:t>day of February, 2024 (the “</w:t>
      </w:r>
      <w:r>
        <w:rPr>
          <w:rFonts w:ascii="Times New Roman" w:hAnsi="Times New Roman"/>
          <w:b/>
          <w:i/>
          <w:color w:val="000000"/>
          <w:sz w:val="22"/>
        </w:rPr>
        <w:t>Execution Date</w:t>
      </w:r>
      <w:r>
        <w:rPr>
          <w:rFonts w:ascii="Times New Roman" w:hAnsi="Times New Roman"/>
          <w:color w:val="000000"/>
          <w:sz w:val="20"/>
        </w:rPr>
        <w:t>”</w:t>
      </w:r>
      <w:r>
        <w:rPr>
          <w:rFonts w:ascii="Times New Roman" w:hAnsi="Times New Roman"/>
          <w:color w:val="000000"/>
          <w:sz w:val="22"/>
        </w:rPr>
        <w:t xml:space="preserve">), between </w:t>
      </w:r>
      <w:r>
        <w:rPr>
          <w:rFonts w:ascii="Times New Roman" w:hAnsi="Times New Roman"/>
          <w:b/>
          <w:color w:val="000000"/>
          <w:sz w:val="22"/>
        </w:rPr>
        <w:t xml:space="preserve">MICHAEL A. METZGER </w:t>
      </w:r>
      <w:r>
        <w:rPr>
          <w:rFonts w:ascii="Times New Roman" w:hAnsi="Times New Roman"/>
          <w:color w:val="000000"/>
          <w:sz w:val="22"/>
        </w:rPr>
        <w:t>(“</w:t>
      </w:r>
      <w:r>
        <w:rPr>
          <w:rFonts w:ascii="Times New Roman" w:hAnsi="Times New Roman"/>
          <w:b/>
          <w:i/>
          <w:color w:val="000000"/>
          <w:sz w:val="22"/>
        </w:rPr>
        <w:t>Executive</w:t>
      </w:r>
      <w:r>
        <w:rPr>
          <w:rFonts w:ascii="Times New Roman" w:hAnsi="Times New Roman"/>
          <w:color w:val="000000"/>
          <w:sz w:val="20"/>
        </w:rPr>
        <w:t>”</w:t>
      </w:r>
      <w:r>
        <w:rPr>
          <w:rFonts w:ascii="Times New Roman" w:hAnsi="Times New Roman"/>
          <w:color w:val="000000"/>
          <w:sz w:val="22"/>
        </w:rPr>
        <w:t xml:space="preserve">) and </w:t>
      </w:r>
      <w:r>
        <w:rPr>
          <w:rFonts w:ascii="Times New Roman" w:hAnsi="Times New Roman"/>
          <w:b/>
          <w:caps/>
          <w:color w:val="000000"/>
          <w:sz w:val="22"/>
        </w:rPr>
        <w:t>Syndax Pharmaceuticals, Inc.</w:t>
      </w:r>
      <w:r>
        <w:rPr>
          <w:rFonts w:ascii="Times New Roman" w:hAnsi="Times New Roman"/>
          <w:color w:val="000000"/>
          <w:sz w:val="20"/>
        </w:rPr>
        <w:t xml:space="preserve"> </w:t>
      </w:r>
      <w:r>
        <w:rPr>
          <w:rFonts w:ascii="Times New Roman" w:hAnsi="Times New Roman"/>
          <w:color w:val="000000"/>
          <w:sz w:val="22"/>
        </w:rPr>
        <w:t>(the “</w:t>
      </w:r>
      <w:r>
        <w:rPr>
          <w:rFonts w:ascii="Times New Roman" w:hAnsi="Times New Roman"/>
          <w:b/>
          <w:i/>
          <w:color w:val="000000"/>
          <w:sz w:val="22"/>
        </w:rPr>
        <w:t>Company</w:t>
      </w:r>
      <w:r>
        <w:rPr>
          <w:rFonts w:ascii="Times New Roman" w:hAnsi="Times New Roman"/>
          <w:color w:val="000000"/>
          <w:sz w:val="20"/>
        </w:rPr>
        <w:t>”</w:t>
      </w:r>
      <w:r>
        <w:rPr>
          <w:rFonts w:ascii="Times New Roman" w:hAnsi="Times New Roman"/>
          <w:color w:val="000000"/>
          <w:sz w:val="22"/>
        </w:rPr>
        <w:t>) and supplements the terms of that certain amended and restated executive employment agreement by and between the Parties, dated as of February 2, 2022 (the “</w:t>
      </w:r>
      <w:r>
        <w:rPr>
          <w:rFonts w:ascii="Times New Roman" w:hAnsi="Times New Roman"/>
          <w:b/>
          <w:i/>
          <w:color w:val="000000"/>
          <w:sz w:val="22"/>
        </w:rPr>
        <w:t>Agreement</w:t>
      </w:r>
      <w:r>
        <w:rPr>
          <w:rFonts w:ascii="Times New Roman" w:hAnsi="Times New Roman"/>
          <w:color w:val="000000"/>
          <w:sz w:val="20"/>
        </w:rPr>
        <w:t>”</w:t>
      </w:r>
      <w:r>
        <w:rPr>
          <w:rFonts w:ascii="Times New Roman" w:hAnsi="Times New Roman"/>
          <w:color w:val="000000"/>
          <w:sz w:val="22"/>
        </w:rPr>
        <w:t>). Capitalized terms used and not otherwise defined herein shall have the meaning ascribed to such terms in the Agreement.</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RECITALS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Company employs Executive as its Chief Executive Officer upon the terms and conditions set forth in the Agreement.</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Compensation Committee of the Company’s Board of Directors approved certain changes to terms of Executive’s employment and the parties are entering this Amendment specifying such changes.</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AGREEMENT</w:t>
      </w:r>
    </w:p>
    <w:p>
      <w:pPr>
        <w:pStyle w:val="TextBody"/>
        <w:bidi w:val="0"/>
        <w:spacing w:before="0" w:after="240"/>
        <w:jc w:val="both"/>
        <w:rPr>
          <w:rFonts w:ascii="Times New Roman" w:hAnsi="Times New Roman"/>
          <w:sz w:val="20"/>
        </w:rPr>
      </w:pPr>
      <w:r>
        <w:rPr>
          <w:rFonts w:ascii="Times New Roman" w:hAnsi="Times New Roman"/>
          <w:b/>
          <w:color w:val="000000"/>
          <w:sz w:val="22"/>
        </w:rPr>
        <w:t>NOW, THEREFORE</w:t>
      </w:r>
      <w:r>
        <w:rPr>
          <w:rFonts w:ascii="Times New Roman" w:hAnsi="Times New Roman"/>
          <w:color w:val="000000"/>
          <w:sz w:val="22"/>
        </w:rPr>
        <w:t>, in consideration of the mutual promises contained herein, the Company and Executive agree as follows: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1.1</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Executive’s Target Performance Bonus as set forth in the Agreement is hereby amended to a threshold of up to seventy percent (70%) of Executive’s Annual Base Salary.</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1.2</w:t>
      </w:r>
    </w:p>
    <w:p>
      <w:pPr>
        <w:pStyle w:val="TextBody"/>
        <w:bidi w:val="0"/>
        <w:spacing w:before="0" w:after="240"/>
        <w:jc w:val="both"/>
        <w:rPr/>
      </w:pPr>
      <w:r>
        <w:rPr>
          <w:color w:val="000000"/>
        </w:rPr>
        <w:t>“</w:t>
      </w:r>
      <w:r>
        <w:rPr>
          <w:rFonts w:ascii="Times New Roman" w:hAnsi="Times New Roman"/>
          <w:b/>
          <w:i/>
          <w:color w:val="000000"/>
          <w:sz w:val="22"/>
        </w:rPr>
        <w:t>Change in Control Benefits Period</w:t>
      </w:r>
      <w:r>
        <w:rPr>
          <w:color w:val="000000"/>
        </w:rPr>
        <w:t xml:space="preserve">” </w:t>
      </w:r>
      <w:r>
        <w:rPr>
          <w:rFonts w:ascii="Times New Roman" w:hAnsi="Times New Roman"/>
          <w:color w:val="000000"/>
          <w:sz w:val="22"/>
        </w:rPr>
        <w:t>means the period of twenty-four (24) months commencing on the Termination Date.</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1.3</w:t>
      </w:r>
    </w:p>
    <w:p>
      <w:pPr>
        <w:pStyle w:val="TextBody"/>
        <w:bidi w:val="0"/>
        <w:spacing w:before="0" w:after="240"/>
        <w:jc w:val="both"/>
        <w:rPr/>
      </w:pPr>
      <w:r>
        <w:rPr>
          <w:color w:val="000000"/>
        </w:rPr>
        <w:t>“</w:t>
      </w:r>
      <w:r>
        <w:rPr>
          <w:rFonts w:ascii="Times New Roman" w:hAnsi="Times New Roman"/>
          <w:b/>
          <w:i/>
          <w:color w:val="000000"/>
          <w:sz w:val="22"/>
        </w:rPr>
        <w:t>Change in Control Severance Period</w:t>
      </w:r>
      <w:r>
        <w:rPr>
          <w:color w:val="000000"/>
        </w:rPr>
        <w:t xml:space="preserve">” </w:t>
      </w:r>
      <w:r>
        <w:rPr>
          <w:rFonts w:ascii="Times New Roman" w:hAnsi="Times New Roman"/>
          <w:color w:val="000000"/>
          <w:sz w:val="22"/>
        </w:rPr>
        <w:t>means the period of twenty-four (24) months commencing on the Termination Date.</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1.4</w:t>
      </w:r>
    </w:p>
    <w:p>
      <w:pPr>
        <w:pStyle w:val="TextBody"/>
        <w:bidi w:val="0"/>
        <w:spacing w:before="0" w:after="240"/>
        <w:jc w:val="both"/>
        <w:rPr/>
      </w:pPr>
      <w:r>
        <w:rPr>
          <w:rFonts w:ascii="Times New Roman" w:hAnsi="Times New Roman"/>
          <w:b/>
          <w:color w:val="000000"/>
          <w:sz w:val="22"/>
        </w:rPr>
        <w:t>Effectiveness of Agreement</w:t>
      </w:r>
      <w:r>
        <w:rPr>
          <w:rFonts w:ascii="Times New Roman" w:hAnsi="Times New Roman"/>
          <w:color w:val="000000"/>
          <w:sz w:val="22"/>
        </w:rPr>
        <w:t>. This Amendment shall be effective on the Execution Date.</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 * * * *</w:t>
      </w:r>
    </w:p>
    <w:p>
      <w:pPr>
        <w:pStyle w:val="TextBody"/>
        <w:bidi w:val="0"/>
        <w:jc w:val="both"/>
        <w:rPr>
          <w:rFonts w:ascii="Times New Roman" w:hAnsi="Times New Roman"/>
          <w:sz w:val="20"/>
        </w:rPr>
      </w:pPr>
      <w:r>
        <w:rPr>
          <w:rFonts w:ascii="Times New Roman" w:hAnsi="Times New Roman"/>
          <w:b/>
          <w:color w:val="000000"/>
          <w:sz w:val="22"/>
        </w:rPr>
        <w:t>IN WITNESS WHEREOF</w:t>
      </w:r>
      <w:r>
        <w:rPr>
          <w:rFonts w:ascii="Times New Roman" w:hAnsi="Times New Roman"/>
          <w:color w:val="000000"/>
          <w:sz w:val="22"/>
        </w:rPr>
        <w:t>, the parties have executed this Amendment on the Execution Date written above.</w:t>
      </w:r>
      <w:r>
        <w:rPr>
          <w:rFonts w:ascii="Times New Roman" w:hAnsi="Times New Roman"/>
          <w:color w:val="000000"/>
          <w:sz w:val="20"/>
        </w:rPr>
        <w:t xml:space="preserve"> </w:t>
      </w:r>
    </w:p>
    <w:tbl>
      <w:tblPr>
        <w:tblW w:w="9383" w:type="dxa"/>
        <w:jc w:val="left"/>
        <w:tblInd w:w="0" w:type="dxa"/>
        <w:tblLayout w:type="fixed"/>
        <w:tblCellMar>
          <w:top w:w="28" w:type="dxa"/>
          <w:left w:w="28" w:type="dxa"/>
          <w:bottom w:w="28" w:type="dxa"/>
          <w:right w:w="28" w:type="dxa"/>
        </w:tblCellMar>
      </w:tblPr>
      <w:tblGrid>
        <w:gridCol w:w="1764"/>
        <w:gridCol w:w="658"/>
        <w:gridCol w:w="577"/>
        <w:gridCol w:w="775"/>
        <w:gridCol w:w="972"/>
        <w:gridCol w:w="395"/>
        <w:gridCol w:w="298"/>
        <w:gridCol w:w="146"/>
        <w:gridCol w:w="109"/>
        <w:gridCol w:w="146"/>
        <w:gridCol w:w="109"/>
        <w:gridCol w:w="146"/>
        <w:gridCol w:w="496"/>
        <w:gridCol w:w="781"/>
        <w:gridCol w:w="2011"/>
      </w:tblGrid>
      <w:tr>
        <w:trPr/>
        <w:tc>
          <w:tcPr>
            <w:tcW w:w="1764"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1764" w:type="dxa"/>
            <w:tcBorders/>
            <w:vAlign w:val="center"/>
          </w:tcPr>
          <w:p>
            <w:pPr>
              <w:pStyle w:val="TableContents"/>
              <w:bidi w:val="0"/>
              <w:spacing w:before="0" w:after="283"/>
              <w:jc w:val="both"/>
              <w:rPr/>
            </w:pPr>
            <w:r>
              <w:rPr/>
              <w:t> </w:t>
            </w:r>
          </w:p>
        </w:tc>
        <w:tc>
          <w:tcPr>
            <w:tcW w:w="658" w:type="dxa"/>
            <w:tcBorders/>
            <w:vAlign w:val="center"/>
          </w:tcPr>
          <w:p>
            <w:pPr>
              <w:pStyle w:val="TableContents"/>
              <w:bidi w:val="0"/>
              <w:spacing w:before="0" w:after="283"/>
              <w:jc w:val="both"/>
              <w:rPr/>
            </w:pPr>
            <w:r>
              <w:rPr/>
              <w:t> </w:t>
            </w:r>
          </w:p>
        </w:tc>
        <w:tc>
          <w:tcPr>
            <w:tcW w:w="2324" w:type="dxa"/>
            <w:gridSpan w:val="3"/>
            <w:tcBorders/>
            <w:vAlign w:val="center"/>
          </w:tcPr>
          <w:p>
            <w:pPr>
              <w:pStyle w:val="TableContents"/>
              <w:bidi w:val="0"/>
              <w:spacing w:before="0" w:after="283"/>
              <w:jc w:val="both"/>
              <w:rPr/>
            </w:pPr>
            <w:r>
              <w:rPr/>
              <w:t> </w:t>
            </w:r>
          </w:p>
        </w:tc>
        <w:tc>
          <w:tcPr>
            <w:tcW w:w="395" w:type="dxa"/>
            <w:tcBorders/>
            <w:vAlign w:val="center"/>
          </w:tcPr>
          <w:p>
            <w:pPr>
              <w:pStyle w:val="TableContents"/>
              <w:bidi w:val="0"/>
              <w:spacing w:before="0" w:after="283"/>
              <w:jc w:val="both"/>
              <w:rPr/>
            </w:pPr>
            <w:r>
              <w:rPr/>
              <w:t> </w:t>
            </w:r>
          </w:p>
        </w:tc>
        <w:tc>
          <w:tcPr>
            <w:tcW w:w="553" w:type="dxa"/>
            <w:gridSpan w:val="3"/>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255" w:type="dxa"/>
            <w:gridSpan w:val="2"/>
            <w:tcBorders/>
            <w:vAlign w:val="center"/>
          </w:tcPr>
          <w:p>
            <w:pPr>
              <w:pStyle w:val="TableContents"/>
              <w:bidi w:val="0"/>
              <w:spacing w:before="0" w:after="283"/>
              <w:jc w:val="both"/>
              <w:rPr/>
            </w:pPr>
            <w:r>
              <w:rPr/>
              <w:t> </w:t>
            </w:r>
          </w:p>
        </w:tc>
        <w:tc>
          <w:tcPr>
            <w:tcW w:w="496" w:type="dxa"/>
            <w:tcBorders/>
            <w:vAlign w:val="center"/>
          </w:tcPr>
          <w:p>
            <w:pPr>
              <w:pStyle w:val="TableContents"/>
              <w:bidi w:val="0"/>
              <w:spacing w:before="0" w:after="283"/>
              <w:jc w:val="both"/>
              <w:rPr/>
            </w:pPr>
            <w:r>
              <w:rPr/>
              <w:t> </w:t>
            </w:r>
          </w:p>
        </w:tc>
        <w:tc>
          <w:tcPr>
            <w:tcW w:w="2792" w:type="dxa"/>
            <w:gridSpan w:val="2"/>
            <w:tcBorders/>
            <w:vAlign w:val="center"/>
          </w:tcPr>
          <w:p>
            <w:pPr>
              <w:pStyle w:val="TableContents"/>
              <w:bidi w:val="0"/>
              <w:spacing w:before="0" w:after="283"/>
              <w:jc w:val="both"/>
              <w:rPr/>
            </w:pPr>
            <w:r>
              <w:rPr/>
              <w:t> </w:t>
            </w:r>
          </w:p>
        </w:tc>
      </w:tr>
      <w:tr>
        <w:trPr/>
        <w:tc>
          <w:tcPr>
            <w:tcW w:w="4746" w:type="dxa"/>
            <w:gridSpan w:val="5"/>
            <w:tcBorders/>
            <w:vAlign w:val="center"/>
          </w:tcPr>
          <w:p>
            <w:pPr>
              <w:pStyle w:val="TableContents"/>
              <w:bidi w:val="0"/>
              <w:spacing w:before="0" w:after="283"/>
              <w:jc w:val="both"/>
              <w:rPr>
                <w:rFonts w:ascii="Times New Roman" w:hAnsi="Times New Roman"/>
                <w:b/>
                <w:caps/>
                <w:color w:val="000000"/>
                <w:sz w:val="22"/>
              </w:rPr>
            </w:pPr>
            <w:r>
              <w:rPr>
                <w:rFonts w:ascii="Times New Roman" w:hAnsi="Times New Roman"/>
                <w:b/>
                <w:caps/>
                <w:color w:val="000000"/>
                <w:sz w:val="22"/>
              </w:rPr>
              <w:t>Syndax Pharmaceuticals, Inc.</w:t>
            </w:r>
          </w:p>
        </w:tc>
        <w:tc>
          <w:tcPr>
            <w:tcW w:w="395" w:type="dxa"/>
            <w:tcBorders/>
            <w:vAlign w:val="center"/>
          </w:tcPr>
          <w:p>
            <w:pPr>
              <w:pStyle w:val="TableContents"/>
              <w:bidi w:val="0"/>
              <w:spacing w:before="0" w:after="283"/>
              <w:jc w:val="left"/>
              <w:rPr>
                <w:sz w:val="4"/>
                <w:szCs w:val="4"/>
              </w:rPr>
            </w:pPr>
            <w:r>
              <w:rPr>
                <w:sz w:val="4"/>
                <w:szCs w:val="4"/>
              </w:rPr>
            </w:r>
          </w:p>
        </w:tc>
        <w:tc>
          <w:tcPr>
            <w:tcW w:w="553" w:type="dxa"/>
            <w:gridSpan w:val="3"/>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255" w:type="dxa"/>
            <w:gridSpan w:val="2"/>
            <w:tcBorders/>
            <w:vAlign w:val="center"/>
          </w:tcPr>
          <w:p>
            <w:pPr>
              <w:pStyle w:val="TableContents"/>
              <w:bidi w:val="0"/>
              <w:spacing w:before="0" w:after="283"/>
              <w:jc w:val="both"/>
              <w:rPr/>
            </w:pPr>
            <w:r>
              <w:rPr/>
              <w:t> </w:t>
            </w:r>
          </w:p>
        </w:tc>
        <w:tc>
          <w:tcPr>
            <w:tcW w:w="496" w:type="dxa"/>
            <w:tcBorders/>
            <w:vAlign w:val="center"/>
          </w:tcPr>
          <w:p>
            <w:pPr>
              <w:pStyle w:val="TableContents"/>
              <w:bidi w:val="0"/>
              <w:spacing w:before="0" w:after="283"/>
              <w:jc w:val="left"/>
              <w:rPr>
                <w:sz w:val="4"/>
                <w:szCs w:val="4"/>
              </w:rPr>
            </w:pPr>
            <w:r>
              <w:rPr>
                <w:sz w:val="4"/>
                <w:szCs w:val="4"/>
              </w:rPr>
            </w:r>
          </w:p>
        </w:tc>
        <w:tc>
          <w:tcPr>
            <w:tcW w:w="2792" w:type="dxa"/>
            <w:gridSpan w:val="2"/>
            <w:tcBorders/>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EXECUTIVE</w:t>
            </w:r>
          </w:p>
        </w:tc>
      </w:tr>
      <w:tr>
        <w:trPr/>
        <w:tc>
          <w:tcPr>
            <w:tcW w:w="1764" w:type="dxa"/>
            <w:tcBorders/>
            <w:vAlign w:val="center"/>
          </w:tcPr>
          <w:p>
            <w:pPr>
              <w:pStyle w:val="TableContents"/>
              <w:bidi w:val="0"/>
              <w:spacing w:before="0" w:after="283"/>
              <w:jc w:val="both"/>
              <w:rPr/>
            </w:pPr>
            <w:r>
              <w:rPr/>
              <w:t> </w:t>
            </w:r>
          </w:p>
        </w:tc>
        <w:tc>
          <w:tcPr>
            <w:tcW w:w="2982" w:type="dxa"/>
            <w:gridSpan w:val="4"/>
            <w:tcBorders/>
            <w:vAlign w:val="center"/>
          </w:tcPr>
          <w:p>
            <w:pPr>
              <w:pStyle w:val="TableContents"/>
              <w:bidi w:val="0"/>
              <w:spacing w:before="0" w:after="283"/>
              <w:jc w:val="both"/>
              <w:rPr/>
            </w:pPr>
            <w:r>
              <w:rPr/>
              <w:t> </w:t>
            </w:r>
          </w:p>
        </w:tc>
        <w:tc>
          <w:tcPr>
            <w:tcW w:w="948" w:type="dxa"/>
            <w:gridSpan w:val="4"/>
            <w:tcBorders/>
            <w:vAlign w:val="center"/>
          </w:tcPr>
          <w:p>
            <w:pPr>
              <w:pStyle w:val="TableContents"/>
              <w:bidi w:val="0"/>
              <w:spacing w:before="0" w:after="283"/>
              <w:jc w:val="both"/>
              <w:rPr/>
            </w:pPr>
            <w:r>
              <w:rPr/>
              <w:t> </w:t>
            </w:r>
          </w:p>
        </w:tc>
        <w:tc>
          <w:tcPr>
            <w:tcW w:w="401" w:type="dxa"/>
            <w:gridSpan w:val="3"/>
            <w:tcBorders/>
            <w:vAlign w:val="center"/>
          </w:tcPr>
          <w:p>
            <w:pPr>
              <w:pStyle w:val="TableContents"/>
              <w:bidi w:val="0"/>
              <w:spacing w:before="0" w:after="283"/>
              <w:jc w:val="both"/>
              <w:rPr/>
            </w:pPr>
            <w:r>
              <w:rPr/>
              <w:t> </w:t>
            </w:r>
          </w:p>
        </w:tc>
        <w:tc>
          <w:tcPr>
            <w:tcW w:w="3288" w:type="dxa"/>
            <w:gridSpan w:val="3"/>
            <w:tcBorders/>
            <w:vAlign w:val="center"/>
          </w:tcPr>
          <w:p>
            <w:pPr>
              <w:pStyle w:val="TableContents"/>
              <w:bidi w:val="0"/>
              <w:spacing w:before="0" w:after="283"/>
              <w:jc w:val="both"/>
              <w:rPr/>
            </w:pPr>
            <w:r>
              <w:rPr/>
              <w:t> </w:t>
            </w:r>
          </w:p>
        </w:tc>
      </w:tr>
      <w:tr>
        <w:trPr/>
        <w:tc>
          <w:tcPr>
            <w:tcW w:w="1764" w:type="dxa"/>
            <w:tcBorders/>
            <w:vAlign w:val="center"/>
          </w:tcPr>
          <w:p>
            <w:pPr>
              <w:pStyle w:val="TableContents"/>
              <w:bidi w:val="0"/>
              <w:jc w:val="both"/>
              <w:rPr/>
            </w:pPr>
            <w:r>
              <w:rPr/>
              <w:t> </w:t>
            </w:r>
          </w:p>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By:</w:t>
            </w:r>
          </w:p>
        </w:tc>
        <w:tc>
          <w:tcPr>
            <w:tcW w:w="658" w:type="dxa"/>
            <w:tcBorders/>
            <w:vAlign w:val="center"/>
          </w:tcPr>
          <w:p>
            <w:pPr>
              <w:pStyle w:val="TableContents"/>
              <w:bidi w:val="0"/>
              <w:spacing w:before="0" w:after="283"/>
              <w:jc w:val="left"/>
              <w:rPr>
                <w:sz w:val="4"/>
                <w:szCs w:val="4"/>
              </w:rPr>
            </w:pPr>
            <w:r>
              <w:rPr>
                <w:sz w:val="4"/>
                <w:szCs w:val="4"/>
              </w:rPr>
            </w:r>
          </w:p>
        </w:tc>
        <w:tc>
          <w:tcPr>
            <w:tcW w:w="2324" w:type="dxa"/>
            <w:gridSpan w:val="3"/>
            <w:tcBorders/>
            <w:vAlign w:val="center"/>
          </w:tcPr>
          <w:p>
            <w:pPr>
              <w:pStyle w:val="TableContents"/>
              <w:bidi w:val="0"/>
              <w:spacing w:before="0" w:after="15"/>
              <w:jc w:val="both"/>
              <w:rPr/>
            </w:pPr>
            <w:r>
              <w:rPr/>
              <w:t> </w:t>
            </w:r>
          </w:p>
          <w:p>
            <w:pPr>
              <w:pStyle w:val="TableContents"/>
              <w:pBdr>
                <w:bottom w:val="single" w:sz="6" w:space="1" w:color="000000"/>
              </w:pBdr>
              <w:bidi w:val="0"/>
              <w:spacing w:before="0" w:after="15"/>
              <w:jc w:val="both"/>
              <w:rPr>
                <w:rFonts w:ascii="Times New Roman" w:hAnsi="Times New Roman"/>
                <w:color w:val="000000"/>
                <w:sz w:val="22"/>
              </w:rPr>
            </w:pPr>
            <w:r>
              <w:rPr>
                <w:rFonts w:ascii="Times New Roman" w:hAnsi="Times New Roman"/>
                <w:color w:val="000000"/>
                <w:sz w:val="22"/>
              </w:rPr>
              <w:t>/s/ Luke J. Albrecht</w:t>
            </w:r>
          </w:p>
        </w:tc>
        <w:tc>
          <w:tcPr>
            <w:tcW w:w="395" w:type="dxa"/>
            <w:tcBorders/>
            <w:vAlign w:val="center"/>
          </w:tcPr>
          <w:p>
            <w:pPr>
              <w:pStyle w:val="TableContents"/>
              <w:bidi w:val="0"/>
              <w:spacing w:before="0" w:after="283"/>
              <w:jc w:val="left"/>
              <w:rPr>
                <w:sz w:val="4"/>
                <w:szCs w:val="4"/>
              </w:rPr>
            </w:pPr>
            <w:r>
              <w:rPr>
                <w:sz w:val="4"/>
                <w:szCs w:val="4"/>
              </w:rPr>
            </w:r>
          </w:p>
        </w:tc>
        <w:tc>
          <w:tcPr>
            <w:tcW w:w="553" w:type="dxa"/>
            <w:gridSpan w:val="3"/>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255" w:type="dxa"/>
            <w:gridSpan w:val="2"/>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 xml:space="preserve">By: </w:t>
            </w:r>
          </w:p>
        </w:tc>
        <w:tc>
          <w:tcPr>
            <w:tcW w:w="2792" w:type="dxa"/>
            <w:gridSpan w:val="2"/>
            <w:tcBorders/>
            <w:vAlign w:val="center"/>
          </w:tcPr>
          <w:p>
            <w:pPr>
              <w:pStyle w:val="TableContents"/>
              <w:bidi w:val="0"/>
              <w:spacing w:before="0" w:after="15"/>
              <w:jc w:val="both"/>
              <w:rPr/>
            </w:pPr>
            <w:r>
              <w:rPr/>
              <w:t> </w:t>
            </w:r>
          </w:p>
          <w:p>
            <w:pPr>
              <w:pStyle w:val="TableContents"/>
              <w:pBdr>
                <w:bottom w:val="single" w:sz="6" w:space="1" w:color="000000"/>
              </w:pBdr>
              <w:bidi w:val="0"/>
              <w:spacing w:before="0" w:after="15"/>
              <w:jc w:val="both"/>
              <w:rPr>
                <w:rFonts w:ascii="Times New Roman" w:hAnsi="Times New Roman"/>
                <w:color w:val="000000"/>
                <w:sz w:val="22"/>
              </w:rPr>
            </w:pPr>
            <w:r>
              <w:rPr>
                <w:rFonts w:ascii="Times New Roman" w:hAnsi="Times New Roman"/>
                <w:color w:val="000000"/>
                <w:sz w:val="22"/>
              </w:rPr>
              <w:t>/s/ Michael A. Metzger</w:t>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both"/>
              <w:rPr/>
            </w:pPr>
            <w:r>
              <w:rPr/>
              <w:t> </w:t>
            </w:r>
          </w:p>
        </w:tc>
        <w:tc>
          <w:tcPr>
            <w:tcW w:w="1665" w:type="dxa"/>
            <w:gridSpan w:val="3"/>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364" w:type="dxa"/>
            <w:gridSpan w:val="3"/>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496" w:type="dxa"/>
            <w:tcBorders/>
            <w:vAlign w:val="center"/>
          </w:tcPr>
          <w:p>
            <w:pPr>
              <w:pStyle w:val="TableContents"/>
              <w:bidi w:val="0"/>
              <w:spacing w:before="0" w:after="283"/>
              <w:jc w:val="both"/>
              <w:rPr/>
            </w:pPr>
            <w:r>
              <w:rPr/>
              <w:t> </w:t>
            </w:r>
          </w:p>
        </w:tc>
        <w:tc>
          <w:tcPr>
            <w:tcW w:w="781" w:type="dxa"/>
            <w:tcBorders/>
            <w:vAlign w:val="center"/>
          </w:tcPr>
          <w:p>
            <w:pPr>
              <w:pStyle w:val="TableContents"/>
              <w:bidi w:val="0"/>
              <w:spacing w:before="0" w:after="283"/>
              <w:jc w:val="both"/>
              <w:rPr/>
            </w:pPr>
            <w:r>
              <w:rPr/>
              <w:t> </w:t>
            </w:r>
          </w:p>
        </w:tc>
        <w:tc>
          <w:tcPr>
            <w:tcW w:w="2011" w:type="dxa"/>
            <w:tcBorders/>
            <w:vAlign w:val="center"/>
          </w:tcPr>
          <w:p>
            <w:pPr>
              <w:pStyle w:val="TableContents"/>
              <w:bidi w:val="0"/>
              <w:spacing w:before="0" w:after="283"/>
              <w:jc w:val="both"/>
              <w:rPr/>
            </w:pPr>
            <w:r>
              <w:rPr/>
              <w:t> </w:t>
            </w:r>
          </w:p>
        </w:tc>
      </w:tr>
      <w:tr>
        <w:trPr/>
        <w:tc>
          <w:tcPr>
            <w:tcW w:w="2999" w:type="dxa"/>
            <w:gridSpan w:val="3"/>
            <w:tcBorders/>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Name:</w:t>
            </w:r>
          </w:p>
        </w:tc>
        <w:tc>
          <w:tcPr>
            <w:tcW w:w="775" w:type="dxa"/>
            <w:tcBorders/>
            <w:vAlign w:val="center"/>
          </w:tcPr>
          <w:p>
            <w:pPr>
              <w:pStyle w:val="TableContents"/>
              <w:bidi w:val="0"/>
              <w:spacing w:before="0" w:after="283"/>
              <w:jc w:val="left"/>
              <w:rPr>
                <w:sz w:val="4"/>
                <w:szCs w:val="4"/>
              </w:rPr>
            </w:pPr>
            <w:r>
              <w:rPr>
                <w:sz w:val="4"/>
                <w:szCs w:val="4"/>
              </w:rPr>
            </w:r>
          </w:p>
        </w:tc>
        <w:tc>
          <w:tcPr>
            <w:tcW w:w="1665" w:type="dxa"/>
            <w:gridSpan w:val="3"/>
            <w:tcBorders/>
            <w:vAlign w:val="center"/>
          </w:tcPr>
          <w:p>
            <w:pPr>
              <w:pStyle w:val="TableContents"/>
              <w:pBdr>
                <w:bottom w:val="single" w:sz="6" w:space="1" w:color="000000"/>
              </w:pBdr>
              <w:bidi w:val="0"/>
              <w:spacing w:before="0" w:after="15"/>
              <w:jc w:val="both"/>
              <w:rPr>
                <w:rFonts w:ascii="Times New Roman" w:hAnsi="Times New Roman"/>
                <w:color w:val="000000"/>
                <w:sz w:val="22"/>
              </w:rPr>
            </w:pPr>
            <w:r>
              <w:rPr>
                <w:rFonts w:ascii="Times New Roman" w:hAnsi="Times New Roman"/>
                <w:color w:val="000000"/>
                <w:sz w:val="22"/>
              </w:rPr>
              <w:t>Luke J. Albrecht</w:t>
            </w:r>
          </w:p>
        </w:tc>
        <w:tc>
          <w:tcPr>
            <w:tcW w:w="146" w:type="dxa"/>
            <w:tcBorders/>
            <w:vAlign w:val="center"/>
          </w:tcPr>
          <w:p>
            <w:pPr>
              <w:pStyle w:val="TableContents"/>
              <w:bidi w:val="0"/>
              <w:spacing w:before="0" w:after="283"/>
              <w:jc w:val="left"/>
              <w:rPr>
                <w:sz w:val="4"/>
                <w:szCs w:val="4"/>
              </w:rPr>
            </w:pPr>
            <w:r>
              <w:rPr>
                <w:sz w:val="4"/>
                <w:szCs w:val="4"/>
              </w:rPr>
            </w:r>
          </w:p>
        </w:tc>
        <w:tc>
          <w:tcPr>
            <w:tcW w:w="364" w:type="dxa"/>
            <w:gridSpan w:val="3"/>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both"/>
              <w:rPr/>
            </w:pPr>
            <w:r>
              <w:rPr/>
              <w:t> </w:t>
            </w:r>
          </w:p>
        </w:tc>
        <w:tc>
          <w:tcPr>
            <w:tcW w:w="781" w:type="dxa"/>
            <w:tcBorders/>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 xml:space="preserve">Name: </w:t>
            </w:r>
          </w:p>
        </w:tc>
        <w:tc>
          <w:tcPr>
            <w:tcW w:w="2011" w:type="dxa"/>
            <w:tcBorders/>
            <w:vAlign w:val="center"/>
          </w:tcPr>
          <w:p>
            <w:pPr>
              <w:pStyle w:val="TableContents"/>
              <w:pBdr>
                <w:bottom w:val="single" w:sz="6" w:space="1" w:color="000000"/>
              </w:pBdr>
              <w:bidi w:val="0"/>
              <w:spacing w:before="0" w:after="15"/>
              <w:jc w:val="both"/>
              <w:rPr>
                <w:rFonts w:ascii="Times New Roman" w:hAnsi="Times New Roman"/>
                <w:color w:val="000000"/>
                <w:sz w:val="22"/>
              </w:rPr>
            </w:pPr>
            <w:r>
              <w:rPr>
                <w:rFonts w:ascii="Times New Roman" w:hAnsi="Times New Roman"/>
                <w:color w:val="000000"/>
                <w:sz w:val="22"/>
              </w:rPr>
              <w:t>Michael A. Metzger</w:t>
            </w:r>
          </w:p>
        </w:tc>
      </w:tr>
      <w:tr>
        <w:trPr/>
        <w:tc>
          <w:tcPr>
            <w:tcW w:w="2999" w:type="dxa"/>
            <w:gridSpan w:val="3"/>
            <w:tcBorders/>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Title:</w:t>
            </w:r>
          </w:p>
        </w:tc>
        <w:tc>
          <w:tcPr>
            <w:tcW w:w="775" w:type="dxa"/>
            <w:tcBorders/>
            <w:vAlign w:val="center"/>
          </w:tcPr>
          <w:p>
            <w:pPr>
              <w:pStyle w:val="TableContents"/>
              <w:bidi w:val="0"/>
              <w:spacing w:before="0" w:after="283"/>
              <w:jc w:val="both"/>
              <w:rPr/>
            </w:pPr>
            <w:r>
              <w:rPr/>
              <w:t> </w:t>
            </w:r>
          </w:p>
        </w:tc>
        <w:tc>
          <w:tcPr>
            <w:tcW w:w="1665" w:type="dxa"/>
            <w:gridSpan w:val="3"/>
            <w:tcBorders/>
            <w:vAlign w:val="center"/>
          </w:tcPr>
          <w:p>
            <w:pPr>
              <w:pStyle w:val="TableContents"/>
              <w:pBdr>
                <w:bottom w:val="single" w:sz="6" w:space="1" w:color="000000"/>
              </w:pBdr>
              <w:bidi w:val="0"/>
              <w:spacing w:before="0" w:after="15"/>
              <w:jc w:val="both"/>
              <w:rPr>
                <w:rFonts w:ascii="Times New Roman" w:hAnsi="Times New Roman"/>
                <w:color w:val="000000"/>
                <w:sz w:val="22"/>
              </w:rPr>
            </w:pPr>
            <w:r>
              <w:rPr>
                <w:rFonts w:ascii="Times New Roman" w:hAnsi="Times New Roman"/>
                <w:color w:val="000000"/>
                <w:sz w:val="22"/>
              </w:rPr>
              <w:t>General Counsel</w:t>
            </w:r>
          </w:p>
        </w:tc>
        <w:tc>
          <w:tcPr>
            <w:tcW w:w="146" w:type="dxa"/>
            <w:tcBorders/>
            <w:vAlign w:val="center"/>
          </w:tcPr>
          <w:p>
            <w:pPr>
              <w:pStyle w:val="TableContents"/>
              <w:bidi w:val="0"/>
              <w:spacing w:before="0" w:after="283"/>
              <w:jc w:val="both"/>
              <w:rPr/>
            </w:pPr>
            <w:r>
              <w:rPr/>
              <w:t> </w:t>
            </w:r>
          </w:p>
        </w:tc>
        <w:tc>
          <w:tcPr>
            <w:tcW w:w="364" w:type="dxa"/>
            <w:gridSpan w:val="3"/>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496" w:type="dxa"/>
            <w:tcBorders/>
            <w:vAlign w:val="center"/>
          </w:tcPr>
          <w:p>
            <w:pPr>
              <w:pStyle w:val="TableContents"/>
              <w:bidi w:val="0"/>
              <w:spacing w:before="0" w:after="283"/>
              <w:jc w:val="both"/>
              <w:rPr/>
            </w:pPr>
            <w:r>
              <w:rPr/>
              <w:t> </w:t>
            </w:r>
          </w:p>
        </w:tc>
        <w:tc>
          <w:tcPr>
            <w:tcW w:w="781" w:type="dxa"/>
            <w:tcBorders/>
            <w:vAlign w:val="center"/>
          </w:tcPr>
          <w:p>
            <w:pPr>
              <w:pStyle w:val="TableContents"/>
              <w:bidi w:val="0"/>
              <w:spacing w:before="0" w:after="283"/>
              <w:jc w:val="both"/>
              <w:rPr/>
            </w:pPr>
            <w:r>
              <w:rPr/>
              <w:t> </w:t>
            </w:r>
          </w:p>
        </w:tc>
        <w:tc>
          <w:tcPr>
            <w:tcW w:w="2011" w:type="dxa"/>
            <w:tcBorders/>
            <w:vAlign w:val="center"/>
          </w:tcPr>
          <w:p>
            <w:pPr>
              <w:pStyle w:val="TableContents"/>
              <w:pBdr>
                <w:bottom w:val="single" w:sz="6" w:space="1" w:color="000000"/>
              </w:pBdr>
              <w:bidi w:val="0"/>
              <w:spacing w:before="0" w:after="15"/>
              <w:jc w:val="both"/>
              <w:rPr/>
            </w:pPr>
            <w:r>
              <w:rPr/>
              <w:t> </w:t>
            </w:r>
          </w:p>
        </w:tc>
      </w:tr>
    </w:tbl>
    <w:p>
      <w:pPr>
        <w:pStyle w:val="TextBody"/>
        <w:bidi w:val="0"/>
        <w:jc w:val="center"/>
        <w:rPr>
          <w:rFonts w:ascii="Times New Roman" w:hAnsi="Times New Roman"/>
          <w:sz w:val="20"/>
        </w:rPr>
      </w:pPr>
      <w:r>
        <w:rPr>
          <w:rFonts w:ascii="Times New Roman" w:hAnsi="Times New Roman"/>
          <w:color w:val="000000"/>
          <w:sz w:val="22"/>
        </w:rPr>
        <w:t>1</w:t>
      </w:r>
      <w:r>
        <w:rPr>
          <w:rFonts w:ascii="Arial" w:hAnsi="Arial"/>
          <w:color w:val="000000"/>
          <w:sz w:val="17"/>
        </w:rPr>
        <w:t>.</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2"/>
        </w:rPr>
      </w:pPr>
      <w:bookmarkStart w:id="45" w:name="sndx-ex10_22.htm"/>
      <w:bookmarkStart w:id="46" w:name="kssndxex10_22"/>
      <w:bookmarkEnd w:id="45"/>
      <w:bookmarkEnd w:id="46"/>
      <w:r>
        <w:rPr>
          <w:rFonts w:ascii="Times New Roman" w:hAnsi="Times New Roman"/>
          <w:color w:val="000000"/>
          <w:sz w:val="22"/>
        </w:rPr>
        <w:t>Exhibit 10.22</w:t>
      </w:r>
      <w:r>
        <w:br w:type="page"/>
      </w:r>
    </w:p>
    <w:p>
      <w:pPr>
        <w:pStyle w:val="TextBody"/>
        <w:bidi w:val="0"/>
        <w:spacing w:before="78" w:after="283"/>
        <w:jc w:val="center"/>
        <w:rPr>
          <w:rFonts w:ascii="Times New Roman" w:hAnsi="Times New Roman"/>
          <w:b/>
          <w:color w:val="000000"/>
          <w:sz w:val="22"/>
        </w:rPr>
      </w:pPr>
      <w:r>
        <w:rPr>
          <w:rFonts w:ascii="Times New Roman" w:hAnsi="Times New Roman"/>
          <w:b/>
          <w:color w:val="000000"/>
          <w:sz w:val="22"/>
        </w:rPr>
        <w:t>AMENDED &amp; RESTATED</w:t>
      </w:r>
    </w:p>
    <w:p>
      <w:pPr>
        <w:pStyle w:val="TextBody"/>
        <w:bidi w:val="0"/>
        <w:spacing w:before="78" w:after="283"/>
        <w:jc w:val="center"/>
        <w:rPr>
          <w:rFonts w:ascii="Times New Roman" w:hAnsi="Times New Roman"/>
          <w:b/>
          <w:color w:val="000000"/>
          <w:sz w:val="22"/>
        </w:rPr>
      </w:pPr>
      <w:r>
        <w:rPr>
          <w:rFonts w:ascii="Times New Roman" w:hAnsi="Times New Roman"/>
          <w:b/>
          <w:color w:val="000000"/>
          <w:sz w:val="22"/>
        </w:rPr>
        <w:t>EXECUTIVE EMPLOYMENT AGREEMENT</w:t>
      </w:r>
    </w:p>
    <w:p>
      <w:pPr>
        <w:pStyle w:val="TextBody"/>
        <w:bidi w:val="0"/>
        <w:spacing w:before="4" w:after="283"/>
        <w:jc w:val="left"/>
        <w:rPr/>
      </w:pPr>
      <w:r>
        <w:rPr/>
        <w:t> </w:t>
      </w:r>
    </w:p>
    <w:p>
      <w:pPr>
        <w:pStyle w:val="TextBody"/>
        <w:bidi w:val="0"/>
        <w:spacing w:before="1" w:after="283"/>
        <w:jc w:val="both"/>
        <w:rPr>
          <w:rFonts w:ascii="Times New Roman" w:hAnsi="Times New Roman"/>
          <w:sz w:val="20"/>
        </w:rPr>
      </w:pPr>
      <w:r>
        <w:rPr>
          <w:rFonts w:ascii="Times New Roman" w:hAnsi="Times New Roman"/>
          <w:color w:val="000000"/>
          <w:sz w:val="22"/>
        </w:rPr>
        <w:t xml:space="preserve">This </w:t>
      </w:r>
      <w:r>
        <w:rPr>
          <w:rFonts w:ascii="Times New Roman" w:hAnsi="Times New Roman"/>
          <w:b/>
          <w:color w:val="000000"/>
          <w:sz w:val="22"/>
        </w:rPr>
        <w:t>AMENDED AND RESTATED EXECUTIVE EMPLOYMENT AGREEMENT</w:t>
      </w:r>
      <w:r>
        <w:rPr>
          <w:rFonts w:ascii="Times New Roman" w:hAnsi="Times New Roman"/>
          <w:color w:val="000000"/>
          <w:sz w:val="20"/>
        </w:rPr>
        <w:t xml:space="preserve"> </w:t>
      </w:r>
      <w:r>
        <w:rPr>
          <w:rFonts w:ascii="Times New Roman" w:hAnsi="Times New Roman"/>
          <w:color w:val="000000"/>
          <w:sz w:val="22"/>
        </w:rPr>
        <w:t>(this “</w:t>
      </w:r>
      <w:r>
        <w:rPr>
          <w:rFonts w:ascii="Times New Roman" w:hAnsi="Times New Roman"/>
          <w:b/>
          <w:i/>
          <w:color w:val="000000"/>
          <w:sz w:val="22"/>
        </w:rPr>
        <w:t>Agreement</w:t>
      </w:r>
      <w:r>
        <w:rPr>
          <w:rFonts w:ascii="Times New Roman" w:hAnsi="Times New Roman"/>
          <w:color w:val="000000"/>
          <w:sz w:val="20"/>
        </w:rPr>
        <w:t>”</w:t>
      </w:r>
      <w:r>
        <w:rPr>
          <w:rFonts w:ascii="Times New Roman" w:hAnsi="Times New Roman"/>
          <w:color w:val="000000"/>
          <w:sz w:val="22"/>
        </w:rPr>
        <w:t>) is entered into as of the 27th day of April, 2020 (the “</w:t>
      </w:r>
      <w:r>
        <w:rPr>
          <w:rFonts w:ascii="Times New Roman" w:hAnsi="Times New Roman"/>
          <w:b/>
          <w:i/>
          <w:color w:val="000000"/>
          <w:sz w:val="22"/>
        </w:rPr>
        <w:t>Effective Date</w:t>
      </w:r>
      <w:r>
        <w:rPr>
          <w:rFonts w:ascii="Times New Roman" w:hAnsi="Times New Roman"/>
          <w:color w:val="000000"/>
          <w:sz w:val="20"/>
        </w:rPr>
        <w:t>”</w:t>
      </w:r>
      <w:r>
        <w:rPr>
          <w:rFonts w:ascii="Times New Roman" w:hAnsi="Times New Roman"/>
          <w:color w:val="000000"/>
          <w:sz w:val="22"/>
        </w:rPr>
        <w:t xml:space="preserve">), between </w:t>
      </w:r>
      <w:r>
        <w:rPr>
          <w:rFonts w:ascii="Times New Roman" w:hAnsi="Times New Roman"/>
          <w:b/>
          <w:color w:val="000000"/>
          <w:sz w:val="22"/>
        </w:rPr>
        <w:t>LUKE J. ALBRECHT</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b/>
          <w:i/>
          <w:color w:val="000000"/>
          <w:sz w:val="22"/>
        </w:rPr>
        <w:t>Executive</w:t>
      </w:r>
      <w:r>
        <w:rPr>
          <w:rFonts w:ascii="Times New Roman" w:hAnsi="Times New Roman"/>
          <w:color w:val="000000"/>
          <w:sz w:val="20"/>
        </w:rPr>
        <w:t>”</w:t>
      </w:r>
      <w:r>
        <w:rPr>
          <w:rFonts w:ascii="Times New Roman" w:hAnsi="Times New Roman"/>
          <w:color w:val="000000"/>
          <w:sz w:val="22"/>
        </w:rPr>
        <w:t xml:space="preserve">) and </w:t>
      </w:r>
      <w:r>
        <w:rPr>
          <w:rFonts w:ascii="Times New Roman" w:hAnsi="Times New Roman"/>
          <w:b/>
          <w:color w:val="000000"/>
          <w:sz w:val="22"/>
        </w:rPr>
        <w:t>SYNDAX PHARMACEUTICALS, INC.</w:t>
      </w:r>
      <w:r>
        <w:rPr>
          <w:rFonts w:ascii="Times New Roman" w:hAnsi="Times New Roman"/>
          <w:color w:val="000000"/>
          <w:sz w:val="20"/>
        </w:rPr>
        <w:t xml:space="preserve"> </w:t>
      </w:r>
      <w:r>
        <w:rPr>
          <w:rFonts w:ascii="Times New Roman" w:hAnsi="Times New Roman"/>
          <w:color w:val="000000"/>
          <w:sz w:val="22"/>
        </w:rPr>
        <w:t>(the “</w:t>
      </w:r>
      <w:r>
        <w:rPr>
          <w:rFonts w:ascii="Times New Roman" w:hAnsi="Times New Roman"/>
          <w:b/>
          <w:i/>
          <w:color w:val="000000"/>
          <w:sz w:val="22"/>
        </w:rPr>
        <w:t>Company</w:t>
      </w:r>
      <w:r>
        <w:rPr>
          <w:rFonts w:ascii="Times New Roman" w:hAnsi="Times New Roman"/>
          <w:color w:val="000000"/>
          <w:sz w:val="20"/>
        </w:rPr>
        <w:t>”</w:t>
      </w:r>
      <w:r>
        <w:rPr>
          <w:rFonts w:ascii="Times New Roman" w:hAnsi="Times New Roman"/>
          <w:color w:val="000000"/>
          <w:sz w:val="22"/>
        </w:rPr>
        <w:t>). Certain capitalized terms used in this Agreement are defined in Article 6.</w:t>
      </w:r>
    </w:p>
    <w:p>
      <w:pPr>
        <w:pStyle w:val="TextBody"/>
        <w:bidi w:val="0"/>
        <w:spacing w:before="4" w:after="283"/>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RECITALS</w:t>
      </w:r>
    </w:p>
    <w:p>
      <w:pPr>
        <w:pStyle w:val="TextBody"/>
        <w:bidi w:val="0"/>
        <w:spacing w:before="4" w:after="283"/>
        <w:jc w:val="left"/>
        <w:rPr/>
      </w:pPr>
      <w:r>
        <w:rPr/>
        <w:t>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A.</w:t>
      </w:r>
    </w:p>
    <w:p>
      <w:pPr>
        <w:pStyle w:val="TextBody"/>
        <w:bidi w:val="0"/>
        <w:jc w:val="both"/>
        <w:rPr>
          <w:rFonts w:ascii="Times New Roman" w:hAnsi="Times New Roman"/>
          <w:color w:val="000000"/>
          <w:sz w:val="22"/>
        </w:rPr>
      </w:pPr>
      <w:r>
        <w:rPr>
          <w:rFonts w:ascii="Times New Roman" w:hAnsi="Times New Roman"/>
          <w:color w:val="000000"/>
          <w:sz w:val="22"/>
        </w:rPr>
        <w:t>The Company is a biopharmaceutical company.</w:t>
      </w:r>
    </w:p>
    <w:p>
      <w:pPr>
        <w:pStyle w:val="TextBody"/>
        <w:bidi w:val="0"/>
        <w:jc w:val="left"/>
        <w:rPr/>
      </w:pPr>
      <w:r>
        <w:rPr/>
        <w:t>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B.</w:t>
      </w:r>
    </w:p>
    <w:p>
      <w:pPr>
        <w:pStyle w:val="TextBody"/>
        <w:bidi w:val="0"/>
        <w:jc w:val="both"/>
        <w:rPr>
          <w:rFonts w:ascii="Times New Roman" w:hAnsi="Times New Roman"/>
          <w:color w:val="000000"/>
          <w:sz w:val="22"/>
        </w:rPr>
      </w:pPr>
      <w:r>
        <w:rPr>
          <w:rFonts w:ascii="Times New Roman" w:hAnsi="Times New Roman"/>
          <w:color w:val="000000"/>
          <w:sz w:val="22"/>
        </w:rPr>
        <w:t>The Company desires to continue to employ Executive in the position set forth below, and Executive wishes to continue to be employed by the Company in such position, upon the terms and conditions set forth in this Agreement.</w:t>
      </w:r>
    </w:p>
    <w:p>
      <w:pPr>
        <w:pStyle w:val="TextBody"/>
        <w:bidi w:val="0"/>
        <w:spacing w:before="3" w:after="283"/>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AGREEMENT</w:t>
      </w:r>
    </w:p>
    <w:p>
      <w:pPr>
        <w:pStyle w:val="TextBody"/>
        <w:bidi w:val="0"/>
        <w:spacing w:before="4" w:after="283"/>
        <w:jc w:val="left"/>
        <w:rPr/>
      </w:pPr>
      <w:r>
        <w:rPr/>
        <w:t> </w:t>
      </w:r>
    </w:p>
    <w:p>
      <w:pPr>
        <w:pStyle w:val="TextBody"/>
        <w:bidi w:val="0"/>
        <w:jc w:val="left"/>
        <w:rPr>
          <w:rFonts w:ascii="Times New Roman" w:hAnsi="Times New Roman"/>
          <w:sz w:val="20"/>
        </w:rPr>
      </w:pPr>
      <w:r>
        <w:rPr>
          <w:rFonts w:ascii="Times New Roman" w:hAnsi="Times New Roman"/>
          <w:b/>
          <w:color w:val="000000"/>
          <w:sz w:val="22"/>
        </w:rPr>
        <w:t>NOW, THEREFORE</w:t>
      </w:r>
      <w:r>
        <w:rPr>
          <w:rFonts w:ascii="Times New Roman" w:hAnsi="Times New Roman"/>
          <w:color w:val="000000"/>
          <w:sz w:val="22"/>
        </w:rPr>
        <w:t>, in consideration of the mutual promises contained herein, the Company and Executive agree as follows:</w:t>
      </w:r>
    </w:p>
    <w:p>
      <w:pPr>
        <w:pStyle w:val="TextBody"/>
        <w:bidi w:val="0"/>
        <w:spacing w:before="10" w:after="283"/>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ARTICLE 1</w:t>
      </w:r>
    </w:p>
    <w:p>
      <w:pPr>
        <w:pStyle w:val="TextBody"/>
        <w:bidi w:val="0"/>
        <w:jc w:val="center"/>
        <w:rPr>
          <w:rFonts w:ascii="Times New Roman" w:hAnsi="Times New Roman"/>
          <w:b/>
          <w:color w:val="000000"/>
          <w:sz w:val="22"/>
        </w:rPr>
      </w:pPr>
      <w:r>
        <w:rPr>
          <w:rFonts w:ascii="Times New Roman" w:hAnsi="Times New Roman"/>
          <w:b/>
          <w:color w:val="000000"/>
          <w:sz w:val="22"/>
        </w:rPr>
        <w:t>TERMS OF EMPLOYMENT</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1.1.</w:t>
      </w:r>
    </w:p>
    <w:p>
      <w:pPr>
        <w:pStyle w:val="TextBody"/>
        <w:bidi w:val="0"/>
        <w:jc w:val="both"/>
        <w:rPr/>
      </w:pPr>
      <w:r>
        <w:rPr>
          <w:rFonts w:ascii="Times New Roman" w:hAnsi="Times New Roman"/>
          <w:b/>
          <w:color w:val="000000"/>
          <w:sz w:val="22"/>
        </w:rPr>
        <w:t>Appointment</w:t>
      </w:r>
      <w:r>
        <w:rPr>
          <w:rFonts w:ascii="Times New Roman" w:hAnsi="Times New Roman"/>
          <w:color w:val="000000"/>
          <w:sz w:val="22"/>
        </w:rPr>
        <w:t>. Executive shall serve as Senior Vice President, General Counsel and Secretary, reporting to the President and Chief Operating Officer. As Senior Vice President, General Counsel and Secretary, Executive will have such duties and responsibilities as may be assigned to Executive. During Executive’s employment with the Company, Executive shall (i) devote substantially all of Executive’s business efforts to the Company provided, however, that Executive may participate in charitable, civic, educational, professional, community or industry affairs so long as such activities do not conflict with or are not detrimental to the Company’s best interests, as determined in good faith by the Board, and (ii) faithfully and to the best of Executive’s abilities and experience, and in accordance with the standards and ethics of the business in which the Company is engaged, perform all duties that may be required of Executive by this Agreement, the Company’s policies and procedures, and such other duties and responsibilities as may be assigned to Executive from time to time. During Executive’s employment with the Company, Executive shall not engage in any activity that conflicts with or is detrimental to the Company’s best interests, as determined by the Board. Executive and the Company acknowledge that Executive’s primary office will be located at the Company’s New York City office, but that Executive may be required to spend a certain amount of time each month at the Company’s Waltham headquarters.</w:t>
      </w:r>
    </w:p>
    <w:p>
      <w:pPr>
        <w:pStyle w:val="TextBody"/>
        <w:bidi w:val="0"/>
        <w:spacing w:before="10" w:after="283"/>
        <w:jc w:val="left"/>
        <w:rPr/>
      </w:pPr>
      <w:r>
        <w:rPr/>
        <w:t> </w:t>
      </w:r>
    </w:p>
    <w:p>
      <w:pPr>
        <w:pStyle w:val="TextBody"/>
        <w:bidi w:val="0"/>
        <w:spacing w:before="1" w:after="283"/>
        <w:jc w:val="both"/>
        <w:rPr>
          <w:rFonts w:ascii="Times New Roman" w:hAnsi="Times New Roman"/>
          <w:b/>
          <w:color w:val="000000"/>
          <w:sz w:val="22"/>
        </w:rPr>
      </w:pPr>
      <w:r>
        <w:rPr>
          <w:rFonts w:ascii="Times New Roman" w:hAnsi="Times New Roman"/>
          <w:b/>
          <w:color w:val="000000"/>
          <w:sz w:val="22"/>
        </w:rPr>
        <w:t>1.2.</w:t>
      </w:r>
    </w:p>
    <w:p>
      <w:pPr>
        <w:pStyle w:val="TextBody"/>
        <w:bidi w:val="0"/>
        <w:spacing w:before="1" w:after="283"/>
        <w:jc w:val="both"/>
        <w:rPr/>
      </w:pPr>
      <w:r>
        <w:rPr>
          <w:rFonts w:ascii="Times New Roman" w:hAnsi="Times New Roman"/>
          <w:b/>
          <w:color w:val="000000"/>
          <w:sz w:val="22"/>
        </w:rPr>
        <w:t>Employment Term</w:t>
      </w:r>
      <w:r>
        <w:rPr>
          <w:rFonts w:ascii="Times New Roman" w:hAnsi="Times New Roman"/>
          <w:color w:val="000000"/>
          <w:sz w:val="22"/>
        </w:rPr>
        <w:t>. Executive will be employed by the Company on an “at-will” basis. This means that either the Company or Executive may terminate Executive’s employment at any time, for any reason, with or without Cause, and with or without advance notice (provided that Resignation for Good Reason (as defined below) requires certain advanced notice by Executive. It also means that Executive’s job title, duties, responsibilities, reporting level, compensation and benefits, as well as the Company’s personnel policies and procedures, may be changed with or without notice at any time in the Company’s sole discretion. This at-will employment relationship shall not be modified by any conflicting actions or representations of any Company employee or other party before or during the term of Executive’s employment.</w:t>
      </w:r>
    </w:p>
    <w:p>
      <w:pPr>
        <w:pStyle w:val="TextBody"/>
        <w:bidi w:val="0"/>
        <w:spacing w:before="8" w:after="283"/>
        <w:jc w:val="left"/>
        <w:rPr/>
      </w:pPr>
      <w:r>
        <w:rPr/>
        <w:t>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1.3.</w:t>
      </w:r>
    </w:p>
    <w:p>
      <w:pPr>
        <w:pStyle w:val="TextBody"/>
        <w:bidi w:val="0"/>
        <w:jc w:val="both"/>
        <w:rPr/>
      </w:pPr>
      <w:r>
        <w:rPr>
          <w:rFonts w:ascii="Times New Roman" w:hAnsi="Times New Roman"/>
          <w:b/>
          <w:color w:val="000000"/>
          <w:sz w:val="22"/>
        </w:rPr>
        <w:t>Compensation</w:t>
      </w:r>
      <w:r>
        <w:rPr>
          <w:rFonts w:ascii="Times New Roman" w:hAnsi="Times New Roman"/>
          <w:color w:val="000000"/>
          <w:sz w:val="22"/>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3"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73" w:after="283"/>
        <w:jc w:val="both"/>
        <w:rPr/>
      </w:pPr>
      <w:r>
        <w:rPr>
          <w:rFonts w:ascii="Times New Roman" w:hAnsi="Times New Roman"/>
          <w:b/>
          <w:color w:val="000000"/>
          <w:sz w:val="22"/>
        </w:rPr>
        <w:t>Annual Base Salary</w:t>
      </w:r>
      <w:r>
        <w:rPr>
          <w:rFonts w:ascii="Times New Roman" w:hAnsi="Times New Roman"/>
          <w:color w:val="000000"/>
          <w:sz w:val="22"/>
        </w:rPr>
        <w:t>. Executive’s annual base salary shall be $390,719 per year (“</w:t>
      </w:r>
      <w:r>
        <w:rPr>
          <w:rFonts w:ascii="Times New Roman" w:hAnsi="Times New Roman"/>
          <w:b/>
          <w:i/>
          <w:color w:val="000000"/>
          <w:sz w:val="22"/>
        </w:rPr>
        <w:t>Annual Base Salary</w:t>
      </w:r>
      <w:r>
        <w:rPr>
          <w:color w:val="000000"/>
        </w:rPr>
        <w:t>”</w:t>
      </w:r>
      <w:r>
        <w:rPr>
          <w:rFonts w:ascii="Times New Roman" w:hAnsi="Times New Roman"/>
          <w:color w:val="000000"/>
          <w:sz w:val="22"/>
        </w:rPr>
        <w:t>), payable in equal installments, less applicable deductions and withholdings, in accordance with the Company’s standard payroll practices. Executive’s Annual Base Salary shall be subject to review by the Company’s compensation committee and may be increased or decreased from time to time, but shall not be reduced unless, and only to the extent that, the base salaries of all other similarly situated executives of the Company are proportionately reduced.</w:t>
      </w:r>
    </w:p>
    <w:p>
      <w:pPr>
        <w:pStyle w:val="TextBody"/>
        <w:bidi w:val="0"/>
        <w:spacing w:before="9" w:after="283"/>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b)</w:t>
      </w:r>
    </w:p>
    <w:p>
      <w:pPr>
        <w:pStyle w:val="TextBody"/>
        <w:bidi w:val="0"/>
        <w:jc w:val="both"/>
        <w:rPr/>
      </w:pPr>
      <w:r>
        <w:rPr>
          <w:rFonts w:ascii="Times New Roman" w:hAnsi="Times New Roman"/>
          <w:b/>
          <w:color w:val="000000"/>
          <w:sz w:val="22"/>
        </w:rPr>
        <w:t>Benefits</w:t>
      </w:r>
      <w:r>
        <w:rPr>
          <w:rFonts w:ascii="Times New Roman" w:hAnsi="Times New Roman"/>
          <w:color w:val="000000"/>
          <w:sz w:val="22"/>
        </w:rPr>
        <w:t>. Executive will be entitled to participate in all of the employee benefits and benefit plans that the Company generally makes available to its full-time employees and executives and for which Executive is eligible in accordance with the Company’s policies as in effect from time to time. These benefits are subject to the terms, conditions, and eligibility requirements that govern or apply to them.</w:t>
      </w:r>
    </w:p>
    <w:p>
      <w:pPr>
        <w:pStyle w:val="TextBody"/>
        <w:bidi w:val="0"/>
        <w:spacing w:before="10" w:after="283"/>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c)</w:t>
      </w:r>
    </w:p>
    <w:p>
      <w:pPr>
        <w:pStyle w:val="TextBody"/>
        <w:bidi w:val="0"/>
        <w:jc w:val="both"/>
        <w:rPr/>
      </w:pPr>
      <w:r>
        <w:rPr>
          <w:rFonts w:ascii="Times New Roman" w:hAnsi="Times New Roman"/>
          <w:b/>
          <w:color w:val="000000"/>
          <w:sz w:val="22"/>
        </w:rPr>
        <w:t>Bonus</w:t>
      </w:r>
      <w:r>
        <w:rPr>
          <w:rFonts w:ascii="Times New Roman" w:hAnsi="Times New Roman"/>
          <w:color w:val="000000"/>
          <w:sz w:val="22"/>
        </w:rPr>
        <w:t>. In addition to Annual Base Salary, Executive shall be eligible to earn an annual performance bonus of up to forty percent (40%) of Executive’s Annual Base Salary, which bonus shall be based upon Executive’s attainment of objectives to be determined by the Board (or the compensation committee thereof, as such determination may be delegated by the Board to the compensation committee) and continued employment with the Company as described below (the “</w:t>
      </w:r>
      <w:r>
        <w:rPr>
          <w:rFonts w:ascii="Times New Roman" w:hAnsi="Times New Roman"/>
          <w:b/>
          <w:i/>
          <w:color w:val="000000"/>
          <w:sz w:val="22"/>
        </w:rPr>
        <w:t>Target Performance Bonus</w:t>
      </w:r>
      <w:r>
        <w:rPr>
          <w:color w:val="000000"/>
        </w:rPr>
        <w:t>”</w:t>
      </w:r>
      <w:r>
        <w:rPr>
          <w:rFonts w:ascii="Times New Roman" w:hAnsi="Times New Roman"/>
          <w:color w:val="000000"/>
          <w:sz w:val="22"/>
        </w:rPr>
        <w:t>). The amount of and Executive’s eligibility for the Target Performance Bonus shall be determined in the sole discretion of the Board (or the compensation committee thereof, as such determination may be delegated by the Board to the compensation committee). If earned, any Target Performance Bonus shall be paid to Executive, less authorized deductions and applicable withholdings, on or before the February 15</w:t>
      </w:r>
      <w:r>
        <w:rPr>
          <w:rFonts w:ascii="Times New Roman" w:hAnsi="Times New Roman"/>
          <w:color w:val="000000"/>
          <w:sz w:val="15"/>
        </w:rPr>
        <w:t>th</w:t>
      </w:r>
      <w:r>
        <w:rPr>
          <w:color w:val="000000"/>
        </w:rPr>
        <w:t xml:space="preserve"> </w:t>
      </w:r>
      <w:r>
        <w:rPr>
          <w:rFonts w:ascii="Times New Roman" w:hAnsi="Times New Roman"/>
          <w:color w:val="000000"/>
          <w:sz w:val="22"/>
        </w:rPr>
        <w:t>following the applicable bonus year. Except as provided in Section 2.2, Executive shall be eligible to earn the Target Performance Bonus only if Executive is actively employed and in good standing with the Company on both the determination and payment dates for the Target Performance Bonus.</w:t>
      </w:r>
    </w:p>
    <w:p>
      <w:pPr>
        <w:pStyle w:val="TextBody"/>
        <w:bidi w:val="0"/>
        <w:spacing w:before="11" w:after="283"/>
        <w:jc w:val="left"/>
        <w:rPr/>
      </w:pPr>
      <w:r>
        <w:rPr/>
        <w:t>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1.4.</w:t>
      </w:r>
    </w:p>
    <w:p>
      <w:pPr>
        <w:pStyle w:val="TextBody"/>
        <w:bidi w:val="0"/>
        <w:jc w:val="both"/>
        <w:rPr/>
      </w:pPr>
      <w:r>
        <w:rPr>
          <w:rFonts w:ascii="Times New Roman" w:hAnsi="Times New Roman"/>
          <w:b/>
          <w:color w:val="000000"/>
          <w:sz w:val="22"/>
        </w:rPr>
        <w:t>Reimbursement of Expenses</w:t>
      </w:r>
      <w:r>
        <w:rPr>
          <w:rFonts w:ascii="Times New Roman" w:hAnsi="Times New Roman"/>
          <w:color w:val="000000"/>
          <w:sz w:val="22"/>
        </w:rPr>
        <w:t>. Subject to Section 4.10(c), the Company shall reimburse Executive for Executive’s necessary and reasonable business expenses incurred in connection with Executive’s duties in accordance with the Company’s generally applicable policies.</w:t>
      </w:r>
    </w:p>
    <w:p>
      <w:pPr>
        <w:pStyle w:val="TextBody"/>
        <w:bidi w:val="0"/>
        <w:spacing w:before="9" w:after="283"/>
        <w:jc w:val="left"/>
        <w:rPr/>
      </w:pPr>
      <w:r>
        <w:rPr/>
        <w:t> </w:t>
      </w:r>
    </w:p>
    <w:p>
      <w:pPr>
        <w:pStyle w:val="TextBody"/>
        <w:bidi w:val="0"/>
        <w:spacing w:before="78" w:after="283"/>
        <w:jc w:val="center"/>
        <w:rPr>
          <w:rFonts w:ascii="Times New Roman" w:hAnsi="Times New Roman"/>
          <w:b/>
          <w:color w:val="000000"/>
          <w:sz w:val="22"/>
        </w:rPr>
      </w:pPr>
      <w:r>
        <w:rPr>
          <w:rFonts w:ascii="Times New Roman" w:hAnsi="Times New Roman"/>
          <w:b/>
          <w:color w:val="000000"/>
          <w:sz w:val="22"/>
        </w:rPr>
        <w:t>ARTICLE 2</w:t>
      </w:r>
    </w:p>
    <w:p>
      <w:pPr>
        <w:pStyle w:val="TextBody"/>
        <w:bidi w:val="0"/>
        <w:spacing w:before="1" w:after="283"/>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CHANGE IN CONTROL SEVERANCE BENEFITS</w:t>
      </w:r>
    </w:p>
    <w:p>
      <w:pPr>
        <w:pStyle w:val="TextBody"/>
        <w:bidi w:val="0"/>
        <w:spacing w:before="4" w:after="283"/>
        <w:jc w:val="left"/>
        <w:rPr/>
      </w:pPr>
      <w:r>
        <w:rPr/>
        <w:t>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2.1</w:t>
      </w:r>
    </w:p>
    <w:p>
      <w:pPr>
        <w:pStyle w:val="TextBody"/>
        <w:bidi w:val="0"/>
        <w:jc w:val="both"/>
        <w:rPr/>
      </w:pPr>
      <w:r>
        <w:rPr>
          <w:rFonts w:ascii="Times New Roman" w:hAnsi="Times New Roman"/>
          <w:b/>
          <w:color w:val="000000"/>
          <w:sz w:val="22"/>
        </w:rPr>
        <w:t>Severance Benefits</w:t>
      </w:r>
      <w:r>
        <w:rPr>
          <w:rFonts w:ascii="Times New Roman" w:hAnsi="Times New Roman"/>
          <w:color w:val="000000"/>
          <w:sz w:val="22"/>
        </w:rPr>
        <w:t>. Upon a Change in Control Termination, and subject to the limitations and conditions set forth in this Agreement, Executive shall be eligible to receive the benefits set forth in this Article 2.The receipt of any severance payments or benefits pursuant to this Agreement is subject to Executive signing and not revoking a separation agreement and general release of claims (the “</w:t>
      </w:r>
      <w:r>
        <w:rPr>
          <w:rFonts w:ascii="Times New Roman" w:hAnsi="Times New Roman"/>
          <w:b/>
          <w:i/>
          <w:color w:val="000000"/>
          <w:sz w:val="22"/>
        </w:rPr>
        <w:t>Release</w:t>
      </w:r>
      <w:r>
        <w:rPr>
          <w:color w:val="000000"/>
        </w:rPr>
        <w:t>”</w:t>
      </w:r>
      <w:r>
        <w:rPr>
          <w:rFonts w:ascii="Times New Roman" w:hAnsi="Times New Roman"/>
          <w:color w:val="000000"/>
          <w:sz w:val="22"/>
        </w:rPr>
        <w:t>), in substantially the form attached hereto and incorporated herein as Exhibit A, Exhibit B or Exhibit C, as appropriate, which Release must become effective and irrevocable no later than the sixtieth (60</w:t>
      </w:r>
      <w:r>
        <w:rPr>
          <w:rFonts w:ascii="Times New Roman" w:hAnsi="Times New Roman"/>
          <w:color w:val="000000"/>
          <w:sz w:val="15"/>
        </w:rPr>
        <w:t>th</w:t>
      </w:r>
      <w:r>
        <w:rPr>
          <w:rFonts w:ascii="Times New Roman" w:hAnsi="Times New Roman"/>
          <w:color w:val="000000"/>
          <w:sz w:val="22"/>
        </w:rPr>
        <w:t>) day following Executive’s termination of employment (the “</w:t>
      </w:r>
      <w:r>
        <w:rPr>
          <w:rFonts w:ascii="Times New Roman" w:hAnsi="Times New Roman"/>
          <w:b/>
          <w:i/>
          <w:color w:val="000000"/>
          <w:sz w:val="22"/>
        </w:rPr>
        <w:t>Release Deadline Date</w:t>
      </w:r>
      <w:r>
        <w:rPr>
          <w:color w:val="000000"/>
        </w:rPr>
        <w:t>”</w:t>
      </w:r>
      <w:r>
        <w:rPr>
          <w:rFonts w:ascii="Times New Roman" w:hAnsi="Times New Roman"/>
          <w:color w:val="000000"/>
          <w:sz w:val="22"/>
        </w:rPr>
        <w:t>). If the Release does not become effective and irrevocable by the Release Deadline Date, Executive will forfeit any right to any severance payments or benefits under this Agreement. In no event will severance payments or benefits be paid or provided until the Release actually becomes effective and irrevocable.</w:t>
      </w:r>
    </w:p>
    <w:p>
      <w:pPr>
        <w:pStyle w:val="TextBody"/>
        <w:bidi w:val="0"/>
        <w:spacing w:before="10" w:after="283"/>
        <w:jc w:val="left"/>
        <w:rPr/>
      </w:pPr>
      <w:r>
        <w:rPr/>
        <w:t>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2.2</w:t>
      </w:r>
    </w:p>
    <w:p>
      <w:pPr>
        <w:pStyle w:val="TextBody"/>
        <w:bidi w:val="0"/>
        <w:jc w:val="both"/>
        <w:rPr/>
      </w:pPr>
      <w:r>
        <w:rPr>
          <w:rFonts w:ascii="Times New Roman" w:hAnsi="Times New Roman"/>
          <w:b/>
          <w:color w:val="000000"/>
          <w:sz w:val="22"/>
        </w:rPr>
        <w:t>Salary and Pro-Rata Bonus Payment</w:t>
      </w:r>
      <w:r>
        <w:rPr>
          <w:rFonts w:ascii="Times New Roman" w:hAnsi="Times New Roman"/>
          <w:color w:val="000000"/>
          <w:sz w:val="22"/>
        </w:rPr>
        <w:t>. In consideration of Executive’s execution and non-revocation of the Release by the Release Deadline Date, the Company shall pay Executive a severance payment equal to (a) the sum of Executive’s Monthly Base Salary and Pro-Rata Bonus multiplied by (b) the number of months in the Change in Control Severance Period, less applicable withholdings. The severance payment shall be payable (except as set forth in Article 4) in a lump sum on the first regularly-scheduled payroll date occurring on or after the Release Deadline Date.</w:t>
      </w:r>
    </w:p>
    <w:p>
      <w:pPr>
        <w:pStyle w:val="TextBody"/>
        <w:bidi w:val="0"/>
        <w:jc w:val="left"/>
        <w:rPr/>
      </w:pPr>
      <w:r>
        <w:rPr/>
        <w:t> </w:t>
      </w:r>
    </w:p>
    <w:p>
      <w:pPr>
        <w:pStyle w:val="TextBody"/>
        <w:bidi w:val="0"/>
        <w:spacing w:before="11" w:after="283"/>
        <w:ind w:left="60" w:right="0" w:hanging="0"/>
        <w:jc w:val="left"/>
        <w:rPr>
          <w:rFonts w:ascii="Times New Roman" w:hAnsi="Times New Roman"/>
          <w:color w:val="000000"/>
          <w:sz w:val="22"/>
        </w:rPr>
      </w:pPr>
      <w:r>
        <w:rPr>
          <w:rFonts w:ascii="Times New Roman" w:hAnsi="Times New Roman"/>
          <w:color w:val="000000"/>
          <w:sz w:val="22"/>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 w:after="283"/>
        <w:jc w:val="left"/>
        <w:rPr/>
      </w:pPr>
      <w:r>
        <w:rPr/>
        <w:t> </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2.3</w:t>
      </w:r>
    </w:p>
    <w:p>
      <w:pPr>
        <w:pStyle w:val="TextBody"/>
        <w:bidi w:val="0"/>
        <w:jc w:val="left"/>
        <w:rPr/>
      </w:pPr>
      <w:r>
        <w:rPr>
          <w:rFonts w:ascii="Times New Roman" w:hAnsi="Times New Roman"/>
          <w:b/>
          <w:color w:val="000000"/>
          <w:sz w:val="22"/>
        </w:rPr>
        <w:t>Health Continuation Coverage</w:t>
      </w:r>
      <w:r>
        <w:rPr>
          <w:rFonts w:ascii="Times New Roman" w:hAnsi="Times New Roman"/>
          <w:color w:val="000000"/>
          <w:sz w:val="22"/>
        </w:rPr>
        <w:t>.</w:t>
      </w:r>
    </w:p>
    <w:p>
      <w:pPr>
        <w:pStyle w:val="TextBody"/>
        <w:bidi w:val="0"/>
        <w:spacing w:before="5" w:after="283"/>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a)</w:t>
      </w:r>
    </w:p>
    <w:p>
      <w:pPr>
        <w:pStyle w:val="TextBody"/>
        <w:bidi w:val="0"/>
        <w:jc w:val="both"/>
        <w:rPr>
          <w:rFonts w:ascii="Times New Roman" w:hAnsi="Times New Roman"/>
          <w:color w:val="000000"/>
          <w:sz w:val="22"/>
        </w:rPr>
      </w:pPr>
      <w:r>
        <w:rPr>
          <w:rFonts w:ascii="Times New Roman" w:hAnsi="Times New Roman"/>
          <w:color w:val="000000"/>
          <w:sz w:val="22"/>
        </w:rPr>
        <w:t>Provided that Executive is eligible and has made the necessary elections for continuation coverage pursuant to COBRA under a health, dental or vision plan sponsored by the Company, the Company shall pay the applicable premiums (inclusive of premiums for Executive’s dependents for such health, dental or vision plan coverage as in effect immediately prior to the date of the Change in Control Termination) for such continued health, dental or vision plan coverage following the date of the Change in Control Termination for up to the number of months equal to the Change in Control Benefits Period (but in no event after such time as Executive is eligible for coverage under a health, dental or vision insurance plan of a subsequent employer or as Executive and Executive’s dependents are no longer eligible for COBRA coverage); provided that if continued payment by the Company of the applicable premiums would result in a violation of the nondiscrimination rules of Section 105(h)(2) of the Internal Revenue Code of 1986, as amended, or any statute or regulation of similar effect (including, without limitation, the 2010 Patient Protection and Affordable Care Act, as amended by the 2010 Health Care and Education Reconciliation Act), then in lieu of providing such continued payment, the Company will instead pay Executive on the first day of each month a fully taxable cash payment equal to the applicable premiums for that month, subject to applicable tax withholdings, for the remainder of the Change in Control Benefits Period. Such coverage shall be counted as coverage pursuant to COBRA. Executive shall be required to notify the Company immediately if Executive becomes covered by a health, dental or vision insurance plan of a subsequent employer. If Executive and Executive’s dependents continue coverage pursuant to COBRA following the conclusion of the Change in Control Benefits Period, Executive will be responsible for the entire payment of such premiums required under COBRA for the duration of the COBRA period.</w:t>
      </w:r>
    </w:p>
    <w:p>
      <w:pPr>
        <w:pStyle w:val="TextBody"/>
        <w:bidi w:val="0"/>
        <w:spacing w:before="11" w:after="283"/>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b)</w:t>
      </w:r>
    </w:p>
    <w:p>
      <w:pPr>
        <w:pStyle w:val="TextBody"/>
        <w:bidi w:val="0"/>
        <w:jc w:val="both"/>
        <w:rPr>
          <w:rFonts w:ascii="Times New Roman" w:hAnsi="Times New Roman"/>
          <w:color w:val="000000"/>
          <w:sz w:val="22"/>
        </w:rPr>
      </w:pPr>
      <w:r>
        <w:rPr>
          <w:rFonts w:ascii="Times New Roman" w:hAnsi="Times New Roman"/>
          <w:color w:val="000000"/>
          <w:sz w:val="22"/>
        </w:rPr>
        <w:t>For purposes of this Section 2.3, (i) references to COBRA shall be deemed to refer also to analogous provisions of state law, and (ii) any applicable insurance premiums that are paid by the Company shall not include any amounts payable by Executive under a Code Section 125 health care reimbursement plan, which amounts, if any, are the sole responsibility of Executive.</w:t>
      </w:r>
    </w:p>
    <w:p>
      <w:pPr>
        <w:pStyle w:val="TextBody"/>
        <w:bidi w:val="0"/>
        <w:jc w:val="left"/>
        <w:rPr/>
      </w:pPr>
      <w:r>
        <w:rPr/>
        <w:t> </w:t>
      </w:r>
    </w:p>
    <w:p>
      <w:pPr>
        <w:pStyle w:val="TextBody"/>
        <w:bidi w:val="0"/>
        <w:spacing w:before="1" w:after="283"/>
        <w:jc w:val="both"/>
        <w:rPr>
          <w:rFonts w:ascii="Times New Roman" w:hAnsi="Times New Roman"/>
          <w:b/>
          <w:color w:val="000000"/>
          <w:sz w:val="22"/>
        </w:rPr>
      </w:pPr>
      <w:r>
        <w:rPr>
          <w:rFonts w:ascii="Times New Roman" w:hAnsi="Times New Roman"/>
          <w:b/>
          <w:color w:val="000000"/>
          <w:sz w:val="22"/>
        </w:rPr>
        <w:t>2.4</w:t>
      </w:r>
    </w:p>
    <w:p>
      <w:pPr>
        <w:pStyle w:val="TextBody"/>
        <w:bidi w:val="0"/>
        <w:spacing w:before="1" w:after="283"/>
        <w:jc w:val="both"/>
        <w:rPr/>
      </w:pPr>
      <w:r>
        <w:rPr>
          <w:rFonts w:ascii="Times New Roman" w:hAnsi="Times New Roman"/>
          <w:b/>
          <w:color w:val="000000"/>
          <w:sz w:val="22"/>
        </w:rPr>
        <w:t>Stock Awards</w:t>
      </w:r>
      <w:r>
        <w:rPr>
          <w:rFonts w:ascii="Times New Roman" w:hAnsi="Times New Roman"/>
          <w:color w:val="000000"/>
          <w:sz w:val="22"/>
        </w:rPr>
        <w:t>. Upon a Change in Control Termination, (a) the vesting and exercisability of all outstanding options to purchase the Company’s common stock (or stock appreciation rights or other rights with respect to the stock of the Company issued pursuant to any equity incentive plan of the Company) that are held by Executive on the Termination Date shall be accelerated in full; (b) any reacquisition or repurchase rights held by the Company with respect to common stock issued or issuable (or with respect to other rights with respect to the stock of the Company issued or issuable) pursuant to any other stock award granted to Executive pursuant to any equity incentive plan of the Company shall lapse; and (c) the time period that Executive has to exercise any outstanding options to purchase the Company’s common stock that are held by Executive on the Termination Date shall be extended for a period equal to the shorter of (i) twelve (12) months or (ii) the remaining term of the outstanding option.</w:t>
      </w:r>
    </w:p>
    <w:p>
      <w:pPr>
        <w:pStyle w:val="TextBody"/>
        <w:bidi w:val="0"/>
        <w:spacing w:before="8" w:after="283"/>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ARTICLE 3</w:t>
      </w:r>
    </w:p>
    <w:p>
      <w:pPr>
        <w:pStyle w:val="TextBody"/>
        <w:bidi w:val="0"/>
        <w:spacing w:before="5" w:after="283"/>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COVERED TERMINATION SEVERANCE BENEFITS</w:t>
      </w:r>
    </w:p>
    <w:p>
      <w:pPr>
        <w:pStyle w:val="TextBody"/>
        <w:bidi w:val="0"/>
        <w:spacing w:before="4" w:after="283"/>
        <w:jc w:val="left"/>
        <w:rPr/>
      </w:pPr>
      <w:r>
        <w:rPr/>
        <w:t>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3.1</w:t>
      </w:r>
    </w:p>
    <w:p>
      <w:pPr>
        <w:pStyle w:val="TextBody"/>
        <w:bidi w:val="0"/>
        <w:jc w:val="both"/>
        <w:rPr/>
      </w:pPr>
      <w:r>
        <w:rPr>
          <w:rFonts w:ascii="Times New Roman" w:hAnsi="Times New Roman"/>
          <w:b/>
          <w:color w:val="000000"/>
          <w:sz w:val="22"/>
        </w:rPr>
        <w:t>Severance Benefits</w:t>
      </w:r>
      <w:r>
        <w:rPr>
          <w:rFonts w:ascii="Times New Roman" w:hAnsi="Times New Roman"/>
          <w:color w:val="000000"/>
          <w:sz w:val="22"/>
        </w:rPr>
        <w:t>. Upon a Covered Termination, and subject to the limitations and conditions set forth in this Agreement, Executive shall be eligible to receive the benefits set forth in this Article 3.The receipt of any severance payments or benefits pursuant to this Agreement is subject to Executive signing and not revoking the appropriate Release, which Release must become effective and irrevocable no later than the Release Deadline Date. If the Release does not become effective and irrevocable by the Release Deadline Date, Executive will forfeit any right to any severance payments or benefits under this Agreement. In no event will severance payments or benefits be paid or provided until the Release actually becomes effective and irrevocable.</w:t>
      </w:r>
    </w:p>
    <w:p>
      <w:pPr>
        <w:pStyle w:val="TextBody"/>
        <w:bidi w:val="0"/>
        <w:jc w:val="left"/>
        <w:rPr/>
      </w:pPr>
      <w:r>
        <w:rPr/>
        <w:t> </w:t>
      </w:r>
    </w:p>
    <w:p>
      <w:pPr>
        <w:pStyle w:val="TextBody"/>
        <w:bidi w:val="0"/>
        <w:spacing w:before="11" w:after="283"/>
        <w:ind w:left="60" w:right="0" w:hanging="0"/>
        <w:jc w:val="left"/>
        <w:rPr>
          <w:rFonts w:ascii="Times New Roman" w:hAnsi="Times New Roman"/>
          <w:color w:val="000000"/>
          <w:sz w:val="22"/>
        </w:rPr>
      </w:pPr>
      <w:r>
        <w:rPr>
          <w:rFonts w:ascii="Times New Roman" w:hAnsi="Times New Roman"/>
          <w:color w:val="000000"/>
          <w:sz w:val="22"/>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0" w:after="283"/>
        <w:jc w:val="left"/>
        <w:rPr/>
      </w:pPr>
      <w:r>
        <w:rPr/>
        <w:t>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3.2</w:t>
      </w:r>
    </w:p>
    <w:p>
      <w:pPr>
        <w:pStyle w:val="TextBody"/>
        <w:bidi w:val="0"/>
        <w:jc w:val="both"/>
        <w:rPr/>
      </w:pPr>
      <w:r>
        <w:rPr>
          <w:rFonts w:ascii="Times New Roman" w:hAnsi="Times New Roman"/>
          <w:b/>
          <w:color w:val="000000"/>
          <w:sz w:val="22"/>
        </w:rPr>
        <w:t>Salary Payment</w:t>
      </w:r>
      <w:r>
        <w:rPr>
          <w:rFonts w:ascii="Times New Roman" w:hAnsi="Times New Roman"/>
          <w:color w:val="000000"/>
          <w:sz w:val="22"/>
        </w:rPr>
        <w:t>. In consideration of Executive’s timely execution and non-revocation of the Release by the Release Deadline Date, the Company shall pay Executive a severance payment equal to Executive’s Monthly Base Salary multiplied by the number of months in the Covered Termination Severance Period, less applicable withholdings. The severance payment shall be payable (except as set forth in Article 4) in a lump sum on the first regularly-scheduled payroll date occurring on or after the Release Deadline Date.</w:t>
      </w:r>
    </w:p>
    <w:p>
      <w:pPr>
        <w:pStyle w:val="TextBody"/>
        <w:bidi w:val="0"/>
        <w:spacing w:before="11" w:after="283"/>
        <w:jc w:val="left"/>
        <w:rPr/>
      </w:pPr>
      <w:r>
        <w:rPr/>
        <w:t> </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3.3</w:t>
      </w:r>
    </w:p>
    <w:p>
      <w:pPr>
        <w:pStyle w:val="TextBody"/>
        <w:bidi w:val="0"/>
        <w:jc w:val="left"/>
        <w:rPr/>
      </w:pPr>
      <w:r>
        <w:rPr>
          <w:rFonts w:ascii="Times New Roman" w:hAnsi="Times New Roman"/>
          <w:b/>
          <w:color w:val="000000"/>
          <w:sz w:val="22"/>
        </w:rPr>
        <w:t>Health Continuation Coverage</w:t>
      </w:r>
      <w:r>
        <w:rPr>
          <w:rFonts w:ascii="Times New Roman" w:hAnsi="Times New Roman"/>
          <w:color w:val="000000"/>
          <w:sz w:val="22"/>
        </w:rPr>
        <w:t>.</w:t>
      </w:r>
    </w:p>
    <w:p>
      <w:pPr>
        <w:pStyle w:val="TextBody"/>
        <w:bidi w:val="0"/>
        <w:spacing w:before="9" w:after="283"/>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a)</w:t>
      </w:r>
    </w:p>
    <w:p>
      <w:pPr>
        <w:pStyle w:val="TextBody"/>
        <w:bidi w:val="0"/>
        <w:jc w:val="both"/>
        <w:rPr>
          <w:rFonts w:ascii="Times New Roman" w:hAnsi="Times New Roman"/>
          <w:color w:val="000000"/>
          <w:sz w:val="22"/>
        </w:rPr>
      </w:pPr>
      <w:r>
        <w:rPr>
          <w:rFonts w:ascii="Times New Roman" w:hAnsi="Times New Roman"/>
          <w:color w:val="000000"/>
          <w:sz w:val="22"/>
        </w:rPr>
        <w:t>Provided that Executive is eligible and has made the necessary elections for continuation coverage pursuant to COBRA under a health, dental or vision plan sponsored by the Company, the Company shall pay for the applicable premiums (inclusive of premiums for Executive’s dependents for such health, dental or vision plan coverage as in effect immediately prior to the date of the Covered Termination) for such continued health, dental or vision plan coverage following the date of the Covered Termination for up to the number of months equal to the Covered Termination Benefits Period (but in no event after such time as Executive is eligible for coverage under a health, dental or vision insurance plan of a subsequent employer or as Executive and Executive’s dependents are no longer eligible for COBRA coverage); provided that if continued payment by the Company of the applicable premiums would result in a violation of the nondiscrimination rules of Section 105(h)(2) of the Internal Revenue Code of 1986, as amended, or any statute or regulation of similar effect (including, without limitation, the 2010 Patient Protection and Affordable Care Act, as amended by the 2010 Health Care and Education Reconciliation Act), then in lieu of providing such continued payment, the Company will instead pay Executive on the first day of each month a fully taxable cash payment equal to the applicable premiums for that month, subject to applicable tax withholdings, for the remainder of the Covered Termination Benefits Period. Such coverage shall be counted as coverage pursuant to COBRA. Executive shall be required to notify the Company immediately if Executive becomes covered by a health, dental or vision insurance plan of a subsequent employer. If Executive and Executive’s dependents continue coverage pursuant to COBRA following the conclusion of the Covered Termination Benefits Period, Executive will be responsible for the entire payment of such premiums required under COBRA for the duration of the COBRA period.</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b)</w:t>
      </w:r>
    </w:p>
    <w:p>
      <w:pPr>
        <w:pStyle w:val="TextBody"/>
        <w:bidi w:val="0"/>
        <w:jc w:val="both"/>
        <w:rPr>
          <w:rFonts w:ascii="Times New Roman" w:hAnsi="Times New Roman"/>
          <w:color w:val="000000"/>
          <w:sz w:val="22"/>
        </w:rPr>
      </w:pPr>
      <w:r>
        <w:rPr>
          <w:rFonts w:ascii="Times New Roman" w:hAnsi="Times New Roman"/>
          <w:color w:val="000000"/>
          <w:sz w:val="22"/>
        </w:rPr>
        <w:t>For purposes of this Section 3.3, (i) references to COBRA shall be deemed to refer also to analogous provisions of state law, and (ii) any applicable insurance premiums that are paid by the Company shall not include any amounts payable by Executive under a Code Section 125 health care reimbursement plan, which amounts, if any, are the sole responsibility of Executive.</w:t>
      </w:r>
    </w:p>
    <w:p>
      <w:pPr>
        <w:pStyle w:val="TextBody"/>
        <w:bidi w:val="0"/>
        <w:spacing w:before="8" w:after="283"/>
        <w:jc w:val="left"/>
        <w:rPr/>
      </w:pPr>
      <w:r>
        <w:rPr/>
        <w:t> </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3.4</w:t>
      </w:r>
    </w:p>
    <w:p>
      <w:pPr>
        <w:pStyle w:val="TextBody"/>
        <w:bidi w:val="0"/>
        <w:jc w:val="left"/>
        <w:rPr/>
      </w:pPr>
      <w:r>
        <w:rPr>
          <w:rFonts w:ascii="Times New Roman" w:hAnsi="Times New Roman"/>
          <w:b/>
          <w:color w:val="000000"/>
          <w:sz w:val="22"/>
        </w:rPr>
        <w:t>Stock Awards. Upon a Covered Termination</w:t>
      </w:r>
      <w:r>
        <w:rPr>
          <w:rFonts w:ascii="Times New Roman" w:hAnsi="Times New Roman"/>
          <w:color w:val="000000"/>
          <w:sz w:val="22"/>
        </w:rPr>
        <w:t>:</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a)</w:t>
      </w:r>
    </w:p>
    <w:p>
      <w:pPr>
        <w:pStyle w:val="TextBody"/>
        <w:bidi w:val="0"/>
        <w:jc w:val="both"/>
        <w:rPr>
          <w:rFonts w:ascii="Times New Roman" w:hAnsi="Times New Roman"/>
          <w:color w:val="000000"/>
          <w:sz w:val="22"/>
        </w:rPr>
      </w:pPr>
      <w:r>
        <w:rPr>
          <w:rFonts w:ascii="Times New Roman" w:hAnsi="Times New Roman"/>
          <w:color w:val="000000"/>
          <w:sz w:val="22"/>
        </w:rPr>
        <w:t>the vesting and exercisability of all outstanding options to purchase the Company’s common stock (or stock appreciation rights or other rights with respect to the stock of the Company issued pursuant to any equity incentive plan of the Company) that are held by Executive on the Termination Date shall be accelerated as to the number of shares of common stock that would otherwise have vested during the twelve (12) month period following the Termination Date in accordance with the applicable options’ vesting schedule were the Executive to remain an employee of the Company during such twelve (12) month period (disregarding any other basis for acceleration of vesting during such twelve (12) month period);</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b)</w:t>
      </w:r>
    </w:p>
    <w:p>
      <w:pPr>
        <w:pStyle w:val="TextBody"/>
        <w:bidi w:val="0"/>
        <w:jc w:val="both"/>
        <w:rPr/>
      </w:pPr>
      <w:r>
        <w:rPr>
          <w:rFonts w:ascii="Times New Roman" w:hAnsi="Times New Roman"/>
          <w:color w:val="000000"/>
          <w:sz w:val="22"/>
        </w:rPr>
        <w:t>any reacquisition or repurchase rights held by the Company with respect to common stock issued or issuable (or with respect to other rights with respect to the stock of the Company issued or issuable) pursuant to any option to purchase the Company’s common stock (or stock appreciation rights or other rights with respect to the stock of the Company) (“</w:t>
      </w:r>
      <w:r>
        <w:rPr>
          <w:rFonts w:ascii="Times New Roman" w:hAnsi="Times New Roman"/>
          <w:b/>
          <w:i/>
          <w:color w:val="000000"/>
          <w:sz w:val="22"/>
        </w:rPr>
        <w:t>Restricted Shares</w:t>
      </w:r>
      <w:r>
        <w:rPr>
          <w:color w:val="000000"/>
        </w:rPr>
        <w:t>”</w:t>
      </w:r>
      <w:r>
        <w:rPr>
          <w:rFonts w:ascii="Times New Roman" w:hAnsi="Times New Roman"/>
          <w:color w:val="000000"/>
          <w:sz w:val="22"/>
        </w:rPr>
        <w:t xml:space="preserve">) held by the Executive as of the Termination Date shall lapse as to the number of Restricted Shares that would otherwise have lapsed during the twelve (12) month period following the Termination Date in accordance with the option’s </w:t>
      </w:r>
    </w:p>
    <w:p>
      <w:pPr>
        <w:pStyle w:val="TextBody"/>
        <w:bidi w:val="0"/>
        <w:jc w:val="left"/>
        <w:rPr/>
      </w:pPr>
      <w:r>
        <w:rPr/>
        <w:t> </w:t>
      </w:r>
    </w:p>
    <w:p>
      <w:pPr>
        <w:pStyle w:val="TextBody"/>
        <w:bidi w:val="0"/>
        <w:spacing w:before="11" w:after="283"/>
        <w:ind w:left="60" w:right="0" w:hanging="0"/>
        <w:jc w:val="left"/>
        <w:rPr>
          <w:rFonts w:ascii="Times New Roman" w:hAnsi="Times New Roman"/>
          <w:color w:val="000000"/>
          <w:sz w:val="22"/>
        </w:rPr>
      </w:pPr>
      <w:r>
        <w:rPr>
          <w:rFonts w:ascii="Times New Roman" w:hAnsi="Times New Roman"/>
          <w:color w:val="000000"/>
          <w:sz w:val="22"/>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vesting schedule were the Executive to remain an employee of the Company during such twelve (12) month period (disregarding any other basis for acceleration of the lapsing of such reacquisition or repurchase rights during such twelve (12) month period); and</w:t>
      </w:r>
    </w:p>
    <w:p>
      <w:pPr>
        <w:pStyle w:val="TextBody"/>
        <w:bidi w:val="0"/>
        <w:spacing w:before="10" w:after="283"/>
        <w:jc w:val="left"/>
        <w:rPr/>
      </w:pPr>
      <w:r>
        <w:rPr/>
        <w:t> </w:t>
      </w:r>
    </w:p>
    <w:p>
      <w:pPr>
        <w:pStyle w:val="TextBody"/>
        <w:bidi w:val="0"/>
        <w:spacing w:before="1"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1" w:after="283"/>
        <w:jc w:val="both"/>
        <w:rPr>
          <w:rFonts w:ascii="Times New Roman" w:hAnsi="Times New Roman"/>
          <w:color w:val="000000"/>
          <w:sz w:val="22"/>
        </w:rPr>
      </w:pPr>
      <w:r>
        <w:rPr>
          <w:rFonts w:ascii="Times New Roman" w:hAnsi="Times New Roman"/>
          <w:color w:val="000000"/>
          <w:sz w:val="22"/>
        </w:rPr>
        <w:t>the time period that Executive has to exercise any outstanding options to purchase the Company’s common stock that are held by Executive on the Termination Date shall be extended for a period equal to the shorter of (i) twelve (12) months or (ii) the remaining term of the outstanding option.</w:t>
      </w:r>
    </w:p>
    <w:p>
      <w:pPr>
        <w:pStyle w:val="TextBody"/>
        <w:bidi w:val="0"/>
        <w:spacing w:before="9" w:after="283"/>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ARTICLE 4</w:t>
      </w:r>
    </w:p>
    <w:p>
      <w:pPr>
        <w:pStyle w:val="TextBody"/>
        <w:bidi w:val="0"/>
        <w:spacing w:before="2" w:after="283"/>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LIMITATIONS AND CONDITIONS ON BENEFITS</w:t>
      </w:r>
    </w:p>
    <w:p>
      <w:pPr>
        <w:pStyle w:val="TextBody"/>
        <w:bidi w:val="0"/>
        <w:spacing w:before="4" w:after="283"/>
        <w:jc w:val="left"/>
        <w:rPr/>
      </w:pPr>
      <w:r>
        <w:rPr/>
        <w:t> </w:t>
      </w:r>
    </w:p>
    <w:p>
      <w:pPr>
        <w:pStyle w:val="TextBody"/>
        <w:bidi w:val="0"/>
        <w:spacing w:before="1" w:after="283"/>
        <w:jc w:val="both"/>
        <w:rPr>
          <w:rFonts w:ascii="Times New Roman" w:hAnsi="Times New Roman"/>
          <w:b/>
          <w:color w:val="000000"/>
          <w:sz w:val="22"/>
        </w:rPr>
      </w:pPr>
      <w:r>
        <w:rPr>
          <w:rFonts w:ascii="Times New Roman" w:hAnsi="Times New Roman"/>
          <w:b/>
          <w:color w:val="000000"/>
          <w:sz w:val="22"/>
        </w:rPr>
        <w:t>4.1</w:t>
      </w:r>
    </w:p>
    <w:p>
      <w:pPr>
        <w:pStyle w:val="TextBody"/>
        <w:bidi w:val="0"/>
        <w:spacing w:before="1" w:after="283"/>
        <w:jc w:val="both"/>
        <w:rPr/>
      </w:pPr>
      <w:r>
        <w:rPr>
          <w:rFonts w:ascii="Times New Roman" w:hAnsi="Times New Roman"/>
          <w:b/>
          <w:color w:val="000000"/>
          <w:sz w:val="22"/>
        </w:rPr>
        <w:t>Rights Conditioned on Compliance</w:t>
      </w:r>
      <w:r>
        <w:rPr>
          <w:rFonts w:ascii="Times New Roman" w:hAnsi="Times New Roman"/>
          <w:color w:val="000000"/>
          <w:sz w:val="22"/>
        </w:rPr>
        <w:t>. Executive’s rights to receive all severance benefits described in Article 2 and Article 3 shall be conditioned upon and subject to Executive’s compliance with the limitations and conditions on benefits as described in this Article 4.</w:t>
      </w:r>
    </w:p>
    <w:p>
      <w:pPr>
        <w:pStyle w:val="TextBody"/>
        <w:bidi w:val="0"/>
        <w:jc w:val="left"/>
        <w:rPr/>
      </w:pPr>
      <w:r>
        <w:rPr/>
        <w:t>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4.2</w:t>
      </w:r>
    </w:p>
    <w:p>
      <w:pPr>
        <w:pStyle w:val="TextBody"/>
        <w:bidi w:val="0"/>
        <w:jc w:val="both"/>
        <w:rPr/>
      </w:pPr>
      <w:r>
        <w:rPr>
          <w:rFonts w:ascii="Times New Roman" w:hAnsi="Times New Roman"/>
          <w:b/>
          <w:color w:val="000000"/>
          <w:sz w:val="22"/>
        </w:rPr>
        <w:t>Continuation of Service Until Date of Termination</w:t>
      </w:r>
      <w:r>
        <w:rPr>
          <w:rFonts w:ascii="Times New Roman" w:hAnsi="Times New Roman"/>
          <w:color w:val="000000"/>
          <w:sz w:val="22"/>
        </w:rPr>
        <w:t>. Executive shall continue to provide service to the Company in good faith until the Termination Date, unless such performance is otherwise excused in writing by the Company.</w:t>
      </w:r>
    </w:p>
    <w:p>
      <w:pPr>
        <w:pStyle w:val="TextBody"/>
        <w:bidi w:val="0"/>
        <w:spacing w:before="9" w:after="283"/>
        <w:jc w:val="left"/>
        <w:rPr/>
      </w:pPr>
      <w:r>
        <w:rPr/>
        <w:t> </w:t>
      </w:r>
    </w:p>
    <w:p>
      <w:pPr>
        <w:pStyle w:val="TextBody"/>
        <w:bidi w:val="0"/>
        <w:spacing w:before="1" w:after="283"/>
        <w:jc w:val="both"/>
        <w:rPr>
          <w:rFonts w:ascii="Times New Roman" w:hAnsi="Times New Roman"/>
          <w:b/>
          <w:color w:val="000000"/>
          <w:sz w:val="22"/>
        </w:rPr>
      </w:pPr>
      <w:r>
        <w:rPr>
          <w:rFonts w:ascii="Times New Roman" w:hAnsi="Times New Roman"/>
          <w:b/>
          <w:color w:val="000000"/>
          <w:sz w:val="22"/>
        </w:rPr>
        <w:t>4.3</w:t>
      </w:r>
    </w:p>
    <w:p>
      <w:pPr>
        <w:pStyle w:val="TextBody"/>
        <w:bidi w:val="0"/>
        <w:spacing w:before="1" w:after="283"/>
        <w:jc w:val="both"/>
        <w:rPr/>
      </w:pPr>
      <w:r>
        <w:rPr>
          <w:rFonts w:ascii="Times New Roman" w:hAnsi="Times New Roman"/>
          <w:b/>
          <w:color w:val="000000"/>
          <w:sz w:val="22"/>
        </w:rPr>
        <w:t>Release Prior to Payment of Benefits</w:t>
      </w:r>
      <w:r>
        <w:rPr>
          <w:rFonts w:ascii="Times New Roman" w:hAnsi="Times New Roman"/>
          <w:color w:val="000000"/>
          <w:sz w:val="22"/>
        </w:rPr>
        <w:t>. Upon the occurrence of a Change in Control Termination or a Covered Termination, as applicable, and prior to Executive earning any entitlement to any severance or separation benefits under this Agreement on account of such Change in Control Termination or Covered Termination, as applicable, Executive must execute the appropriate Release, and such Release must become effective in accordance with its terms, but in no event later than the Release Deadline Date. No amount shall be paid prior to such date. Instead, on the first regularly-scheduled payroll date occurring on or after the Release Deadline Date, the Company will pay Executive the severance amount that Executive would otherwise have received on or prior to such date but for the delay in payment related to the effectiveness of the Release, with the balance of the severance amount being paid as originally scheduled. The Company may modify the Release in its discretion to comply with changes in applicable law at any time prior to Executive’s execution of such Release. Such Release shall specifically relate to all of Executive’s rights and claims in existence at the time of such execution and shall confirm Executive’s obligations under the Confidentiality Agreement and any similar obligations under applicable law. It is understood that, as specified in the applicable Release, Executive has a certain number of calendar days to consider whether to execute such Release. If Executive does not execute and deliver such Release within the applicable period, no benefits shall be provided or payable under this Agreement, and Executive shall have no further rights, title or interests in or to any severance benefits or payments pursuant to this Agreement. It is further understood that if Executive is age 40 or older at the time of a Change in Control Termination or a Covered Termination, as applicable, Executive may revoke the applicable Release within seven (7) calendar days after its execution by Executive. If Executive revokes such Release within such subsequent seven (7) day period, no benefits shall be provided or payable under this Agreement pursuant to such Change in Control Termination or Covered Termination, as applicable.</w:t>
      </w:r>
    </w:p>
    <w:p>
      <w:pPr>
        <w:pStyle w:val="TextBody"/>
        <w:bidi w:val="0"/>
        <w:spacing w:before="11" w:after="283"/>
        <w:jc w:val="left"/>
        <w:rPr/>
      </w:pPr>
      <w:r>
        <w:rPr/>
        <w:t>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4.4</w:t>
      </w:r>
    </w:p>
    <w:p>
      <w:pPr>
        <w:pStyle w:val="TextBody"/>
        <w:bidi w:val="0"/>
        <w:jc w:val="both"/>
        <w:rPr/>
      </w:pPr>
      <w:r>
        <w:rPr>
          <w:rFonts w:ascii="Times New Roman" w:hAnsi="Times New Roman"/>
          <w:b/>
          <w:color w:val="000000"/>
          <w:sz w:val="22"/>
        </w:rPr>
        <w:t>Return of Company Property</w:t>
      </w:r>
      <w:r>
        <w:rPr>
          <w:rFonts w:ascii="Times New Roman" w:hAnsi="Times New Roman"/>
          <w:color w:val="000000"/>
          <w:sz w:val="22"/>
        </w:rPr>
        <w:t xml:space="preserve">. Not later than the Termination Date, Executive shall return to the Company all documents (and all copies thereof) and other property belonging to the Company that Executive has in his or her possession or control. The documents and property to be returned include, but are not limited to, all files, correspondence, email, memoranda, notes, notebooks, records, plans, forecasts, reports, studies, analyses, compilations of data, proposals, agreements, financial information, research and development information, marketing information, operational and personnel information, databases, computer-recorded information, tangible property and equipment (including, but not limited to, computers, facsimile machines, mobile telephones and servers), credit cards, entry cards, identification badges and keys, and any materials of any kind which contain or embody any proprietary or confidential </w:t>
      </w:r>
    </w:p>
    <w:p>
      <w:pPr>
        <w:pStyle w:val="TextBody"/>
        <w:bidi w:val="0"/>
        <w:jc w:val="left"/>
        <w:rPr/>
      </w:pPr>
      <w:r>
        <w:rPr/>
        <w:t> </w:t>
      </w:r>
    </w:p>
    <w:p>
      <w:pPr>
        <w:pStyle w:val="TextBody"/>
        <w:bidi w:val="0"/>
        <w:spacing w:before="11" w:after="283"/>
        <w:ind w:left="60" w:right="0" w:hanging="0"/>
        <w:jc w:val="left"/>
        <w:rPr>
          <w:rFonts w:ascii="Times New Roman" w:hAnsi="Times New Roman"/>
          <w:color w:val="000000"/>
          <w:sz w:val="22"/>
        </w:rPr>
      </w:pPr>
      <w:r>
        <w:rPr>
          <w:rFonts w:ascii="Times New Roman" w:hAnsi="Times New Roman"/>
          <w:color w:val="000000"/>
          <w:sz w:val="22"/>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information of the Company (and all reproductions thereof in whole or in part). Executive agrees to make a diligent search to locate any such documents, property and information. If Executive has used any personally owned computer, server or e-mail system to receive, store, review, prepare or transmit any Company confidential or proprietary data, materials or information, then within ten (10) business days after the Termination Date, Executive shall provide the Company with a computer- useable copy of all such information and then permanently delete and expunge such confidential or proprietary information from those systems. Executive agrees to provide the Company access to Executive’s system as requested to verify that the necessary copying and1or deletion is done.</w:t>
      </w:r>
    </w:p>
    <w:p>
      <w:pPr>
        <w:pStyle w:val="TextBody"/>
        <w:bidi w:val="0"/>
        <w:spacing w:before="10" w:after="283"/>
        <w:jc w:val="left"/>
        <w:rPr/>
      </w:pPr>
      <w:r>
        <w:rPr/>
        <w:t> </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4.5</w:t>
      </w:r>
    </w:p>
    <w:p>
      <w:pPr>
        <w:pStyle w:val="TextBody"/>
        <w:bidi w:val="0"/>
        <w:jc w:val="left"/>
        <w:rPr/>
      </w:pPr>
      <w:r>
        <w:rPr>
          <w:rFonts w:ascii="Times New Roman" w:hAnsi="Times New Roman"/>
          <w:b/>
          <w:color w:val="000000"/>
          <w:sz w:val="22"/>
        </w:rPr>
        <w:t>Cooperation and Continued Compliance with Restrictive Covenants</w:t>
      </w:r>
      <w:r>
        <w:rPr>
          <w:rFonts w:ascii="Times New Roman" w:hAnsi="Times New Roman"/>
          <w:color w:val="000000"/>
          <w:sz w:val="22"/>
        </w:rPr>
        <w:t>.</w:t>
      </w:r>
    </w:p>
    <w:p>
      <w:pPr>
        <w:pStyle w:val="TextBody"/>
        <w:bidi w:val="0"/>
        <w:spacing w:before="9" w:after="283"/>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a)</w:t>
      </w:r>
    </w:p>
    <w:p>
      <w:pPr>
        <w:pStyle w:val="TextBody"/>
        <w:bidi w:val="0"/>
        <w:jc w:val="both"/>
        <w:rPr>
          <w:rFonts w:ascii="Times New Roman" w:hAnsi="Times New Roman"/>
          <w:color w:val="000000"/>
          <w:sz w:val="22"/>
        </w:rPr>
      </w:pPr>
      <w:r>
        <w:rPr>
          <w:rFonts w:ascii="Times New Roman" w:hAnsi="Times New Roman"/>
          <w:color w:val="000000"/>
          <w:sz w:val="22"/>
        </w:rPr>
        <w:t>From and after the Termination Date, Executive shall cooperate fully with the Company in connection with its actual or contemplated defense, prosecution or investigation of any existing or future litigation, arbitrations, mediations, claims, demands, audits, government or regulatory inquiries, or other matters arising from events, acts or failures to act that occurred during the time period in which Executive was employed by the Company (including any period of employment with an entity acquired by the Company). Such cooperation includes, without limitation, being available upon reasonable notice, without subpoena, to provide accurate and complete advice, assistance and information to the Company, including offering and explaining evidence, providing truthful and accurate sworn statements, and participating in discovery and trial preparation and testimony. Executive also agrees to promptly send the Company copies of all correspondence (for example, but not limited to, subpoenas) received by Executive in connection with any such legal proceedings, unless Executive is expressly prohibited by law from so doing. The Company will reimburse Executive for reasonable out-of-pocket expenses incurred in connection with any such cooperation (excluding foregone wages, salary or other compensation) within thirty (30) days of Executive’s timely presentation of appropriate documentation thereof, in accordance with the Company’s standard reimbursement policies and procedures, and will make reasonable efforts to accommodate Executive’s scheduling needs.</w:t>
      </w:r>
    </w:p>
    <w:p>
      <w:pPr>
        <w:pStyle w:val="TextBody"/>
        <w:bidi w:val="0"/>
        <w:spacing w:before="10" w:after="283"/>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b)</w:t>
      </w:r>
    </w:p>
    <w:p>
      <w:pPr>
        <w:pStyle w:val="TextBody"/>
        <w:bidi w:val="0"/>
        <w:jc w:val="both"/>
        <w:rPr>
          <w:rFonts w:ascii="Times New Roman" w:hAnsi="Times New Roman"/>
          <w:color w:val="000000"/>
          <w:sz w:val="22"/>
        </w:rPr>
      </w:pPr>
      <w:r>
        <w:rPr>
          <w:rFonts w:ascii="Times New Roman" w:hAnsi="Times New Roman"/>
          <w:color w:val="000000"/>
          <w:sz w:val="22"/>
        </w:rPr>
        <w:t>From and after the Termination Date, Executive shall continue to abide by all of the terms and provisions of the Confidentiality Agreement (and any other comparable agreement signed by Executive), in accordance with its terms.</w:t>
      </w:r>
    </w:p>
    <w:p>
      <w:pPr>
        <w:pStyle w:val="TextBody"/>
        <w:bidi w:val="0"/>
        <w:spacing w:before="10" w:after="283"/>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c)</w:t>
      </w:r>
    </w:p>
    <w:p>
      <w:pPr>
        <w:pStyle w:val="TextBody"/>
        <w:bidi w:val="0"/>
        <w:jc w:val="both"/>
        <w:rPr>
          <w:rFonts w:ascii="Times New Roman" w:hAnsi="Times New Roman"/>
          <w:color w:val="000000"/>
          <w:sz w:val="22"/>
        </w:rPr>
      </w:pPr>
      <w:r>
        <w:rPr>
          <w:rFonts w:ascii="Times New Roman" w:hAnsi="Times New Roman"/>
          <w:color w:val="000000"/>
          <w:sz w:val="22"/>
        </w:rPr>
        <w:t>Executive acknowledges and agrees that Executive’s obligations under this Section 4.5 are an essential part of the consideration Executive is providing hereunder in exchange for which and in reliance upon which the Company has agreed to provide the payments and benefits under this Agreement. Executive further acknowledges and agrees that Executive’s violation of this Section 4.5 inevitably would involve use or disclosure of the Company’s proprietary and confidential information. Accordingly, Executive agrees that Executive will forfeit, effective as of the date of any breach, any right, entitlement, claim or interest in or to any unpaid portion of the severance payments or benefits provided in Article 2 or Article 3. If it is determined by a court of competent jurisdiction in any state that any restriction in this Section 4.5 is excessive in duration or scope or is unreasonable or unenforceable under the laws of that state, it is the intention of the parties that such restriction may be modified or amended by the court to render it enforceable to the maximum extent permitted by the law of that state.</w:t>
      </w:r>
    </w:p>
    <w:p>
      <w:pPr>
        <w:pStyle w:val="TextBody"/>
        <w:bidi w:val="0"/>
        <w:spacing w:before="11" w:after="283"/>
        <w:jc w:val="left"/>
        <w:rPr/>
      </w:pPr>
      <w:r>
        <w:rPr/>
        <w:t> </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4.6</w:t>
      </w:r>
    </w:p>
    <w:p>
      <w:pPr>
        <w:pStyle w:val="TextBody"/>
        <w:bidi w:val="0"/>
        <w:jc w:val="left"/>
        <w:rPr/>
      </w:pPr>
      <w:r>
        <w:rPr>
          <w:rFonts w:ascii="Times New Roman" w:hAnsi="Times New Roman"/>
          <w:b/>
          <w:color w:val="000000"/>
          <w:sz w:val="22"/>
        </w:rPr>
        <w:t>Parachute Payments</w:t>
      </w:r>
      <w:r>
        <w:rPr>
          <w:rFonts w:ascii="Times New Roman" w:hAnsi="Times New Roman"/>
          <w:color w:val="000000"/>
          <w:sz w:val="22"/>
        </w:rPr>
        <w:t>.</w:t>
      </w:r>
    </w:p>
    <w:p>
      <w:pPr>
        <w:pStyle w:val="TextBody"/>
        <w:bidi w:val="0"/>
        <w:spacing w:before="9" w:after="283"/>
        <w:jc w:val="left"/>
        <w:rPr/>
      </w:pPr>
      <w:r>
        <w:rPr/>
        <w:t> </w:t>
      </w:r>
    </w:p>
    <w:p>
      <w:pPr>
        <w:pStyle w:val="TextBody"/>
        <w:bidi w:val="0"/>
        <w:spacing w:before="1"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1" w:after="283"/>
        <w:jc w:val="both"/>
        <w:rPr/>
      </w:pPr>
      <w:r>
        <w:rPr>
          <w:rFonts w:ascii="Times New Roman" w:hAnsi="Times New Roman"/>
          <w:b/>
          <w:color w:val="000000"/>
          <w:sz w:val="22"/>
        </w:rPr>
        <w:t>Parachute Payment Limitation</w:t>
      </w:r>
      <w:r>
        <w:rPr>
          <w:rFonts w:ascii="Times New Roman" w:hAnsi="Times New Roman"/>
          <w:color w:val="000000"/>
          <w:sz w:val="22"/>
        </w:rPr>
        <w:t>. If any payment or benefit (including payments and benefits pursuant to this Agreement) Executive would receive in connection with a Change in Control from the Company or otherwise (“</w:t>
      </w:r>
      <w:r>
        <w:rPr>
          <w:rFonts w:ascii="Times New Roman" w:hAnsi="Times New Roman"/>
          <w:b/>
          <w:i/>
          <w:color w:val="000000"/>
          <w:sz w:val="22"/>
        </w:rPr>
        <w:t>Payment</w:t>
      </w:r>
      <w:r>
        <w:rPr>
          <w:color w:val="000000"/>
        </w:rPr>
        <w:t>”</w:t>
      </w:r>
      <w:r>
        <w:rPr>
          <w:rFonts w:ascii="Times New Roman" w:hAnsi="Times New Roman"/>
          <w:color w:val="000000"/>
          <w:sz w:val="22"/>
        </w:rPr>
        <w:t>) would (i) constitute a “parachute payment” within the meaning of Section 280G of the Code, and (ii) but for this paragraph, be subject to the excise tax imposed by Section 4999 of the Code (the “</w:t>
      </w:r>
      <w:r>
        <w:rPr>
          <w:rFonts w:ascii="Times New Roman" w:hAnsi="Times New Roman"/>
          <w:b/>
          <w:i/>
          <w:color w:val="000000"/>
          <w:sz w:val="22"/>
        </w:rPr>
        <w:t>Excise Tax</w:t>
      </w:r>
      <w:r>
        <w:rPr>
          <w:color w:val="000000"/>
        </w:rPr>
        <w:t>”</w:t>
      </w:r>
      <w:r>
        <w:rPr>
          <w:rFonts w:ascii="Times New Roman" w:hAnsi="Times New Roman"/>
          <w:color w:val="000000"/>
          <w:sz w:val="22"/>
        </w:rPr>
        <w:t xml:space="preserve">), then the Company shall cause to be determined, before </w:t>
      </w:r>
    </w:p>
    <w:p>
      <w:pPr>
        <w:pStyle w:val="TextBody"/>
        <w:bidi w:val="0"/>
        <w:jc w:val="left"/>
        <w:rPr/>
      </w:pPr>
      <w:r>
        <w:rPr/>
        <w:t> </w:t>
      </w:r>
    </w:p>
    <w:p>
      <w:pPr>
        <w:pStyle w:val="TextBody"/>
        <w:bidi w:val="0"/>
        <w:spacing w:before="11" w:after="283"/>
        <w:ind w:left="60" w:right="0" w:hanging="0"/>
        <w:jc w:val="left"/>
        <w:rPr>
          <w:rFonts w:ascii="Times New Roman" w:hAnsi="Times New Roman"/>
          <w:color w:val="000000"/>
          <w:sz w:val="22"/>
        </w:rPr>
      </w:pPr>
      <w:r>
        <w:rPr>
          <w:rFonts w:ascii="Times New Roman" w:hAnsi="Times New Roman"/>
          <w:color w:val="000000"/>
          <w:sz w:val="22"/>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 w:after="283"/>
        <w:jc w:val="both"/>
        <w:rPr/>
      </w:pPr>
      <w:r>
        <w:rPr>
          <w:rFonts w:ascii="Times New Roman" w:hAnsi="Times New Roman"/>
          <w:color w:val="000000"/>
          <w:sz w:val="22"/>
        </w:rPr>
        <w:t>any amounts of the Payment are paid to Executive, which of the following two alternative forms of payment shall be paid to Executive: (A) payment in full of the entire amount of the Payment (a “</w:t>
      </w:r>
      <w:r>
        <w:rPr>
          <w:rFonts w:ascii="Times New Roman" w:hAnsi="Times New Roman"/>
          <w:b/>
          <w:i/>
          <w:color w:val="000000"/>
          <w:sz w:val="22"/>
        </w:rPr>
        <w:t>Full Payment</w:t>
      </w:r>
      <w:r>
        <w:rPr>
          <w:color w:val="000000"/>
        </w:rPr>
        <w:t>”</w:t>
      </w:r>
      <w:r>
        <w:rPr>
          <w:rFonts w:ascii="Times New Roman" w:hAnsi="Times New Roman"/>
          <w:color w:val="000000"/>
          <w:sz w:val="22"/>
        </w:rPr>
        <w:t>), or (B) payment of only a part of the Payment so that Executive receives the largest payment possible without the imposition of the Excise Tax (a “</w:t>
      </w:r>
      <w:r>
        <w:rPr>
          <w:rFonts w:ascii="Times New Roman" w:hAnsi="Times New Roman"/>
          <w:b/>
          <w:i/>
          <w:color w:val="000000"/>
          <w:sz w:val="22"/>
        </w:rPr>
        <w:t>Reduced Payment</w:t>
      </w:r>
      <w:r>
        <w:rPr>
          <w:color w:val="000000"/>
        </w:rPr>
        <w:t>”</w:t>
      </w:r>
      <w:r>
        <w:rPr>
          <w:rFonts w:ascii="Times New Roman" w:hAnsi="Times New Roman"/>
          <w:color w:val="000000"/>
          <w:sz w:val="22"/>
        </w:rPr>
        <w:t>). A Full Payment shall be made in the event that the amount received by Executive on a net after-tax basis is greater than what would be received by Executive on a net after-tax basis if the Reduced Payment were made, otherwise a Reduced Payment shall be made. If a Reduced Payment is made, (i) the Payment shall be paid only to the extent permitted under the Reduced Payment alternative, and Executive shall have no rights to any additional payments and1or benefits constituting the Payment, and (ii) reduction in payments and1or benefits shall occur in the following order: (A) reduction of cash payments; (B) cancellation of accelerated vesting of equity awards other than stock options; (C) cancellation of accelerated vesting of stock options; and (D) reduction of other benefits paid to Executive. In the event that acceleration of compensation from Executive’s equity awards is to be reduced, such acceleration of vesting shall be canceled in the reverse order of the date of grant.</w:t>
      </w:r>
    </w:p>
    <w:p>
      <w:pPr>
        <w:pStyle w:val="TextBody"/>
        <w:bidi w:val="0"/>
        <w:spacing w:before="10" w:after="283"/>
        <w:jc w:val="left"/>
        <w:rPr/>
      </w:pPr>
      <w:r>
        <w:rPr/>
        <w:t> </w:t>
      </w:r>
    </w:p>
    <w:p>
      <w:pPr>
        <w:pStyle w:val="TextBody"/>
        <w:bidi w:val="0"/>
        <w:spacing w:before="73"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73" w:after="283"/>
        <w:jc w:val="both"/>
        <w:rPr>
          <w:rFonts w:ascii="Times New Roman" w:hAnsi="Times New Roman"/>
          <w:color w:val="000000"/>
          <w:sz w:val="22"/>
        </w:rPr>
      </w:pPr>
      <w:r>
        <w:rPr>
          <w:rFonts w:ascii="Times New Roman" w:hAnsi="Times New Roman"/>
          <w:color w:val="000000"/>
          <w:sz w:val="22"/>
        </w:rPr>
        <w:t>The independent registered public accounting firm engaged by the Company for general audit purposes as of the day prior to the effective date of the Change in Control shall make all determinations required to be made under this Section 4.6. If the independent registered public accounting firm so engaged by the Company is serving as accountant or auditor for the individual, entity or group effecting the Change in Control, the Company shall appoint a nationally recognized independent registered public accounting firm to make the determinations required hereunder. The Company shall bear all expenses with respect to the determinations by such independent registered public accounting firm required to be made hereunder.</w:t>
      </w:r>
    </w:p>
    <w:p>
      <w:pPr>
        <w:pStyle w:val="TextBody"/>
        <w:bidi w:val="0"/>
        <w:spacing w:before="11" w:after="283"/>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c)</w:t>
      </w:r>
    </w:p>
    <w:p>
      <w:pPr>
        <w:pStyle w:val="TextBody"/>
        <w:bidi w:val="0"/>
        <w:jc w:val="both"/>
        <w:rPr>
          <w:rFonts w:ascii="Times New Roman" w:hAnsi="Times New Roman"/>
          <w:color w:val="000000"/>
          <w:sz w:val="22"/>
        </w:rPr>
      </w:pPr>
      <w:r>
        <w:rPr>
          <w:rFonts w:ascii="Times New Roman" w:hAnsi="Times New Roman"/>
          <w:color w:val="000000"/>
          <w:sz w:val="22"/>
        </w:rPr>
        <w:t>The independent registered public accounting firm engaged to make the determinations hereunder shall provide its calculations, together with detailed supporting documentation, to the Company and Executive within fifteen (15) calendar days after the date on which Executive’s right to a Payment is triggered (if requested at that time by the Company or Executive) or such other time as requested by the Company or Executive. If the independent registered public accounting firm determines that no Excise Tax is payable with respect to a Payment, either before or after the application of the Reduced Amount, it shall furnish the Company and Executive with an opinion reasonably acceptable to Executive that no Excise Tax will be imposed with respect to such Payment. Any good faith determinations of the accounting firm made hereunder shall be final, binding and conclusive upon the Company and Executive.</w:t>
      </w:r>
    </w:p>
    <w:p>
      <w:pPr>
        <w:pStyle w:val="TextBody"/>
        <w:bidi w:val="0"/>
        <w:spacing w:before="10" w:after="283"/>
        <w:jc w:val="left"/>
        <w:rPr/>
      </w:pPr>
      <w:r>
        <w:rPr/>
        <w:t>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4.7</w:t>
      </w:r>
    </w:p>
    <w:p>
      <w:pPr>
        <w:pStyle w:val="TextBody"/>
        <w:bidi w:val="0"/>
        <w:jc w:val="both"/>
        <w:rPr/>
      </w:pPr>
      <w:r>
        <w:rPr>
          <w:rFonts w:ascii="Times New Roman" w:hAnsi="Times New Roman"/>
          <w:b/>
          <w:color w:val="000000"/>
          <w:sz w:val="22"/>
        </w:rPr>
        <w:t>Certain Reductions and Offsets</w:t>
      </w:r>
      <w:r>
        <w:rPr>
          <w:rFonts w:ascii="Times New Roman" w:hAnsi="Times New Roman"/>
          <w:color w:val="000000"/>
          <w:sz w:val="22"/>
        </w:rPr>
        <w:t>. To the extent that any federal, state or local laws, including, without limitation, the Worker Adjustment and Retraining Notification Act or any other so- called “plant closing” laws, require the Company to give advance notice or make a payment of any kind to Executive because of Executive’s involuntary termination due to a layoff, reduction in force, plant or facility closing, sale of business, change in control or any other similar event or reason, the benefits payable under this Agreement shall be correspondingly reduced. The benefits provided under this Agreement are intended to satisfy any and all statutory obligations that may arise out of Executive’s involuntary termination of employment for the foregoing reasons, and the parties shall construe and enforce the terms of this Agreement accordingly.</w:t>
      </w:r>
    </w:p>
    <w:p>
      <w:pPr>
        <w:pStyle w:val="TextBody"/>
        <w:bidi w:val="0"/>
        <w:spacing w:before="10" w:after="283"/>
        <w:jc w:val="left"/>
        <w:rPr/>
      </w:pPr>
      <w:r>
        <w:rPr/>
        <w:t> </w:t>
      </w:r>
    </w:p>
    <w:p>
      <w:pPr>
        <w:pStyle w:val="TextBody"/>
        <w:bidi w:val="0"/>
        <w:spacing w:before="1" w:after="283"/>
        <w:jc w:val="both"/>
        <w:rPr>
          <w:rFonts w:ascii="Times New Roman" w:hAnsi="Times New Roman"/>
          <w:b/>
          <w:color w:val="000000"/>
          <w:sz w:val="22"/>
        </w:rPr>
      </w:pPr>
      <w:r>
        <w:rPr>
          <w:rFonts w:ascii="Times New Roman" w:hAnsi="Times New Roman"/>
          <w:b/>
          <w:color w:val="000000"/>
          <w:sz w:val="22"/>
        </w:rPr>
        <w:t>4.8</w:t>
      </w:r>
    </w:p>
    <w:p>
      <w:pPr>
        <w:pStyle w:val="TextBody"/>
        <w:bidi w:val="0"/>
        <w:spacing w:before="1" w:after="283"/>
        <w:jc w:val="both"/>
        <w:rPr/>
      </w:pPr>
      <w:r>
        <w:rPr>
          <w:rFonts w:ascii="Times New Roman" w:hAnsi="Times New Roman"/>
          <w:b/>
          <w:color w:val="000000"/>
          <w:sz w:val="22"/>
        </w:rPr>
        <w:t>Mitigation</w:t>
      </w:r>
      <w:r>
        <w:rPr>
          <w:rFonts w:ascii="Times New Roman" w:hAnsi="Times New Roman"/>
          <w:color w:val="000000"/>
          <w:sz w:val="22"/>
        </w:rPr>
        <w:t>. Except as otherwise specifically provided herein, Executive shall not be required to mitigate damages or the amount of any payment provided under this Agreement by seeking other employment or otherwise, nor shall the amount of any payment provided for under this Agreement be reduced by any compensation earned by Executive as a result of employment by another employer or by any retirement benefits received by Executive after the date of a Change in Control Termination or Covered Termination (except as expressly provided in Sections 2.3 and 3.3 above).</w:t>
      </w:r>
    </w:p>
    <w:p>
      <w:pPr>
        <w:pStyle w:val="TextBody"/>
        <w:bidi w:val="0"/>
        <w:spacing w:before="8" w:after="283"/>
        <w:jc w:val="left"/>
        <w:rPr/>
      </w:pPr>
      <w:r>
        <w:rPr/>
        <w:t> </w:t>
      </w:r>
    </w:p>
    <w:p>
      <w:pPr>
        <w:pStyle w:val="TextBody"/>
        <w:bidi w:val="0"/>
        <w:spacing w:before="1" w:after="283"/>
        <w:jc w:val="both"/>
        <w:rPr>
          <w:rFonts w:ascii="Times New Roman" w:hAnsi="Times New Roman"/>
          <w:b/>
          <w:color w:val="000000"/>
          <w:sz w:val="22"/>
        </w:rPr>
      </w:pPr>
      <w:r>
        <w:rPr>
          <w:rFonts w:ascii="Times New Roman" w:hAnsi="Times New Roman"/>
          <w:b/>
          <w:color w:val="000000"/>
          <w:sz w:val="22"/>
        </w:rPr>
        <w:t>4.9</w:t>
      </w:r>
    </w:p>
    <w:p>
      <w:pPr>
        <w:pStyle w:val="TextBody"/>
        <w:bidi w:val="0"/>
        <w:spacing w:before="1" w:after="283"/>
        <w:jc w:val="both"/>
        <w:rPr/>
      </w:pPr>
      <w:r>
        <w:rPr>
          <w:rFonts w:ascii="Times New Roman" w:hAnsi="Times New Roman"/>
          <w:b/>
          <w:color w:val="000000"/>
          <w:sz w:val="22"/>
        </w:rPr>
        <w:t>Indebtedness of Executive</w:t>
      </w:r>
      <w:r>
        <w:rPr>
          <w:rFonts w:ascii="Times New Roman" w:hAnsi="Times New Roman"/>
          <w:color w:val="000000"/>
          <w:sz w:val="22"/>
        </w:rPr>
        <w:t xml:space="preserve">. If Executive is indebted to the Company on the effective date </w:t>
      </w:r>
    </w:p>
    <w:p>
      <w:pPr>
        <w:pStyle w:val="TextBody"/>
        <w:bidi w:val="0"/>
        <w:jc w:val="left"/>
        <w:rPr/>
      </w:pPr>
      <w:r>
        <w:rPr/>
        <w:t> </w:t>
      </w:r>
    </w:p>
    <w:p>
      <w:pPr>
        <w:pStyle w:val="TextBody"/>
        <w:bidi w:val="0"/>
        <w:spacing w:before="11" w:after="283"/>
        <w:ind w:left="60" w:right="0" w:hanging="0"/>
        <w:jc w:val="left"/>
        <w:rPr>
          <w:rFonts w:ascii="Times New Roman" w:hAnsi="Times New Roman"/>
          <w:color w:val="000000"/>
          <w:sz w:val="22"/>
        </w:rPr>
      </w:pPr>
      <w:r>
        <w:rPr>
          <w:rFonts w:ascii="Times New Roman" w:hAnsi="Times New Roman"/>
          <w:color w:val="000000"/>
          <w:sz w:val="22"/>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 w:after="283"/>
        <w:jc w:val="both"/>
        <w:rPr>
          <w:rFonts w:ascii="Times New Roman" w:hAnsi="Times New Roman"/>
          <w:color w:val="000000"/>
          <w:sz w:val="22"/>
        </w:rPr>
      </w:pPr>
      <w:r>
        <w:rPr>
          <w:rFonts w:ascii="Times New Roman" w:hAnsi="Times New Roman"/>
          <w:color w:val="000000"/>
          <w:sz w:val="22"/>
        </w:rPr>
        <w:t>of a Change in Control Termination or Covered Termination, the Company reserves the right to offset any severance payments and benefits under this Agreement by the amount of such indebtedness.</w:t>
      </w:r>
    </w:p>
    <w:p>
      <w:pPr>
        <w:pStyle w:val="TextBody"/>
        <w:bidi w:val="0"/>
        <w:spacing w:before="9" w:after="283"/>
        <w:jc w:val="left"/>
        <w:rPr/>
      </w:pPr>
      <w:r>
        <w:rPr/>
        <w:t> </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4.10</w:t>
      </w:r>
    </w:p>
    <w:p>
      <w:pPr>
        <w:pStyle w:val="TextBody"/>
        <w:bidi w:val="0"/>
        <w:jc w:val="left"/>
        <w:rPr/>
      </w:pPr>
      <w:r>
        <w:rPr>
          <w:rFonts w:ascii="Times New Roman" w:hAnsi="Times New Roman"/>
          <w:b/>
          <w:color w:val="000000"/>
          <w:sz w:val="22"/>
        </w:rPr>
        <w:t>Application of Section 409A</w:t>
      </w:r>
      <w:r>
        <w:rPr>
          <w:rFonts w:ascii="Times New Roman" w:hAnsi="Times New Roman"/>
          <w:color w:val="000000"/>
          <w:sz w:val="22"/>
        </w:rPr>
        <w:t>.</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a)</w:t>
      </w:r>
    </w:p>
    <w:p>
      <w:pPr>
        <w:pStyle w:val="TextBody"/>
        <w:bidi w:val="0"/>
        <w:jc w:val="both"/>
        <w:rPr/>
      </w:pPr>
      <w:r>
        <w:rPr>
          <w:rFonts w:ascii="Times New Roman" w:hAnsi="Times New Roman"/>
          <w:b/>
          <w:color w:val="000000"/>
          <w:sz w:val="22"/>
        </w:rPr>
        <w:t>Separation from Service</w:t>
      </w:r>
      <w:r>
        <w:rPr>
          <w:rFonts w:ascii="Times New Roman" w:hAnsi="Times New Roman"/>
          <w:color w:val="000000"/>
          <w:sz w:val="22"/>
        </w:rPr>
        <w:t>. Notwithstanding any provision to the contrary in this Agreement, no amount deemed deferred compensation subject to Section 409A of the Code shall be payable pursuant to Article 2 or Article 3 unless Executive’s termination of employment constitutes a “separation from service” with the Company within the meaning of Section 409A of the Code and the Department of Treasury Regulations and other guidance promulgated thereunder and, except as provided under Section 4.10(b) hereof, any such amount shall not be paid, or in the case of installments, commence payment, until the first regularly-scheduled payroll date occurring on or after the sixtieth (60</w:t>
      </w:r>
      <w:r>
        <w:rPr>
          <w:rFonts w:ascii="Times New Roman" w:hAnsi="Times New Roman"/>
          <w:color w:val="000000"/>
          <w:sz w:val="15"/>
        </w:rPr>
        <w:t>th</w:t>
      </w:r>
      <w:r>
        <w:rPr>
          <w:rFonts w:ascii="Times New Roman" w:hAnsi="Times New Roman"/>
          <w:color w:val="000000"/>
          <w:sz w:val="22"/>
        </w:rPr>
        <w:t>) day following Executive’s separation from service. Any installment payments that would have been made to Executive during the sixty (60) day period immediately following Executive’s separation from service but for the preceding sentence shall be paid to Executive on the first regularly-scheduled payroll date occurring on or after the sixtieth (60</w:t>
      </w:r>
      <w:r>
        <w:rPr>
          <w:rFonts w:ascii="Times New Roman" w:hAnsi="Times New Roman"/>
          <w:color w:val="000000"/>
          <w:sz w:val="15"/>
        </w:rPr>
        <w:t>th</w:t>
      </w:r>
      <w:r>
        <w:rPr>
          <w:rFonts w:ascii="Times New Roman" w:hAnsi="Times New Roman"/>
          <w:color w:val="000000"/>
          <w:sz w:val="22"/>
        </w:rPr>
        <w:t>) day after Executive’s separation from service and the remaining payments shall be made as provided in this Agreement.</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b)</w:t>
      </w:r>
    </w:p>
    <w:p>
      <w:pPr>
        <w:pStyle w:val="TextBody"/>
        <w:bidi w:val="0"/>
        <w:jc w:val="both"/>
        <w:rPr/>
      </w:pPr>
      <w:r>
        <w:rPr>
          <w:rFonts w:ascii="Times New Roman" w:hAnsi="Times New Roman"/>
          <w:b/>
          <w:color w:val="000000"/>
          <w:sz w:val="22"/>
        </w:rPr>
        <w:t>Specified Executive</w:t>
      </w:r>
      <w:r>
        <w:rPr>
          <w:rFonts w:ascii="Times New Roman" w:hAnsi="Times New Roman"/>
          <w:color w:val="000000"/>
          <w:sz w:val="22"/>
        </w:rPr>
        <w:t>. Notwithstanding any provision to the contrary in this Agreement, if Executive is deemed at the time of his or her separation from service to be a “specified employee” for purposes of Section 409A(a)(2)(B)(i) of the Code, to the extent delayed commencement of any portion of the benefits to which Executive is entitled under this Agreement is required in order to avoid a prohibited distribution under Section 409A(a)(2)(B)(i) of the Code, such portion of Executive’s benefits shall not be provided to Executive prior to the earlier of (i) the expiration of the six (6)-month period measured from the date of Executive’s “separation from service” with the Company (as such term is defined in the Treasury Regulations issued under Section 409A of the Code) or (ii) the date of Executive’s death. Upon the first business day following the expiration of the applicable Code Section 409A(a)(2)(B)(i) period, all payments deferred pursuant to this Section 4.10(b)shall be paid in a lump sum to Executive, and any remaining payments due under this Agreement shall be paid as otherwise provided herein.</w:t>
      </w:r>
    </w:p>
    <w:p>
      <w:pPr>
        <w:pStyle w:val="TextBody"/>
        <w:bidi w:val="0"/>
        <w:spacing w:before="11" w:after="283"/>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c)</w:t>
      </w:r>
    </w:p>
    <w:p>
      <w:pPr>
        <w:pStyle w:val="TextBody"/>
        <w:bidi w:val="0"/>
        <w:jc w:val="both"/>
        <w:rPr/>
      </w:pPr>
      <w:r>
        <w:rPr>
          <w:rFonts w:ascii="Times New Roman" w:hAnsi="Times New Roman"/>
          <w:b/>
          <w:color w:val="000000"/>
          <w:sz w:val="22"/>
        </w:rPr>
        <w:t>Expense Reimbursements</w:t>
      </w:r>
      <w:r>
        <w:rPr>
          <w:rFonts w:ascii="Times New Roman" w:hAnsi="Times New Roman"/>
          <w:color w:val="000000"/>
          <w:sz w:val="22"/>
        </w:rPr>
        <w:t>. To the extent that any reimbursement payable pursuant to this Agreement is subject to the provisions of Section 409A of the Code, any such reimbursement payable to Executive pursuant to this Agreement shall be paid to Executive no later than December 31 of the year following the year in which the expense was incurred; the amount of expenses reimbursed in one year shall not affect the amount eligible for reimbursement in any subsequent year; and Executive’s right to reimbursement under this Agreement will not be subject to liquidation or exchange for another benefit.</w:t>
      </w:r>
    </w:p>
    <w:p>
      <w:pPr>
        <w:pStyle w:val="TextBody"/>
        <w:bidi w:val="0"/>
        <w:spacing w:before="9" w:after="283"/>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d)</w:t>
      </w:r>
    </w:p>
    <w:p>
      <w:pPr>
        <w:pStyle w:val="TextBody"/>
        <w:bidi w:val="0"/>
        <w:jc w:val="both"/>
        <w:rPr/>
      </w:pPr>
      <w:r>
        <w:rPr>
          <w:rFonts w:ascii="Times New Roman" w:hAnsi="Times New Roman"/>
          <w:b/>
          <w:color w:val="000000"/>
          <w:sz w:val="22"/>
        </w:rPr>
        <w:t>Installments</w:t>
      </w:r>
      <w:r>
        <w:rPr>
          <w:rFonts w:ascii="Times New Roman" w:hAnsi="Times New Roman"/>
          <w:color w:val="000000"/>
          <w:sz w:val="22"/>
        </w:rPr>
        <w:t>. For purposes of Section 409A of the Code (including, without limitation, for purposes of Treasury Regulation Section 1.409A-2(b)(2)(iii)), Executive’s right to receive any installment payments under this Agreement shall be treated as a right to receive a series of separate payments and, accordingly, each such installment payment shall at all times be considered a separate and distinct payment.</w:t>
      </w:r>
    </w:p>
    <w:p>
      <w:pPr>
        <w:pStyle w:val="TextBody"/>
        <w:bidi w:val="0"/>
        <w:spacing w:before="9" w:after="283"/>
        <w:jc w:val="left"/>
        <w:rPr/>
      </w:pPr>
      <w:r>
        <w:rPr/>
        <w:t> </w:t>
      </w:r>
    </w:p>
    <w:p>
      <w:pPr>
        <w:pStyle w:val="TextBody"/>
        <w:bidi w:val="0"/>
        <w:spacing w:before="1" w:after="283"/>
        <w:jc w:val="both"/>
        <w:rPr>
          <w:rFonts w:ascii="Times New Roman" w:hAnsi="Times New Roman"/>
          <w:b/>
          <w:color w:val="000000"/>
          <w:sz w:val="22"/>
        </w:rPr>
      </w:pPr>
      <w:r>
        <w:rPr>
          <w:rFonts w:ascii="Times New Roman" w:hAnsi="Times New Roman"/>
          <w:b/>
          <w:color w:val="000000"/>
          <w:sz w:val="22"/>
        </w:rPr>
        <w:t>4.11</w:t>
      </w:r>
    </w:p>
    <w:p>
      <w:pPr>
        <w:pStyle w:val="TextBody"/>
        <w:bidi w:val="0"/>
        <w:spacing w:before="1" w:after="283"/>
        <w:jc w:val="both"/>
        <w:rPr/>
      </w:pPr>
      <w:r>
        <w:rPr>
          <w:rFonts w:ascii="Times New Roman" w:hAnsi="Times New Roman"/>
          <w:b/>
          <w:color w:val="000000"/>
          <w:sz w:val="22"/>
        </w:rPr>
        <w:t>Tax Withholding</w:t>
      </w:r>
      <w:r>
        <w:rPr>
          <w:rFonts w:ascii="Times New Roman" w:hAnsi="Times New Roman"/>
          <w:color w:val="000000"/>
          <w:sz w:val="22"/>
        </w:rPr>
        <w:t>. All payments under this Agreement shall be subject to applicable withholding for federal, state and local income and employment taxes.</w:t>
      </w:r>
    </w:p>
    <w:p>
      <w:pPr>
        <w:pStyle w:val="TextBody"/>
        <w:bidi w:val="0"/>
        <w:spacing w:before="10" w:after="283"/>
        <w:jc w:val="left"/>
        <w:rPr/>
      </w:pPr>
      <w:r>
        <w:rPr/>
        <w:t>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4.12</w:t>
      </w:r>
    </w:p>
    <w:p>
      <w:pPr>
        <w:pStyle w:val="TextBody"/>
        <w:bidi w:val="0"/>
        <w:jc w:val="both"/>
        <w:rPr/>
      </w:pPr>
      <w:r>
        <w:rPr>
          <w:rFonts w:ascii="Times New Roman" w:hAnsi="Times New Roman"/>
          <w:b/>
          <w:color w:val="000000"/>
          <w:sz w:val="22"/>
        </w:rPr>
        <w:t>No Duplication of Severance Benefits</w:t>
      </w:r>
      <w:r>
        <w:rPr>
          <w:rFonts w:ascii="Times New Roman" w:hAnsi="Times New Roman"/>
          <w:color w:val="000000"/>
          <w:sz w:val="22"/>
        </w:rPr>
        <w:t>. The severance and other benefits provided in Article 2 and Article 3 are mutually exclusive of each other, and in no event shall Executive receive any severance or other benefits pursuant to both Article 2 and Article 3.</w:t>
      </w:r>
    </w:p>
    <w:p>
      <w:pPr>
        <w:pStyle w:val="TextBody"/>
        <w:bidi w:val="0"/>
        <w:spacing w:before="9" w:after="283"/>
        <w:jc w:val="left"/>
        <w:rPr/>
      </w:pPr>
      <w:r>
        <w:rPr/>
        <w:t> </w:t>
      </w:r>
    </w:p>
    <w:p>
      <w:pPr>
        <w:pStyle w:val="TextBody"/>
        <w:bidi w:val="0"/>
        <w:spacing w:before="1" w:after="283"/>
        <w:jc w:val="center"/>
        <w:rPr>
          <w:rFonts w:ascii="Times New Roman" w:hAnsi="Times New Roman"/>
          <w:b/>
          <w:color w:val="000000"/>
          <w:sz w:val="22"/>
        </w:rPr>
      </w:pPr>
      <w:r>
        <w:rPr>
          <w:rFonts w:ascii="Times New Roman" w:hAnsi="Times New Roman"/>
          <w:b/>
          <w:color w:val="000000"/>
          <w:sz w:val="22"/>
        </w:rPr>
        <w:t>ARTICLE 5</w:t>
      </w:r>
    </w:p>
    <w:p>
      <w:pPr>
        <w:pStyle w:val="TextBody"/>
        <w:bidi w:val="0"/>
        <w:jc w:val="left"/>
        <w:rPr/>
      </w:pPr>
      <w:r>
        <w:rPr/>
        <w:t> </w:t>
      </w:r>
    </w:p>
    <w:p>
      <w:pPr>
        <w:pStyle w:val="TextBody"/>
        <w:bidi w:val="0"/>
        <w:spacing w:before="11" w:after="283"/>
        <w:ind w:left="60" w:right="0" w:hanging="0"/>
        <w:jc w:val="left"/>
        <w:rPr>
          <w:rFonts w:ascii="Times New Roman" w:hAnsi="Times New Roman"/>
          <w:color w:val="000000"/>
          <w:sz w:val="22"/>
        </w:rPr>
      </w:pPr>
      <w:r>
        <w:rPr>
          <w:rFonts w:ascii="Times New Roman" w:hAnsi="Times New Roman"/>
          <w:color w:val="000000"/>
          <w:sz w:val="22"/>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 w:after="283"/>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TERMINATION WITH CAUSE OR BY VOLUNTARY RESIGNATION; OTHER RIGHTS AND BENEFITS</w:t>
      </w:r>
    </w:p>
    <w:p>
      <w:pPr>
        <w:pStyle w:val="TextBody"/>
        <w:bidi w:val="0"/>
        <w:spacing w:before="3" w:after="283"/>
        <w:jc w:val="left"/>
        <w:rPr/>
      </w:pPr>
      <w:r>
        <w:rPr/>
        <w:t> </w:t>
      </w:r>
    </w:p>
    <w:p>
      <w:pPr>
        <w:pStyle w:val="TextBody"/>
        <w:bidi w:val="0"/>
        <w:spacing w:before="1" w:after="283"/>
        <w:jc w:val="both"/>
        <w:rPr>
          <w:rFonts w:ascii="Times New Roman" w:hAnsi="Times New Roman"/>
          <w:b/>
          <w:color w:val="000000"/>
          <w:sz w:val="22"/>
        </w:rPr>
      </w:pPr>
      <w:r>
        <w:rPr>
          <w:rFonts w:ascii="Times New Roman" w:hAnsi="Times New Roman"/>
          <w:b/>
          <w:color w:val="000000"/>
          <w:sz w:val="22"/>
        </w:rPr>
        <w:t>5.1</w:t>
      </w:r>
    </w:p>
    <w:p>
      <w:pPr>
        <w:pStyle w:val="TextBody"/>
        <w:bidi w:val="0"/>
        <w:spacing w:before="1" w:after="283"/>
        <w:jc w:val="both"/>
        <w:rPr/>
      </w:pPr>
      <w:r>
        <w:rPr>
          <w:rFonts w:ascii="Times New Roman" w:hAnsi="Times New Roman"/>
          <w:b/>
          <w:color w:val="000000"/>
          <w:sz w:val="22"/>
        </w:rPr>
        <w:t>Termination for Cause by the Company</w:t>
      </w:r>
      <w:r>
        <w:rPr>
          <w:rFonts w:ascii="Times New Roman" w:hAnsi="Times New Roman"/>
          <w:color w:val="000000"/>
          <w:sz w:val="22"/>
        </w:rPr>
        <w:t>. If the Company shall terminate the Executive’s employment with the Company for Cause, then upon such termination, the Company shall have no further obligation to Executive hereunder except for the payment or provision, as applicable, of (i) the portion of the Annual Base Salary for the period prior to the effective date of termination earned but unpaid (if any), (ii) all unreimbursed expenses (if any), subject to Sections 1.4 and 4.10(c), and (iii) other payments, entitlements or benefits, if any, in accordance with terms of the applicable plans, programs, arrangements or other agreements of the Company (other than any severance plan or policy) as to which the Executive held rights to such payments, entitlements or benefits, whether as a participant, beneficiary or otherwise on the date of termination (“</w:t>
      </w:r>
      <w:r>
        <w:rPr>
          <w:rFonts w:ascii="Times New Roman" w:hAnsi="Times New Roman"/>
          <w:b/>
          <w:i/>
          <w:color w:val="000000"/>
          <w:sz w:val="22"/>
        </w:rPr>
        <w:t>Other Benefits</w:t>
      </w:r>
      <w:r>
        <w:rPr>
          <w:color w:val="000000"/>
        </w:rPr>
        <w:t>”</w:t>
      </w:r>
      <w:r>
        <w:rPr>
          <w:rFonts w:ascii="Times New Roman" w:hAnsi="Times New Roman"/>
          <w:color w:val="000000"/>
          <w:sz w:val="22"/>
        </w:rPr>
        <w:t>). For the avoidance of doubt, Executive shall have no right to receive (and Other Benefits shall not include) any amounts under any Company severance plan or policy or pursuant to Article 2 or Article 3 upon Executive’s termination for Cause.</w:t>
      </w:r>
    </w:p>
    <w:p>
      <w:pPr>
        <w:pStyle w:val="TextBody"/>
        <w:bidi w:val="0"/>
        <w:spacing w:before="1" w:after="283"/>
        <w:jc w:val="left"/>
        <w:rPr/>
      </w:pPr>
      <w:r>
        <w:rPr/>
        <w:t>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5.2</w:t>
      </w:r>
    </w:p>
    <w:p>
      <w:pPr>
        <w:pStyle w:val="TextBody"/>
        <w:bidi w:val="0"/>
        <w:jc w:val="both"/>
        <w:rPr/>
      </w:pPr>
      <w:r>
        <w:rPr>
          <w:rFonts w:ascii="Times New Roman" w:hAnsi="Times New Roman"/>
          <w:b/>
          <w:color w:val="000000"/>
          <w:sz w:val="22"/>
        </w:rPr>
        <w:t>Termination by Voluntary Resignation by the Executive (other than Resignation for Good Reason)</w:t>
      </w:r>
      <w:r>
        <w:rPr>
          <w:rFonts w:ascii="Times New Roman" w:hAnsi="Times New Roman"/>
          <w:color w:val="000000"/>
          <w:sz w:val="22"/>
        </w:rPr>
        <w:t>. Upon any voluntary resignation by Executive that is not a Resignation for Good Reason, the Company shall have no further obligation to the Executive hereunder except for the payment of (i) the portion of the Annual Base Salary for the period prior to the effective date of termination earned but unpaid (if any), (ii) all unreimbursed expenses (if any), subject to Section 1.4 and Section 4.10(c), and (iii) the payment or provision of any Other Benefits. For the avoidance of doubt, Executive shall have no right to receive (and Other Benefits shall not include) any amounts under any Company severance plan or policy or pursuant to Article 2 or Article 3 upon any voluntary resignation by Executive that is not a Resignation for Good Reason.</w:t>
      </w:r>
    </w:p>
    <w:p>
      <w:pPr>
        <w:pStyle w:val="TextBody"/>
        <w:bidi w:val="0"/>
        <w:spacing w:before="6" w:after="283"/>
        <w:jc w:val="left"/>
        <w:rPr/>
      </w:pPr>
      <w:r>
        <w:rPr/>
        <w:t>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5.3</w:t>
      </w:r>
    </w:p>
    <w:p>
      <w:pPr>
        <w:pStyle w:val="TextBody"/>
        <w:bidi w:val="0"/>
        <w:jc w:val="both"/>
        <w:rPr/>
      </w:pPr>
      <w:r>
        <w:rPr>
          <w:rFonts w:ascii="Times New Roman" w:hAnsi="Times New Roman"/>
          <w:b/>
          <w:color w:val="000000"/>
          <w:sz w:val="22"/>
        </w:rPr>
        <w:t>Other Rights and Benefits</w:t>
      </w:r>
      <w:r>
        <w:rPr>
          <w:rFonts w:ascii="Times New Roman" w:hAnsi="Times New Roman"/>
          <w:color w:val="000000"/>
          <w:sz w:val="22"/>
        </w:rPr>
        <w:t>. Nothing in this Agreement shall prevent or limit Executive’s continuing or future participation in any benefit, bonus, incentive or other plans, programs, policies or practices provided by the Company and for which Executive may otherwise qualify, nor shall anything herein limit or otherwise affect such rights as Executive may have under other agreements with the Company except as provided in Article 1, Article 4, Section 5.1 and Section 5.2 above. Except as otherwise expressly provided herein, amounts that are vested benefits or that Executive is otherwise entitled to receive under any plan, policy, practice or program of the Company at or subsequent to the date of a Change in Control shall be payable in accordance with such plan, policy, practice or program.</w:t>
      </w:r>
    </w:p>
    <w:p>
      <w:pPr>
        <w:pStyle w:val="TextBody"/>
        <w:bidi w:val="0"/>
        <w:spacing w:before="10" w:after="283"/>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ARTICLE 6</w:t>
      </w:r>
    </w:p>
    <w:p>
      <w:pPr>
        <w:pStyle w:val="TextBody"/>
        <w:bidi w:val="0"/>
        <w:jc w:val="center"/>
        <w:rPr>
          <w:rFonts w:ascii="Times New Roman" w:hAnsi="Times New Roman"/>
          <w:b/>
          <w:color w:val="000000"/>
          <w:sz w:val="22"/>
        </w:rPr>
      </w:pPr>
      <w:r>
        <w:rPr>
          <w:rFonts w:ascii="Times New Roman" w:hAnsi="Times New Roman"/>
          <w:b/>
          <w:color w:val="000000"/>
          <w:sz w:val="22"/>
        </w:rPr>
        <w:t>DEFINITIONS</w:t>
      </w:r>
    </w:p>
    <w:p>
      <w:pPr>
        <w:pStyle w:val="TextBody"/>
        <w:bidi w:val="0"/>
        <w:jc w:val="left"/>
        <w:rPr>
          <w:rFonts w:ascii="Times New Roman" w:hAnsi="Times New Roman"/>
          <w:color w:val="000000"/>
          <w:sz w:val="22"/>
        </w:rPr>
      </w:pPr>
      <w:r>
        <w:rPr>
          <w:rFonts w:ascii="Times New Roman" w:hAnsi="Times New Roman"/>
          <w:color w:val="000000"/>
          <w:sz w:val="22"/>
        </w:rPr>
        <w:t>Unless otherwise provided, for purposes of this Agreement, the following definitions shall apply:</w:t>
      </w:r>
    </w:p>
    <w:p>
      <w:pPr>
        <w:pStyle w:val="TextBody"/>
        <w:bidi w:val="0"/>
        <w:spacing w:before="11" w:after="283"/>
        <w:jc w:val="left"/>
        <w:rPr/>
      </w:pPr>
      <w:r>
        <w:rPr/>
        <w:t>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6.1</w:t>
      </w:r>
    </w:p>
    <w:p>
      <w:pPr>
        <w:pStyle w:val="TextBody"/>
        <w:bidi w:val="0"/>
        <w:jc w:val="both"/>
        <w:rPr/>
      </w:pPr>
      <w:r>
        <w:rPr>
          <w:color w:val="000000"/>
        </w:rPr>
        <w:t>“</w:t>
      </w:r>
      <w:r>
        <w:rPr>
          <w:rFonts w:ascii="Times New Roman" w:hAnsi="Times New Roman"/>
          <w:b/>
          <w:i/>
          <w:color w:val="000000"/>
          <w:sz w:val="22"/>
        </w:rPr>
        <w:t>Board</w:t>
      </w:r>
      <w:r>
        <w:rPr>
          <w:color w:val="000000"/>
        </w:rPr>
        <w:t xml:space="preserve">” </w:t>
      </w:r>
      <w:r>
        <w:rPr>
          <w:rFonts w:ascii="Times New Roman" w:hAnsi="Times New Roman"/>
          <w:color w:val="000000"/>
          <w:sz w:val="22"/>
        </w:rPr>
        <w:t>means the Board of Directors of the Company.</w:t>
      </w:r>
    </w:p>
    <w:p>
      <w:pPr>
        <w:pStyle w:val="TextBody"/>
        <w:bidi w:val="0"/>
        <w:spacing w:before="9" w:after="283"/>
        <w:jc w:val="left"/>
        <w:rPr/>
      </w:pPr>
      <w:r>
        <w:rPr/>
        <w:t> </w:t>
      </w:r>
    </w:p>
    <w:p>
      <w:pPr>
        <w:pStyle w:val="TextBody"/>
        <w:bidi w:val="0"/>
        <w:spacing w:before="2" w:after="283"/>
        <w:jc w:val="both"/>
        <w:rPr>
          <w:rFonts w:ascii="Times New Roman" w:hAnsi="Times New Roman"/>
          <w:b/>
          <w:color w:val="000000"/>
          <w:sz w:val="22"/>
        </w:rPr>
      </w:pPr>
      <w:r>
        <w:rPr>
          <w:rFonts w:ascii="Times New Roman" w:hAnsi="Times New Roman"/>
          <w:b/>
          <w:color w:val="000000"/>
          <w:sz w:val="22"/>
        </w:rPr>
        <w:t>6.2</w:t>
      </w:r>
    </w:p>
    <w:p>
      <w:pPr>
        <w:pStyle w:val="TextBody"/>
        <w:bidi w:val="0"/>
        <w:spacing w:before="2" w:after="283"/>
        <w:jc w:val="both"/>
        <w:rPr/>
      </w:pPr>
      <w:r>
        <w:rPr>
          <w:color w:val="000000"/>
        </w:rPr>
        <w:t>“</w:t>
      </w:r>
      <w:r>
        <w:rPr>
          <w:rFonts w:ascii="Times New Roman" w:hAnsi="Times New Roman"/>
          <w:b/>
          <w:i/>
          <w:color w:val="000000"/>
          <w:sz w:val="22"/>
        </w:rPr>
        <w:t>Cause</w:t>
      </w:r>
      <w:r>
        <w:rPr>
          <w:color w:val="000000"/>
        </w:rPr>
        <w:t xml:space="preserve">” </w:t>
      </w:r>
      <w:r>
        <w:rPr>
          <w:rFonts w:ascii="Times New Roman" w:hAnsi="Times New Roman"/>
          <w:color w:val="000000"/>
          <w:sz w:val="22"/>
        </w:rPr>
        <w:t xml:space="preserve">means, upon a reasonable determination by the Company, Executive’s: (a) dishonest statements or acts with respect to the Company, any subsidiary or any affiliate of the Company or any subsidiary; (b) commission by or indictment for (i) a felony or (ii) any misdemeanor (excluding minor traffic violations) involving moral turpitude, deceit, dishonesty or fraud (“indictment,” for these purposes, meaning an indictment, probable cause hearing or any other procedure pursuant to which an initial determination of probable or reasonable cause with respect to such offense is made); (c) gross negligence, willful misconduct or insubordination with respect to the Company, any subsidiary or any affiliate of the Company or any subsidiary; (d) material breach of any of Executive’s obligations under any agreement to which Executive and the Company or any subsidiary are a party; or (e) death or disability. </w:t>
      </w:r>
    </w:p>
    <w:p>
      <w:pPr>
        <w:pStyle w:val="TextBody"/>
        <w:bidi w:val="0"/>
        <w:jc w:val="left"/>
        <w:rPr/>
      </w:pPr>
      <w:r>
        <w:rPr/>
        <w:t> </w:t>
      </w:r>
    </w:p>
    <w:p>
      <w:pPr>
        <w:pStyle w:val="TextBody"/>
        <w:bidi w:val="0"/>
        <w:spacing w:before="11" w:after="283"/>
        <w:ind w:left="60" w:right="0" w:hanging="0"/>
        <w:jc w:val="left"/>
        <w:rPr>
          <w:rFonts w:ascii="Times New Roman" w:hAnsi="Times New Roman"/>
          <w:color w:val="000000"/>
          <w:sz w:val="22"/>
        </w:rPr>
      </w:pPr>
      <w:r>
        <w:rPr>
          <w:rFonts w:ascii="Times New Roman" w:hAnsi="Times New Roman"/>
          <w:color w:val="000000"/>
          <w:sz w:val="22"/>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 w:after="283"/>
        <w:jc w:val="both"/>
        <w:rPr>
          <w:rFonts w:ascii="Times New Roman" w:hAnsi="Times New Roman"/>
          <w:color w:val="000000"/>
          <w:sz w:val="22"/>
        </w:rPr>
      </w:pPr>
      <w:r>
        <w:rPr>
          <w:rFonts w:ascii="Times New Roman" w:hAnsi="Times New Roman"/>
          <w:color w:val="000000"/>
          <w:sz w:val="22"/>
        </w:rPr>
        <w:t>With respect to clause (d), Executive will be given notice and a 30-day period in which to cure such breach, only to the extent such breach can be reasonably expected to be able to be cured within such period. Executive agrees that the breach of any confidentiality obligation to the Company or any subsidiary shall not be curable to any extent.</w:t>
      </w:r>
    </w:p>
    <w:p>
      <w:pPr>
        <w:pStyle w:val="TextBody"/>
        <w:bidi w:val="0"/>
        <w:spacing w:before="10" w:after="283"/>
        <w:jc w:val="left"/>
        <w:rPr/>
      </w:pPr>
      <w:r>
        <w:rPr/>
        <w:t>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6.3</w:t>
      </w:r>
    </w:p>
    <w:p>
      <w:pPr>
        <w:pStyle w:val="TextBody"/>
        <w:bidi w:val="0"/>
        <w:jc w:val="both"/>
        <w:rPr/>
      </w:pPr>
      <w:r>
        <w:rPr>
          <w:color w:val="000000"/>
        </w:rPr>
        <w:t>“</w:t>
      </w:r>
      <w:r>
        <w:rPr>
          <w:rFonts w:ascii="Times New Roman" w:hAnsi="Times New Roman"/>
          <w:b/>
          <w:i/>
          <w:color w:val="000000"/>
          <w:sz w:val="22"/>
        </w:rPr>
        <w:t>Change in Control</w:t>
      </w:r>
      <w:r>
        <w:rPr>
          <w:color w:val="000000"/>
        </w:rPr>
        <w:t xml:space="preserve">” </w:t>
      </w:r>
      <w:r>
        <w:rPr>
          <w:rFonts w:ascii="Times New Roman" w:hAnsi="Times New Roman"/>
          <w:color w:val="000000"/>
          <w:sz w:val="22"/>
        </w:rPr>
        <w:t>means the occurrence, in a single transaction or in a series of related transactions, of any one or more of the following events:</w:t>
      </w:r>
    </w:p>
    <w:p>
      <w:pPr>
        <w:pStyle w:val="TextBody"/>
        <w:bidi w:val="0"/>
        <w:spacing w:before="8" w:after="283"/>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a)</w:t>
      </w:r>
    </w:p>
    <w:p>
      <w:pPr>
        <w:pStyle w:val="TextBody"/>
        <w:bidi w:val="0"/>
        <w:jc w:val="both"/>
        <w:rPr/>
      </w:pPr>
      <w:r>
        <w:rPr>
          <w:rFonts w:ascii="Times New Roman" w:hAnsi="Times New Roman"/>
          <w:color w:val="000000"/>
          <w:sz w:val="22"/>
        </w:rPr>
        <w:t>Any natural person, entity or group within the meaning of Section 13(d) or 14(d) of the Securities Exchange Act of 1934, as amended (“</w:t>
      </w:r>
      <w:r>
        <w:rPr>
          <w:rFonts w:ascii="Times New Roman" w:hAnsi="Times New Roman"/>
          <w:b/>
          <w:i/>
          <w:color w:val="000000"/>
          <w:sz w:val="22"/>
        </w:rPr>
        <w:t>Exchange Act Person</w:t>
      </w:r>
      <w:r>
        <w:rPr>
          <w:color w:val="000000"/>
        </w:rPr>
        <w:t>”</w:t>
      </w:r>
      <w:r>
        <w:rPr>
          <w:rFonts w:ascii="Times New Roman" w:hAnsi="Times New Roman"/>
          <w:color w:val="000000"/>
          <w:sz w:val="22"/>
        </w:rPr>
        <w:t>), becomes the owner, directly or indirectly, of securities of the Company representing more than fifty percent (50%) of the combined voting power of the Company’s then outstanding securities other than by virtue of a merger, consolidation or similar transaction. Notwithstanding the foregoing, a Change in Control shall not be deemed to occur (i) on account of the acquisition of securities of the Company by any institutional investor, any affiliate thereof or any other Exchange Act Person that acquires the Company’s securities in a transaction or series of related transactions that are primarily a private financing transaction for the Company or (ii) solely because the level of ownership held by any Exchange Act Person (the “</w:t>
      </w:r>
      <w:r>
        <w:rPr>
          <w:rFonts w:ascii="Times New Roman" w:hAnsi="Times New Roman"/>
          <w:b/>
          <w:i/>
          <w:color w:val="000000"/>
          <w:sz w:val="22"/>
        </w:rPr>
        <w:t>Subject Person</w:t>
      </w:r>
      <w:r>
        <w:rPr>
          <w:color w:val="000000"/>
        </w:rPr>
        <w:t>”</w:t>
      </w:r>
      <w:r>
        <w:rPr>
          <w:rFonts w:ascii="Times New Roman" w:hAnsi="Times New Roman"/>
          <w:color w:val="000000"/>
          <w:sz w:val="22"/>
        </w:rPr>
        <w:t>)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shall be deemed to occur;</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b)</w:t>
      </w:r>
    </w:p>
    <w:p>
      <w:pPr>
        <w:pStyle w:val="TextBody"/>
        <w:bidi w:val="0"/>
        <w:jc w:val="both"/>
        <w:rPr>
          <w:rFonts w:ascii="Times New Roman" w:hAnsi="Times New Roman"/>
          <w:color w:val="000000"/>
          <w:sz w:val="22"/>
        </w:rPr>
      </w:pPr>
      <w:r>
        <w:rPr>
          <w:rFonts w:ascii="Times New Roman" w:hAnsi="Times New Roman"/>
          <w:color w:val="000000"/>
          <w:sz w:val="22"/>
        </w:rPr>
        <w:t>There is consummated a merger, consolidation or similar transaction involving, directly or indirectly, the Company if, immediately after the consummation of such merger, consolidation or similar transaction, the stockholders of the Company immediately prior thereto do not own, directly or indirectly, either (i) outstanding voting securities representing more than fifty percent (50%) of the combined outstanding voting power of the surviving entity in such merger, consolidation or similar transaction or (ii) more than fifty percent (50%) of the combined outstanding voting power of the parent of the surviving entity in such merger, consolidation or similar transaction;</w:t>
      </w:r>
    </w:p>
    <w:p>
      <w:pPr>
        <w:pStyle w:val="TextBody"/>
        <w:bidi w:val="0"/>
        <w:spacing w:before="10" w:after="283"/>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c)</w:t>
      </w:r>
    </w:p>
    <w:p>
      <w:pPr>
        <w:pStyle w:val="TextBody"/>
        <w:bidi w:val="0"/>
        <w:jc w:val="both"/>
        <w:rPr>
          <w:rFonts w:ascii="Times New Roman" w:hAnsi="Times New Roman"/>
          <w:color w:val="000000"/>
          <w:sz w:val="22"/>
        </w:rPr>
      </w:pPr>
      <w:r>
        <w:rPr>
          <w:rFonts w:ascii="Times New Roman" w:hAnsi="Times New Roman"/>
          <w:color w:val="000000"/>
          <w:sz w:val="22"/>
        </w:rPr>
        <w:t>The stockholders of the Company approve or the Board approves a plan of complete dissolution or liquidation of the Company, or a complete dissolution or liquidation of the Company shall otherwise occur; or</w:t>
      </w:r>
    </w:p>
    <w:p>
      <w:pPr>
        <w:pStyle w:val="TextBody"/>
        <w:bidi w:val="0"/>
        <w:spacing w:before="9" w:after="283"/>
        <w:jc w:val="left"/>
        <w:rPr/>
      </w:pPr>
      <w:r>
        <w:rPr/>
        <w:t> </w:t>
      </w:r>
    </w:p>
    <w:p>
      <w:pPr>
        <w:pStyle w:val="TextBody"/>
        <w:bidi w:val="0"/>
        <w:spacing w:before="1"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1" w:after="283"/>
        <w:jc w:val="both"/>
        <w:rPr>
          <w:rFonts w:ascii="Times New Roman" w:hAnsi="Times New Roman"/>
          <w:color w:val="000000"/>
          <w:sz w:val="22"/>
        </w:rPr>
      </w:pPr>
      <w:r>
        <w:rPr>
          <w:rFonts w:ascii="Times New Roman" w:hAnsi="Times New Roman"/>
          <w:color w:val="000000"/>
          <w:sz w:val="22"/>
        </w:rPr>
        <w:t>There is consummated a sale, lease,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fifty percent (50%) of the combined voting power of the voting securities of which are owned by stockholders of the Company in substantially the same proportion as their ownership of the Company immediately prior to such sale, lease, license or other disposition.</w:t>
      </w:r>
    </w:p>
    <w:p>
      <w:pPr>
        <w:pStyle w:val="TextBody"/>
        <w:bidi w:val="0"/>
        <w:spacing w:before="8" w:after="283"/>
        <w:jc w:val="left"/>
        <w:rPr/>
      </w:pPr>
      <w:r>
        <w:rPr/>
        <w:t> </w:t>
      </w:r>
    </w:p>
    <w:p>
      <w:pPr>
        <w:pStyle w:val="TextBody"/>
        <w:bidi w:val="0"/>
        <w:spacing w:before="1" w:after="283"/>
        <w:jc w:val="both"/>
        <w:rPr>
          <w:rFonts w:ascii="Times New Roman" w:hAnsi="Times New Roman"/>
          <w:color w:val="000000"/>
          <w:sz w:val="22"/>
        </w:rPr>
      </w:pPr>
      <w:r>
        <w:rPr>
          <w:rFonts w:ascii="Times New Roman" w:hAnsi="Times New Roman"/>
          <w:color w:val="000000"/>
          <w:sz w:val="22"/>
        </w:rPr>
        <w:t>The term Change in Control shall not include a sale of assets, merger or other transaction effected exclusively for the purpose of changing the domicile of the Company. Notwithstanding the foregoing or any other provision of this Agreement, the definition of Change in Control (or any analogous term) in an individual written agreement between the Company or any affiliate and the participant shall supersede the foregoing definition with respect to stock awards subject to such agreement (it being understood, however, that if no definition of Change in Control or any analogous term is set forth in such an individual written agreement, the foregoing definition shall apply).</w:t>
      </w:r>
    </w:p>
    <w:p>
      <w:pPr>
        <w:pStyle w:val="TextBody"/>
        <w:bidi w:val="0"/>
        <w:jc w:val="left"/>
        <w:rPr/>
      </w:pPr>
      <w:r>
        <w:rPr/>
        <w:t> </w:t>
      </w:r>
    </w:p>
    <w:p>
      <w:pPr>
        <w:pStyle w:val="TextBody"/>
        <w:bidi w:val="0"/>
        <w:spacing w:before="11" w:after="283"/>
        <w:ind w:left="60" w:right="0" w:hanging="0"/>
        <w:jc w:val="left"/>
        <w:rPr>
          <w:rFonts w:ascii="Times New Roman" w:hAnsi="Times New Roman"/>
          <w:color w:val="000000"/>
          <w:sz w:val="22"/>
        </w:rPr>
      </w:pPr>
      <w:r>
        <w:rPr>
          <w:rFonts w:ascii="Times New Roman" w:hAnsi="Times New Roman"/>
          <w:color w:val="000000"/>
          <w:sz w:val="22"/>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0" w:after="283"/>
        <w:jc w:val="left"/>
        <w:rPr/>
      </w:pPr>
      <w:r>
        <w:rPr/>
        <w:t>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6.4</w:t>
      </w:r>
    </w:p>
    <w:p>
      <w:pPr>
        <w:pStyle w:val="TextBody"/>
        <w:bidi w:val="0"/>
        <w:jc w:val="both"/>
        <w:rPr/>
      </w:pPr>
      <w:r>
        <w:rPr>
          <w:color w:val="000000"/>
        </w:rPr>
        <w:t>“</w:t>
      </w:r>
      <w:r>
        <w:rPr>
          <w:rFonts w:ascii="Times New Roman" w:hAnsi="Times New Roman"/>
          <w:b/>
          <w:i/>
          <w:color w:val="000000"/>
          <w:sz w:val="22"/>
        </w:rPr>
        <w:t>Change in Control Benefits Period</w:t>
      </w:r>
      <w:r>
        <w:rPr>
          <w:color w:val="000000"/>
        </w:rPr>
        <w:t xml:space="preserve">” </w:t>
      </w:r>
      <w:r>
        <w:rPr>
          <w:rFonts w:ascii="Times New Roman" w:hAnsi="Times New Roman"/>
          <w:color w:val="000000"/>
          <w:sz w:val="22"/>
        </w:rPr>
        <w:t>means the period of twelve (12) months commencing on the Termination Date.</w:t>
      </w:r>
    </w:p>
    <w:p>
      <w:pPr>
        <w:pStyle w:val="TextBody"/>
        <w:bidi w:val="0"/>
        <w:spacing w:before="10" w:after="283"/>
        <w:jc w:val="left"/>
        <w:rPr/>
      </w:pPr>
      <w:r>
        <w:rPr/>
        <w:t>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6.5</w:t>
      </w:r>
    </w:p>
    <w:p>
      <w:pPr>
        <w:pStyle w:val="TextBody"/>
        <w:bidi w:val="0"/>
        <w:jc w:val="both"/>
        <w:rPr/>
      </w:pPr>
      <w:r>
        <w:rPr>
          <w:color w:val="000000"/>
        </w:rPr>
        <w:t>“</w:t>
      </w:r>
      <w:r>
        <w:rPr>
          <w:rFonts w:ascii="Times New Roman" w:hAnsi="Times New Roman"/>
          <w:b/>
          <w:i/>
          <w:color w:val="000000"/>
          <w:sz w:val="22"/>
        </w:rPr>
        <w:t>Change in Control Severance Period</w:t>
      </w:r>
      <w:r>
        <w:rPr>
          <w:color w:val="000000"/>
        </w:rPr>
        <w:t xml:space="preserve">” </w:t>
      </w:r>
      <w:r>
        <w:rPr>
          <w:rFonts w:ascii="Times New Roman" w:hAnsi="Times New Roman"/>
          <w:color w:val="000000"/>
          <w:sz w:val="22"/>
        </w:rPr>
        <w:t>means the period of twelve (12) months commencing on the Termination Date.</w:t>
      </w:r>
    </w:p>
    <w:p>
      <w:pPr>
        <w:pStyle w:val="TextBody"/>
        <w:bidi w:val="0"/>
        <w:spacing w:before="11" w:after="283"/>
        <w:jc w:val="left"/>
        <w:rPr/>
      </w:pPr>
      <w:r>
        <w:rPr/>
        <w:t>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6.6</w:t>
      </w:r>
    </w:p>
    <w:p>
      <w:pPr>
        <w:pStyle w:val="TextBody"/>
        <w:bidi w:val="0"/>
        <w:jc w:val="both"/>
        <w:rPr/>
      </w:pPr>
      <w:r>
        <w:rPr>
          <w:color w:val="000000"/>
        </w:rPr>
        <w:t>“</w:t>
      </w:r>
      <w:r>
        <w:rPr>
          <w:rFonts w:ascii="Times New Roman" w:hAnsi="Times New Roman"/>
          <w:b/>
          <w:i/>
          <w:color w:val="000000"/>
          <w:sz w:val="22"/>
        </w:rPr>
        <w:t>Change in Control Termination</w:t>
      </w:r>
      <w:r>
        <w:rPr>
          <w:color w:val="000000"/>
        </w:rPr>
        <w:t xml:space="preserve">” </w:t>
      </w:r>
      <w:r>
        <w:rPr>
          <w:rFonts w:ascii="Times New Roman" w:hAnsi="Times New Roman"/>
          <w:color w:val="000000"/>
          <w:sz w:val="22"/>
        </w:rPr>
        <w:t>means an “</w:t>
      </w:r>
      <w:r>
        <w:rPr>
          <w:rFonts w:ascii="Times New Roman" w:hAnsi="Times New Roman"/>
          <w:b/>
          <w:i/>
          <w:color w:val="000000"/>
          <w:sz w:val="22"/>
        </w:rPr>
        <w:t>Involuntary Termination Without Cause</w:t>
      </w:r>
      <w:r>
        <w:rPr>
          <w:color w:val="000000"/>
        </w:rPr>
        <w:t xml:space="preserve">” </w:t>
      </w:r>
      <w:r>
        <w:rPr>
          <w:rFonts w:ascii="Times New Roman" w:hAnsi="Times New Roman"/>
          <w:color w:val="000000"/>
          <w:sz w:val="22"/>
        </w:rPr>
        <w:t>or “</w:t>
      </w:r>
      <w:r>
        <w:rPr>
          <w:rFonts w:ascii="Times New Roman" w:hAnsi="Times New Roman"/>
          <w:b/>
          <w:i/>
          <w:color w:val="000000"/>
          <w:sz w:val="22"/>
        </w:rPr>
        <w:t>Resignation for Good Reason</w:t>
      </w:r>
      <w:r>
        <w:rPr>
          <w:rFonts w:ascii="Times New Roman" w:hAnsi="Times New Roman"/>
          <w:color w:val="000000"/>
          <w:sz w:val="22"/>
        </w:rPr>
        <w:t>,” either of which occurs on, or within three (3) months prior to, or within twelve (12) months following, the effective date of a Change in Control, provided that any such termination is a “separation from service” within the meaning of Treasury Regulation Section 1.409A- 1(h). Death and disability shall not be deemed Change in Control Terminations.</w:t>
      </w:r>
    </w:p>
    <w:p>
      <w:pPr>
        <w:pStyle w:val="TextBody"/>
        <w:bidi w:val="0"/>
        <w:spacing w:before="10" w:after="283"/>
        <w:jc w:val="left"/>
        <w:rPr/>
      </w:pPr>
      <w:r>
        <w:rPr/>
        <w:t>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6.7</w:t>
      </w:r>
    </w:p>
    <w:p>
      <w:pPr>
        <w:pStyle w:val="TextBody"/>
        <w:bidi w:val="0"/>
        <w:spacing w:before="0" w:after="0"/>
        <w:jc w:val="both"/>
        <w:rPr/>
      </w:pPr>
      <w:r>
        <w:rPr>
          <w:color w:val="000000"/>
        </w:rPr>
        <w:t>“</w:t>
      </w:r>
      <w:r>
        <w:rPr>
          <w:rFonts w:ascii="Times New Roman" w:hAnsi="Times New Roman"/>
          <w:b/>
          <w:i/>
          <w:color w:val="000000"/>
          <w:sz w:val="22"/>
        </w:rPr>
        <w:t>COBRA</w:t>
      </w:r>
      <w:r>
        <w:rPr>
          <w:color w:val="000000"/>
        </w:rPr>
        <w:t xml:space="preserve">” </w:t>
      </w:r>
      <w:r>
        <w:rPr>
          <w:rFonts w:ascii="Times New Roman" w:hAnsi="Times New Roman"/>
          <w:color w:val="000000"/>
          <w:sz w:val="22"/>
        </w:rPr>
        <w:t>means the Consolidated Omnibus Budget Reconciliation Act of 1985, as amended.</w:t>
      </w:r>
    </w:p>
    <w:p>
      <w:pPr>
        <w:pStyle w:val="TextBody"/>
        <w:bidi w:val="0"/>
        <w:spacing w:before="73" w:after="283"/>
        <w:jc w:val="left"/>
        <w:rPr>
          <w:rFonts w:ascii="Times New Roman" w:hAnsi="Times New Roman"/>
          <w:b/>
          <w:color w:val="000000"/>
          <w:sz w:val="22"/>
        </w:rPr>
      </w:pPr>
      <w:r>
        <w:rPr>
          <w:rFonts w:ascii="Times New Roman" w:hAnsi="Times New Roman"/>
          <w:b/>
          <w:color w:val="000000"/>
          <w:sz w:val="22"/>
        </w:rPr>
        <w:t>6.8</w:t>
      </w:r>
    </w:p>
    <w:p>
      <w:pPr>
        <w:pStyle w:val="TextBody"/>
        <w:bidi w:val="0"/>
        <w:spacing w:before="73" w:after="283"/>
        <w:jc w:val="left"/>
        <w:rPr/>
      </w:pPr>
      <w:r>
        <w:rPr>
          <w:color w:val="000000"/>
        </w:rPr>
        <w:t>“</w:t>
      </w:r>
      <w:r>
        <w:rPr>
          <w:rFonts w:ascii="Times New Roman" w:hAnsi="Times New Roman"/>
          <w:b/>
          <w:i/>
          <w:color w:val="000000"/>
          <w:sz w:val="22"/>
        </w:rPr>
        <w:t>Code</w:t>
      </w:r>
      <w:r>
        <w:rPr>
          <w:color w:val="000000"/>
        </w:rPr>
        <w:t xml:space="preserve">” </w:t>
      </w:r>
      <w:r>
        <w:rPr>
          <w:rFonts w:ascii="Times New Roman" w:hAnsi="Times New Roman"/>
          <w:color w:val="000000"/>
          <w:sz w:val="22"/>
        </w:rPr>
        <w:t>means the Internal Revenue Code of 1986, as amended.</w:t>
      </w:r>
    </w:p>
    <w:p>
      <w:pPr>
        <w:pStyle w:val="TextBody"/>
        <w:bidi w:val="0"/>
        <w:spacing w:before="9" w:after="283"/>
        <w:jc w:val="left"/>
        <w:rPr/>
      </w:pPr>
      <w:r>
        <w:rPr/>
        <w:t> </w:t>
      </w:r>
    </w:p>
    <w:p>
      <w:pPr>
        <w:pStyle w:val="TextBody"/>
        <w:bidi w:val="0"/>
        <w:spacing w:before="1" w:after="283"/>
        <w:jc w:val="both"/>
        <w:rPr>
          <w:rFonts w:ascii="Times New Roman" w:hAnsi="Times New Roman"/>
          <w:b/>
          <w:color w:val="000000"/>
          <w:sz w:val="22"/>
        </w:rPr>
      </w:pPr>
      <w:r>
        <w:rPr>
          <w:rFonts w:ascii="Times New Roman" w:hAnsi="Times New Roman"/>
          <w:b/>
          <w:color w:val="000000"/>
          <w:sz w:val="22"/>
        </w:rPr>
        <w:t>6.9</w:t>
      </w:r>
    </w:p>
    <w:p>
      <w:pPr>
        <w:pStyle w:val="TextBody"/>
        <w:bidi w:val="0"/>
        <w:spacing w:before="1" w:after="283"/>
        <w:jc w:val="both"/>
        <w:rPr/>
      </w:pPr>
      <w:r>
        <w:rPr>
          <w:color w:val="000000"/>
        </w:rPr>
        <w:t>“</w:t>
      </w:r>
      <w:r>
        <w:rPr>
          <w:rFonts w:ascii="Times New Roman" w:hAnsi="Times New Roman"/>
          <w:b/>
          <w:i/>
          <w:color w:val="000000"/>
          <w:sz w:val="22"/>
        </w:rPr>
        <w:t>Company</w:t>
      </w:r>
      <w:r>
        <w:rPr>
          <w:color w:val="000000"/>
        </w:rPr>
        <w:t xml:space="preserve">” </w:t>
      </w:r>
      <w:r>
        <w:rPr>
          <w:rFonts w:ascii="Times New Roman" w:hAnsi="Times New Roman"/>
          <w:color w:val="000000"/>
          <w:sz w:val="22"/>
        </w:rPr>
        <w:t>means Syndax Pharmaceuticals, Inc. or, following a Change in Control, the surviving entity resulting from such transaction, or any subsequent surviving entity resulting from any subsequent Change in Control.</w:t>
      </w:r>
    </w:p>
    <w:p>
      <w:pPr>
        <w:pStyle w:val="TextBody"/>
        <w:bidi w:val="0"/>
        <w:jc w:val="left"/>
        <w:rPr/>
      </w:pPr>
      <w:r>
        <w:rPr/>
        <w:t>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6.10</w:t>
      </w:r>
    </w:p>
    <w:p>
      <w:pPr>
        <w:pStyle w:val="TextBody"/>
        <w:bidi w:val="0"/>
        <w:jc w:val="both"/>
        <w:rPr/>
      </w:pPr>
      <w:r>
        <w:rPr>
          <w:color w:val="000000"/>
        </w:rPr>
        <w:t>“</w:t>
      </w:r>
      <w:r>
        <w:rPr>
          <w:rFonts w:ascii="Times New Roman" w:hAnsi="Times New Roman"/>
          <w:b/>
          <w:i/>
          <w:color w:val="000000"/>
          <w:sz w:val="22"/>
        </w:rPr>
        <w:t>Confidentiality Agreement</w:t>
      </w:r>
      <w:r>
        <w:rPr>
          <w:color w:val="000000"/>
        </w:rPr>
        <w:t xml:space="preserve">” </w:t>
      </w:r>
      <w:r>
        <w:rPr>
          <w:rFonts w:ascii="Times New Roman" w:hAnsi="Times New Roman"/>
          <w:color w:val="000000"/>
          <w:sz w:val="22"/>
        </w:rPr>
        <w:t>means Executive’s Assignment of Developments, Non- Disclosure, and Non-Solicitation Agreement with the Company (or any successor agreement thereto).</w:t>
      </w:r>
    </w:p>
    <w:p>
      <w:pPr>
        <w:pStyle w:val="TextBody"/>
        <w:bidi w:val="0"/>
        <w:spacing w:before="8" w:after="283"/>
        <w:jc w:val="left"/>
        <w:rPr/>
      </w:pPr>
      <w:r>
        <w:rPr/>
        <w:t>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6.11</w:t>
      </w:r>
    </w:p>
    <w:p>
      <w:pPr>
        <w:pStyle w:val="TextBody"/>
        <w:bidi w:val="0"/>
        <w:jc w:val="both"/>
        <w:rPr/>
      </w:pPr>
      <w:r>
        <w:rPr>
          <w:color w:val="000000"/>
        </w:rPr>
        <w:t>“</w:t>
      </w:r>
      <w:r>
        <w:rPr>
          <w:rFonts w:ascii="Times New Roman" w:hAnsi="Times New Roman"/>
          <w:b/>
          <w:i/>
          <w:color w:val="000000"/>
          <w:sz w:val="22"/>
        </w:rPr>
        <w:t>Covered Termination</w:t>
      </w:r>
      <w:r>
        <w:rPr>
          <w:color w:val="000000"/>
        </w:rPr>
        <w:t xml:space="preserve">” </w:t>
      </w:r>
      <w:r>
        <w:rPr>
          <w:rFonts w:ascii="Times New Roman" w:hAnsi="Times New Roman"/>
          <w:color w:val="000000"/>
          <w:sz w:val="22"/>
        </w:rPr>
        <w:t>means an “</w:t>
      </w:r>
      <w:r>
        <w:rPr>
          <w:rFonts w:ascii="Times New Roman" w:hAnsi="Times New Roman"/>
          <w:b/>
          <w:i/>
          <w:color w:val="000000"/>
          <w:sz w:val="22"/>
        </w:rPr>
        <w:t>Involuntary Termination Without Cause</w:t>
      </w:r>
      <w:r>
        <w:rPr>
          <w:color w:val="000000"/>
        </w:rPr>
        <w:t xml:space="preserve">” </w:t>
      </w:r>
      <w:r>
        <w:rPr>
          <w:rFonts w:ascii="Times New Roman" w:hAnsi="Times New Roman"/>
          <w:color w:val="000000"/>
          <w:sz w:val="22"/>
        </w:rPr>
        <w:t>or “</w:t>
      </w:r>
      <w:r>
        <w:rPr>
          <w:rFonts w:ascii="Times New Roman" w:hAnsi="Times New Roman"/>
          <w:b/>
          <w:i/>
          <w:color w:val="000000"/>
          <w:sz w:val="22"/>
        </w:rPr>
        <w:t>Resignation for Good Reason</w:t>
      </w:r>
      <w:r>
        <w:rPr>
          <w:rFonts w:ascii="Times New Roman" w:hAnsi="Times New Roman"/>
          <w:color w:val="000000"/>
          <w:sz w:val="22"/>
        </w:rPr>
        <w:t>,” provided that any such termination is a “separation from service” within the meaning of Treasury Regulation Section 1.409A-1(h). Death and disability shall not be deemed Covered Terminations. If an Involuntary Termination Without Cause or Resignation for Good Reason qualifies as a Change in Control Termination, it shall not constitute a Covered Termination.</w:t>
      </w:r>
    </w:p>
    <w:p>
      <w:pPr>
        <w:pStyle w:val="TextBody"/>
        <w:bidi w:val="0"/>
        <w:spacing w:before="10" w:after="283"/>
        <w:jc w:val="left"/>
        <w:rPr/>
      </w:pPr>
      <w:r>
        <w:rPr/>
        <w:t>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6.12</w:t>
      </w:r>
    </w:p>
    <w:p>
      <w:pPr>
        <w:pStyle w:val="TextBody"/>
        <w:bidi w:val="0"/>
        <w:jc w:val="both"/>
        <w:rPr/>
      </w:pPr>
      <w:r>
        <w:rPr>
          <w:color w:val="000000"/>
        </w:rPr>
        <w:t>“</w:t>
      </w:r>
      <w:r>
        <w:rPr>
          <w:rFonts w:ascii="Times New Roman" w:hAnsi="Times New Roman"/>
          <w:b/>
          <w:i/>
          <w:color w:val="000000"/>
          <w:sz w:val="22"/>
        </w:rPr>
        <w:t>Covered Termination Benefits Period</w:t>
      </w:r>
      <w:r>
        <w:rPr>
          <w:color w:val="000000"/>
        </w:rPr>
        <w:t xml:space="preserve">” </w:t>
      </w:r>
      <w:r>
        <w:rPr>
          <w:rFonts w:ascii="Times New Roman" w:hAnsi="Times New Roman"/>
          <w:color w:val="000000"/>
          <w:sz w:val="22"/>
        </w:rPr>
        <w:t>means the period of nine (9) months commencing on the Termination Date.</w:t>
      </w:r>
    </w:p>
    <w:p>
      <w:pPr>
        <w:pStyle w:val="TextBody"/>
        <w:bidi w:val="0"/>
        <w:spacing w:before="10" w:after="283"/>
        <w:jc w:val="left"/>
        <w:rPr/>
      </w:pPr>
      <w:r>
        <w:rPr/>
        <w:t>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6.13</w:t>
      </w:r>
    </w:p>
    <w:p>
      <w:pPr>
        <w:pStyle w:val="TextBody"/>
        <w:bidi w:val="0"/>
        <w:jc w:val="both"/>
        <w:rPr/>
      </w:pPr>
      <w:r>
        <w:rPr>
          <w:color w:val="000000"/>
        </w:rPr>
        <w:t>“</w:t>
      </w:r>
      <w:r>
        <w:rPr>
          <w:rFonts w:ascii="Times New Roman" w:hAnsi="Times New Roman"/>
          <w:b/>
          <w:i/>
          <w:color w:val="000000"/>
          <w:sz w:val="22"/>
        </w:rPr>
        <w:t>Covered Termination Severance Period</w:t>
      </w:r>
      <w:r>
        <w:rPr>
          <w:color w:val="000000"/>
        </w:rPr>
        <w:t xml:space="preserve">” </w:t>
      </w:r>
      <w:r>
        <w:rPr>
          <w:rFonts w:ascii="Times New Roman" w:hAnsi="Times New Roman"/>
          <w:color w:val="000000"/>
          <w:sz w:val="22"/>
        </w:rPr>
        <w:t>means the period of nine (9) months commencing on the Termination Date.</w:t>
      </w:r>
    </w:p>
    <w:p>
      <w:pPr>
        <w:pStyle w:val="TextBody"/>
        <w:bidi w:val="0"/>
        <w:spacing w:before="11" w:after="283"/>
        <w:jc w:val="left"/>
        <w:rPr/>
      </w:pPr>
      <w:r>
        <w:rPr/>
        <w:t>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6.14</w:t>
      </w:r>
    </w:p>
    <w:p>
      <w:pPr>
        <w:pStyle w:val="TextBody"/>
        <w:bidi w:val="0"/>
        <w:jc w:val="both"/>
        <w:rPr/>
      </w:pPr>
      <w:r>
        <w:rPr>
          <w:color w:val="000000"/>
        </w:rPr>
        <w:t>“</w:t>
      </w:r>
      <w:r>
        <w:rPr>
          <w:rFonts w:ascii="Times New Roman" w:hAnsi="Times New Roman"/>
          <w:b/>
          <w:i/>
          <w:color w:val="000000"/>
          <w:sz w:val="22"/>
        </w:rPr>
        <w:t>Involuntary Termination Without Cause</w:t>
      </w:r>
      <w:r>
        <w:rPr>
          <w:color w:val="000000"/>
        </w:rPr>
        <w:t xml:space="preserve">” </w:t>
      </w:r>
      <w:r>
        <w:rPr>
          <w:rFonts w:ascii="Times New Roman" w:hAnsi="Times New Roman"/>
          <w:color w:val="000000"/>
          <w:sz w:val="22"/>
        </w:rPr>
        <w:t>means Executive’s dismissal or discharge by the Company for reasons other than Cause and other than as a result of death or disability.</w:t>
      </w:r>
    </w:p>
    <w:p>
      <w:pPr>
        <w:pStyle w:val="TextBody"/>
        <w:bidi w:val="0"/>
        <w:spacing w:before="10" w:after="283"/>
        <w:jc w:val="left"/>
        <w:rPr/>
      </w:pPr>
      <w:r>
        <w:rPr/>
        <w:t>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6.15</w:t>
      </w:r>
    </w:p>
    <w:p>
      <w:pPr>
        <w:pStyle w:val="TextBody"/>
        <w:bidi w:val="0"/>
        <w:jc w:val="both"/>
        <w:rPr/>
      </w:pPr>
      <w:r>
        <w:rPr>
          <w:color w:val="000000"/>
        </w:rPr>
        <w:t>“</w:t>
      </w:r>
      <w:r>
        <w:rPr>
          <w:rFonts w:ascii="Times New Roman" w:hAnsi="Times New Roman"/>
          <w:b/>
          <w:i/>
          <w:color w:val="000000"/>
          <w:sz w:val="22"/>
        </w:rPr>
        <w:t>Monthly Base Salary</w:t>
      </w:r>
      <w:r>
        <w:rPr>
          <w:color w:val="000000"/>
        </w:rPr>
        <w:t xml:space="preserve">” </w:t>
      </w:r>
      <w:r>
        <w:rPr>
          <w:rFonts w:ascii="Times New Roman" w:hAnsi="Times New Roman"/>
          <w:color w:val="000000"/>
          <w:sz w:val="22"/>
        </w:rPr>
        <w:t>means 1/12</w:t>
      </w:r>
      <w:r>
        <w:rPr>
          <w:rFonts w:ascii="Times New Roman" w:hAnsi="Times New Roman"/>
          <w:color w:val="000000"/>
          <w:sz w:val="15"/>
        </w:rPr>
        <w:t>th</w:t>
      </w:r>
      <w:r>
        <w:rPr>
          <w:color w:val="000000"/>
        </w:rPr>
        <w:t xml:space="preserve"> </w:t>
      </w:r>
      <w:r>
        <w:rPr>
          <w:rFonts w:ascii="Times New Roman" w:hAnsi="Times New Roman"/>
          <w:color w:val="000000"/>
          <w:sz w:val="22"/>
        </w:rPr>
        <w:t>of the greater of (i) Executive’s annual base salary (excluding incentive pay, premium pay, commissions, overtime, bonuses and other forms of variable compensation) as in effect on the date of a Change in Control Termination or a Covered Termination, as applicable, or (ii) in the case of a Change in Control Termination, Executive’s annual base salary (excluding incentive pay, premium pay, commissions, overtime, bonuses and other forms of variable compensation) as in effect on the date of a Change in Control.</w:t>
      </w:r>
    </w:p>
    <w:p>
      <w:pPr>
        <w:pStyle w:val="TextBody"/>
        <w:bidi w:val="0"/>
        <w:spacing w:before="9" w:after="283"/>
        <w:jc w:val="left"/>
        <w:rPr/>
      </w:pPr>
      <w:r>
        <w:rPr/>
        <w:t>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6.16</w:t>
      </w:r>
    </w:p>
    <w:p>
      <w:pPr>
        <w:pStyle w:val="TextBody"/>
        <w:bidi w:val="0"/>
        <w:jc w:val="both"/>
        <w:rPr/>
      </w:pPr>
      <w:r>
        <w:rPr>
          <w:color w:val="000000"/>
        </w:rPr>
        <w:t>“</w:t>
      </w:r>
      <w:r>
        <w:rPr>
          <w:rFonts w:ascii="Times New Roman" w:hAnsi="Times New Roman"/>
          <w:b/>
          <w:i/>
          <w:color w:val="000000"/>
          <w:sz w:val="22"/>
        </w:rPr>
        <w:t>Pro-Rata Bonus</w:t>
      </w:r>
      <w:r>
        <w:rPr>
          <w:color w:val="000000"/>
        </w:rPr>
        <w:t xml:space="preserve">” </w:t>
      </w:r>
      <w:r>
        <w:rPr>
          <w:rFonts w:ascii="Times New Roman" w:hAnsi="Times New Roman"/>
          <w:color w:val="000000"/>
          <w:sz w:val="22"/>
        </w:rPr>
        <w:t>means 1/12</w:t>
      </w:r>
      <w:r>
        <w:rPr>
          <w:rFonts w:ascii="Times New Roman" w:hAnsi="Times New Roman"/>
          <w:color w:val="000000"/>
          <w:sz w:val="15"/>
        </w:rPr>
        <w:t>th</w:t>
      </w:r>
      <w:r>
        <w:rPr>
          <w:color w:val="000000"/>
        </w:rPr>
        <w:t xml:space="preserve"> </w:t>
      </w:r>
      <w:r>
        <w:rPr>
          <w:rFonts w:ascii="Times New Roman" w:hAnsi="Times New Roman"/>
          <w:color w:val="000000"/>
          <w:sz w:val="22"/>
        </w:rPr>
        <w:t>of the greater of (i) the average Target Performance Bonus paid to Executive for the three years preceding the date of a Change in Control Termination (or such lesser number of years during which Executive has been employed by the Company), or (ii) the Target Performance Bonus, as in effect on the date of a Change in Control Termination.</w:t>
      </w:r>
    </w:p>
    <w:p>
      <w:pPr>
        <w:pStyle w:val="TextBody"/>
        <w:bidi w:val="0"/>
        <w:spacing w:before="11" w:after="283"/>
        <w:jc w:val="left"/>
        <w:rPr/>
      </w:pPr>
      <w:r>
        <w:rPr/>
        <w:t> </w:t>
      </w:r>
    </w:p>
    <w:p>
      <w:pPr>
        <w:pStyle w:val="TextBody"/>
        <w:bidi w:val="0"/>
        <w:jc w:val="left"/>
        <w:rPr/>
      </w:pPr>
      <w:r>
        <w:rPr/>
        <w:t> </w:t>
      </w:r>
    </w:p>
    <w:p>
      <w:pPr>
        <w:pStyle w:val="TextBody"/>
        <w:bidi w:val="0"/>
        <w:spacing w:before="11" w:after="283"/>
        <w:ind w:left="60" w:right="0" w:hanging="0"/>
        <w:jc w:val="left"/>
        <w:rPr>
          <w:rFonts w:ascii="Times New Roman" w:hAnsi="Times New Roman"/>
          <w:color w:val="000000"/>
          <w:sz w:val="22"/>
        </w:rPr>
      </w:pPr>
      <w:r>
        <w:rPr>
          <w:rFonts w:ascii="Times New Roman" w:hAnsi="Times New Roman"/>
          <w:color w:val="000000"/>
          <w:sz w:val="22"/>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6.17</w:t>
      </w:r>
    </w:p>
    <w:p>
      <w:pPr>
        <w:pStyle w:val="TextBody"/>
        <w:bidi w:val="0"/>
        <w:jc w:val="both"/>
        <w:rPr/>
      </w:pPr>
      <w:r>
        <w:rPr>
          <w:color w:val="000000"/>
        </w:rPr>
        <w:t>“</w:t>
      </w:r>
      <w:r>
        <w:rPr>
          <w:rFonts w:ascii="Times New Roman" w:hAnsi="Times New Roman"/>
          <w:b/>
          <w:i/>
          <w:color w:val="000000"/>
          <w:sz w:val="22"/>
        </w:rPr>
        <w:t>Resignation for Good Reason</w:t>
      </w:r>
      <w:r>
        <w:rPr>
          <w:color w:val="000000"/>
        </w:rPr>
        <w:t xml:space="preserve">” </w:t>
      </w:r>
      <w:r>
        <w:rPr>
          <w:rFonts w:ascii="Times New Roman" w:hAnsi="Times New Roman"/>
          <w:color w:val="000000"/>
          <w:sz w:val="22"/>
        </w:rPr>
        <w:t>means Executive’s resignation from all employee positions Executive then holds with the Company within sixty (60) days following any of the following events taken without Executive’s consent, provided Executive has given the Company written notice of such event within thirty (30) days after the first occurrence of such event and the Company has not cured such event within thirty (30) days thereafter:</w:t>
      </w:r>
    </w:p>
    <w:p>
      <w:pPr>
        <w:pStyle w:val="TextBody"/>
        <w:bidi w:val="0"/>
        <w:spacing w:before="10" w:after="283"/>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a)</w:t>
      </w:r>
    </w:p>
    <w:p>
      <w:pPr>
        <w:pStyle w:val="TextBody"/>
        <w:bidi w:val="0"/>
        <w:jc w:val="both"/>
        <w:rPr>
          <w:rFonts w:ascii="Times New Roman" w:hAnsi="Times New Roman"/>
          <w:color w:val="000000"/>
          <w:sz w:val="22"/>
        </w:rPr>
      </w:pPr>
      <w:r>
        <w:rPr>
          <w:rFonts w:ascii="Times New Roman" w:hAnsi="Times New Roman"/>
          <w:color w:val="000000"/>
          <w:sz w:val="22"/>
        </w:rPr>
        <w:t>A decrease in Executive’s total target cash compensation (base and bonus) of more than 10% (i.e., a material reduction in Executive’s base compensation and a material breach by the Company of Executive’s employment terms with the Company), other than in connection with a comparable decrease in compensation for all comparable executives of the Company;</w:t>
      </w:r>
    </w:p>
    <w:p>
      <w:pPr>
        <w:pStyle w:val="TextBody"/>
        <w:bidi w:val="0"/>
        <w:spacing w:before="11" w:after="283"/>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b)</w:t>
      </w:r>
    </w:p>
    <w:p>
      <w:pPr>
        <w:pStyle w:val="TextBody"/>
        <w:bidi w:val="0"/>
        <w:jc w:val="both"/>
        <w:rPr/>
      </w:pPr>
      <w:r>
        <w:rPr>
          <w:rFonts w:ascii="Times New Roman" w:hAnsi="Times New Roman"/>
          <w:color w:val="000000"/>
          <w:sz w:val="22"/>
        </w:rPr>
        <w:t>Executive’s duties or responsibilities are materially diminished (not simply a change in title or reporting relationships); provided, that Executive shall not be deemed to have a “</w:t>
      </w:r>
      <w:r>
        <w:rPr>
          <w:rFonts w:ascii="Times New Roman" w:hAnsi="Times New Roman"/>
          <w:b/>
          <w:i/>
          <w:color w:val="000000"/>
          <w:sz w:val="22"/>
        </w:rPr>
        <w:t>Resignation for Good Reason</w:t>
      </w:r>
      <w:r>
        <w:rPr>
          <w:color w:val="000000"/>
        </w:rPr>
        <w:t xml:space="preserve">” </w:t>
      </w:r>
      <w:r>
        <w:rPr>
          <w:rFonts w:ascii="Times New Roman" w:hAnsi="Times New Roman"/>
          <w:color w:val="000000"/>
          <w:sz w:val="22"/>
        </w:rPr>
        <w:t>if the Company survives as a separate legal entity or business unit following the Change in Control and Executive holds materially the same position in such legal entity or business unit as Executive held before the Change in Control;</w:t>
      </w:r>
    </w:p>
    <w:p>
      <w:pPr>
        <w:pStyle w:val="TextBody"/>
        <w:bidi w:val="0"/>
        <w:spacing w:before="11" w:after="283"/>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c)</w:t>
      </w:r>
    </w:p>
    <w:p>
      <w:pPr>
        <w:pStyle w:val="TextBody"/>
        <w:bidi w:val="0"/>
        <w:jc w:val="both"/>
        <w:rPr/>
      </w:pPr>
      <w:r>
        <w:rPr>
          <w:rFonts w:ascii="Times New Roman" w:hAnsi="Times New Roman"/>
          <w:color w:val="000000"/>
          <w:sz w:val="22"/>
        </w:rPr>
        <w:t>Either (i) Executive is required to establish residence in a location more than 50 miles from Executive’s current principal personal residence or (ii) there is an increase in Executive’s round-trip driving distance of more than fifty (50) miles from Executive’s current principal personal residence to the principal office or business location at which Executive is required to perform services (except for required business travel to the extent consistent with Executive’s prior business travel obligations) (“</w:t>
      </w:r>
      <w:r>
        <w:rPr>
          <w:rFonts w:ascii="Times New Roman" w:hAnsi="Times New Roman"/>
          <w:b/>
          <w:i/>
          <w:color w:val="000000"/>
          <w:sz w:val="22"/>
        </w:rPr>
        <w:t>Executive’s Principal Place of Business</w:t>
      </w:r>
      <w:r>
        <w:rPr>
          <w:color w:val="000000"/>
        </w:rPr>
        <w:t>”</w:t>
      </w:r>
      <w:r>
        <w:rPr>
          <w:rFonts w:ascii="Times New Roman" w:hAnsi="Times New Roman"/>
          <w:color w:val="000000"/>
          <w:sz w:val="22"/>
        </w:rPr>
        <w:t>) as a result of a change in location by the Company of Executive’s Principal Place of Business; or</w:t>
      </w:r>
    </w:p>
    <w:p>
      <w:pPr>
        <w:pStyle w:val="TextBody"/>
        <w:bidi w:val="0"/>
        <w:spacing w:before="10" w:after="283"/>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d)</w:t>
      </w:r>
    </w:p>
    <w:p>
      <w:pPr>
        <w:pStyle w:val="TextBody"/>
        <w:bidi w:val="0"/>
        <w:jc w:val="both"/>
        <w:rPr>
          <w:rFonts w:ascii="Times New Roman" w:hAnsi="Times New Roman"/>
          <w:color w:val="000000"/>
          <w:sz w:val="22"/>
        </w:rPr>
      </w:pPr>
      <w:r>
        <w:rPr>
          <w:rFonts w:ascii="Times New Roman" w:hAnsi="Times New Roman"/>
          <w:color w:val="000000"/>
          <w:sz w:val="22"/>
        </w:rPr>
        <w:t>The failure of the Company to obtain a satisfactory agreement from any successor to materially assume and materially agree to perform under the terms of this Agreement.</w:t>
      </w:r>
    </w:p>
    <w:p>
      <w:pPr>
        <w:pStyle w:val="TextBody"/>
        <w:bidi w:val="0"/>
        <w:spacing w:before="8" w:after="283"/>
        <w:jc w:val="left"/>
        <w:rPr/>
      </w:pPr>
      <w:r>
        <w:rPr/>
        <w:t>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6.18</w:t>
      </w:r>
    </w:p>
    <w:p>
      <w:pPr>
        <w:pStyle w:val="TextBody"/>
        <w:bidi w:val="0"/>
        <w:jc w:val="both"/>
        <w:rPr/>
      </w:pPr>
      <w:r>
        <w:rPr>
          <w:color w:val="000000"/>
        </w:rPr>
        <w:t>“</w:t>
      </w:r>
      <w:r>
        <w:rPr>
          <w:rFonts w:ascii="Times New Roman" w:hAnsi="Times New Roman"/>
          <w:b/>
          <w:i/>
          <w:color w:val="000000"/>
          <w:sz w:val="22"/>
        </w:rPr>
        <w:t>Termination Date</w:t>
      </w:r>
      <w:r>
        <w:rPr>
          <w:color w:val="000000"/>
        </w:rPr>
        <w:t xml:space="preserve">” </w:t>
      </w:r>
      <w:r>
        <w:rPr>
          <w:rFonts w:ascii="Times New Roman" w:hAnsi="Times New Roman"/>
          <w:color w:val="000000"/>
          <w:sz w:val="22"/>
        </w:rPr>
        <w:t>means the effective date of the Change in Control Termination, the Covered Termination or a termination for Cause, as applicable.</w:t>
      </w:r>
    </w:p>
    <w:p>
      <w:pPr>
        <w:pStyle w:val="TextBody"/>
        <w:bidi w:val="0"/>
        <w:spacing w:before="11" w:after="283"/>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ARTICLE 7</w:t>
      </w:r>
    </w:p>
    <w:p>
      <w:pPr>
        <w:pStyle w:val="TextBody"/>
        <w:bidi w:val="0"/>
        <w:jc w:val="center"/>
        <w:rPr>
          <w:rFonts w:ascii="Times New Roman" w:hAnsi="Times New Roman"/>
          <w:b/>
          <w:color w:val="000000"/>
          <w:sz w:val="22"/>
        </w:rPr>
      </w:pPr>
      <w:r>
        <w:rPr>
          <w:rFonts w:ascii="Times New Roman" w:hAnsi="Times New Roman"/>
          <w:b/>
          <w:color w:val="000000"/>
          <w:sz w:val="22"/>
        </w:rPr>
        <w:t>GENERAL PROVISIONS</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7.1</w:t>
      </w:r>
    </w:p>
    <w:p>
      <w:pPr>
        <w:pStyle w:val="TextBody"/>
        <w:bidi w:val="0"/>
        <w:jc w:val="both"/>
        <w:rPr/>
      </w:pPr>
      <w:r>
        <w:rPr>
          <w:rFonts w:ascii="Times New Roman" w:hAnsi="Times New Roman"/>
          <w:b/>
          <w:color w:val="000000"/>
          <w:sz w:val="22"/>
        </w:rPr>
        <w:t>Employment Status</w:t>
      </w:r>
      <w:r>
        <w:rPr>
          <w:rFonts w:ascii="Times New Roman" w:hAnsi="Times New Roman"/>
          <w:color w:val="000000"/>
          <w:sz w:val="22"/>
        </w:rPr>
        <w:t>. This Agreement does not constitute a contract of employment or impose upon Executive any obligation to remain as an employee, or impose on the Company any obligation (i) to retain Executive as an employee, (ii) to change the status of Executive as an at-will employee or (iii) to change the Company’s policies regarding termination of employment.</w:t>
      </w:r>
    </w:p>
    <w:p>
      <w:pPr>
        <w:pStyle w:val="TextBody"/>
        <w:bidi w:val="0"/>
        <w:spacing w:before="3" w:after="283"/>
        <w:jc w:val="left"/>
        <w:rPr/>
      </w:pPr>
      <w:r>
        <w:rPr/>
        <w:t>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7.2</w:t>
      </w:r>
    </w:p>
    <w:p>
      <w:pPr>
        <w:pStyle w:val="TextBody"/>
        <w:bidi w:val="0"/>
        <w:jc w:val="both"/>
        <w:rPr/>
      </w:pPr>
      <w:r>
        <w:rPr>
          <w:rFonts w:ascii="Times New Roman" w:hAnsi="Times New Roman"/>
          <w:b/>
          <w:color w:val="000000"/>
          <w:sz w:val="22"/>
        </w:rPr>
        <w:t>Notices</w:t>
      </w:r>
      <w:r>
        <w:rPr>
          <w:rFonts w:ascii="Times New Roman" w:hAnsi="Times New Roman"/>
          <w:color w:val="000000"/>
          <w:sz w:val="22"/>
        </w:rPr>
        <w:t>. Any notices provided hereunder must be in writing, and such notices or any other written communication shall be deemed effective upon the earlier of personal delivery (including personal delivery by facsimile) or the third day after mailing by first class mail, to the Company at its primary office location and to Executive at Executive’s address as listed in the Company’s payroll records. Any payments made by the Company to Executive under the terms of this Agreement shall be delivered to Executive either in person or at the address as listed in the Company’s payroll records.</w:t>
      </w:r>
    </w:p>
    <w:p>
      <w:pPr>
        <w:pStyle w:val="TextBody"/>
        <w:bidi w:val="0"/>
        <w:jc w:val="left"/>
        <w:rPr/>
      </w:pPr>
      <w:r>
        <w:rPr/>
        <w:t>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7.3</w:t>
      </w:r>
    </w:p>
    <w:p>
      <w:pPr>
        <w:pStyle w:val="TextBody"/>
        <w:bidi w:val="0"/>
        <w:jc w:val="both"/>
        <w:rPr/>
      </w:pPr>
      <w:r>
        <w:rPr>
          <w:rFonts w:ascii="Times New Roman" w:hAnsi="Times New Roman"/>
          <w:b/>
          <w:color w:val="000000"/>
          <w:sz w:val="22"/>
        </w:rPr>
        <w:t>Severability.</w:t>
      </w:r>
      <w:r>
        <w:rPr>
          <w:color w:val="000000"/>
        </w:rPr>
        <w:t xml:space="preserve"> </w:t>
      </w:r>
      <w:r>
        <w:rPr>
          <w:rFonts w:ascii="Times New Roman" w:hAnsi="Times New Roman"/>
          <w:color w:val="000000"/>
          <w:sz w:val="22"/>
        </w:rPr>
        <w:t xml:space="preserve">Whenever possible, each provision of this Agreement will be interpreted in such manner as to be effective and valid under applicable law, but if any provision of this Agreement is held to be invalid, illegal or unenforceable in any respect under any applicable law or rule in any jurisdiction, such invalidity, illegality or unenforceability will not affect any other provision or any other jurisdiction, but this Agreement will be reformed, construed and enforced in such jurisdiction as if such </w:t>
      </w:r>
    </w:p>
    <w:p>
      <w:pPr>
        <w:pStyle w:val="TextBody"/>
        <w:bidi w:val="0"/>
        <w:jc w:val="left"/>
        <w:rPr/>
      </w:pPr>
      <w:r>
        <w:rPr/>
        <w:t> </w:t>
      </w:r>
    </w:p>
    <w:p>
      <w:pPr>
        <w:pStyle w:val="TextBody"/>
        <w:bidi w:val="0"/>
        <w:spacing w:before="11" w:after="283"/>
        <w:ind w:left="60" w:right="0" w:hanging="0"/>
        <w:jc w:val="left"/>
        <w:rPr>
          <w:rFonts w:ascii="Times New Roman" w:hAnsi="Times New Roman"/>
          <w:color w:val="000000"/>
          <w:sz w:val="22"/>
        </w:rPr>
      </w:pPr>
      <w:r>
        <w:rPr>
          <w:rFonts w:ascii="Times New Roman" w:hAnsi="Times New Roman"/>
          <w:color w:val="000000"/>
          <w:sz w:val="22"/>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invalid, illegal or unenforceable provisions had never been contained herein.</w:t>
      </w:r>
    </w:p>
    <w:p>
      <w:pPr>
        <w:pStyle w:val="TextBody"/>
        <w:bidi w:val="0"/>
        <w:spacing w:before="9" w:after="283"/>
        <w:jc w:val="left"/>
        <w:rPr/>
      </w:pPr>
      <w:r>
        <w:rPr/>
        <w:t>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7.4</w:t>
      </w:r>
    </w:p>
    <w:p>
      <w:pPr>
        <w:pStyle w:val="TextBody"/>
        <w:bidi w:val="0"/>
        <w:jc w:val="both"/>
        <w:rPr/>
      </w:pPr>
      <w:r>
        <w:rPr>
          <w:rFonts w:ascii="Times New Roman" w:hAnsi="Times New Roman"/>
          <w:b/>
          <w:color w:val="000000"/>
          <w:sz w:val="22"/>
        </w:rPr>
        <w:t>Waiver</w:t>
      </w:r>
      <w:r>
        <w:rPr>
          <w:rFonts w:ascii="Times New Roman" w:hAnsi="Times New Roman"/>
          <w:color w:val="000000"/>
          <w:sz w:val="22"/>
        </w:rPr>
        <w:t>. If either party should waive any breach of any provisions of this Agreement, he, she or it shall not thereby be deemed to have waived any preceding or succeeding breach of the same or any other provision of this Agreement.</w:t>
      </w:r>
    </w:p>
    <w:p>
      <w:pPr>
        <w:pStyle w:val="TextBody"/>
        <w:bidi w:val="0"/>
        <w:jc w:val="left"/>
        <w:rPr/>
      </w:pPr>
      <w:r>
        <w:rPr/>
        <w:t>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7.5</w:t>
      </w:r>
    </w:p>
    <w:p>
      <w:pPr>
        <w:pStyle w:val="TextBody"/>
        <w:bidi w:val="0"/>
        <w:jc w:val="both"/>
        <w:rPr/>
      </w:pPr>
      <w:r>
        <w:rPr>
          <w:rFonts w:ascii="Times New Roman" w:hAnsi="Times New Roman"/>
          <w:b/>
          <w:color w:val="000000"/>
          <w:sz w:val="22"/>
        </w:rPr>
        <w:t>Complete Agreement</w:t>
      </w:r>
      <w:r>
        <w:rPr>
          <w:rFonts w:ascii="Times New Roman" w:hAnsi="Times New Roman"/>
          <w:color w:val="000000"/>
          <w:sz w:val="22"/>
        </w:rPr>
        <w:t>. This Agreement, including Exhibit A, Exhibit B and Exhibit C, and the Confidentiality Agreement constitute the entire agreement between Executive and the Company and is the complete, final and exclusive embodiment of their agreement with regard to this subject matter, wholly superseding all written and oral agreements with respect to payments and benefits to Executive in the event of employment termination. It is entered into without reliance on any promise or representation other than those expressly contained herein.</w:t>
      </w:r>
    </w:p>
    <w:p>
      <w:pPr>
        <w:pStyle w:val="TextBody"/>
        <w:bidi w:val="0"/>
        <w:jc w:val="left"/>
        <w:rPr/>
      </w:pPr>
      <w:r>
        <w:rPr/>
        <w:t>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7.6</w:t>
      </w:r>
    </w:p>
    <w:p>
      <w:pPr>
        <w:pStyle w:val="TextBody"/>
        <w:bidi w:val="0"/>
        <w:jc w:val="both"/>
        <w:rPr/>
      </w:pPr>
      <w:r>
        <w:rPr>
          <w:rFonts w:ascii="Times New Roman" w:hAnsi="Times New Roman"/>
          <w:b/>
          <w:color w:val="000000"/>
          <w:sz w:val="22"/>
        </w:rPr>
        <w:t>Amendment or Termination of Agreement; Continuation of Agreement</w:t>
      </w:r>
      <w:r>
        <w:rPr>
          <w:rFonts w:ascii="Times New Roman" w:hAnsi="Times New Roman"/>
          <w:color w:val="000000"/>
          <w:sz w:val="22"/>
        </w:rPr>
        <w:t>. This Agreement may be changed or terminated only upon the mutual written consent of the Company and Executive. The written consent of the Company to a change or termination of this Agreement must be signed by an executive officer of the Company (other than Executive) after such change or termination has been approved by the Board. Unless so terminated, this Agreement shall continue in effect for as long as Executive continues to be employed by the Company or by any surviving entity following any Change in Control. In other words, if, following a Change in Control, Executive continues to be employed by the surviving entity without a Change in Control Termination and the surviving entity then undergoes a Change in Control, following which Executive is terminated by the subsequent surviving entity in a Change in Control Termination, then Executive shall receive the benefits described in Article 2 hereof.</w:t>
      </w:r>
    </w:p>
    <w:p>
      <w:pPr>
        <w:pStyle w:val="TextBody"/>
        <w:bidi w:val="0"/>
        <w:spacing w:before="10" w:after="283"/>
        <w:jc w:val="left"/>
        <w:rPr/>
      </w:pPr>
      <w:r>
        <w:rPr/>
        <w:t>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7.7</w:t>
      </w:r>
    </w:p>
    <w:p>
      <w:pPr>
        <w:pStyle w:val="TextBody"/>
        <w:bidi w:val="0"/>
        <w:jc w:val="both"/>
        <w:rPr/>
      </w:pPr>
      <w:r>
        <w:rPr>
          <w:rFonts w:ascii="Times New Roman" w:hAnsi="Times New Roman"/>
          <w:b/>
          <w:color w:val="000000"/>
          <w:sz w:val="22"/>
        </w:rPr>
        <w:t>Counterparts</w:t>
      </w:r>
      <w:r>
        <w:rPr>
          <w:rFonts w:ascii="Times New Roman" w:hAnsi="Times New Roman"/>
          <w:color w:val="000000"/>
          <w:sz w:val="22"/>
        </w:rPr>
        <w:t>. This Agreement may be executed in separate counterparts, any one of which need not contain signatures of more than one party, but all of which taken together will constitute one and the same Agreement.</w:t>
      </w:r>
    </w:p>
    <w:p>
      <w:pPr>
        <w:pStyle w:val="TextBody"/>
        <w:bidi w:val="0"/>
        <w:spacing w:before="10" w:after="283"/>
        <w:jc w:val="left"/>
        <w:rPr/>
      </w:pPr>
      <w:r>
        <w:rPr/>
        <w:t>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7.8</w:t>
      </w:r>
    </w:p>
    <w:p>
      <w:pPr>
        <w:pStyle w:val="TextBody"/>
        <w:bidi w:val="0"/>
        <w:jc w:val="both"/>
        <w:rPr/>
      </w:pPr>
      <w:r>
        <w:rPr>
          <w:rFonts w:ascii="Times New Roman" w:hAnsi="Times New Roman"/>
          <w:b/>
          <w:color w:val="000000"/>
          <w:sz w:val="22"/>
        </w:rPr>
        <w:t>Headings</w:t>
      </w:r>
      <w:r>
        <w:rPr>
          <w:rFonts w:ascii="Times New Roman" w:hAnsi="Times New Roman"/>
          <w:color w:val="000000"/>
          <w:sz w:val="22"/>
        </w:rPr>
        <w:t>. The headings of the Articles and Sections hereof are inserted for convenience only and shall not be deemed to constitute a part hereof nor to affect the meaning thereof.</w:t>
      </w:r>
    </w:p>
    <w:p>
      <w:pPr>
        <w:pStyle w:val="TextBody"/>
        <w:bidi w:val="0"/>
        <w:spacing w:before="10" w:after="283"/>
        <w:jc w:val="left"/>
        <w:rPr/>
      </w:pPr>
      <w:r>
        <w:rPr/>
        <w:t>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7.9</w:t>
      </w:r>
    </w:p>
    <w:p>
      <w:pPr>
        <w:pStyle w:val="TextBody"/>
        <w:bidi w:val="0"/>
        <w:jc w:val="both"/>
        <w:rPr/>
      </w:pPr>
      <w:r>
        <w:rPr>
          <w:rFonts w:ascii="Times New Roman" w:hAnsi="Times New Roman"/>
          <w:b/>
          <w:color w:val="000000"/>
          <w:sz w:val="22"/>
        </w:rPr>
        <w:t>Successors and Assigns</w:t>
      </w:r>
      <w:r>
        <w:rPr>
          <w:rFonts w:ascii="Times New Roman" w:hAnsi="Times New Roman"/>
          <w:color w:val="000000"/>
          <w:sz w:val="22"/>
        </w:rPr>
        <w:t>. This Agreement is intended to bind and inure to the benefit of and be enforceable by Executive, and the Company, and any surviving entity resulting from a Change in Control and upon any other person who is a successor by merger, acquisition, consolidation or otherwise to the business formerly carried on by the Company, and their respective successors, assigns, heirs, executors and administrators, without regard to whether or not such person actively assumes any rights or duties hereunder; provided, however, that Executive may not assign any duties hereunder and may not assign any rights hereunder without the written consent of the Company, which consent shall not be withheld unreasonably.</w:t>
      </w:r>
    </w:p>
    <w:p>
      <w:pPr>
        <w:pStyle w:val="TextBody"/>
        <w:bidi w:val="0"/>
        <w:spacing w:before="9" w:after="283"/>
        <w:jc w:val="left"/>
        <w:rPr/>
      </w:pPr>
      <w:r>
        <w:rPr/>
        <w:t> </w:t>
      </w:r>
    </w:p>
    <w:p>
      <w:pPr>
        <w:pStyle w:val="TextBody"/>
        <w:bidi w:val="0"/>
        <w:spacing w:before="1" w:after="283"/>
        <w:jc w:val="both"/>
        <w:rPr>
          <w:rFonts w:ascii="Times New Roman" w:hAnsi="Times New Roman"/>
          <w:b/>
          <w:color w:val="000000"/>
          <w:sz w:val="22"/>
        </w:rPr>
      </w:pPr>
      <w:r>
        <w:rPr>
          <w:rFonts w:ascii="Times New Roman" w:hAnsi="Times New Roman"/>
          <w:b/>
          <w:color w:val="000000"/>
          <w:sz w:val="22"/>
        </w:rPr>
        <w:t>7.10</w:t>
      </w:r>
    </w:p>
    <w:p>
      <w:pPr>
        <w:pStyle w:val="TextBody"/>
        <w:bidi w:val="0"/>
        <w:spacing w:before="1" w:after="283"/>
        <w:jc w:val="both"/>
        <w:rPr/>
      </w:pPr>
      <w:r>
        <w:rPr>
          <w:rFonts w:ascii="Times New Roman" w:hAnsi="Times New Roman"/>
          <w:b/>
          <w:color w:val="000000"/>
          <w:sz w:val="22"/>
        </w:rPr>
        <w:t>Choice of Law</w:t>
      </w:r>
      <w:r>
        <w:rPr>
          <w:rFonts w:ascii="Times New Roman" w:hAnsi="Times New Roman"/>
          <w:color w:val="000000"/>
          <w:sz w:val="22"/>
        </w:rPr>
        <w:t>. Because of the Company’s and Executive’s interests in ensuring that disputes regarding this Agreement are resolved on a uniform basis, the parties agree that all questions concerning the construction, validity and interpretation of this Agreement will be governed by the law of the State of New York, without regard for any conflict of law principles. Further, the parties consent to the jurisdiction of the state and federal courts of the State of New York for all purposes in connection with this Agreement. The parties hereby irrevocably waive, to the fullest extent permitted by applicable law, any objection which Executive or the Company may now or hereafter have to the laying of venue of any such dispute brought in such court or any defense of inconvenient forum for the maintenance of such dispute.</w:t>
      </w:r>
    </w:p>
    <w:p>
      <w:pPr>
        <w:pStyle w:val="TextBody"/>
        <w:bidi w:val="0"/>
        <w:spacing w:before="10" w:after="283"/>
        <w:jc w:val="left"/>
        <w:rPr/>
      </w:pPr>
      <w:r>
        <w:rPr/>
        <w:t>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7.11</w:t>
      </w:r>
    </w:p>
    <w:p>
      <w:pPr>
        <w:pStyle w:val="TextBody"/>
        <w:bidi w:val="0"/>
        <w:jc w:val="both"/>
        <w:rPr/>
      </w:pPr>
      <w:r>
        <w:rPr>
          <w:rFonts w:ascii="Times New Roman" w:hAnsi="Times New Roman"/>
          <w:b/>
          <w:color w:val="000000"/>
          <w:sz w:val="22"/>
        </w:rPr>
        <w:t>Arbitration</w:t>
      </w:r>
      <w:r>
        <w:rPr>
          <w:rFonts w:ascii="Times New Roman" w:hAnsi="Times New Roman"/>
          <w:color w:val="000000"/>
          <w:sz w:val="22"/>
        </w:rPr>
        <w:t xml:space="preserve">. To ensure the rapid and economical resolution of any disputes that may arise under or relate to this Agreement or Executive’s employment relationship, Executive and the Company agree that any and all disputes, claims, or causes of action, in law or equity, arising from or relating to the </w:t>
      </w:r>
    </w:p>
    <w:p>
      <w:pPr>
        <w:pStyle w:val="TextBody"/>
        <w:bidi w:val="0"/>
        <w:jc w:val="left"/>
        <w:rPr/>
      </w:pPr>
      <w:r>
        <w:rPr/>
        <w:t> </w:t>
      </w:r>
    </w:p>
    <w:p>
      <w:pPr>
        <w:pStyle w:val="TextBody"/>
        <w:bidi w:val="0"/>
        <w:spacing w:before="11" w:after="283"/>
        <w:ind w:left="60" w:right="0" w:hanging="0"/>
        <w:jc w:val="left"/>
        <w:rPr>
          <w:rFonts w:ascii="Times New Roman" w:hAnsi="Times New Roman"/>
          <w:color w:val="000000"/>
          <w:sz w:val="22"/>
        </w:rPr>
      </w:pPr>
      <w:r>
        <w:rPr>
          <w:rFonts w:ascii="Times New Roman" w:hAnsi="Times New Roman"/>
          <w:color w:val="000000"/>
          <w:sz w:val="22"/>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rFonts w:ascii="Times New Roman" w:hAnsi="Times New Roman"/>
          <w:color w:val="000000"/>
          <w:sz w:val="22"/>
        </w:rPr>
        <w:t>performance, enforcement, execution, or interpretation of this Agreement, Executive’s employment with the Company, or the termination of Executive’s employment (collectively, “</w:t>
      </w:r>
      <w:r>
        <w:rPr>
          <w:rFonts w:ascii="Times New Roman" w:hAnsi="Times New Roman"/>
          <w:b/>
          <w:i/>
          <w:color w:val="000000"/>
          <w:sz w:val="22"/>
        </w:rPr>
        <w:t>Claims</w:t>
      </w:r>
      <w:r>
        <w:rPr>
          <w:color w:val="000000"/>
        </w:rPr>
        <w:t>”</w:t>
      </w:r>
      <w:r>
        <w:rPr>
          <w:rFonts w:ascii="Times New Roman" w:hAnsi="Times New Roman"/>
          <w:color w:val="000000"/>
          <w:sz w:val="22"/>
        </w:rPr>
        <w:t>), shall be resolved to the fullest extent permitted by law, by final, binding, and (to the extent permitted by law) confidential arbitration before a single arbitrator in the state where Executive is employed. The arbitration shall be governed by the Federal Arbitration Act, 9 U.S.C. Section 1 et seq., as amended, and shall be administered by the Judicial Arbitration &amp; Mediation Services, Inc. (“</w:t>
      </w:r>
      <w:r>
        <w:rPr>
          <w:rFonts w:ascii="Times New Roman" w:hAnsi="Times New Roman"/>
          <w:b/>
          <w:i/>
          <w:color w:val="000000"/>
          <w:sz w:val="22"/>
        </w:rPr>
        <w:t>JAMS</w:t>
      </w:r>
      <w:r>
        <w:rPr>
          <w:color w:val="000000"/>
        </w:rPr>
        <w:t>”</w:t>
      </w:r>
      <w:r>
        <w:rPr>
          <w:rFonts w:ascii="Times New Roman" w:hAnsi="Times New Roman"/>
          <w:color w:val="000000"/>
          <w:sz w:val="22"/>
        </w:rPr>
        <w:t>), in accordance with its then-current Employment Arbitration Rules &amp; Procedures (the “</w:t>
      </w:r>
      <w:r>
        <w:rPr>
          <w:rFonts w:ascii="Times New Roman" w:hAnsi="Times New Roman"/>
          <w:b/>
          <w:i/>
          <w:color w:val="000000"/>
          <w:sz w:val="22"/>
        </w:rPr>
        <w:t>JAMS Rules</w:t>
      </w:r>
      <w:r>
        <w:rPr>
          <w:color w:val="000000"/>
        </w:rPr>
        <w:t>”</w:t>
      </w:r>
      <w:r>
        <w:rPr>
          <w:rFonts w:ascii="Times New Roman" w:hAnsi="Times New Roman"/>
          <w:color w:val="000000"/>
          <w:sz w:val="22"/>
        </w:rPr>
        <w:t>). The JAMS Rules are also available online at</w:t>
      </w:r>
      <w:r>
        <w:rPr>
          <w:color w:val="0000FF"/>
        </w:rPr>
        <w:t xml:space="preserve"> </w:t>
      </w:r>
      <w:r>
        <w:rPr>
          <w:rFonts w:ascii="Times New Roman" w:hAnsi="Times New Roman"/>
          <w:color w:val="0000FF"/>
          <w:sz w:val="22"/>
          <w:u w:val="single"/>
        </w:rPr>
        <w:t>http:11</w:t>
      </w:r>
      <w:r>
        <w:rPr>
          <w:rFonts w:ascii="Times New Roman" w:hAnsi="Times New Roman"/>
          <w:sz w:val="22"/>
        </w:rPr>
        <w:t>www.jamsadr.com1rules-employment-arbitration1.</w:t>
      </w:r>
      <w:r>
        <w:rPr>
          <w:color w:val="000000"/>
        </w:rPr>
        <w:t xml:space="preserve"> </w:t>
      </w:r>
      <w:r>
        <w:rPr>
          <w:rFonts w:ascii="Times New Roman" w:hAnsi="Times New Roman"/>
          <w:color w:val="000000"/>
          <w:sz w:val="22"/>
        </w:rPr>
        <w:t>The parties or their representatives may also call JAMS at 800.352.5267 if they have questions about the arbitration process. If the JAMS Rules are inconsistent with the terms of this Agreement, the terms of this Agreement shall govern. Notwithstanding the foregoing, this provision shall exclude Claims that by law are not subject to arbitration. The arbitrator shall: (a) have the authority to compel adequate discovery for the resolution of all Claims and to award such relief as would otherwise be permitted by law; and (b) issue a written arbitration decision including the arbitrator’s essential findings and conclusions and a statement of the award. The Company shall pay all JAMS fees in excess of the amount of filing and other court-related fees Executive would have been required to pay if the Claims were asserted in a court of law. EXECUTIVE AND THE COMPANY UNDERSTAND AND FULLY AGREE THAT BY ENTERING INTO THIS AGREEMENT, BOTH EXECUTIVE AND THE COMPANY ARE GIVING UP THE CONSTITUTIONAL RIGHT TO HAVE A TRIAL BY JURY, AND ARE GIVING UP THE NORMAL RIGHTS OF APPEAL FOLLOWING THE RENDERING OF A DECISION, EXCEPT AS THE FEDERAL ARBITRATION ACT AND APPLICABLE FEDERAL LAW ALLOW FOR JUDICIAL REVIEW OF ARBITRATION PROCEEDINGS. Nothing in this Agreement shall prevent either Executive or the Company from obtaining injunctive relief in court to prevent irreparable harm pending the conclusion of any such arbitration. Any awards or final orders in such arbitrations may be entered and enforced as judgments or orders in the federal and state courts of any competent jurisdiction in compliance with Section 7.11 of this Agreement.</w:t>
      </w:r>
    </w:p>
    <w:p>
      <w:pPr>
        <w:pStyle w:val="TextBody"/>
        <w:bidi w:val="0"/>
        <w:spacing w:before="10" w:after="283"/>
        <w:jc w:val="left"/>
        <w:rPr/>
      </w:pPr>
      <w:r>
        <w:rPr/>
        <w:t>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7.12</w:t>
      </w:r>
    </w:p>
    <w:p>
      <w:pPr>
        <w:pStyle w:val="TextBody"/>
        <w:bidi w:val="0"/>
        <w:jc w:val="both"/>
        <w:rPr/>
      </w:pPr>
      <w:r>
        <w:rPr>
          <w:rFonts w:ascii="Times New Roman" w:hAnsi="Times New Roman"/>
          <w:b/>
          <w:color w:val="000000"/>
          <w:sz w:val="22"/>
        </w:rPr>
        <w:t>Construction of Agreement</w:t>
      </w:r>
      <w:r>
        <w:rPr>
          <w:rFonts w:ascii="Times New Roman" w:hAnsi="Times New Roman"/>
          <w:color w:val="000000"/>
          <w:sz w:val="22"/>
        </w:rPr>
        <w:t>. In the event of a conflict between the text of this Agreement and any summary, description or other information regarding this Agreement, the text of this Agreement shall control.</w:t>
      </w:r>
    </w:p>
    <w:p>
      <w:pPr>
        <w:pStyle w:val="TextBody"/>
        <w:bidi w:val="0"/>
        <w:spacing w:before="10" w:after="283"/>
        <w:jc w:val="left"/>
        <w:rPr/>
      </w:pPr>
      <w:r>
        <w:rPr/>
        <w:t>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7.13</w:t>
      </w:r>
    </w:p>
    <w:p>
      <w:pPr>
        <w:pStyle w:val="TextBody"/>
        <w:bidi w:val="0"/>
        <w:jc w:val="both"/>
        <w:rPr>
          <w:rFonts w:ascii="Times New Roman" w:hAnsi="Times New Roman"/>
          <w:b/>
          <w:color w:val="000000"/>
          <w:sz w:val="22"/>
        </w:rPr>
      </w:pPr>
      <w:r>
        <w:rPr>
          <w:rFonts w:ascii="Times New Roman" w:hAnsi="Times New Roman"/>
          <w:b/>
          <w:color w:val="000000"/>
          <w:sz w:val="22"/>
        </w:rPr>
        <w:t>Circular 230 Disclaimer. THE FOLLOWING DISCLAIMER IS PROVIDED IN ACCORDANCE WITH THE INTERNAL REVENUE SERVICE’S CIRCULAR 230 (21 C.F.R. PART 10). ANY TAX ADVICE CONTAINED IN THIS AGREEMENT IS INTENDED TO BE PRELIMINARY, FOR DISCUSSION PURPOSES ONLY AND NOT FINAL. ANY SUCH ADVICE IS NOT INTENDED TO BE USED FOR MARKETING, PROMOTING OR RECOMMENDING ANY TRANSACTION OR FOR THE USE OF ANY PERSON IN CONNECTION WITH THE PREPARATION OF ANY TAX RETURN. ACCORDINGLY, THIS ADVICE IS NOT INTENDED OR WRITTEN TO BE USED, AND IT CANNOT BE USED, BY ANY PERSON FOR THE PURPOSE OF AVOIDING TAX PENALTIES THAT MAY BE IMPOSED ON SUCH PERSON.</w:t>
      </w:r>
    </w:p>
    <w:p>
      <w:pPr>
        <w:pStyle w:val="TextBody"/>
        <w:bidi w:val="0"/>
        <w:jc w:val="left"/>
        <w:rPr/>
      </w:pPr>
      <w:r>
        <w:rPr/>
        <w:t> </w:t>
      </w:r>
    </w:p>
    <w:p>
      <w:pPr>
        <w:pStyle w:val="TextBody"/>
        <w:bidi w:val="0"/>
        <w:spacing w:before="11" w:after="283"/>
        <w:ind w:left="60" w:right="0" w:hanging="0"/>
        <w:jc w:val="left"/>
        <w:rPr>
          <w:rFonts w:ascii="Times New Roman" w:hAnsi="Times New Roman"/>
          <w:color w:val="000000"/>
          <w:sz w:val="22"/>
        </w:rPr>
      </w:pPr>
      <w:r>
        <w:rPr>
          <w:rFonts w:ascii="Times New Roman" w:hAnsi="Times New Roman"/>
          <w:color w:val="000000"/>
          <w:sz w:val="22"/>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3" w:after="283"/>
        <w:jc w:val="left"/>
        <w:rPr>
          <w:rFonts w:ascii="Times New Roman" w:hAnsi="Times New Roman"/>
          <w:sz w:val="20"/>
        </w:rPr>
      </w:pPr>
      <w:r>
        <w:rPr>
          <w:rFonts w:ascii="Times New Roman" w:hAnsi="Times New Roman"/>
          <w:b/>
          <w:color w:val="000000"/>
          <w:sz w:val="22"/>
        </w:rPr>
        <w:t>IN WITNESS WHEREOF</w:t>
      </w:r>
      <w:r>
        <w:rPr>
          <w:rFonts w:ascii="Times New Roman" w:hAnsi="Times New Roman"/>
          <w:color w:val="000000"/>
          <w:sz w:val="22"/>
        </w:rPr>
        <w:t>, the parties have executed this Agreement on the Effective Date written below.</w:t>
      </w:r>
    </w:p>
    <w:p>
      <w:pPr>
        <w:pStyle w:val="TextBody"/>
        <w:bidi w:val="0"/>
        <w:spacing w:before="3" w:after="283"/>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SYNDAX PHARMACEUTICALS, INC. EXECUTIVE</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By: By:</w:t>
      </w:r>
    </w:p>
    <w:p>
      <w:pPr>
        <w:pStyle w:val="TextBody"/>
        <w:bidi w:val="0"/>
        <w:spacing w:before="9" w:after="283"/>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Name: Briggs W. Morrison, M.D. Name: Luke J. Albrecht</w:t>
      </w:r>
    </w:p>
    <w:p>
      <w:pPr>
        <w:pStyle w:val="TextBody"/>
        <w:bidi w:val="0"/>
        <w:spacing w:before="30" w:after="283"/>
        <w:jc w:val="left"/>
        <w:rPr>
          <w:rFonts w:ascii="Times New Roman" w:hAnsi="Times New Roman"/>
          <w:color w:val="000000"/>
          <w:sz w:val="22"/>
        </w:rPr>
      </w:pPr>
      <w:r>
        <w:rPr>
          <w:rFonts w:ascii="Times New Roman" w:hAnsi="Times New Roman"/>
          <w:color w:val="000000"/>
          <w:sz w:val="22"/>
        </w:rPr>
        <w:t>Title: Chief Executive Officer Date:</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1" w:after="283"/>
        <w:jc w:val="left"/>
        <w:rPr/>
      </w:pPr>
      <w:r>
        <w:rPr/>
        <w:t> </w:t>
      </w:r>
    </w:p>
    <w:p>
      <w:pPr>
        <w:pStyle w:val="TextBody"/>
        <w:bidi w:val="0"/>
        <w:spacing w:before="91" w:after="283"/>
        <w:jc w:val="left"/>
        <w:rPr>
          <w:rFonts w:ascii="Times New Roman" w:hAnsi="Times New Roman"/>
          <w:color w:val="000000"/>
          <w:sz w:val="22"/>
        </w:rPr>
      </w:pPr>
      <w:r>
        <w:rPr>
          <w:rFonts w:ascii="Times New Roman" w:hAnsi="Times New Roman"/>
          <w:color w:val="000000"/>
          <w:sz w:val="22"/>
        </w:rPr>
        <w:t>Exhibit A: Release (Individual Termination - Age 40 or Older)</w:t>
      </w:r>
    </w:p>
    <w:p>
      <w:pPr>
        <w:pStyle w:val="TextBody"/>
        <w:bidi w:val="0"/>
        <w:spacing w:before="182" w:after="283"/>
        <w:jc w:val="left"/>
        <w:rPr>
          <w:rFonts w:ascii="Times New Roman" w:hAnsi="Times New Roman"/>
          <w:sz w:val="20"/>
        </w:rPr>
      </w:pPr>
      <w:r>
        <w:rPr>
          <w:rFonts w:ascii="Times New Roman" w:hAnsi="Times New Roman"/>
          <w:color w:val="000000"/>
          <w:sz w:val="22"/>
        </w:rPr>
        <w:t>Exhibit B: Release (Individual and Group Termination - Under Age 40)</w:t>
      </w:r>
      <w:r>
        <w:rPr>
          <w:rFonts w:ascii="Times New Roman" w:hAnsi="Times New Roman"/>
          <w:color w:val="000000"/>
          <w:sz w:val="20"/>
        </w:rPr>
        <w:t xml:space="preserve"> </w:t>
      </w:r>
    </w:p>
    <w:p>
      <w:pPr>
        <w:pStyle w:val="TextBody"/>
        <w:bidi w:val="0"/>
        <w:spacing w:before="182" w:after="283"/>
        <w:jc w:val="left"/>
        <w:rPr>
          <w:rFonts w:ascii="Times New Roman" w:hAnsi="Times New Roman"/>
          <w:color w:val="000000"/>
          <w:sz w:val="22"/>
        </w:rPr>
      </w:pPr>
      <w:r>
        <w:rPr>
          <w:rFonts w:ascii="Times New Roman" w:hAnsi="Times New Roman"/>
          <w:color w:val="000000"/>
          <w:sz w:val="22"/>
        </w:rPr>
        <w:t>Exhibit C: Release (Group Termination - Age 40 or Older)</w:t>
      </w:r>
    </w:p>
    <w:p>
      <w:pPr>
        <w:pStyle w:val="TextBody"/>
        <w:bidi w:val="0"/>
        <w:jc w:val="left"/>
        <w:rPr/>
      </w:pPr>
      <w:r>
        <w:rPr/>
        <w:t> </w:t>
      </w:r>
    </w:p>
    <w:p>
      <w:pPr>
        <w:pStyle w:val="TextBody"/>
        <w:bidi w:val="0"/>
        <w:spacing w:before="4" w:after="283"/>
        <w:jc w:val="left"/>
        <w:rPr/>
      </w:pPr>
      <w:r>
        <w:rPr/>
        <w:t> </w:t>
      </w:r>
    </w:p>
    <w:p>
      <w:pPr>
        <w:pStyle w:val="TextBody"/>
        <w:bidi w:val="0"/>
        <w:spacing w:before="92" w:after="283"/>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8" w:after="283"/>
        <w:jc w:val="center"/>
        <w:rPr>
          <w:rFonts w:ascii="Times New Roman" w:hAnsi="Times New Roman"/>
          <w:b/>
          <w:color w:val="000000"/>
          <w:sz w:val="22"/>
        </w:rPr>
      </w:pPr>
      <w:r>
        <w:rPr>
          <w:rFonts w:ascii="Times New Roman" w:hAnsi="Times New Roman"/>
          <w:b/>
          <w:color w:val="000000"/>
          <w:sz w:val="22"/>
        </w:rPr>
        <w:t>EXHIBIT A RELEASE</w:t>
      </w:r>
    </w:p>
    <w:p>
      <w:pPr>
        <w:pStyle w:val="TextBody"/>
        <w:bidi w:val="0"/>
        <w:jc w:val="center"/>
        <w:rPr>
          <w:rFonts w:ascii="Times New Roman" w:hAnsi="Times New Roman"/>
          <w:b/>
          <w:color w:val="000000"/>
          <w:sz w:val="22"/>
        </w:rPr>
      </w:pPr>
      <w:r>
        <w:rPr>
          <w:rFonts w:ascii="Times New Roman" w:hAnsi="Times New Roman"/>
          <w:b/>
          <w:color w:val="000000"/>
          <w:sz w:val="22"/>
        </w:rPr>
        <w:t>(INDIVIDUAL TERMINATION - AGE 40 OR OLDER)</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2"/>
        </w:rPr>
        <w:t>Certain capitalized terms used in this Release are defined in the Executive Employment Agreement (the “</w:t>
      </w:r>
      <w:r>
        <w:rPr>
          <w:rFonts w:ascii="Times New Roman" w:hAnsi="Times New Roman"/>
          <w:b/>
          <w:i/>
          <w:color w:val="000000"/>
          <w:sz w:val="22"/>
        </w:rPr>
        <w:t>Agreement</w:t>
      </w:r>
      <w:r>
        <w:rPr>
          <w:rFonts w:ascii="Times New Roman" w:hAnsi="Times New Roman"/>
          <w:color w:val="000000"/>
          <w:sz w:val="20"/>
        </w:rPr>
        <w:t>”</w:t>
      </w:r>
      <w:r>
        <w:rPr>
          <w:rFonts w:ascii="Times New Roman" w:hAnsi="Times New Roman"/>
          <w:color w:val="000000"/>
          <w:sz w:val="22"/>
        </w:rPr>
        <w:t>) which I have executed and of which this Release is a part.</w:t>
      </w:r>
    </w:p>
    <w:p>
      <w:pPr>
        <w:pStyle w:val="TextBody"/>
        <w:bidi w:val="0"/>
        <w:spacing w:before="179" w:after="283"/>
        <w:jc w:val="both"/>
        <w:rPr>
          <w:rFonts w:ascii="Times New Roman" w:hAnsi="Times New Roman"/>
          <w:color w:val="000000"/>
          <w:sz w:val="22"/>
        </w:rPr>
      </w:pPr>
      <w:r>
        <w:rPr>
          <w:rFonts w:ascii="Times New Roman" w:hAnsi="Times New Roman"/>
          <w:color w:val="000000"/>
          <w:sz w:val="22"/>
        </w:rPr>
        <w:t>I hereby confirm my obligations under the Confidentiality Agreement (or other comparable agreement that I have signed, if any).</w:t>
      </w:r>
    </w:p>
    <w:p>
      <w:pPr>
        <w:pStyle w:val="TextBody"/>
        <w:bidi w:val="0"/>
        <w:spacing w:before="180" w:after="283"/>
        <w:jc w:val="both"/>
        <w:rPr>
          <w:rFonts w:ascii="Times New Roman" w:hAnsi="Times New Roman"/>
          <w:sz w:val="20"/>
        </w:rPr>
      </w:pPr>
      <w:r>
        <w:rPr>
          <w:rFonts w:ascii="Times New Roman" w:hAnsi="Times New Roman"/>
          <w:color w:val="000000"/>
          <w:sz w:val="22"/>
        </w:rPr>
        <w:t>Except as otherwise set forth in this Release, I hereby release, acquit and forever discharge the Company, its parents and subsidiaries, and their officers, directors, agents, servants, employees, shareholders, successors, assigns and affiliates, of and from any and all claims, liabilities, demands, causes of action, costs, expenses, attorneys’ fees, damages, indemnities and obligations of every kind and nature, in law, equity or otherwise, known and unknown, suspected and unsuspected, disclosed and undisclosed (other than any claim for indemnification I may have as a result of any third party action against me based on my employment with the Company), arising out of or in any way related to agreements, events, acts or conduct at any time prior to the date I execute this Release, including, but not limited to: all such claims and demands directly or indirectly arising out of or in any way connected with my employment with the Company or the termination of that employment, including, but not limited to, claims of intentional and negligent infliction of emotional distress, any and all tort claims for personal injury, claims or demands related to salary, bonuses, commissions, stock, stock options, or any other ownership interests in the Company, vacation pay, fringe benefits, expense reimbursements, severance pay, or any other form of compensation; and claims pursuant to any federal, state or local law or cause of action including, but not limited to, the federal Civil Rights Act of 1964, as amended, the federal Age Discrimination in Employment Act of 1967, as amended (“</w:t>
      </w:r>
      <w:r>
        <w:rPr>
          <w:rFonts w:ascii="Times New Roman" w:hAnsi="Times New Roman"/>
          <w:b/>
          <w:i/>
          <w:color w:val="000000"/>
          <w:sz w:val="22"/>
        </w:rPr>
        <w:t>ADEA</w:t>
      </w:r>
      <w:r>
        <w:rPr>
          <w:rFonts w:ascii="Times New Roman" w:hAnsi="Times New Roman"/>
          <w:color w:val="000000"/>
          <w:sz w:val="20"/>
        </w:rPr>
        <w:t>”</w:t>
      </w:r>
      <w:r>
        <w:rPr>
          <w:rFonts w:ascii="Times New Roman" w:hAnsi="Times New Roman"/>
          <w:color w:val="000000"/>
          <w:sz w:val="22"/>
        </w:rPr>
        <w:t>), the federal Employee Retirement Income Security Act of 1974, as amended, the federal Americans with Disabilities Act of 1990,the California Fair Employment and Housing Act, as amended, the New York City Human Rights Law, as amended, the Massachusetts Fair Employment Practices Law, as amended, the South Carolina Human Affairs Law, as amended, tort law, contract law, wrongful discharge, discrimination, fraud, defamation, emotional distress, and breach of the implied covenant of good faith and fair dealing; provided, however, that nothing in this paragraph shall be construed in any way to (1) release the Company from its obligation to indemnify me pursuant to the Company’s indemnification obligation pursuant to written agreement or applicable law; (2) release any claim by me against the Company relating to the validity or enforceability of this release or the Agreement; (3) prohibit me from exercising any non-waivable right to file a charge with the United States Equal Employment Opportunity Commission (“</w:t>
      </w:r>
      <w:r>
        <w:rPr>
          <w:rFonts w:ascii="Times New Roman" w:hAnsi="Times New Roman"/>
          <w:b/>
          <w:i/>
          <w:color w:val="000000"/>
          <w:sz w:val="22"/>
        </w:rPr>
        <w:t>EEOC</w:t>
      </w:r>
      <w:r>
        <w:rPr>
          <w:rFonts w:ascii="Times New Roman" w:hAnsi="Times New Roman"/>
          <w:color w:val="000000"/>
          <w:sz w:val="20"/>
        </w:rPr>
        <w:t>”</w:t>
      </w:r>
      <w:r>
        <w:rPr>
          <w:rFonts w:ascii="Times New Roman" w:hAnsi="Times New Roman"/>
          <w:color w:val="000000"/>
          <w:sz w:val="22"/>
        </w:rPr>
        <w:t>), the National Labor Relations Board (“</w:t>
      </w:r>
      <w:r>
        <w:rPr>
          <w:rFonts w:ascii="Times New Roman" w:hAnsi="Times New Roman"/>
          <w:b/>
          <w:i/>
          <w:color w:val="000000"/>
          <w:sz w:val="22"/>
        </w:rPr>
        <w:t>NLRB</w:t>
      </w:r>
      <w:r>
        <w:rPr>
          <w:rFonts w:ascii="Times New Roman" w:hAnsi="Times New Roman"/>
          <w:color w:val="000000"/>
          <w:sz w:val="20"/>
        </w:rPr>
        <w:t>”</w:t>
      </w:r>
      <w:r>
        <w:rPr>
          <w:rFonts w:ascii="Times New Roman" w:hAnsi="Times New Roman"/>
          <w:color w:val="000000"/>
          <w:sz w:val="22"/>
        </w:rPr>
        <w:t>), or any other government agency (provided, however, that I shall not be entitled to recover any monetary damages or to obtain non-monetary relief if the agency were to pursue any claims relating to my employment with the Company).</w:t>
      </w:r>
    </w:p>
    <w:p>
      <w:pPr>
        <w:pStyle w:val="TextBody"/>
        <w:bidi w:val="0"/>
        <w:spacing w:before="180" w:after="283"/>
        <w:jc w:val="both"/>
        <w:rPr>
          <w:rFonts w:ascii="Times New Roman" w:hAnsi="Times New Roman"/>
          <w:color w:val="000000"/>
          <w:sz w:val="22"/>
        </w:rPr>
      </w:pPr>
      <w:r>
        <w:rPr>
          <w:rFonts w:ascii="Times New Roman" w:hAnsi="Times New Roman"/>
          <w:color w:val="000000"/>
          <w:sz w:val="22"/>
        </w:rPr>
        <w:t>I acknowledge that I am knowingly and voluntarily waiving and releasing any rights I may have to assert claims for age discrimination under applicable law, including under the ADEA. I also acknowledge that the consideration given under the Agreement for the waiver and release in the preceding paragraph hereof is in addition to anything of value to which I was already entitled. I further acknowledge that I have been advised by this writing, as required by the ADEA, that: (A) my waiver and release do not apply to any rights or claims that may arise on or after the date I execute this Release; (B) I have the right to consult with an attorney prior to executing this Release; (C) I have twenty-one (21) days to consider this Release (although I may choose to voluntarily execute this Release earlier); (D) I have seven (7) days following my execution of this Release to revoke the Release by providing a written notice of revocation to the Company’s Chief Executive Officer; and (E) this Release shall not be effective until the date upon which the revocation period has expired, which shall be the eighth (8th) day after I execute this Release (provided that I do not revoke it).</w:t>
      </w:r>
    </w:p>
    <w:p>
      <w:pPr>
        <w:pStyle w:val="TextBody"/>
        <w:bidi w:val="0"/>
        <w:spacing w:before="180" w:after="283"/>
        <w:jc w:val="both"/>
        <w:rPr>
          <w:rFonts w:ascii="Times New Roman" w:hAnsi="Times New Roman"/>
          <w:sz w:val="20"/>
        </w:rPr>
      </w:pPr>
      <w:r>
        <w:rPr>
          <w:rFonts w:ascii="Times New Roman" w:hAnsi="Times New Roman"/>
          <w:color w:val="000000"/>
          <w:sz w:val="22"/>
        </w:rPr>
        <w:t>I hereby represent that I have been paid all compensation owed and for all hours worked, I have</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A</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color w:val="000000"/>
          <w:sz w:val="22"/>
        </w:rPr>
      </w:pPr>
      <w:r>
        <w:rPr>
          <w:rFonts w:ascii="Times New Roman" w:hAnsi="Times New Roman"/>
          <w:color w:val="000000"/>
          <w:sz w:val="22"/>
        </w:rPr>
        <w:t>received all the leave and leave benefits and protections for which I am eligible, pursuant to the federal Family and Medical Leave Act, any Company policy or applicable law, and I have not suffered any on- the-job injury or illness for which I have not already filed a workers’ compensation claim.</w:t>
      </w:r>
    </w:p>
    <w:p>
      <w:pPr>
        <w:pStyle w:val="TextBody"/>
        <w:bidi w:val="0"/>
        <w:spacing w:before="181" w:after="283"/>
        <w:jc w:val="both"/>
        <w:rPr>
          <w:rFonts w:ascii="Times New Roman" w:hAnsi="Times New Roman"/>
          <w:color w:val="000000"/>
          <w:sz w:val="22"/>
        </w:rPr>
      </w:pPr>
      <w:r>
        <w:rPr>
          <w:rFonts w:ascii="Times New Roman" w:hAnsi="Times New Roman"/>
          <w:color w:val="000000"/>
          <w:sz w:val="22"/>
        </w:rPr>
        <w:t>I agree that I will not make any disparaging statements regarding the Company or its officers, directors, shareholders, members, agents or products jointly or severally. The foregoing shall not be violated by truthful statements in response to legal process, required governmental testimony or filings, or administrative or arbitral proceedings (including, without limitation, depositions in connection with such proceedings).</w:t>
      </w:r>
    </w:p>
    <w:p>
      <w:pPr>
        <w:pStyle w:val="TextBody"/>
        <w:bidi w:val="0"/>
        <w:jc w:val="left"/>
        <w:rPr/>
      </w:pPr>
      <w:r>
        <w:rPr/>
        <w:t> </w:t>
      </w:r>
    </w:p>
    <w:p>
      <w:pPr>
        <w:pStyle w:val="TextBody"/>
        <w:bidi w:val="0"/>
        <w:spacing w:before="7" w:after="283"/>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EXECUTIVE:</w:t>
      </w:r>
    </w:p>
    <w:p>
      <w:pPr>
        <w:pStyle w:val="TextBody"/>
        <w:bidi w:val="0"/>
        <w:jc w:val="left"/>
        <w:rPr/>
      </w:pPr>
      <w:r>
        <w:rPr/>
        <w:t> </w:t>
      </w:r>
    </w:p>
    <w:p>
      <w:pPr>
        <w:pStyle w:val="TextBody"/>
        <w:bidi w:val="0"/>
        <w:spacing w:before="8" w:after="283"/>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Signature</w:t>
      </w:r>
    </w:p>
    <w:p>
      <w:pPr>
        <w:pStyle w:val="TextBody"/>
        <w:bidi w:val="0"/>
        <w:jc w:val="left"/>
        <w:rPr/>
      </w:pPr>
      <w:r>
        <w:rPr/>
        <w:t> </w:t>
      </w:r>
    </w:p>
    <w:p>
      <w:pPr>
        <w:pStyle w:val="TextBody"/>
        <w:bidi w:val="0"/>
        <w:spacing w:before="6" w:after="283"/>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Printed Name</w:t>
      </w:r>
    </w:p>
    <w:p>
      <w:pPr>
        <w:pStyle w:val="TextBody"/>
        <w:bidi w:val="0"/>
        <w:jc w:val="left"/>
        <w:rPr/>
      </w:pPr>
      <w:r>
        <w:rPr/>
        <w:t> </w:t>
      </w:r>
    </w:p>
    <w:p>
      <w:pPr>
        <w:pStyle w:val="TextBody"/>
        <w:bidi w:val="0"/>
        <w:spacing w:before="1" w:after="283"/>
        <w:jc w:val="left"/>
        <w:rPr/>
      </w:pPr>
      <w:r>
        <w:rPr/>
        <w:t> </w:t>
      </w:r>
    </w:p>
    <w:p>
      <w:pPr>
        <w:pStyle w:val="TextBody"/>
        <w:bidi w:val="0"/>
        <w:spacing w:before="1" w:after="283"/>
        <w:jc w:val="left"/>
        <w:rPr>
          <w:rFonts w:ascii="Times New Roman" w:hAnsi="Times New Roman"/>
          <w:color w:val="000000"/>
          <w:sz w:val="22"/>
        </w:rPr>
      </w:pPr>
      <w:r>
        <w:rPr>
          <w:rFonts w:ascii="Times New Roman" w:hAnsi="Times New Roman"/>
          <w:color w:val="000000"/>
          <w:sz w:val="22"/>
        </w:rPr>
        <w:t xml:space="preserve">Date: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 w:after="283"/>
        <w:jc w:val="left"/>
        <w:rPr/>
      </w:pPr>
      <w:r>
        <w:rPr/>
        <w:t> </w:t>
      </w:r>
    </w:p>
    <w:p>
      <w:pPr>
        <w:pStyle w:val="TextBody"/>
        <w:bidi w:val="0"/>
        <w:spacing w:before="92" w:after="283"/>
        <w:jc w:val="center"/>
        <w:rPr>
          <w:rFonts w:ascii="Times New Roman" w:hAnsi="Times New Roman"/>
          <w:color w:val="000000"/>
          <w:sz w:val="22"/>
        </w:rPr>
      </w:pPr>
      <w:r>
        <w:rPr>
          <w:rFonts w:ascii="Times New Roman" w:hAnsi="Times New Roman"/>
          <w:color w:val="000000"/>
          <w:sz w:val="22"/>
        </w:rPr>
        <w:t>A-2</w:t>
      </w:r>
    </w:p>
    <w:p>
      <w:pPr>
        <w:pStyle w:val="TextBody"/>
        <w:bidi w:val="0"/>
        <w:jc w:val="left"/>
        <w:rPr>
          <w:rFonts w:ascii="Times New Roman" w:hAnsi="Times New Roman"/>
          <w:color w:val="000000"/>
          <w:sz w:val="20"/>
        </w:rPr>
      </w:pPr>
      <w:r>
        <w:rPr>
          <w:rFonts w:ascii="Times New Roman" w:hAnsi="Times New Roman"/>
          <w:color w:val="000000"/>
          <w:sz w:val="20"/>
        </w:rPr>
        <w:t>A</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8" w:after="283"/>
        <w:jc w:val="center"/>
        <w:rPr>
          <w:rFonts w:ascii="Times New Roman" w:hAnsi="Times New Roman"/>
          <w:b/>
          <w:color w:val="000000"/>
          <w:sz w:val="22"/>
        </w:rPr>
      </w:pPr>
      <w:r>
        <w:rPr>
          <w:rFonts w:ascii="Times New Roman" w:hAnsi="Times New Roman"/>
          <w:b/>
          <w:color w:val="000000"/>
          <w:sz w:val="22"/>
        </w:rPr>
        <w:t>EXHIBIT B RELEASE</w:t>
      </w:r>
    </w:p>
    <w:p>
      <w:pPr>
        <w:pStyle w:val="TextBody"/>
        <w:bidi w:val="0"/>
        <w:jc w:val="center"/>
        <w:rPr>
          <w:rFonts w:ascii="Times New Roman" w:hAnsi="Times New Roman"/>
          <w:b/>
          <w:color w:val="000000"/>
          <w:sz w:val="22"/>
        </w:rPr>
      </w:pPr>
      <w:r>
        <w:rPr>
          <w:rFonts w:ascii="Times New Roman" w:hAnsi="Times New Roman"/>
          <w:b/>
          <w:color w:val="000000"/>
          <w:sz w:val="22"/>
        </w:rPr>
        <w:t>(INDIVIDUAL AND GROUP TERMINATION - UNDER AGE 40)</w:t>
      </w:r>
    </w:p>
    <w:p>
      <w:pPr>
        <w:pStyle w:val="TextBody"/>
        <w:bidi w:val="0"/>
        <w:spacing w:before="9" w:after="283"/>
        <w:jc w:val="left"/>
        <w:rPr/>
      </w:pPr>
      <w:r>
        <w:rPr/>
        <w:t> </w:t>
      </w:r>
    </w:p>
    <w:p>
      <w:pPr>
        <w:pStyle w:val="TextBody"/>
        <w:bidi w:val="0"/>
        <w:spacing w:before="1" w:after="283"/>
        <w:jc w:val="both"/>
        <w:rPr>
          <w:rFonts w:ascii="Times New Roman" w:hAnsi="Times New Roman"/>
          <w:sz w:val="20"/>
        </w:rPr>
      </w:pPr>
      <w:r>
        <w:rPr>
          <w:rFonts w:ascii="Times New Roman" w:hAnsi="Times New Roman"/>
          <w:color w:val="000000"/>
          <w:sz w:val="22"/>
        </w:rPr>
        <w:t>Certain capitalized terms used in this Release are defined in the Executive Employment Agreement (the “</w:t>
      </w:r>
      <w:r>
        <w:rPr>
          <w:rFonts w:ascii="Times New Roman" w:hAnsi="Times New Roman"/>
          <w:b/>
          <w:i/>
          <w:color w:val="000000"/>
          <w:sz w:val="22"/>
        </w:rPr>
        <w:t>Agreement</w:t>
      </w:r>
      <w:r>
        <w:rPr>
          <w:rFonts w:ascii="Times New Roman" w:hAnsi="Times New Roman"/>
          <w:color w:val="000000"/>
          <w:sz w:val="20"/>
        </w:rPr>
        <w:t>”</w:t>
      </w:r>
      <w:r>
        <w:rPr>
          <w:rFonts w:ascii="Times New Roman" w:hAnsi="Times New Roman"/>
          <w:color w:val="000000"/>
          <w:sz w:val="22"/>
        </w:rPr>
        <w:t>) which I have executed and of which this Release is a part.</w:t>
      </w:r>
    </w:p>
    <w:p>
      <w:pPr>
        <w:pStyle w:val="TextBody"/>
        <w:bidi w:val="0"/>
        <w:spacing w:before="180" w:after="283"/>
        <w:jc w:val="both"/>
        <w:rPr>
          <w:rFonts w:ascii="Times New Roman" w:hAnsi="Times New Roman"/>
          <w:color w:val="000000"/>
          <w:sz w:val="22"/>
        </w:rPr>
      </w:pPr>
      <w:r>
        <w:rPr>
          <w:rFonts w:ascii="Times New Roman" w:hAnsi="Times New Roman"/>
          <w:color w:val="000000"/>
          <w:sz w:val="22"/>
        </w:rPr>
        <w:t>I hereby confirm my obligations under the Confidentiality Agreement (or other comparable agreement that I have signed, if any).</w:t>
      </w:r>
    </w:p>
    <w:p>
      <w:pPr>
        <w:pStyle w:val="TextBody"/>
        <w:bidi w:val="0"/>
        <w:spacing w:before="180" w:after="283"/>
        <w:jc w:val="both"/>
        <w:rPr>
          <w:rFonts w:ascii="Times New Roman" w:hAnsi="Times New Roman"/>
          <w:sz w:val="20"/>
        </w:rPr>
      </w:pPr>
      <w:r>
        <w:rPr>
          <w:rFonts w:ascii="Times New Roman" w:hAnsi="Times New Roman"/>
          <w:color w:val="000000"/>
          <w:sz w:val="22"/>
        </w:rPr>
        <w:t>Except as otherwise set forth in this Release, I hereby release, acquit and forever discharge the Company, its parents and subsidiaries, and their officers, directors, agents, servants, employees, shareholders, successors, assigns and affiliates, of and from any and all claims, liabilities, demands, causes of action, costs, expenses, attorneys’ fees, damages, indemnities and obligations of every kind and nature, in law, equity or otherwise, known and unknown, suspected and unsuspected, disclosed and undisclosed (other than any claim for indemnification I may have as a result of any third party action against me based on my employment with the Company), arising out of or in any way related to agreements, events, acts or conduct at any time prior to the date I execute this Release, including, but not limited to: all such claims and demands directly or indirectly arising out of or in any way connected with my employment with the Company or the termination of that employment, including, but not limited to, claims of intentional and negligent infliction of emotional distress, any and all tort claims for personal injury, claims or demands related to salary, bonuses, commissions, stock, stock options, or any other ownership interests in the Company, vacation pay, fringe benefits, expense reimbursements, severance pay, or any other form of compensation; and claims pursuant to any federal, state or local law or cause of action including, but not limited to, the federal Civil Rights Act of 1964, as amended, the federal Employee Retirement Income Security Act of 1974, as amended, the federal Americans with Disabilities Act of 1990,the California Fair Employment and Housing Act, as amended, the New York City Human Rights Law, as amended, the Massachusetts Fair Employment Practices Law, as amended, the South Carolina Human Affairs Law, as amended, tort law, contract law, wrongful discharge, discrimination, fraud, defamation, emotional distress, and breach of the implied covenant of good faith and fair dealing; provided, however, that nothing in this paragraph shall be construed in any way to (1) release the Company from its obligation to indemnify me pursuant to the Company’s indemnification obligation pursuant to written agreement or applicable law; (2) release any claim by me against the Company relating to the validity or enforceability of this release or the Agreement; (3) prohibit me from exercising any non-waivable right to file a charge with the United States Equal Employment Opportunity Commission (“</w:t>
      </w:r>
      <w:r>
        <w:rPr>
          <w:rFonts w:ascii="Times New Roman" w:hAnsi="Times New Roman"/>
          <w:b/>
          <w:i/>
          <w:color w:val="000000"/>
          <w:sz w:val="22"/>
        </w:rPr>
        <w:t>EEOC</w:t>
      </w:r>
      <w:r>
        <w:rPr>
          <w:rFonts w:ascii="Times New Roman" w:hAnsi="Times New Roman"/>
          <w:color w:val="000000"/>
          <w:sz w:val="20"/>
        </w:rPr>
        <w:t>”</w:t>
      </w:r>
      <w:r>
        <w:rPr>
          <w:rFonts w:ascii="Times New Roman" w:hAnsi="Times New Roman"/>
          <w:color w:val="000000"/>
          <w:sz w:val="22"/>
        </w:rPr>
        <w:t>), the National Labor Relations Board (“</w:t>
      </w:r>
      <w:r>
        <w:rPr>
          <w:rFonts w:ascii="Times New Roman" w:hAnsi="Times New Roman"/>
          <w:b/>
          <w:i/>
          <w:color w:val="000000"/>
          <w:sz w:val="22"/>
        </w:rPr>
        <w:t>NLRB</w:t>
      </w:r>
      <w:r>
        <w:rPr>
          <w:rFonts w:ascii="Times New Roman" w:hAnsi="Times New Roman"/>
          <w:color w:val="000000"/>
          <w:sz w:val="20"/>
        </w:rPr>
        <w:t>”</w:t>
      </w:r>
      <w:r>
        <w:rPr>
          <w:rFonts w:ascii="Times New Roman" w:hAnsi="Times New Roman"/>
          <w:color w:val="000000"/>
          <w:sz w:val="22"/>
        </w:rPr>
        <w:t>), or any other government agency (provided, however, that I shall not be entitled to recover any monetary damages or to obtain non- monetary relief if the agency were to pursue any claims relating to my employment with the Company).</w:t>
      </w:r>
    </w:p>
    <w:p>
      <w:pPr>
        <w:pStyle w:val="TextBody"/>
        <w:bidi w:val="0"/>
        <w:spacing w:before="179" w:after="283"/>
        <w:jc w:val="both"/>
        <w:rPr>
          <w:rFonts w:ascii="Times New Roman" w:hAnsi="Times New Roman"/>
          <w:color w:val="000000"/>
          <w:sz w:val="22"/>
        </w:rPr>
      </w:pPr>
      <w:r>
        <w:rPr>
          <w:rFonts w:ascii="Times New Roman" w:hAnsi="Times New Roman"/>
          <w:color w:val="000000"/>
          <w:sz w:val="22"/>
        </w:rPr>
        <w:t>I acknowledge that the consideration given under the Agreement for the waiver and release in the preceding paragraph hereof is in addition to anything of value to which I was already entitled. I further acknowledge that I have been advised by this writing that: (A) my waiver and release do not apply to any rights or claims that may arise on or after the date I execute this Release; (B) I have the right to consult with an attorney prior to executing this Release; and (C) I have twenty-one (21) days to consider this Release (although I may choose to voluntarily execute this Release earlier).</w:t>
      </w:r>
    </w:p>
    <w:p>
      <w:pPr>
        <w:pStyle w:val="TextBody"/>
        <w:bidi w:val="0"/>
        <w:spacing w:before="182" w:after="283"/>
        <w:jc w:val="both"/>
        <w:rPr>
          <w:rFonts w:ascii="Times New Roman" w:hAnsi="Times New Roman"/>
          <w:color w:val="000000"/>
          <w:sz w:val="22"/>
        </w:rPr>
      </w:pPr>
      <w:r>
        <w:rPr>
          <w:rFonts w:ascii="Times New Roman" w:hAnsi="Times New Roman"/>
          <w:color w:val="000000"/>
          <w:sz w:val="22"/>
        </w:rPr>
        <w:t>I hereby represent that I have been paid all compensation owed and for all hours worked, I have received all the leave and leave benefits and protections for which I am eligible, pursuant to the federal Family and Medical Leave Act, any Company policy or applicable law, and I have not suffered any on- the-job injury or illness for which I have not already filed a workers’ compensation claim.</w:t>
      </w:r>
    </w:p>
    <w:p>
      <w:pPr>
        <w:pStyle w:val="TextBody"/>
        <w:bidi w:val="0"/>
        <w:spacing w:before="73" w:after="283"/>
        <w:jc w:val="both"/>
        <w:rPr>
          <w:rFonts w:ascii="Times New Roman" w:hAnsi="Times New Roman"/>
          <w:sz w:val="20"/>
        </w:rPr>
      </w:pPr>
      <w:r>
        <w:rPr>
          <w:rFonts w:ascii="Times New Roman" w:hAnsi="Times New Roman"/>
          <w:color w:val="000000"/>
          <w:sz w:val="22"/>
        </w:rPr>
        <w:t>I agree that I will not make any disparaging statements regarding the Company or its officers, directors, shareholders, members, agents or products jointly or severally. The foregoing shall not be violated by truthful statements in response to legal process, required governmental testimony or filings, or administrative or arbitral proceedings (including, without limitation, depositions in connection with such</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3" w:after="283"/>
        <w:jc w:val="both"/>
        <w:rPr>
          <w:rFonts w:ascii="Times New Roman" w:hAnsi="Times New Roman"/>
          <w:color w:val="000000"/>
          <w:sz w:val="22"/>
        </w:rPr>
      </w:pPr>
      <w:r>
        <w:rPr>
          <w:rFonts w:ascii="Times New Roman" w:hAnsi="Times New Roman"/>
          <w:color w:val="000000"/>
          <w:sz w:val="22"/>
        </w:rPr>
        <w:t>proceedings).</w:t>
      </w:r>
    </w:p>
    <w:p>
      <w:pPr>
        <w:pStyle w:val="TextBody"/>
        <w:bidi w:val="0"/>
        <w:jc w:val="left"/>
        <w:rPr/>
      </w:pPr>
      <w:r>
        <w:rPr/>
        <w:t> </w:t>
      </w:r>
    </w:p>
    <w:p>
      <w:pPr>
        <w:pStyle w:val="TextBody"/>
        <w:bidi w:val="0"/>
        <w:spacing w:before="4" w:after="283"/>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EXECUTIVE:</w:t>
      </w:r>
    </w:p>
    <w:p>
      <w:pPr>
        <w:pStyle w:val="TextBody"/>
        <w:bidi w:val="0"/>
        <w:jc w:val="left"/>
        <w:rPr/>
      </w:pPr>
      <w:r>
        <w:rPr/>
        <w:t> </w:t>
      </w:r>
    </w:p>
    <w:p>
      <w:pPr>
        <w:pStyle w:val="TextBody"/>
        <w:bidi w:val="0"/>
        <w:spacing w:before="9" w:after="283"/>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Signature</w:t>
      </w:r>
    </w:p>
    <w:p>
      <w:pPr>
        <w:pStyle w:val="TextBody"/>
        <w:bidi w:val="0"/>
        <w:jc w:val="left"/>
        <w:rPr/>
      </w:pPr>
      <w:r>
        <w:rPr/>
        <w:t> </w:t>
      </w:r>
    </w:p>
    <w:p>
      <w:pPr>
        <w:pStyle w:val="TextBody"/>
        <w:bidi w:val="0"/>
        <w:spacing w:before="6" w:after="283"/>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Printed Name</w:t>
      </w:r>
    </w:p>
    <w:p>
      <w:pPr>
        <w:pStyle w:val="TextBody"/>
        <w:bidi w:val="0"/>
        <w:jc w:val="left"/>
        <w:rPr/>
      </w:pPr>
      <w:r>
        <w:rPr/>
        <w:t> </w:t>
      </w:r>
    </w:p>
    <w:p>
      <w:pPr>
        <w:pStyle w:val="TextBody"/>
        <w:bidi w:val="0"/>
        <w:spacing w:before="10" w:after="283"/>
        <w:jc w:val="left"/>
        <w:rPr/>
      </w:pPr>
      <w:r>
        <w:rPr/>
        <w:t> </w:t>
      </w:r>
    </w:p>
    <w:p>
      <w:pPr>
        <w:pStyle w:val="TextBody"/>
        <w:bidi w:val="0"/>
        <w:spacing w:before="1" w:after="283"/>
        <w:jc w:val="left"/>
        <w:rPr>
          <w:rFonts w:ascii="Times New Roman" w:hAnsi="Times New Roman"/>
          <w:color w:val="000000"/>
          <w:sz w:val="22"/>
        </w:rPr>
      </w:pPr>
      <w:r>
        <w:rPr>
          <w:rFonts w:ascii="Times New Roman" w:hAnsi="Times New Roman"/>
          <w:color w:val="000000"/>
          <w:sz w:val="22"/>
        </w:rPr>
        <w:t xml:space="preserve">Date: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9" w:after="283"/>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B-2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8" w:after="283"/>
        <w:jc w:val="center"/>
        <w:rPr>
          <w:rFonts w:ascii="Times New Roman" w:hAnsi="Times New Roman"/>
          <w:b/>
          <w:color w:val="000000"/>
          <w:sz w:val="22"/>
        </w:rPr>
      </w:pPr>
      <w:r>
        <w:rPr>
          <w:rFonts w:ascii="Times New Roman" w:hAnsi="Times New Roman"/>
          <w:b/>
          <w:color w:val="000000"/>
          <w:sz w:val="22"/>
        </w:rPr>
        <w:t>EXHIBIT C</w:t>
      </w:r>
    </w:p>
    <w:p>
      <w:pPr>
        <w:pStyle w:val="TextBody"/>
        <w:bidi w:val="0"/>
        <w:spacing w:before="1" w:after="283"/>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RELEASE</w:t>
      </w:r>
    </w:p>
    <w:p>
      <w:pPr>
        <w:pStyle w:val="TextBody"/>
        <w:bidi w:val="0"/>
        <w:spacing w:before="179" w:after="283"/>
        <w:jc w:val="center"/>
        <w:rPr>
          <w:rFonts w:ascii="Times New Roman" w:hAnsi="Times New Roman"/>
          <w:b/>
          <w:color w:val="000000"/>
          <w:sz w:val="22"/>
        </w:rPr>
      </w:pPr>
      <w:r>
        <w:rPr>
          <w:rFonts w:ascii="Times New Roman" w:hAnsi="Times New Roman"/>
          <w:b/>
          <w:color w:val="000000"/>
          <w:sz w:val="22"/>
        </w:rPr>
        <w:t>(GROUP TERMINATION - AGE 40 OR OLDER)</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2"/>
        </w:rPr>
        <w:t>Certain capitalized terms used in this Release are defined in the Executive Employment Agreement (the “</w:t>
      </w:r>
      <w:r>
        <w:rPr>
          <w:rFonts w:ascii="Times New Roman" w:hAnsi="Times New Roman"/>
          <w:b/>
          <w:i/>
          <w:color w:val="000000"/>
          <w:sz w:val="22"/>
        </w:rPr>
        <w:t>Agreement</w:t>
      </w:r>
      <w:r>
        <w:rPr>
          <w:rFonts w:ascii="Times New Roman" w:hAnsi="Times New Roman"/>
          <w:color w:val="000000"/>
          <w:sz w:val="20"/>
        </w:rPr>
        <w:t>”</w:t>
      </w:r>
      <w:r>
        <w:rPr>
          <w:rFonts w:ascii="Times New Roman" w:hAnsi="Times New Roman"/>
          <w:color w:val="000000"/>
          <w:sz w:val="22"/>
        </w:rPr>
        <w:t>) which I have executed and of which this Release is a part.</w:t>
      </w:r>
    </w:p>
    <w:p>
      <w:pPr>
        <w:pStyle w:val="TextBody"/>
        <w:bidi w:val="0"/>
        <w:spacing w:before="178" w:after="283"/>
        <w:jc w:val="both"/>
        <w:rPr>
          <w:rFonts w:ascii="Times New Roman" w:hAnsi="Times New Roman"/>
          <w:color w:val="000000"/>
          <w:sz w:val="22"/>
        </w:rPr>
      </w:pPr>
      <w:r>
        <w:rPr>
          <w:rFonts w:ascii="Times New Roman" w:hAnsi="Times New Roman"/>
          <w:color w:val="000000"/>
          <w:sz w:val="22"/>
        </w:rPr>
        <w:t>I hereby confirm my obligations under the Confidentiality Agreement (or other comparable agreement that I have signed, if any).</w:t>
      </w:r>
    </w:p>
    <w:p>
      <w:pPr>
        <w:pStyle w:val="TextBody"/>
        <w:bidi w:val="0"/>
        <w:spacing w:before="180" w:after="283"/>
        <w:jc w:val="both"/>
        <w:rPr>
          <w:rFonts w:ascii="Times New Roman" w:hAnsi="Times New Roman"/>
          <w:sz w:val="20"/>
        </w:rPr>
      </w:pPr>
      <w:r>
        <w:rPr>
          <w:rFonts w:ascii="Times New Roman" w:hAnsi="Times New Roman"/>
          <w:color w:val="000000"/>
          <w:sz w:val="22"/>
        </w:rPr>
        <w:t>Except as otherwise set forth in this Release, I hereby release, acquit and forever discharge the Company, its parents and subsidiaries, and their officers, directors, agents, servants, employees, shareholders, successors, assigns and affiliates, of and from any and all claims, liabilities, demands, causes of action, costs, expenses, attorneys’ fees, damages, indemnities and obligations of every kind and nature, in law, equity or otherwise, known and unknown, suspected and unsuspected, disclosed and undisclosed (other than any claim for indemnification I may have as a result of any third party action against me based on my employment with the Company), arising out of or in any way related to agreements, events, acts or conduct at any time prior to the date I execute this Release, including, but not limited to: all such claims and demands directly or indirectly arising out of or in any way connected with my employment with the Company or the termination of that employment, including, but not limited to, claims of intentional and negligent infliction of emotional distress, any and all tort claims for personal injury, claims or demands related to salary, bonuses, commissions, stock, stock options, or any other ownership interests in the Company, vacation pay, fringe benefits, expense reimbursements, severance pay, or any other form of compensation; and claims pursuant to any federal, state or local law or cause of action including, but not limited to, the federal Civil Rights Act of 1964, as amended, the federal Age Discrimination in Employment Act of 1967, as amended (“</w:t>
      </w:r>
      <w:r>
        <w:rPr>
          <w:rFonts w:ascii="Times New Roman" w:hAnsi="Times New Roman"/>
          <w:b/>
          <w:i/>
          <w:color w:val="000000"/>
          <w:sz w:val="22"/>
        </w:rPr>
        <w:t>ADEA</w:t>
      </w:r>
      <w:r>
        <w:rPr>
          <w:rFonts w:ascii="Times New Roman" w:hAnsi="Times New Roman"/>
          <w:color w:val="000000"/>
          <w:sz w:val="20"/>
        </w:rPr>
        <w:t>”</w:t>
      </w:r>
      <w:r>
        <w:rPr>
          <w:rFonts w:ascii="Times New Roman" w:hAnsi="Times New Roman"/>
          <w:color w:val="000000"/>
          <w:sz w:val="22"/>
        </w:rPr>
        <w:t>), the federal Employee Retirement Income Security Act of 1974, as amended, the federal Americans with Disabilities Act of 1990,the California Fair Employment and Housing Act, as amended, the New York City Human Rights Law, as amended, the Massachusetts Fair Employment Practices Law, as amended, the South Carolina Human Affairs Law, as amended, tort law, contract law, wrongful discharge, discrimination, fraud, defamation, emotional distress, and breach of the implied covenant of good faith and fair dealing; provided, however, that nothing in this paragraph shall be construed in any way to (1) release the Company from its obligation to indemnify me pursuant to the Company’s indemnification obligation pursuant to written agreement or applicable law; (2) release any claim by me against the Company relating to the validity or enforceability of this release or the Agreement; (3) prohibit me from exercising any non-waivable right to file a charge with the United States Equal Employment Opportunity Commission (“</w:t>
      </w:r>
      <w:r>
        <w:rPr>
          <w:rFonts w:ascii="Times New Roman" w:hAnsi="Times New Roman"/>
          <w:b/>
          <w:i/>
          <w:color w:val="000000"/>
          <w:sz w:val="22"/>
        </w:rPr>
        <w:t>EEOC</w:t>
      </w:r>
      <w:r>
        <w:rPr>
          <w:rFonts w:ascii="Times New Roman" w:hAnsi="Times New Roman"/>
          <w:color w:val="000000"/>
          <w:sz w:val="20"/>
        </w:rPr>
        <w:t>”</w:t>
      </w:r>
      <w:r>
        <w:rPr>
          <w:rFonts w:ascii="Times New Roman" w:hAnsi="Times New Roman"/>
          <w:color w:val="000000"/>
          <w:sz w:val="22"/>
        </w:rPr>
        <w:t>), the National Labor Relations Board (“</w:t>
      </w:r>
      <w:r>
        <w:rPr>
          <w:rFonts w:ascii="Times New Roman" w:hAnsi="Times New Roman"/>
          <w:b/>
          <w:i/>
          <w:color w:val="000000"/>
          <w:sz w:val="22"/>
        </w:rPr>
        <w:t>NLRB</w:t>
      </w:r>
      <w:r>
        <w:rPr>
          <w:rFonts w:ascii="Times New Roman" w:hAnsi="Times New Roman"/>
          <w:color w:val="000000"/>
          <w:sz w:val="20"/>
        </w:rPr>
        <w:t>”</w:t>
      </w:r>
      <w:r>
        <w:rPr>
          <w:rFonts w:ascii="Times New Roman" w:hAnsi="Times New Roman"/>
          <w:color w:val="000000"/>
          <w:sz w:val="22"/>
        </w:rPr>
        <w:t>), or any other government agency (provided, however, that I shall not be entitled to recover any monetary damages or to obtain non-monetary relief if the agency were to pursue any claims relating to my employment with the Company).</w:t>
      </w:r>
    </w:p>
    <w:p>
      <w:pPr>
        <w:pStyle w:val="TextBody"/>
        <w:bidi w:val="0"/>
        <w:spacing w:before="181" w:after="283"/>
        <w:jc w:val="both"/>
        <w:rPr>
          <w:rFonts w:ascii="Times New Roman" w:hAnsi="Times New Roman"/>
          <w:sz w:val="20"/>
        </w:rPr>
      </w:pPr>
      <w:r>
        <w:rPr>
          <w:rFonts w:ascii="Times New Roman" w:hAnsi="Times New Roman"/>
          <w:color w:val="000000"/>
          <w:sz w:val="22"/>
        </w:rPr>
        <w:t>I acknowledge that I am knowingly and voluntarily waiving and releasing any rights I may have to assert claims for age discrimination under applicable law, including under the ADEA. I also acknowledge that the consideration given under the Agreement for the waiver and release in the preceding paragraph hereof is in addition to anything of value to which I was already entitled. I further acknowledge that I have been advised by this writing, as required by the ADEA, that: (A) my waiver and release do not apply to any rights or claims that may arise on or after the date I execute this Release; (B) I have the right to consult with an attorney prior to executing this Release; (C) I have forty-five (45) days to consider this Release (although I may choose to voluntarily execute this Release earlier); (D) I have seven (7) days following my execution of this Release to revoke the Release by providing a written notice of revocation to the</w:t>
      </w:r>
      <w:r>
        <w:rPr>
          <w:rFonts w:ascii="Times New Roman" w:hAnsi="Times New Roman"/>
          <w:color w:val="000000"/>
          <w:sz w:val="20"/>
        </w:rPr>
        <w:t xml:space="preserve"> </w:t>
      </w:r>
    </w:p>
    <w:p>
      <w:pPr>
        <w:pStyle w:val="TextBody"/>
        <w:bidi w:val="0"/>
        <w:jc w:val="left"/>
        <w:rPr/>
      </w:pPr>
      <w:r>
        <w:rPr/>
        <w:t> </w:t>
      </w:r>
    </w:p>
    <w:p>
      <w:pPr>
        <w:pStyle w:val="TextBody"/>
        <w:bidi w:val="0"/>
        <w:spacing w:before="11" w:after="283"/>
        <w:ind w:left="20" w:right="0" w:hanging="0"/>
        <w:jc w:val="left"/>
        <w:rPr>
          <w:rFonts w:ascii="Times New Roman" w:hAnsi="Times New Roman"/>
          <w:color w:val="000000"/>
          <w:sz w:val="22"/>
        </w:rPr>
      </w:pPr>
      <w:r>
        <w:rPr>
          <w:rFonts w:ascii="Times New Roman" w:hAnsi="Times New Roman"/>
          <w:color w:val="000000"/>
          <w:sz w:val="22"/>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1" w:after="283"/>
        <w:jc w:val="both"/>
        <w:rPr>
          <w:rFonts w:ascii="Times New Roman" w:hAnsi="Times New Roman"/>
          <w:color w:val="000000"/>
          <w:sz w:val="22"/>
        </w:rPr>
      </w:pPr>
      <w:r>
        <w:rPr>
          <w:rFonts w:ascii="Times New Roman" w:hAnsi="Times New Roman"/>
          <w:color w:val="000000"/>
          <w:sz w:val="22"/>
        </w:rPr>
        <w:t>Company’s Chief Executive Officer; (E) this Release shall not be effective until the date upon which the revocation period has expired, which shall be the eighth day (8th) after I execute this Release; and (F) I have received with this Release the required written disclosure for a “group termination” under the ADEA, including a detailed list of the job titles and ages of all employees who were terminated in this group termination and the ages of all employees of the Company in the same job classification or organizational unit who were not terminated.</w:t>
      </w:r>
    </w:p>
    <w:p>
      <w:pPr>
        <w:pStyle w:val="TextBody"/>
        <w:bidi w:val="0"/>
        <w:spacing w:before="179" w:after="283"/>
        <w:jc w:val="both"/>
        <w:rPr>
          <w:rFonts w:ascii="Times New Roman" w:hAnsi="Times New Roman"/>
          <w:color w:val="000000"/>
          <w:sz w:val="22"/>
        </w:rPr>
      </w:pPr>
      <w:r>
        <w:rPr>
          <w:rFonts w:ascii="Times New Roman" w:hAnsi="Times New Roman"/>
          <w:color w:val="000000"/>
          <w:sz w:val="22"/>
        </w:rPr>
        <w:t>I hereby represent that I have been paid all compensation owed and for all hours worked, I have received all the leave and leave benefits and protections for which I am eligible, pursuant to the federal Family and Medical Leave Act, any Company policy or applicable law, and I have not suffered any on- the-job injury or illness for which I have not already filed a workers’ compensation claim.</w:t>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I agree that I will not engage in any conduct that is injurious to the reputation of the Company or its parents, subsidiaries and affiliates, including but not limited to disparagement of the Company, its officers, Board members, employees and shareholders. The foregoing shall not be violated by a statement made in a deposition, trial or administrative proceeding in response to legal process; by any statement made to a government agency; or whenever I make any statement to a court, administrative tribunal or government agency as required by law.</w:t>
      </w:r>
    </w:p>
    <w:p>
      <w:pPr>
        <w:pStyle w:val="TextBody"/>
        <w:bidi w:val="0"/>
        <w:spacing w:before="6" w:after="283"/>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EXECUTIVE:</w:t>
      </w:r>
    </w:p>
    <w:p>
      <w:pPr>
        <w:pStyle w:val="TextBody"/>
        <w:bidi w:val="0"/>
        <w:jc w:val="left"/>
        <w:rPr/>
      </w:pPr>
      <w:r>
        <w:rPr/>
        <w:t> </w:t>
      </w:r>
    </w:p>
    <w:p>
      <w:pPr>
        <w:pStyle w:val="TextBody"/>
        <w:bidi w:val="0"/>
        <w:spacing w:before="9" w:after="283"/>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Signature</w:t>
      </w:r>
    </w:p>
    <w:p>
      <w:pPr>
        <w:pStyle w:val="TextBody"/>
        <w:bidi w:val="0"/>
        <w:jc w:val="left"/>
        <w:rPr/>
      </w:pPr>
      <w:r>
        <w:rPr/>
        <w:t> </w:t>
      </w:r>
    </w:p>
    <w:p>
      <w:pPr>
        <w:pStyle w:val="TextBody"/>
        <w:bidi w:val="0"/>
        <w:spacing w:before="6" w:after="283"/>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Printed Name</w:t>
      </w:r>
    </w:p>
    <w:p>
      <w:pPr>
        <w:pStyle w:val="TextBody"/>
        <w:bidi w:val="0"/>
        <w:jc w:val="left"/>
        <w:rPr/>
      </w:pPr>
      <w:r>
        <w:rPr/>
        <w:t> </w:t>
      </w:r>
    </w:p>
    <w:p>
      <w:pPr>
        <w:pStyle w:val="TextBody"/>
        <w:bidi w:val="0"/>
        <w:spacing w:before="1" w:after="283"/>
        <w:jc w:val="left"/>
        <w:rPr/>
      </w:pPr>
      <w:r>
        <w:rPr/>
        <w:t> </w:t>
      </w:r>
    </w:p>
    <w:p>
      <w:pPr>
        <w:pStyle w:val="TextBody"/>
        <w:bidi w:val="0"/>
        <w:spacing w:before="1" w:after="283"/>
        <w:jc w:val="left"/>
        <w:rPr>
          <w:rFonts w:ascii="Times New Roman" w:hAnsi="Times New Roman"/>
          <w:color w:val="000000"/>
          <w:sz w:val="22"/>
        </w:rPr>
      </w:pPr>
      <w:r>
        <w:rPr>
          <w:rFonts w:ascii="Times New Roman" w:hAnsi="Times New Roman"/>
          <w:color w:val="000000"/>
          <w:sz w:val="22"/>
        </w:rPr>
        <w:t xml:space="preserve">Date: </w:t>
      </w:r>
    </w:p>
    <w:p>
      <w:pPr>
        <w:pStyle w:val="TextBody"/>
        <w:bidi w:val="0"/>
        <w:jc w:val="left"/>
        <w:rPr/>
      </w:pPr>
      <w:r>
        <w:rPr/>
        <w:t> </w:t>
      </w:r>
    </w:p>
    <w:p>
      <w:pPr>
        <w:pStyle w:val="TextBody"/>
        <w:bidi w:val="0"/>
        <w:spacing w:before="11" w:after="283"/>
        <w:ind w:left="20" w:right="0" w:hanging="0"/>
        <w:jc w:val="left"/>
        <w:rPr>
          <w:rFonts w:ascii="Times New Roman" w:hAnsi="Times New Roman"/>
          <w:color w:val="000000"/>
          <w:sz w:val="22"/>
        </w:rPr>
      </w:pPr>
      <w:r>
        <w:rPr>
          <w:rFonts w:ascii="Times New Roman" w:hAnsi="Times New Roman"/>
          <w:color w:val="000000"/>
          <w:sz w:val="22"/>
        </w:rPr>
        <w:t>22</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2"/>
        </w:rPr>
      </w:pPr>
      <w:bookmarkStart w:id="47" w:name="sndx-ex10_23.htm"/>
      <w:bookmarkStart w:id="48" w:name="kssndxex10_23"/>
      <w:bookmarkEnd w:id="47"/>
      <w:bookmarkEnd w:id="48"/>
      <w:r>
        <w:rPr>
          <w:rFonts w:ascii="Times New Roman" w:hAnsi="Times New Roman"/>
          <w:color w:val="000000"/>
          <w:sz w:val="22"/>
        </w:rPr>
        <w:t>Exhibit 10.23</w:t>
      </w:r>
      <w:r>
        <w:br w:type="page"/>
      </w:r>
    </w:p>
    <w:p>
      <w:pPr>
        <w:pStyle w:val="TextBody"/>
        <w:bidi w:val="0"/>
        <w:jc w:val="center"/>
        <w:rPr>
          <w:rFonts w:ascii="Times New Roman" w:hAnsi="Times New Roman"/>
          <w:b/>
          <w:color w:val="000000"/>
          <w:sz w:val="22"/>
        </w:rPr>
      </w:pPr>
      <w:r>
        <w:rPr>
          <w:rFonts w:ascii="Times New Roman" w:hAnsi="Times New Roman"/>
          <w:b/>
          <w:color w:val="000000"/>
          <w:sz w:val="22"/>
        </w:rPr>
        <w:t>AMENDMENT TO AMENDED AND RESTATED</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EXECUTIVE EMPLOYMENT AGREEMENT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This </w:t>
      </w:r>
      <w:r>
        <w:rPr>
          <w:rFonts w:ascii="Times New Roman" w:hAnsi="Times New Roman"/>
          <w:b/>
          <w:color w:val="000000"/>
          <w:sz w:val="22"/>
        </w:rPr>
        <w:t>AMENDMENT TO AMENDED AND RESTATED EXECUTIVE EMPLOYMENT AGREEMENT</w:t>
      </w:r>
      <w:r>
        <w:rPr>
          <w:rFonts w:ascii="Times New Roman" w:hAnsi="Times New Roman"/>
          <w:color w:val="000000"/>
          <w:sz w:val="20"/>
        </w:rPr>
        <w:t xml:space="preserve"> </w:t>
      </w:r>
      <w:r>
        <w:rPr>
          <w:rFonts w:ascii="Times New Roman" w:hAnsi="Times New Roman"/>
          <w:color w:val="000000"/>
          <w:sz w:val="22"/>
        </w:rPr>
        <w:t>(this “</w:t>
      </w:r>
      <w:r>
        <w:rPr>
          <w:rFonts w:ascii="Times New Roman" w:hAnsi="Times New Roman"/>
          <w:b/>
          <w:i/>
          <w:color w:val="000000"/>
          <w:sz w:val="22"/>
        </w:rPr>
        <w:t>Amendment</w:t>
      </w:r>
      <w:r>
        <w:rPr>
          <w:rFonts w:ascii="Times New Roman" w:hAnsi="Times New Roman"/>
          <w:color w:val="000000"/>
          <w:sz w:val="20"/>
        </w:rPr>
        <w:t>”</w:t>
      </w:r>
      <w:r>
        <w:rPr>
          <w:rFonts w:ascii="Times New Roman" w:hAnsi="Times New Roman"/>
          <w:color w:val="000000"/>
          <w:sz w:val="22"/>
        </w:rPr>
        <w:t>) is entered into as of the 26</w:t>
      </w:r>
      <w:r>
        <w:rPr>
          <w:rFonts w:ascii="Times New Roman" w:hAnsi="Times New Roman"/>
          <w:color w:val="000000"/>
          <w:sz w:val="15"/>
        </w:rPr>
        <w:t xml:space="preserve">th </w:t>
      </w:r>
      <w:r>
        <w:rPr>
          <w:rFonts w:ascii="Times New Roman" w:hAnsi="Times New Roman"/>
          <w:color w:val="000000"/>
          <w:sz w:val="22"/>
        </w:rPr>
        <w:t>day of February, 2024 (the “</w:t>
      </w:r>
      <w:r>
        <w:rPr>
          <w:rFonts w:ascii="Times New Roman" w:hAnsi="Times New Roman"/>
          <w:b/>
          <w:i/>
          <w:color w:val="000000"/>
          <w:sz w:val="22"/>
        </w:rPr>
        <w:t>Execution Date</w:t>
      </w:r>
      <w:r>
        <w:rPr>
          <w:rFonts w:ascii="Times New Roman" w:hAnsi="Times New Roman"/>
          <w:color w:val="000000"/>
          <w:sz w:val="20"/>
        </w:rPr>
        <w:t>”</w:t>
      </w:r>
      <w:r>
        <w:rPr>
          <w:rFonts w:ascii="Times New Roman" w:hAnsi="Times New Roman"/>
          <w:color w:val="000000"/>
          <w:sz w:val="22"/>
        </w:rPr>
        <w:t xml:space="preserve">), between </w:t>
      </w:r>
      <w:r>
        <w:rPr>
          <w:rFonts w:ascii="Times New Roman" w:hAnsi="Times New Roman"/>
          <w:b/>
          <w:color w:val="000000"/>
          <w:sz w:val="22"/>
        </w:rPr>
        <w:t xml:space="preserve">LUKE J. ALBRECHT </w:t>
      </w:r>
      <w:r>
        <w:rPr>
          <w:rFonts w:ascii="Times New Roman" w:hAnsi="Times New Roman"/>
          <w:color w:val="000000"/>
          <w:sz w:val="22"/>
        </w:rPr>
        <w:t>(“</w:t>
      </w:r>
      <w:r>
        <w:rPr>
          <w:rFonts w:ascii="Times New Roman" w:hAnsi="Times New Roman"/>
          <w:b/>
          <w:i/>
          <w:color w:val="000000"/>
          <w:sz w:val="22"/>
        </w:rPr>
        <w:t>Executive</w:t>
      </w:r>
      <w:r>
        <w:rPr>
          <w:rFonts w:ascii="Times New Roman" w:hAnsi="Times New Roman"/>
          <w:color w:val="000000"/>
          <w:sz w:val="20"/>
        </w:rPr>
        <w:t>”</w:t>
      </w:r>
      <w:r>
        <w:rPr>
          <w:rFonts w:ascii="Times New Roman" w:hAnsi="Times New Roman"/>
          <w:color w:val="000000"/>
          <w:sz w:val="22"/>
        </w:rPr>
        <w:t xml:space="preserve">) and </w:t>
      </w:r>
      <w:r>
        <w:rPr>
          <w:rFonts w:ascii="Times New Roman" w:hAnsi="Times New Roman"/>
          <w:b/>
          <w:caps/>
          <w:color w:val="000000"/>
          <w:sz w:val="22"/>
        </w:rPr>
        <w:t>Syndax Pharmaceuticals, Inc.</w:t>
      </w:r>
      <w:r>
        <w:rPr>
          <w:rFonts w:ascii="Times New Roman" w:hAnsi="Times New Roman"/>
          <w:color w:val="000000"/>
          <w:sz w:val="20"/>
        </w:rPr>
        <w:t xml:space="preserve"> </w:t>
      </w:r>
      <w:r>
        <w:rPr>
          <w:rFonts w:ascii="Times New Roman" w:hAnsi="Times New Roman"/>
          <w:color w:val="000000"/>
          <w:sz w:val="22"/>
        </w:rPr>
        <w:t>(the “</w:t>
      </w:r>
      <w:r>
        <w:rPr>
          <w:rFonts w:ascii="Times New Roman" w:hAnsi="Times New Roman"/>
          <w:b/>
          <w:i/>
          <w:color w:val="000000"/>
          <w:sz w:val="22"/>
        </w:rPr>
        <w:t>Company</w:t>
      </w:r>
      <w:r>
        <w:rPr>
          <w:rFonts w:ascii="Times New Roman" w:hAnsi="Times New Roman"/>
          <w:color w:val="000000"/>
          <w:sz w:val="20"/>
        </w:rPr>
        <w:t>”</w:t>
      </w:r>
      <w:r>
        <w:rPr>
          <w:rFonts w:ascii="Times New Roman" w:hAnsi="Times New Roman"/>
          <w:color w:val="000000"/>
          <w:sz w:val="22"/>
        </w:rPr>
        <w:t>) and supplements the terms of that certain amended and restated executive employment agreement by and between the Parties, dated as of April 27, 2020 (the “</w:t>
      </w:r>
      <w:r>
        <w:rPr>
          <w:rFonts w:ascii="Times New Roman" w:hAnsi="Times New Roman"/>
          <w:b/>
          <w:i/>
          <w:color w:val="000000"/>
          <w:sz w:val="22"/>
        </w:rPr>
        <w:t>Agreement</w:t>
      </w:r>
      <w:r>
        <w:rPr>
          <w:rFonts w:ascii="Times New Roman" w:hAnsi="Times New Roman"/>
          <w:color w:val="000000"/>
          <w:sz w:val="20"/>
        </w:rPr>
        <w:t>”</w:t>
      </w:r>
      <w:r>
        <w:rPr>
          <w:rFonts w:ascii="Times New Roman" w:hAnsi="Times New Roman"/>
          <w:color w:val="000000"/>
          <w:sz w:val="22"/>
        </w:rPr>
        <w:t>). Capitalized terms used and not otherwise defined herein shall have the meaning ascribed to such terms in the Agreement.</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RECITALS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Company employs Executive as its General Counsel upon the terms and conditions set forth in the Agreement.</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Compensation Committee of the Company’s Board of Directors approved certain changes to terms of Executive’s employment and the parties are entering this Amendment specifying such changes.</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AGREEMENT</w:t>
      </w:r>
    </w:p>
    <w:p>
      <w:pPr>
        <w:pStyle w:val="TextBody"/>
        <w:bidi w:val="0"/>
        <w:spacing w:before="0" w:after="240"/>
        <w:jc w:val="both"/>
        <w:rPr>
          <w:rFonts w:ascii="Times New Roman" w:hAnsi="Times New Roman"/>
          <w:sz w:val="20"/>
        </w:rPr>
      </w:pPr>
      <w:r>
        <w:rPr>
          <w:rFonts w:ascii="Times New Roman" w:hAnsi="Times New Roman"/>
          <w:b/>
          <w:color w:val="000000"/>
          <w:sz w:val="22"/>
        </w:rPr>
        <w:t>NOW, THEREFORE</w:t>
      </w:r>
      <w:r>
        <w:rPr>
          <w:rFonts w:ascii="Times New Roman" w:hAnsi="Times New Roman"/>
          <w:color w:val="000000"/>
          <w:sz w:val="22"/>
        </w:rPr>
        <w:t>, in consideration of the mutual promises contained herein, the Company and Executive agree as follows: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1.1</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Executive’s Target Performance Bonus as set forth in the Agreement is hereby amended to a threshold of up to forty-five percent (45%) of Executive’s Annual Base Salary.</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1.2</w:t>
      </w:r>
    </w:p>
    <w:p>
      <w:pPr>
        <w:pStyle w:val="TextBody"/>
        <w:bidi w:val="0"/>
        <w:spacing w:before="0" w:after="240"/>
        <w:jc w:val="both"/>
        <w:rPr/>
      </w:pPr>
      <w:r>
        <w:rPr>
          <w:color w:val="000000"/>
        </w:rPr>
        <w:t>“</w:t>
      </w:r>
      <w:r>
        <w:rPr>
          <w:rFonts w:ascii="Times New Roman" w:hAnsi="Times New Roman"/>
          <w:b/>
          <w:i/>
          <w:color w:val="000000"/>
          <w:sz w:val="22"/>
        </w:rPr>
        <w:t>Change in Control Benefits Period</w:t>
      </w:r>
      <w:r>
        <w:rPr>
          <w:color w:val="000000"/>
        </w:rPr>
        <w:t xml:space="preserve">” </w:t>
      </w:r>
      <w:r>
        <w:rPr>
          <w:rFonts w:ascii="Times New Roman" w:hAnsi="Times New Roman"/>
          <w:color w:val="000000"/>
          <w:sz w:val="22"/>
        </w:rPr>
        <w:t>means the period of eighteen (18) months commencing on the Termination Date.</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1.3</w:t>
      </w:r>
    </w:p>
    <w:p>
      <w:pPr>
        <w:pStyle w:val="TextBody"/>
        <w:bidi w:val="0"/>
        <w:spacing w:before="0" w:after="240"/>
        <w:jc w:val="both"/>
        <w:rPr/>
      </w:pPr>
      <w:r>
        <w:rPr>
          <w:color w:val="000000"/>
        </w:rPr>
        <w:t>“</w:t>
      </w:r>
      <w:r>
        <w:rPr>
          <w:rFonts w:ascii="Times New Roman" w:hAnsi="Times New Roman"/>
          <w:b/>
          <w:i/>
          <w:color w:val="000000"/>
          <w:sz w:val="22"/>
        </w:rPr>
        <w:t>Change in Control Severance Period</w:t>
      </w:r>
      <w:r>
        <w:rPr>
          <w:color w:val="000000"/>
        </w:rPr>
        <w:t xml:space="preserve">” </w:t>
      </w:r>
      <w:r>
        <w:rPr>
          <w:rFonts w:ascii="Times New Roman" w:hAnsi="Times New Roman"/>
          <w:color w:val="000000"/>
          <w:sz w:val="22"/>
        </w:rPr>
        <w:t>means the period of eighteen (18) months commencing on the Termination Date.</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1.4</w:t>
      </w:r>
    </w:p>
    <w:p>
      <w:pPr>
        <w:pStyle w:val="TextBody"/>
        <w:bidi w:val="0"/>
        <w:spacing w:before="0" w:after="240"/>
        <w:jc w:val="both"/>
        <w:rPr/>
      </w:pPr>
      <w:r>
        <w:rPr>
          <w:rFonts w:ascii="Times New Roman" w:hAnsi="Times New Roman"/>
          <w:b/>
          <w:color w:val="000000"/>
          <w:sz w:val="22"/>
        </w:rPr>
        <w:t>Effectiveness of Agreement</w:t>
      </w:r>
      <w:r>
        <w:rPr>
          <w:rFonts w:ascii="Times New Roman" w:hAnsi="Times New Roman"/>
          <w:color w:val="000000"/>
          <w:sz w:val="22"/>
        </w:rPr>
        <w:t>. This Amendment shall be effective on the Execution Date.</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 * * * *</w:t>
      </w:r>
    </w:p>
    <w:p>
      <w:pPr>
        <w:pStyle w:val="TextBody"/>
        <w:bidi w:val="0"/>
        <w:jc w:val="both"/>
        <w:rPr>
          <w:rFonts w:ascii="Times New Roman" w:hAnsi="Times New Roman"/>
          <w:sz w:val="20"/>
        </w:rPr>
      </w:pPr>
      <w:r>
        <w:rPr>
          <w:rFonts w:ascii="Times New Roman" w:hAnsi="Times New Roman"/>
          <w:b/>
          <w:color w:val="000000"/>
          <w:sz w:val="22"/>
        </w:rPr>
        <w:t>IN WITNESS WHEREOF</w:t>
      </w:r>
      <w:r>
        <w:rPr>
          <w:rFonts w:ascii="Times New Roman" w:hAnsi="Times New Roman"/>
          <w:color w:val="000000"/>
          <w:sz w:val="22"/>
        </w:rPr>
        <w:t>, the parties have executed this Amendment on the Execution Date written above.</w:t>
      </w:r>
      <w:r>
        <w:rPr>
          <w:rFonts w:ascii="Times New Roman" w:hAnsi="Times New Roman"/>
          <w:color w:val="000000"/>
          <w:sz w:val="20"/>
        </w:rPr>
        <w:t xml:space="preserve"> </w:t>
      </w:r>
    </w:p>
    <w:tbl>
      <w:tblPr>
        <w:tblW w:w="9951" w:type="dxa"/>
        <w:jc w:val="left"/>
        <w:tblInd w:w="0" w:type="dxa"/>
        <w:tblLayout w:type="fixed"/>
        <w:tblCellMar>
          <w:top w:w="28" w:type="dxa"/>
          <w:left w:w="28" w:type="dxa"/>
          <w:bottom w:w="28" w:type="dxa"/>
          <w:right w:w="28" w:type="dxa"/>
        </w:tblCellMar>
      </w:tblPr>
      <w:tblGrid>
        <w:gridCol w:w="1764"/>
        <w:gridCol w:w="658"/>
        <w:gridCol w:w="666"/>
        <w:gridCol w:w="895"/>
        <w:gridCol w:w="1687"/>
        <w:gridCol w:w="365"/>
        <w:gridCol w:w="272"/>
        <w:gridCol w:w="146"/>
        <w:gridCol w:w="109"/>
        <w:gridCol w:w="146"/>
        <w:gridCol w:w="109"/>
        <w:gridCol w:w="146"/>
        <w:gridCol w:w="496"/>
        <w:gridCol w:w="781"/>
        <w:gridCol w:w="1711"/>
      </w:tblGrid>
      <w:tr>
        <w:trPr/>
        <w:tc>
          <w:tcPr>
            <w:tcW w:w="1764"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r>
      <w:tr>
        <w:trPr/>
        <w:tc>
          <w:tcPr>
            <w:tcW w:w="1764" w:type="dxa"/>
            <w:tcBorders/>
            <w:vAlign w:val="center"/>
          </w:tcPr>
          <w:p>
            <w:pPr>
              <w:pStyle w:val="TableContents"/>
              <w:bidi w:val="0"/>
              <w:spacing w:before="0" w:after="283"/>
              <w:jc w:val="both"/>
              <w:rPr/>
            </w:pPr>
            <w:r>
              <w:rPr/>
              <w:t> </w:t>
            </w:r>
          </w:p>
        </w:tc>
        <w:tc>
          <w:tcPr>
            <w:tcW w:w="658" w:type="dxa"/>
            <w:tcBorders/>
            <w:vAlign w:val="center"/>
          </w:tcPr>
          <w:p>
            <w:pPr>
              <w:pStyle w:val="TableContents"/>
              <w:bidi w:val="0"/>
              <w:spacing w:before="0" w:after="283"/>
              <w:jc w:val="both"/>
              <w:rPr/>
            </w:pPr>
            <w:r>
              <w:rPr/>
              <w:t> </w:t>
            </w:r>
          </w:p>
        </w:tc>
        <w:tc>
          <w:tcPr>
            <w:tcW w:w="3248" w:type="dxa"/>
            <w:gridSpan w:val="3"/>
            <w:tcBorders/>
            <w:vAlign w:val="center"/>
          </w:tcPr>
          <w:p>
            <w:pPr>
              <w:pStyle w:val="TableContents"/>
              <w:bidi w:val="0"/>
              <w:spacing w:before="0" w:after="283"/>
              <w:jc w:val="both"/>
              <w:rPr/>
            </w:pPr>
            <w:r>
              <w:rPr/>
              <w:t> </w:t>
            </w:r>
          </w:p>
        </w:tc>
        <w:tc>
          <w:tcPr>
            <w:tcW w:w="365" w:type="dxa"/>
            <w:tcBorders/>
            <w:vAlign w:val="center"/>
          </w:tcPr>
          <w:p>
            <w:pPr>
              <w:pStyle w:val="TableContents"/>
              <w:bidi w:val="0"/>
              <w:spacing w:before="0" w:after="283"/>
              <w:jc w:val="both"/>
              <w:rPr/>
            </w:pPr>
            <w:r>
              <w:rPr/>
              <w:t> </w:t>
            </w:r>
          </w:p>
        </w:tc>
        <w:tc>
          <w:tcPr>
            <w:tcW w:w="527" w:type="dxa"/>
            <w:gridSpan w:val="3"/>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255" w:type="dxa"/>
            <w:gridSpan w:val="2"/>
            <w:tcBorders/>
            <w:vAlign w:val="center"/>
          </w:tcPr>
          <w:p>
            <w:pPr>
              <w:pStyle w:val="TableContents"/>
              <w:bidi w:val="0"/>
              <w:spacing w:before="0" w:after="283"/>
              <w:jc w:val="both"/>
              <w:rPr/>
            </w:pPr>
            <w:r>
              <w:rPr/>
              <w:t> </w:t>
            </w:r>
          </w:p>
        </w:tc>
        <w:tc>
          <w:tcPr>
            <w:tcW w:w="496" w:type="dxa"/>
            <w:tcBorders/>
            <w:vAlign w:val="center"/>
          </w:tcPr>
          <w:p>
            <w:pPr>
              <w:pStyle w:val="TableContents"/>
              <w:bidi w:val="0"/>
              <w:spacing w:before="0" w:after="283"/>
              <w:jc w:val="both"/>
              <w:rPr/>
            </w:pPr>
            <w:r>
              <w:rPr/>
              <w:t> </w:t>
            </w:r>
          </w:p>
        </w:tc>
        <w:tc>
          <w:tcPr>
            <w:tcW w:w="2492" w:type="dxa"/>
            <w:gridSpan w:val="2"/>
            <w:tcBorders/>
            <w:vAlign w:val="center"/>
          </w:tcPr>
          <w:p>
            <w:pPr>
              <w:pStyle w:val="TableContents"/>
              <w:bidi w:val="0"/>
              <w:spacing w:before="0" w:after="283"/>
              <w:jc w:val="both"/>
              <w:rPr/>
            </w:pPr>
            <w:r>
              <w:rPr/>
              <w:t> </w:t>
            </w:r>
          </w:p>
        </w:tc>
      </w:tr>
      <w:tr>
        <w:trPr/>
        <w:tc>
          <w:tcPr>
            <w:tcW w:w="5670" w:type="dxa"/>
            <w:gridSpan w:val="5"/>
            <w:tcBorders/>
            <w:vAlign w:val="center"/>
          </w:tcPr>
          <w:p>
            <w:pPr>
              <w:pStyle w:val="TableContents"/>
              <w:bidi w:val="0"/>
              <w:spacing w:before="0" w:after="283"/>
              <w:jc w:val="both"/>
              <w:rPr>
                <w:rFonts w:ascii="Times New Roman" w:hAnsi="Times New Roman"/>
                <w:b/>
                <w:caps/>
                <w:color w:val="000000"/>
                <w:sz w:val="22"/>
              </w:rPr>
            </w:pPr>
            <w:r>
              <w:rPr>
                <w:rFonts w:ascii="Times New Roman" w:hAnsi="Times New Roman"/>
                <w:b/>
                <w:caps/>
                <w:color w:val="000000"/>
                <w:sz w:val="22"/>
              </w:rPr>
              <w:t>Syndax Pharmaceuticals, Inc.</w:t>
            </w:r>
          </w:p>
        </w:tc>
        <w:tc>
          <w:tcPr>
            <w:tcW w:w="365" w:type="dxa"/>
            <w:tcBorders/>
            <w:vAlign w:val="center"/>
          </w:tcPr>
          <w:p>
            <w:pPr>
              <w:pStyle w:val="TableContents"/>
              <w:bidi w:val="0"/>
              <w:spacing w:before="0" w:after="283"/>
              <w:jc w:val="left"/>
              <w:rPr>
                <w:sz w:val="4"/>
                <w:szCs w:val="4"/>
              </w:rPr>
            </w:pPr>
            <w:r>
              <w:rPr>
                <w:sz w:val="4"/>
                <w:szCs w:val="4"/>
              </w:rPr>
            </w:r>
          </w:p>
        </w:tc>
        <w:tc>
          <w:tcPr>
            <w:tcW w:w="527" w:type="dxa"/>
            <w:gridSpan w:val="3"/>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255" w:type="dxa"/>
            <w:gridSpan w:val="2"/>
            <w:tcBorders/>
            <w:vAlign w:val="center"/>
          </w:tcPr>
          <w:p>
            <w:pPr>
              <w:pStyle w:val="TableContents"/>
              <w:bidi w:val="0"/>
              <w:spacing w:before="0" w:after="283"/>
              <w:jc w:val="both"/>
              <w:rPr/>
            </w:pPr>
            <w:r>
              <w:rPr/>
              <w:t> </w:t>
            </w:r>
          </w:p>
        </w:tc>
        <w:tc>
          <w:tcPr>
            <w:tcW w:w="496" w:type="dxa"/>
            <w:tcBorders/>
            <w:vAlign w:val="center"/>
          </w:tcPr>
          <w:p>
            <w:pPr>
              <w:pStyle w:val="TableContents"/>
              <w:bidi w:val="0"/>
              <w:spacing w:before="0" w:after="283"/>
              <w:jc w:val="left"/>
              <w:rPr>
                <w:sz w:val="4"/>
                <w:szCs w:val="4"/>
              </w:rPr>
            </w:pPr>
            <w:r>
              <w:rPr>
                <w:sz w:val="4"/>
                <w:szCs w:val="4"/>
              </w:rPr>
            </w:r>
          </w:p>
        </w:tc>
        <w:tc>
          <w:tcPr>
            <w:tcW w:w="2492" w:type="dxa"/>
            <w:gridSpan w:val="2"/>
            <w:tcBorders/>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EXECUTIVE</w:t>
            </w:r>
          </w:p>
        </w:tc>
      </w:tr>
      <w:tr>
        <w:trPr/>
        <w:tc>
          <w:tcPr>
            <w:tcW w:w="1764" w:type="dxa"/>
            <w:tcBorders/>
            <w:vAlign w:val="center"/>
          </w:tcPr>
          <w:p>
            <w:pPr>
              <w:pStyle w:val="TableContents"/>
              <w:bidi w:val="0"/>
              <w:spacing w:before="0" w:after="283"/>
              <w:jc w:val="both"/>
              <w:rPr/>
            </w:pPr>
            <w:r>
              <w:rPr/>
              <w:t> </w:t>
            </w:r>
          </w:p>
        </w:tc>
        <w:tc>
          <w:tcPr>
            <w:tcW w:w="3906" w:type="dxa"/>
            <w:gridSpan w:val="4"/>
            <w:tcBorders/>
            <w:vAlign w:val="center"/>
          </w:tcPr>
          <w:p>
            <w:pPr>
              <w:pStyle w:val="TableContents"/>
              <w:bidi w:val="0"/>
              <w:spacing w:before="0" w:after="283"/>
              <w:jc w:val="both"/>
              <w:rPr/>
            </w:pPr>
            <w:r>
              <w:rPr/>
              <w:t> </w:t>
            </w:r>
          </w:p>
        </w:tc>
        <w:tc>
          <w:tcPr>
            <w:tcW w:w="892" w:type="dxa"/>
            <w:gridSpan w:val="4"/>
            <w:tcBorders/>
            <w:vAlign w:val="center"/>
          </w:tcPr>
          <w:p>
            <w:pPr>
              <w:pStyle w:val="TableContents"/>
              <w:bidi w:val="0"/>
              <w:spacing w:before="0" w:after="283"/>
              <w:jc w:val="both"/>
              <w:rPr/>
            </w:pPr>
            <w:r>
              <w:rPr/>
              <w:t> </w:t>
            </w:r>
          </w:p>
        </w:tc>
        <w:tc>
          <w:tcPr>
            <w:tcW w:w="401" w:type="dxa"/>
            <w:gridSpan w:val="3"/>
            <w:tcBorders/>
            <w:vAlign w:val="center"/>
          </w:tcPr>
          <w:p>
            <w:pPr>
              <w:pStyle w:val="TableContents"/>
              <w:bidi w:val="0"/>
              <w:spacing w:before="0" w:after="283"/>
              <w:jc w:val="both"/>
              <w:rPr/>
            </w:pPr>
            <w:r>
              <w:rPr/>
              <w:t> </w:t>
            </w:r>
          </w:p>
        </w:tc>
        <w:tc>
          <w:tcPr>
            <w:tcW w:w="2988" w:type="dxa"/>
            <w:gridSpan w:val="3"/>
            <w:tcBorders/>
            <w:vAlign w:val="center"/>
          </w:tcPr>
          <w:p>
            <w:pPr>
              <w:pStyle w:val="TableContents"/>
              <w:bidi w:val="0"/>
              <w:spacing w:before="0" w:after="283"/>
              <w:jc w:val="both"/>
              <w:rPr/>
            </w:pPr>
            <w:r>
              <w:rPr/>
              <w:t> </w:t>
            </w:r>
          </w:p>
        </w:tc>
      </w:tr>
      <w:tr>
        <w:trPr/>
        <w:tc>
          <w:tcPr>
            <w:tcW w:w="1764" w:type="dxa"/>
            <w:tcBorders/>
            <w:vAlign w:val="center"/>
          </w:tcPr>
          <w:p>
            <w:pPr>
              <w:pStyle w:val="TableContents"/>
              <w:bidi w:val="0"/>
              <w:jc w:val="both"/>
              <w:rPr/>
            </w:pPr>
            <w:r>
              <w:rPr/>
              <w:t> </w:t>
            </w:r>
          </w:p>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By:</w:t>
            </w:r>
          </w:p>
        </w:tc>
        <w:tc>
          <w:tcPr>
            <w:tcW w:w="658" w:type="dxa"/>
            <w:tcBorders/>
            <w:vAlign w:val="center"/>
          </w:tcPr>
          <w:p>
            <w:pPr>
              <w:pStyle w:val="TableContents"/>
              <w:bidi w:val="0"/>
              <w:spacing w:before="0" w:after="283"/>
              <w:jc w:val="left"/>
              <w:rPr>
                <w:sz w:val="4"/>
                <w:szCs w:val="4"/>
              </w:rPr>
            </w:pPr>
            <w:r>
              <w:rPr>
                <w:sz w:val="4"/>
                <w:szCs w:val="4"/>
              </w:rPr>
            </w:r>
          </w:p>
        </w:tc>
        <w:tc>
          <w:tcPr>
            <w:tcW w:w="3248" w:type="dxa"/>
            <w:gridSpan w:val="3"/>
            <w:tcBorders/>
            <w:vAlign w:val="center"/>
          </w:tcPr>
          <w:p>
            <w:pPr>
              <w:pStyle w:val="TableContents"/>
              <w:bidi w:val="0"/>
              <w:spacing w:before="0" w:after="15"/>
              <w:jc w:val="both"/>
              <w:rPr/>
            </w:pPr>
            <w:r>
              <w:rPr/>
              <w:t> </w:t>
            </w:r>
          </w:p>
          <w:p>
            <w:pPr>
              <w:pStyle w:val="TableContents"/>
              <w:pBdr>
                <w:bottom w:val="single" w:sz="6" w:space="1" w:color="000000"/>
              </w:pBdr>
              <w:bidi w:val="0"/>
              <w:spacing w:before="0" w:after="15"/>
              <w:jc w:val="both"/>
              <w:rPr>
                <w:rFonts w:ascii="Times New Roman" w:hAnsi="Times New Roman"/>
                <w:color w:val="000000"/>
                <w:sz w:val="22"/>
              </w:rPr>
            </w:pPr>
            <w:r>
              <w:rPr>
                <w:rFonts w:ascii="Times New Roman" w:hAnsi="Times New Roman"/>
                <w:color w:val="000000"/>
                <w:sz w:val="22"/>
              </w:rPr>
              <w:t>/s/ Michael A. Metzger</w:t>
            </w:r>
          </w:p>
        </w:tc>
        <w:tc>
          <w:tcPr>
            <w:tcW w:w="365" w:type="dxa"/>
            <w:tcBorders/>
            <w:vAlign w:val="center"/>
          </w:tcPr>
          <w:p>
            <w:pPr>
              <w:pStyle w:val="TableContents"/>
              <w:bidi w:val="0"/>
              <w:spacing w:before="0" w:after="283"/>
              <w:jc w:val="left"/>
              <w:rPr>
                <w:sz w:val="4"/>
                <w:szCs w:val="4"/>
              </w:rPr>
            </w:pPr>
            <w:r>
              <w:rPr>
                <w:sz w:val="4"/>
                <w:szCs w:val="4"/>
              </w:rPr>
            </w:r>
          </w:p>
        </w:tc>
        <w:tc>
          <w:tcPr>
            <w:tcW w:w="527" w:type="dxa"/>
            <w:gridSpan w:val="3"/>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255" w:type="dxa"/>
            <w:gridSpan w:val="2"/>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 xml:space="preserve">By: </w:t>
            </w:r>
          </w:p>
        </w:tc>
        <w:tc>
          <w:tcPr>
            <w:tcW w:w="2492" w:type="dxa"/>
            <w:gridSpan w:val="2"/>
            <w:tcBorders/>
            <w:vAlign w:val="center"/>
          </w:tcPr>
          <w:p>
            <w:pPr>
              <w:pStyle w:val="TableContents"/>
              <w:bidi w:val="0"/>
              <w:spacing w:before="0" w:after="15"/>
              <w:jc w:val="both"/>
              <w:rPr/>
            </w:pPr>
            <w:r>
              <w:rPr/>
              <w:t> </w:t>
            </w:r>
          </w:p>
          <w:p>
            <w:pPr>
              <w:pStyle w:val="TableContents"/>
              <w:pBdr>
                <w:bottom w:val="single" w:sz="6" w:space="1" w:color="000000"/>
              </w:pBdr>
              <w:bidi w:val="0"/>
              <w:spacing w:before="0" w:after="15"/>
              <w:jc w:val="both"/>
              <w:rPr>
                <w:rFonts w:ascii="Times New Roman" w:hAnsi="Times New Roman"/>
                <w:color w:val="000000"/>
                <w:sz w:val="22"/>
              </w:rPr>
            </w:pPr>
            <w:r>
              <w:rPr>
                <w:rFonts w:ascii="Times New Roman" w:hAnsi="Times New Roman"/>
                <w:color w:val="000000"/>
                <w:sz w:val="22"/>
              </w:rPr>
              <w:t>/s/ Luke J. Albrecht</w:t>
            </w:r>
          </w:p>
        </w:tc>
      </w:tr>
      <w:tr>
        <w:trPr/>
        <w:tc>
          <w:tcPr>
            <w:tcW w:w="3088" w:type="dxa"/>
            <w:gridSpan w:val="3"/>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both"/>
              <w:rPr/>
            </w:pPr>
            <w:r>
              <w:rPr/>
              <w:t> </w:t>
            </w:r>
          </w:p>
        </w:tc>
        <w:tc>
          <w:tcPr>
            <w:tcW w:w="2324" w:type="dxa"/>
            <w:gridSpan w:val="3"/>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364" w:type="dxa"/>
            <w:gridSpan w:val="3"/>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496" w:type="dxa"/>
            <w:tcBorders/>
            <w:vAlign w:val="center"/>
          </w:tcPr>
          <w:p>
            <w:pPr>
              <w:pStyle w:val="TableContents"/>
              <w:bidi w:val="0"/>
              <w:spacing w:before="0" w:after="283"/>
              <w:jc w:val="both"/>
              <w:rPr/>
            </w:pPr>
            <w:r>
              <w:rPr/>
              <w:t> </w:t>
            </w:r>
          </w:p>
        </w:tc>
        <w:tc>
          <w:tcPr>
            <w:tcW w:w="781" w:type="dxa"/>
            <w:tcBorders/>
            <w:vAlign w:val="center"/>
          </w:tcPr>
          <w:p>
            <w:pPr>
              <w:pStyle w:val="TableContents"/>
              <w:bidi w:val="0"/>
              <w:spacing w:before="0" w:after="283"/>
              <w:jc w:val="both"/>
              <w:rPr/>
            </w:pPr>
            <w:r>
              <w:rPr/>
              <w:t> </w:t>
            </w:r>
          </w:p>
        </w:tc>
        <w:tc>
          <w:tcPr>
            <w:tcW w:w="1711" w:type="dxa"/>
            <w:tcBorders/>
            <w:vAlign w:val="center"/>
          </w:tcPr>
          <w:p>
            <w:pPr>
              <w:pStyle w:val="TableContents"/>
              <w:bidi w:val="0"/>
              <w:spacing w:before="0" w:after="283"/>
              <w:jc w:val="both"/>
              <w:rPr/>
            </w:pPr>
            <w:r>
              <w:rPr/>
              <w:t> </w:t>
            </w:r>
          </w:p>
        </w:tc>
      </w:tr>
      <w:tr>
        <w:trPr/>
        <w:tc>
          <w:tcPr>
            <w:tcW w:w="3088" w:type="dxa"/>
            <w:gridSpan w:val="3"/>
            <w:tcBorders/>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Name:</w:t>
            </w:r>
          </w:p>
        </w:tc>
        <w:tc>
          <w:tcPr>
            <w:tcW w:w="895" w:type="dxa"/>
            <w:tcBorders/>
            <w:vAlign w:val="center"/>
          </w:tcPr>
          <w:p>
            <w:pPr>
              <w:pStyle w:val="TableContents"/>
              <w:bidi w:val="0"/>
              <w:spacing w:before="0" w:after="283"/>
              <w:jc w:val="left"/>
              <w:rPr>
                <w:sz w:val="4"/>
                <w:szCs w:val="4"/>
              </w:rPr>
            </w:pPr>
            <w:r>
              <w:rPr>
                <w:sz w:val="4"/>
                <w:szCs w:val="4"/>
              </w:rPr>
            </w:r>
          </w:p>
        </w:tc>
        <w:tc>
          <w:tcPr>
            <w:tcW w:w="2324" w:type="dxa"/>
            <w:gridSpan w:val="3"/>
            <w:tcBorders/>
            <w:vAlign w:val="center"/>
          </w:tcPr>
          <w:p>
            <w:pPr>
              <w:pStyle w:val="TableContents"/>
              <w:pBdr>
                <w:bottom w:val="single" w:sz="6" w:space="1" w:color="000000"/>
              </w:pBdr>
              <w:bidi w:val="0"/>
              <w:spacing w:before="0" w:after="15"/>
              <w:jc w:val="both"/>
              <w:rPr>
                <w:rFonts w:ascii="Times New Roman" w:hAnsi="Times New Roman"/>
                <w:color w:val="000000"/>
                <w:sz w:val="22"/>
              </w:rPr>
            </w:pPr>
            <w:r>
              <w:rPr>
                <w:rFonts w:ascii="Times New Roman" w:hAnsi="Times New Roman"/>
                <w:color w:val="000000"/>
                <w:sz w:val="22"/>
              </w:rPr>
              <w:t>Michael A. Metzger</w:t>
            </w:r>
          </w:p>
        </w:tc>
        <w:tc>
          <w:tcPr>
            <w:tcW w:w="146" w:type="dxa"/>
            <w:tcBorders/>
            <w:vAlign w:val="center"/>
          </w:tcPr>
          <w:p>
            <w:pPr>
              <w:pStyle w:val="TableContents"/>
              <w:bidi w:val="0"/>
              <w:spacing w:before="0" w:after="283"/>
              <w:jc w:val="left"/>
              <w:rPr>
                <w:sz w:val="4"/>
                <w:szCs w:val="4"/>
              </w:rPr>
            </w:pPr>
            <w:r>
              <w:rPr>
                <w:sz w:val="4"/>
                <w:szCs w:val="4"/>
              </w:rPr>
            </w:r>
          </w:p>
        </w:tc>
        <w:tc>
          <w:tcPr>
            <w:tcW w:w="364" w:type="dxa"/>
            <w:gridSpan w:val="3"/>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both"/>
              <w:rPr/>
            </w:pPr>
            <w:r>
              <w:rPr/>
              <w:t> </w:t>
            </w:r>
          </w:p>
        </w:tc>
        <w:tc>
          <w:tcPr>
            <w:tcW w:w="781" w:type="dxa"/>
            <w:tcBorders/>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 xml:space="preserve">Name: </w:t>
            </w:r>
          </w:p>
        </w:tc>
        <w:tc>
          <w:tcPr>
            <w:tcW w:w="1711" w:type="dxa"/>
            <w:tcBorders/>
            <w:vAlign w:val="center"/>
          </w:tcPr>
          <w:p>
            <w:pPr>
              <w:pStyle w:val="TableContents"/>
              <w:pBdr>
                <w:bottom w:val="single" w:sz="6" w:space="1" w:color="000000"/>
              </w:pBdr>
              <w:bidi w:val="0"/>
              <w:spacing w:before="0" w:after="15"/>
              <w:jc w:val="both"/>
              <w:rPr>
                <w:rFonts w:ascii="Times New Roman" w:hAnsi="Times New Roman"/>
                <w:color w:val="000000"/>
                <w:sz w:val="22"/>
              </w:rPr>
            </w:pPr>
            <w:r>
              <w:rPr>
                <w:rFonts w:ascii="Times New Roman" w:hAnsi="Times New Roman"/>
                <w:color w:val="000000"/>
                <w:sz w:val="22"/>
              </w:rPr>
              <w:t>Luke J. Albrecht</w:t>
            </w:r>
          </w:p>
        </w:tc>
      </w:tr>
      <w:tr>
        <w:trPr/>
        <w:tc>
          <w:tcPr>
            <w:tcW w:w="3088" w:type="dxa"/>
            <w:gridSpan w:val="3"/>
            <w:tcBorders/>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Title:</w:t>
            </w:r>
          </w:p>
        </w:tc>
        <w:tc>
          <w:tcPr>
            <w:tcW w:w="895" w:type="dxa"/>
            <w:tcBorders/>
            <w:vAlign w:val="center"/>
          </w:tcPr>
          <w:p>
            <w:pPr>
              <w:pStyle w:val="TableContents"/>
              <w:bidi w:val="0"/>
              <w:spacing w:before="0" w:after="283"/>
              <w:jc w:val="both"/>
              <w:rPr/>
            </w:pPr>
            <w:r>
              <w:rPr/>
              <w:t> </w:t>
            </w:r>
          </w:p>
        </w:tc>
        <w:tc>
          <w:tcPr>
            <w:tcW w:w="2324" w:type="dxa"/>
            <w:gridSpan w:val="3"/>
            <w:tcBorders/>
            <w:vAlign w:val="center"/>
          </w:tcPr>
          <w:p>
            <w:pPr>
              <w:pStyle w:val="TableContents"/>
              <w:pBdr>
                <w:bottom w:val="single" w:sz="6" w:space="1" w:color="000000"/>
              </w:pBdr>
              <w:bidi w:val="0"/>
              <w:spacing w:before="0" w:after="15"/>
              <w:jc w:val="both"/>
              <w:rPr>
                <w:rFonts w:ascii="Times New Roman" w:hAnsi="Times New Roman"/>
                <w:color w:val="000000"/>
                <w:sz w:val="22"/>
              </w:rPr>
            </w:pPr>
            <w:r>
              <w:rPr>
                <w:rFonts w:ascii="Times New Roman" w:hAnsi="Times New Roman"/>
                <w:color w:val="000000"/>
                <w:sz w:val="22"/>
              </w:rPr>
              <w:t>Chief Executive Officer</w:t>
            </w:r>
          </w:p>
        </w:tc>
        <w:tc>
          <w:tcPr>
            <w:tcW w:w="146" w:type="dxa"/>
            <w:tcBorders/>
            <w:vAlign w:val="center"/>
          </w:tcPr>
          <w:p>
            <w:pPr>
              <w:pStyle w:val="TableContents"/>
              <w:bidi w:val="0"/>
              <w:spacing w:before="0" w:after="283"/>
              <w:jc w:val="both"/>
              <w:rPr/>
            </w:pPr>
            <w:r>
              <w:rPr/>
              <w:t> </w:t>
            </w:r>
          </w:p>
        </w:tc>
        <w:tc>
          <w:tcPr>
            <w:tcW w:w="364" w:type="dxa"/>
            <w:gridSpan w:val="3"/>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496" w:type="dxa"/>
            <w:tcBorders/>
            <w:vAlign w:val="center"/>
          </w:tcPr>
          <w:p>
            <w:pPr>
              <w:pStyle w:val="TableContents"/>
              <w:bidi w:val="0"/>
              <w:spacing w:before="0" w:after="283"/>
              <w:jc w:val="both"/>
              <w:rPr/>
            </w:pPr>
            <w:r>
              <w:rPr/>
              <w:t> </w:t>
            </w:r>
          </w:p>
        </w:tc>
        <w:tc>
          <w:tcPr>
            <w:tcW w:w="781" w:type="dxa"/>
            <w:tcBorders/>
            <w:vAlign w:val="center"/>
          </w:tcPr>
          <w:p>
            <w:pPr>
              <w:pStyle w:val="TableContents"/>
              <w:bidi w:val="0"/>
              <w:spacing w:before="0" w:after="283"/>
              <w:jc w:val="both"/>
              <w:rPr/>
            </w:pPr>
            <w:r>
              <w:rPr/>
              <w:t> </w:t>
            </w:r>
          </w:p>
        </w:tc>
        <w:tc>
          <w:tcPr>
            <w:tcW w:w="1711" w:type="dxa"/>
            <w:tcBorders/>
            <w:vAlign w:val="center"/>
          </w:tcPr>
          <w:p>
            <w:pPr>
              <w:pStyle w:val="TableContents"/>
              <w:pBdr>
                <w:bottom w:val="single" w:sz="6" w:space="1" w:color="000000"/>
              </w:pBdr>
              <w:bidi w:val="0"/>
              <w:spacing w:before="0" w:after="15"/>
              <w:jc w:val="both"/>
              <w:rPr/>
            </w:pPr>
            <w:r>
              <w:rPr/>
              <w:t> </w:t>
            </w:r>
          </w:p>
        </w:tc>
      </w:tr>
    </w:tbl>
    <w:p>
      <w:pPr>
        <w:pStyle w:val="TextBody"/>
        <w:bidi w:val="0"/>
        <w:jc w:val="center"/>
        <w:rPr>
          <w:rFonts w:ascii="Times New Roman" w:hAnsi="Times New Roman"/>
          <w:sz w:val="20"/>
        </w:rPr>
      </w:pPr>
      <w:r>
        <w:rPr>
          <w:rFonts w:ascii="Times New Roman" w:hAnsi="Times New Roman"/>
          <w:color w:val="000000"/>
          <w:sz w:val="22"/>
        </w:rPr>
        <w:t>1</w:t>
      </w:r>
      <w:r>
        <w:rPr>
          <w:rFonts w:ascii="Arial" w:hAnsi="Arial"/>
          <w:color w:val="000000"/>
          <w:sz w:val="17"/>
        </w:rPr>
        <w:t>.</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2"/>
        </w:rPr>
      </w:pPr>
      <w:bookmarkStart w:id="49" w:name="sndx-ex10_25.htm"/>
      <w:bookmarkStart w:id="50" w:name="kssndxex10_25"/>
      <w:bookmarkEnd w:id="49"/>
      <w:bookmarkEnd w:id="50"/>
      <w:r>
        <w:rPr>
          <w:rFonts w:ascii="Times New Roman" w:hAnsi="Times New Roman"/>
          <w:color w:val="000000"/>
          <w:sz w:val="22"/>
        </w:rPr>
        <w:t>Exhibit 10.25</w:t>
      </w:r>
      <w:r>
        <w:br w:type="page"/>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AMENDMENT TO EXECUTIVE EMPLOYMENT AGREEMENT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This </w:t>
      </w:r>
      <w:r>
        <w:rPr>
          <w:rFonts w:ascii="Times New Roman" w:hAnsi="Times New Roman"/>
          <w:b/>
          <w:color w:val="000000"/>
          <w:sz w:val="22"/>
        </w:rPr>
        <w:t>AMENDMENT TO EXECUTIVE EMPLOYMENT AGREEMENT</w:t>
      </w:r>
      <w:r>
        <w:rPr>
          <w:rFonts w:ascii="Times New Roman" w:hAnsi="Times New Roman"/>
          <w:color w:val="000000"/>
          <w:sz w:val="20"/>
        </w:rPr>
        <w:t xml:space="preserve"> </w:t>
      </w:r>
      <w:r>
        <w:rPr>
          <w:rFonts w:ascii="Times New Roman" w:hAnsi="Times New Roman"/>
          <w:color w:val="000000"/>
          <w:sz w:val="22"/>
        </w:rPr>
        <w:t>(this “</w:t>
      </w:r>
      <w:r>
        <w:rPr>
          <w:rFonts w:ascii="Times New Roman" w:hAnsi="Times New Roman"/>
          <w:b/>
          <w:i/>
          <w:color w:val="000000"/>
          <w:sz w:val="22"/>
        </w:rPr>
        <w:t>Amendment</w:t>
      </w:r>
      <w:r>
        <w:rPr>
          <w:rFonts w:ascii="Times New Roman" w:hAnsi="Times New Roman"/>
          <w:color w:val="000000"/>
          <w:sz w:val="20"/>
        </w:rPr>
        <w:t>”</w:t>
      </w:r>
      <w:r>
        <w:rPr>
          <w:rFonts w:ascii="Times New Roman" w:hAnsi="Times New Roman"/>
          <w:color w:val="000000"/>
          <w:sz w:val="22"/>
        </w:rPr>
        <w:t>) is entered into as of the 26</w:t>
      </w:r>
      <w:r>
        <w:rPr>
          <w:rFonts w:ascii="Times New Roman" w:hAnsi="Times New Roman"/>
          <w:color w:val="000000"/>
          <w:sz w:val="15"/>
        </w:rPr>
        <w:t>th</w:t>
      </w:r>
      <w:r>
        <w:rPr>
          <w:rFonts w:ascii="Times New Roman" w:hAnsi="Times New Roman"/>
          <w:color w:val="000000"/>
          <w:sz w:val="20"/>
        </w:rPr>
        <w:t xml:space="preserve"> </w:t>
      </w:r>
      <w:r>
        <w:rPr>
          <w:rFonts w:ascii="Times New Roman" w:hAnsi="Times New Roman"/>
          <w:color w:val="000000"/>
          <w:sz w:val="22"/>
        </w:rPr>
        <w:t>day of February, 2024 (the “</w:t>
      </w:r>
      <w:r>
        <w:rPr>
          <w:rFonts w:ascii="Times New Roman" w:hAnsi="Times New Roman"/>
          <w:b/>
          <w:i/>
          <w:color w:val="000000"/>
          <w:sz w:val="22"/>
        </w:rPr>
        <w:t>Execution Date</w:t>
      </w:r>
      <w:r>
        <w:rPr>
          <w:rFonts w:ascii="Times New Roman" w:hAnsi="Times New Roman"/>
          <w:color w:val="000000"/>
          <w:sz w:val="20"/>
        </w:rPr>
        <w:t>”</w:t>
      </w:r>
      <w:r>
        <w:rPr>
          <w:rFonts w:ascii="Times New Roman" w:hAnsi="Times New Roman"/>
          <w:color w:val="000000"/>
          <w:sz w:val="22"/>
        </w:rPr>
        <w:t xml:space="preserve">), between </w:t>
      </w:r>
      <w:r>
        <w:rPr>
          <w:rFonts w:ascii="Times New Roman" w:hAnsi="Times New Roman"/>
          <w:b/>
          <w:color w:val="000000"/>
          <w:sz w:val="22"/>
        </w:rPr>
        <w:t xml:space="preserve">CATHERINE MADIGAN, M.D. </w:t>
      </w:r>
      <w:r>
        <w:rPr>
          <w:rFonts w:ascii="Times New Roman" w:hAnsi="Times New Roman"/>
          <w:color w:val="000000"/>
          <w:sz w:val="22"/>
        </w:rPr>
        <w:t>(“</w:t>
      </w:r>
      <w:r>
        <w:rPr>
          <w:rFonts w:ascii="Times New Roman" w:hAnsi="Times New Roman"/>
          <w:b/>
          <w:i/>
          <w:color w:val="000000"/>
          <w:sz w:val="22"/>
        </w:rPr>
        <w:t>Executive</w:t>
      </w:r>
      <w:r>
        <w:rPr>
          <w:rFonts w:ascii="Times New Roman" w:hAnsi="Times New Roman"/>
          <w:color w:val="000000"/>
          <w:sz w:val="20"/>
        </w:rPr>
        <w:t>”</w:t>
      </w:r>
      <w:r>
        <w:rPr>
          <w:rFonts w:ascii="Times New Roman" w:hAnsi="Times New Roman"/>
          <w:color w:val="000000"/>
          <w:sz w:val="22"/>
        </w:rPr>
        <w:t xml:space="preserve">) and </w:t>
      </w:r>
      <w:r>
        <w:rPr>
          <w:rFonts w:ascii="Times New Roman" w:hAnsi="Times New Roman"/>
          <w:b/>
          <w:caps/>
          <w:color w:val="000000"/>
          <w:sz w:val="22"/>
        </w:rPr>
        <w:t>Syndax Pharmaceuticals, Inc.</w:t>
      </w:r>
      <w:r>
        <w:rPr>
          <w:rFonts w:ascii="Times New Roman" w:hAnsi="Times New Roman"/>
          <w:color w:val="000000"/>
          <w:sz w:val="20"/>
        </w:rPr>
        <w:t xml:space="preserve"> </w:t>
      </w:r>
      <w:r>
        <w:rPr>
          <w:rFonts w:ascii="Times New Roman" w:hAnsi="Times New Roman"/>
          <w:color w:val="000000"/>
          <w:sz w:val="22"/>
        </w:rPr>
        <w:t>(the “</w:t>
      </w:r>
      <w:r>
        <w:rPr>
          <w:rFonts w:ascii="Times New Roman" w:hAnsi="Times New Roman"/>
          <w:b/>
          <w:i/>
          <w:color w:val="000000"/>
          <w:sz w:val="22"/>
        </w:rPr>
        <w:t>Company</w:t>
      </w:r>
      <w:r>
        <w:rPr>
          <w:rFonts w:ascii="Times New Roman" w:hAnsi="Times New Roman"/>
          <w:color w:val="000000"/>
          <w:sz w:val="20"/>
        </w:rPr>
        <w:t>”</w:t>
      </w:r>
      <w:r>
        <w:rPr>
          <w:rFonts w:ascii="Times New Roman" w:hAnsi="Times New Roman"/>
          <w:color w:val="000000"/>
          <w:sz w:val="22"/>
        </w:rPr>
        <w:t>) and supplements the terms of that certain executive employment agreement by and between the Parties, dated as of March 1, 2022 (the “</w:t>
      </w:r>
      <w:r>
        <w:rPr>
          <w:rFonts w:ascii="Times New Roman" w:hAnsi="Times New Roman"/>
          <w:b/>
          <w:i/>
          <w:color w:val="000000"/>
          <w:sz w:val="22"/>
        </w:rPr>
        <w:t>Agreement</w:t>
      </w:r>
      <w:r>
        <w:rPr>
          <w:rFonts w:ascii="Times New Roman" w:hAnsi="Times New Roman"/>
          <w:color w:val="000000"/>
          <w:sz w:val="20"/>
        </w:rPr>
        <w:t>”</w:t>
      </w:r>
      <w:r>
        <w:rPr>
          <w:rFonts w:ascii="Times New Roman" w:hAnsi="Times New Roman"/>
          <w:color w:val="000000"/>
          <w:sz w:val="22"/>
        </w:rPr>
        <w:t>). Capitalized terms used and not otherwise defined herein shall have the meaning ascribed to such terms in the Agreement.</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RECITALS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Company employs Executive as its Chief Medical Officer upon the terms and conditions set forth in the Agreement.</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Compensation Committee of the Company’s Board of Directors approved certain changes to terms of Executive’s employment and the parties are entering this Amendment specifying such changes.</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AGREEMENT</w:t>
      </w:r>
    </w:p>
    <w:p>
      <w:pPr>
        <w:pStyle w:val="TextBody"/>
        <w:bidi w:val="0"/>
        <w:spacing w:before="0" w:after="240"/>
        <w:jc w:val="both"/>
        <w:rPr>
          <w:rFonts w:ascii="Times New Roman" w:hAnsi="Times New Roman"/>
          <w:sz w:val="20"/>
        </w:rPr>
      </w:pPr>
      <w:r>
        <w:rPr>
          <w:rFonts w:ascii="Times New Roman" w:hAnsi="Times New Roman"/>
          <w:b/>
          <w:color w:val="000000"/>
          <w:sz w:val="22"/>
        </w:rPr>
        <w:t>NOW, THEREFORE</w:t>
      </w:r>
      <w:r>
        <w:rPr>
          <w:rFonts w:ascii="Times New Roman" w:hAnsi="Times New Roman"/>
          <w:color w:val="000000"/>
          <w:sz w:val="22"/>
        </w:rPr>
        <w:t>, in consideration of the mutual promises contained herein, the Company and Executive agree as follows: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1.1</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Executive’s Target Performance Bonus as set forth in the Agreement is hereby amended to a threshold of up to forty-five percent (45%) of Executive’s Annual Base Salary.</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1.2</w:t>
      </w:r>
    </w:p>
    <w:p>
      <w:pPr>
        <w:pStyle w:val="TextBody"/>
        <w:bidi w:val="0"/>
        <w:spacing w:before="0" w:after="240"/>
        <w:jc w:val="both"/>
        <w:rPr/>
      </w:pPr>
      <w:r>
        <w:rPr>
          <w:color w:val="000000"/>
        </w:rPr>
        <w:t>“</w:t>
      </w:r>
      <w:r>
        <w:rPr>
          <w:rFonts w:ascii="Times New Roman" w:hAnsi="Times New Roman"/>
          <w:b/>
          <w:i/>
          <w:color w:val="000000"/>
          <w:sz w:val="22"/>
        </w:rPr>
        <w:t>Change in Control Benefits Period</w:t>
      </w:r>
      <w:r>
        <w:rPr>
          <w:color w:val="000000"/>
        </w:rPr>
        <w:t xml:space="preserve">” </w:t>
      </w:r>
      <w:r>
        <w:rPr>
          <w:rFonts w:ascii="Times New Roman" w:hAnsi="Times New Roman"/>
          <w:color w:val="000000"/>
          <w:sz w:val="22"/>
        </w:rPr>
        <w:t>means the period of eighteen (18) months commencing on the Termination Date.</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1.3</w:t>
      </w:r>
    </w:p>
    <w:p>
      <w:pPr>
        <w:pStyle w:val="TextBody"/>
        <w:bidi w:val="0"/>
        <w:spacing w:before="0" w:after="240"/>
        <w:jc w:val="both"/>
        <w:rPr/>
      </w:pPr>
      <w:r>
        <w:rPr>
          <w:color w:val="000000"/>
        </w:rPr>
        <w:t>“</w:t>
      </w:r>
      <w:r>
        <w:rPr>
          <w:rFonts w:ascii="Times New Roman" w:hAnsi="Times New Roman"/>
          <w:b/>
          <w:i/>
          <w:color w:val="000000"/>
          <w:sz w:val="22"/>
        </w:rPr>
        <w:t>Change in Control Severance Period</w:t>
      </w:r>
      <w:r>
        <w:rPr>
          <w:color w:val="000000"/>
        </w:rPr>
        <w:t xml:space="preserve">” </w:t>
      </w:r>
      <w:r>
        <w:rPr>
          <w:rFonts w:ascii="Times New Roman" w:hAnsi="Times New Roman"/>
          <w:color w:val="000000"/>
          <w:sz w:val="22"/>
        </w:rPr>
        <w:t>means the period of eighteen (18) months commencing on the Termination Date.</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1.4</w:t>
      </w:r>
    </w:p>
    <w:p>
      <w:pPr>
        <w:pStyle w:val="TextBody"/>
        <w:bidi w:val="0"/>
        <w:spacing w:before="0" w:after="240"/>
        <w:jc w:val="both"/>
        <w:rPr/>
      </w:pPr>
      <w:r>
        <w:rPr>
          <w:rFonts w:ascii="Times New Roman" w:hAnsi="Times New Roman"/>
          <w:b/>
          <w:color w:val="000000"/>
          <w:sz w:val="22"/>
        </w:rPr>
        <w:t>Effectiveness of Agreement</w:t>
      </w:r>
      <w:r>
        <w:rPr>
          <w:rFonts w:ascii="Times New Roman" w:hAnsi="Times New Roman"/>
          <w:color w:val="000000"/>
          <w:sz w:val="22"/>
        </w:rPr>
        <w:t>. This Amendment shall be effective on the Execution Date.</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 * * * *</w:t>
      </w:r>
    </w:p>
    <w:p>
      <w:pPr>
        <w:pStyle w:val="TextBody"/>
        <w:bidi w:val="0"/>
        <w:jc w:val="both"/>
        <w:rPr>
          <w:rFonts w:ascii="Times New Roman" w:hAnsi="Times New Roman"/>
          <w:sz w:val="20"/>
        </w:rPr>
      </w:pPr>
      <w:r>
        <w:rPr>
          <w:rFonts w:ascii="Times New Roman" w:hAnsi="Times New Roman"/>
          <w:b/>
          <w:color w:val="000000"/>
          <w:sz w:val="22"/>
        </w:rPr>
        <w:t>IN WITNESS WHEREOF</w:t>
      </w:r>
      <w:r>
        <w:rPr>
          <w:rFonts w:ascii="Times New Roman" w:hAnsi="Times New Roman"/>
          <w:color w:val="000000"/>
          <w:sz w:val="22"/>
        </w:rPr>
        <w:t>, the parties have executed this Amendment on the Execution Date written above.</w:t>
      </w:r>
      <w:r>
        <w:rPr>
          <w:rFonts w:ascii="Times New Roman" w:hAnsi="Times New Roman"/>
          <w:color w:val="000000"/>
          <w:sz w:val="20"/>
        </w:rPr>
        <w:t xml:space="preserve"> </w:t>
      </w:r>
    </w:p>
    <w:tbl>
      <w:tblPr>
        <w:tblW w:w="9908" w:type="dxa"/>
        <w:jc w:val="left"/>
        <w:tblInd w:w="0" w:type="dxa"/>
        <w:tblLayout w:type="fixed"/>
        <w:tblCellMar>
          <w:top w:w="28" w:type="dxa"/>
          <w:left w:w="28" w:type="dxa"/>
          <w:bottom w:w="28" w:type="dxa"/>
          <w:right w:w="28" w:type="dxa"/>
        </w:tblCellMar>
      </w:tblPr>
      <w:tblGrid>
        <w:gridCol w:w="1764"/>
        <w:gridCol w:w="658"/>
        <w:gridCol w:w="577"/>
        <w:gridCol w:w="775"/>
        <w:gridCol w:w="972"/>
        <w:gridCol w:w="395"/>
        <w:gridCol w:w="298"/>
        <w:gridCol w:w="146"/>
        <w:gridCol w:w="109"/>
        <w:gridCol w:w="146"/>
        <w:gridCol w:w="109"/>
        <w:gridCol w:w="146"/>
        <w:gridCol w:w="496"/>
        <w:gridCol w:w="781"/>
        <w:gridCol w:w="2536"/>
      </w:tblGrid>
      <w:tr>
        <w:trPr/>
        <w:tc>
          <w:tcPr>
            <w:tcW w:w="1764"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r>
      <w:tr>
        <w:trPr/>
        <w:tc>
          <w:tcPr>
            <w:tcW w:w="1764" w:type="dxa"/>
            <w:tcBorders/>
            <w:vAlign w:val="center"/>
          </w:tcPr>
          <w:p>
            <w:pPr>
              <w:pStyle w:val="TableContents"/>
              <w:bidi w:val="0"/>
              <w:spacing w:before="0" w:after="283"/>
              <w:jc w:val="both"/>
              <w:rPr/>
            </w:pPr>
            <w:r>
              <w:rPr/>
              <w:t> </w:t>
            </w:r>
          </w:p>
        </w:tc>
        <w:tc>
          <w:tcPr>
            <w:tcW w:w="658" w:type="dxa"/>
            <w:tcBorders/>
            <w:vAlign w:val="center"/>
          </w:tcPr>
          <w:p>
            <w:pPr>
              <w:pStyle w:val="TableContents"/>
              <w:bidi w:val="0"/>
              <w:spacing w:before="0" w:after="283"/>
              <w:jc w:val="both"/>
              <w:rPr/>
            </w:pPr>
            <w:r>
              <w:rPr/>
              <w:t> </w:t>
            </w:r>
          </w:p>
        </w:tc>
        <w:tc>
          <w:tcPr>
            <w:tcW w:w="2324" w:type="dxa"/>
            <w:gridSpan w:val="3"/>
            <w:tcBorders/>
            <w:vAlign w:val="center"/>
          </w:tcPr>
          <w:p>
            <w:pPr>
              <w:pStyle w:val="TableContents"/>
              <w:bidi w:val="0"/>
              <w:spacing w:before="0" w:after="283"/>
              <w:jc w:val="both"/>
              <w:rPr/>
            </w:pPr>
            <w:r>
              <w:rPr/>
              <w:t> </w:t>
            </w:r>
          </w:p>
        </w:tc>
        <w:tc>
          <w:tcPr>
            <w:tcW w:w="395" w:type="dxa"/>
            <w:tcBorders/>
            <w:vAlign w:val="center"/>
          </w:tcPr>
          <w:p>
            <w:pPr>
              <w:pStyle w:val="TableContents"/>
              <w:bidi w:val="0"/>
              <w:spacing w:before="0" w:after="283"/>
              <w:jc w:val="both"/>
              <w:rPr/>
            </w:pPr>
            <w:r>
              <w:rPr/>
              <w:t> </w:t>
            </w:r>
          </w:p>
        </w:tc>
        <w:tc>
          <w:tcPr>
            <w:tcW w:w="553" w:type="dxa"/>
            <w:gridSpan w:val="3"/>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255" w:type="dxa"/>
            <w:gridSpan w:val="2"/>
            <w:tcBorders/>
            <w:vAlign w:val="center"/>
          </w:tcPr>
          <w:p>
            <w:pPr>
              <w:pStyle w:val="TableContents"/>
              <w:bidi w:val="0"/>
              <w:spacing w:before="0" w:after="283"/>
              <w:jc w:val="both"/>
              <w:rPr/>
            </w:pPr>
            <w:r>
              <w:rPr/>
              <w:t> </w:t>
            </w:r>
          </w:p>
        </w:tc>
        <w:tc>
          <w:tcPr>
            <w:tcW w:w="496" w:type="dxa"/>
            <w:tcBorders/>
            <w:vAlign w:val="center"/>
          </w:tcPr>
          <w:p>
            <w:pPr>
              <w:pStyle w:val="TableContents"/>
              <w:bidi w:val="0"/>
              <w:spacing w:before="0" w:after="283"/>
              <w:jc w:val="both"/>
              <w:rPr/>
            </w:pPr>
            <w:r>
              <w:rPr/>
              <w:t> </w:t>
            </w:r>
          </w:p>
        </w:tc>
        <w:tc>
          <w:tcPr>
            <w:tcW w:w="3317" w:type="dxa"/>
            <w:gridSpan w:val="2"/>
            <w:tcBorders/>
            <w:vAlign w:val="center"/>
          </w:tcPr>
          <w:p>
            <w:pPr>
              <w:pStyle w:val="TableContents"/>
              <w:bidi w:val="0"/>
              <w:spacing w:before="0" w:after="283"/>
              <w:jc w:val="both"/>
              <w:rPr/>
            </w:pPr>
            <w:r>
              <w:rPr/>
              <w:t> </w:t>
            </w:r>
          </w:p>
        </w:tc>
      </w:tr>
      <w:tr>
        <w:trPr/>
        <w:tc>
          <w:tcPr>
            <w:tcW w:w="4746" w:type="dxa"/>
            <w:gridSpan w:val="5"/>
            <w:tcBorders/>
            <w:vAlign w:val="center"/>
          </w:tcPr>
          <w:p>
            <w:pPr>
              <w:pStyle w:val="TableContents"/>
              <w:bidi w:val="0"/>
              <w:spacing w:before="0" w:after="283"/>
              <w:jc w:val="both"/>
              <w:rPr>
                <w:rFonts w:ascii="Times New Roman" w:hAnsi="Times New Roman"/>
                <w:b/>
                <w:caps/>
                <w:color w:val="000000"/>
                <w:sz w:val="22"/>
              </w:rPr>
            </w:pPr>
            <w:r>
              <w:rPr>
                <w:rFonts w:ascii="Times New Roman" w:hAnsi="Times New Roman"/>
                <w:b/>
                <w:caps/>
                <w:color w:val="000000"/>
                <w:sz w:val="22"/>
              </w:rPr>
              <w:t>Syndax Pharmaceuticals, Inc.</w:t>
            </w:r>
          </w:p>
        </w:tc>
        <w:tc>
          <w:tcPr>
            <w:tcW w:w="395" w:type="dxa"/>
            <w:tcBorders/>
            <w:vAlign w:val="center"/>
          </w:tcPr>
          <w:p>
            <w:pPr>
              <w:pStyle w:val="TableContents"/>
              <w:bidi w:val="0"/>
              <w:spacing w:before="0" w:after="283"/>
              <w:jc w:val="left"/>
              <w:rPr>
                <w:sz w:val="4"/>
                <w:szCs w:val="4"/>
              </w:rPr>
            </w:pPr>
            <w:r>
              <w:rPr>
                <w:sz w:val="4"/>
                <w:szCs w:val="4"/>
              </w:rPr>
            </w:r>
          </w:p>
        </w:tc>
        <w:tc>
          <w:tcPr>
            <w:tcW w:w="553" w:type="dxa"/>
            <w:gridSpan w:val="3"/>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255" w:type="dxa"/>
            <w:gridSpan w:val="2"/>
            <w:tcBorders/>
            <w:vAlign w:val="center"/>
          </w:tcPr>
          <w:p>
            <w:pPr>
              <w:pStyle w:val="TableContents"/>
              <w:bidi w:val="0"/>
              <w:spacing w:before="0" w:after="283"/>
              <w:jc w:val="both"/>
              <w:rPr/>
            </w:pPr>
            <w:r>
              <w:rPr/>
              <w:t> </w:t>
            </w:r>
          </w:p>
        </w:tc>
        <w:tc>
          <w:tcPr>
            <w:tcW w:w="496" w:type="dxa"/>
            <w:tcBorders/>
            <w:vAlign w:val="center"/>
          </w:tcPr>
          <w:p>
            <w:pPr>
              <w:pStyle w:val="TableContents"/>
              <w:bidi w:val="0"/>
              <w:spacing w:before="0" w:after="283"/>
              <w:jc w:val="left"/>
              <w:rPr>
                <w:sz w:val="4"/>
                <w:szCs w:val="4"/>
              </w:rPr>
            </w:pPr>
            <w:r>
              <w:rPr>
                <w:sz w:val="4"/>
                <w:szCs w:val="4"/>
              </w:rPr>
            </w:r>
          </w:p>
        </w:tc>
        <w:tc>
          <w:tcPr>
            <w:tcW w:w="3317" w:type="dxa"/>
            <w:gridSpan w:val="2"/>
            <w:tcBorders/>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EXECUTIVE</w:t>
            </w:r>
          </w:p>
        </w:tc>
      </w:tr>
      <w:tr>
        <w:trPr/>
        <w:tc>
          <w:tcPr>
            <w:tcW w:w="1764" w:type="dxa"/>
            <w:tcBorders/>
            <w:vAlign w:val="center"/>
          </w:tcPr>
          <w:p>
            <w:pPr>
              <w:pStyle w:val="TableContents"/>
              <w:bidi w:val="0"/>
              <w:spacing w:before="0" w:after="283"/>
              <w:jc w:val="both"/>
              <w:rPr/>
            </w:pPr>
            <w:r>
              <w:rPr/>
              <w:t> </w:t>
            </w:r>
          </w:p>
        </w:tc>
        <w:tc>
          <w:tcPr>
            <w:tcW w:w="2982" w:type="dxa"/>
            <w:gridSpan w:val="4"/>
            <w:tcBorders/>
            <w:vAlign w:val="center"/>
          </w:tcPr>
          <w:p>
            <w:pPr>
              <w:pStyle w:val="TableContents"/>
              <w:bidi w:val="0"/>
              <w:spacing w:before="0" w:after="283"/>
              <w:jc w:val="both"/>
              <w:rPr/>
            </w:pPr>
            <w:r>
              <w:rPr/>
              <w:t> </w:t>
            </w:r>
          </w:p>
        </w:tc>
        <w:tc>
          <w:tcPr>
            <w:tcW w:w="948" w:type="dxa"/>
            <w:gridSpan w:val="4"/>
            <w:tcBorders/>
            <w:vAlign w:val="center"/>
          </w:tcPr>
          <w:p>
            <w:pPr>
              <w:pStyle w:val="TableContents"/>
              <w:bidi w:val="0"/>
              <w:spacing w:before="0" w:after="283"/>
              <w:jc w:val="both"/>
              <w:rPr/>
            </w:pPr>
            <w:r>
              <w:rPr/>
              <w:t> </w:t>
            </w:r>
          </w:p>
        </w:tc>
        <w:tc>
          <w:tcPr>
            <w:tcW w:w="401" w:type="dxa"/>
            <w:gridSpan w:val="3"/>
            <w:tcBorders/>
            <w:vAlign w:val="center"/>
          </w:tcPr>
          <w:p>
            <w:pPr>
              <w:pStyle w:val="TableContents"/>
              <w:bidi w:val="0"/>
              <w:spacing w:before="0" w:after="283"/>
              <w:jc w:val="both"/>
              <w:rPr/>
            </w:pPr>
            <w:r>
              <w:rPr/>
              <w:t> </w:t>
            </w:r>
          </w:p>
        </w:tc>
        <w:tc>
          <w:tcPr>
            <w:tcW w:w="3813" w:type="dxa"/>
            <w:gridSpan w:val="3"/>
            <w:tcBorders/>
            <w:vAlign w:val="center"/>
          </w:tcPr>
          <w:p>
            <w:pPr>
              <w:pStyle w:val="TableContents"/>
              <w:bidi w:val="0"/>
              <w:spacing w:before="0" w:after="283"/>
              <w:jc w:val="both"/>
              <w:rPr/>
            </w:pPr>
            <w:r>
              <w:rPr/>
              <w:t> </w:t>
            </w:r>
          </w:p>
        </w:tc>
      </w:tr>
      <w:tr>
        <w:trPr/>
        <w:tc>
          <w:tcPr>
            <w:tcW w:w="1764" w:type="dxa"/>
            <w:tcBorders/>
            <w:vAlign w:val="center"/>
          </w:tcPr>
          <w:p>
            <w:pPr>
              <w:pStyle w:val="TableContents"/>
              <w:bidi w:val="0"/>
              <w:jc w:val="both"/>
              <w:rPr/>
            </w:pPr>
            <w:r>
              <w:rPr/>
              <w:t> </w:t>
            </w:r>
          </w:p>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By:</w:t>
            </w:r>
          </w:p>
        </w:tc>
        <w:tc>
          <w:tcPr>
            <w:tcW w:w="658" w:type="dxa"/>
            <w:tcBorders/>
            <w:vAlign w:val="center"/>
          </w:tcPr>
          <w:p>
            <w:pPr>
              <w:pStyle w:val="TableContents"/>
              <w:bidi w:val="0"/>
              <w:spacing w:before="0" w:after="283"/>
              <w:jc w:val="left"/>
              <w:rPr>
                <w:sz w:val="4"/>
                <w:szCs w:val="4"/>
              </w:rPr>
            </w:pPr>
            <w:r>
              <w:rPr>
                <w:sz w:val="4"/>
                <w:szCs w:val="4"/>
              </w:rPr>
            </w:r>
          </w:p>
        </w:tc>
        <w:tc>
          <w:tcPr>
            <w:tcW w:w="2324" w:type="dxa"/>
            <w:gridSpan w:val="3"/>
            <w:tcBorders/>
            <w:vAlign w:val="center"/>
          </w:tcPr>
          <w:p>
            <w:pPr>
              <w:pStyle w:val="TableContents"/>
              <w:bidi w:val="0"/>
              <w:spacing w:before="0" w:after="15"/>
              <w:jc w:val="both"/>
              <w:rPr/>
            </w:pPr>
            <w:r>
              <w:rPr/>
              <w:t> </w:t>
            </w:r>
          </w:p>
          <w:p>
            <w:pPr>
              <w:pStyle w:val="TableContents"/>
              <w:pBdr>
                <w:bottom w:val="single" w:sz="6" w:space="1" w:color="000000"/>
              </w:pBdr>
              <w:bidi w:val="0"/>
              <w:spacing w:before="0" w:after="15"/>
              <w:jc w:val="both"/>
              <w:rPr>
                <w:rFonts w:ascii="Times New Roman" w:hAnsi="Times New Roman"/>
                <w:color w:val="000000"/>
                <w:sz w:val="22"/>
              </w:rPr>
            </w:pPr>
            <w:r>
              <w:rPr>
                <w:rFonts w:ascii="Times New Roman" w:hAnsi="Times New Roman"/>
                <w:color w:val="000000"/>
                <w:sz w:val="22"/>
              </w:rPr>
              <w:t>/s/ Luke J. Albrecht</w:t>
            </w:r>
          </w:p>
        </w:tc>
        <w:tc>
          <w:tcPr>
            <w:tcW w:w="395" w:type="dxa"/>
            <w:tcBorders/>
            <w:vAlign w:val="center"/>
          </w:tcPr>
          <w:p>
            <w:pPr>
              <w:pStyle w:val="TableContents"/>
              <w:bidi w:val="0"/>
              <w:spacing w:before="0" w:after="283"/>
              <w:jc w:val="left"/>
              <w:rPr>
                <w:sz w:val="4"/>
                <w:szCs w:val="4"/>
              </w:rPr>
            </w:pPr>
            <w:r>
              <w:rPr>
                <w:sz w:val="4"/>
                <w:szCs w:val="4"/>
              </w:rPr>
            </w:r>
          </w:p>
        </w:tc>
        <w:tc>
          <w:tcPr>
            <w:tcW w:w="553" w:type="dxa"/>
            <w:gridSpan w:val="3"/>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255" w:type="dxa"/>
            <w:gridSpan w:val="2"/>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 xml:space="preserve">By: </w:t>
            </w:r>
          </w:p>
        </w:tc>
        <w:tc>
          <w:tcPr>
            <w:tcW w:w="3317" w:type="dxa"/>
            <w:gridSpan w:val="2"/>
            <w:tcBorders/>
            <w:vAlign w:val="center"/>
          </w:tcPr>
          <w:p>
            <w:pPr>
              <w:pStyle w:val="TableContents"/>
              <w:bidi w:val="0"/>
              <w:spacing w:before="0" w:after="15"/>
              <w:jc w:val="both"/>
              <w:rPr/>
            </w:pPr>
            <w:r>
              <w:rPr/>
              <w:t> </w:t>
            </w:r>
          </w:p>
          <w:p>
            <w:pPr>
              <w:pStyle w:val="TableContents"/>
              <w:pBdr>
                <w:bottom w:val="single" w:sz="6" w:space="1" w:color="000000"/>
              </w:pBdr>
              <w:bidi w:val="0"/>
              <w:spacing w:before="0" w:after="15"/>
              <w:jc w:val="both"/>
              <w:rPr>
                <w:rFonts w:ascii="Times New Roman" w:hAnsi="Times New Roman"/>
                <w:color w:val="000000"/>
                <w:sz w:val="22"/>
              </w:rPr>
            </w:pPr>
            <w:r>
              <w:rPr>
                <w:rFonts w:ascii="Times New Roman" w:hAnsi="Times New Roman"/>
                <w:color w:val="000000"/>
                <w:sz w:val="22"/>
              </w:rPr>
              <w:t>/s/ Catherine Madigan, M.D.</w:t>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both"/>
              <w:rPr/>
            </w:pPr>
            <w:r>
              <w:rPr/>
              <w:t> </w:t>
            </w:r>
          </w:p>
        </w:tc>
        <w:tc>
          <w:tcPr>
            <w:tcW w:w="1665" w:type="dxa"/>
            <w:gridSpan w:val="3"/>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364" w:type="dxa"/>
            <w:gridSpan w:val="3"/>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496" w:type="dxa"/>
            <w:tcBorders/>
            <w:vAlign w:val="center"/>
          </w:tcPr>
          <w:p>
            <w:pPr>
              <w:pStyle w:val="TableContents"/>
              <w:bidi w:val="0"/>
              <w:spacing w:before="0" w:after="283"/>
              <w:jc w:val="both"/>
              <w:rPr/>
            </w:pPr>
            <w:r>
              <w:rPr/>
              <w:t> </w:t>
            </w:r>
          </w:p>
        </w:tc>
        <w:tc>
          <w:tcPr>
            <w:tcW w:w="781" w:type="dxa"/>
            <w:tcBorders/>
            <w:vAlign w:val="center"/>
          </w:tcPr>
          <w:p>
            <w:pPr>
              <w:pStyle w:val="TableContents"/>
              <w:bidi w:val="0"/>
              <w:spacing w:before="0" w:after="283"/>
              <w:jc w:val="both"/>
              <w:rPr/>
            </w:pPr>
            <w:r>
              <w:rPr/>
              <w:t> </w:t>
            </w:r>
          </w:p>
        </w:tc>
        <w:tc>
          <w:tcPr>
            <w:tcW w:w="2536" w:type="dxa"/>
            <w:tcBorders/>
            <w:vAlign w:val="center"/>
          </w:tcPr>
          <w:p>
            <w:pPr>
              <w:pStyle w:val="TableContents"/>
              <w:bidi w:val="0"/>
              <w:spacing w:before="0" w:after="283"/>
              <w:jc w:val="both"/>
              <w:rPr/>
            </w:pPr>
            <w:r>
              <w:rPr/>
              <w:t> </w:t>
            </w:r>
          </w:p>
        </w:tc>
      </w:tr>
      <w:tr>
        <w:trPr/>
        <w:tc>
          <w:tcPr>
            <w:tcW w:w="2999" w:type="dxa"/>
            <w:gridSpan w:val="3"/>
            <w:tcBorders/>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Name:</w:t>
            </w:r>
          </w:p>
        </w:tc>
        <w:tc>
          <w:tcPr>
            <w:tcW w:w="775" w:type="dxa"/>
            <w:tcBorders/>
            <w:vAlign w:val="center"/>
          </w:tcPr>
          <w:p>
            <w:pPr>
              <w:pStyle w:val="TableContents"/>
              <w:bidi w:val="0"/>
              <w:spacing w:before="0" w:after="283"/>
              <w:jc w:val="left"/>
              <w:rPr>
                <w:sz w:val="4"/>
                <w:szCs w:val="4"/>
              </w:rPr>
            </w:pPr>
            <w:r>
              <w:rPr>
                <w:sz w:val="4"/>
                <w:szCs w:val="4"/>
              </w:rPr>
            </w:r>
          </w:p>
        </w:tc>
        <w:tc>
          <w:tcPr>
            <w:tcW w:w="1665" w:type="dxa"/>
            <w:gridSpan w:val="3"/>
            <w:tcBorders/>
            <w:vAlign w:val="center"/>
          </w:tcPr>
          <w:p>
            <w:pPr>
              <w:pStyle w:val="TableContents"/>
              <w:pBdr>
                <w:bottom w:val="single" w:sz="6" w:space="1" w:color="000000"/>
              </w:pBdr>
              <w:bidi w:val="0"/>
              <w:spacing w:before="0" w:after="15"/>
              <w:jc w:val="both"/>
              <w:rPr>
                <w:rFonts w:ascii="Times New Roman" w:hAnsi="Times New Roman"/>
                <w:color w:val="000000"/>
                <w:sz w:val="22"/>
              </w:rPr>
            </w:pPr>
            <w:r>
              <w:rPr>
                <w:rFonts w:ascii="Times New Roman" w:hAnsi="Times New Roman"/>
                <w:color w:val="000000"/>
                <w:sz w:val="22"/>
              </w:rPr>
              <w:t>Luke J. Albrecht</w:t>
            </w:r>
          </w:p>
        </w:tc>
        <w:tc>
          <w:tcPr>
            <w:tcW w:w="146" w:type="dxa"/>
            <w:tcBorders/>
            <w:vAlign w:val="center"/>
          </w:tcPr>
          <w:p>
            <w:pPr>
              <w:pStyle w:val="TableContents"/>
              <w:bidi w:val="0"/>
              <w:spacing w:before="0" w:after="283"/>
              <w:jc w:val="left"/>
              <w:rPr>
                <w:sz w:val="4"/>
                <w:szCs w:val="4"/>
              </w:rPr>
            </w:pPr>
            <w:r>
              <w:rPr>
                <w:sz w:val="4"/>
                <w:szCs w:val="4"/>
              </w:rPr>
            </w:r>
          </w:p>
        </w:tc>
        <w:tc>
          <w:tcPr>
            <w:tcW w:w="364" w:type="dxa"/>
            <w:gridSpan w:val="3"/>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both"/>
              <w:rPr/>
            </w:pPr>
            <w:r>
              <w:rPr/>
              <w:t> </w:t>
            </w:r>
          </w:p>
        </w:tc>
        <w:tc>
          <w:tcPr>
            <w:tcW w:w="781" w:type="dxa"/>
            <w:tcBorders/>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 xml:space="preserve">Name: </w:t>
            </w:r>
          </w:p>
        </w:tc>
        <w:tc>
          <w:tcPr>
            <w:tcW w:w="2536" w:type="dxa"/>
            <w:tcBorders/>
            <w:vAlign w:val="center"/>
          </w:tcPr>
          <w:p>
            <w:pPr>
              <w:pStyle w:val="TableContents"/>
              <w:pBdr>
                <w:bottom w:val="single" w:sz="6" w:space="1" w:color="000000"/>
              </w:pBdr>
              <w:bidi w:val="0"/>
              <w:spacing w:before="0" w:after="15"/>
              <w:jc w:val="both"/>
              <w:rPr>
                <w:rFonts w:ascii="Times New Roman" w:hAnsi="Times New Roman"/>
                <w:color w:val="000000"/>
                <w:sz w:val="22"/>
              </w:rPr>
            </w:pPr>
            <w:r>
              <w:rPr>
                <w:rFonts w:ascii="Times New Roman" w:hAnsi="Times New Roman"/>
                <w:color w:val="000000"/>
                <w:sz w:val="22"/>
              </w:rPr>
              <w:t>Catherine Madigan, M.D.</w:t>
            </w:r>
          </w:p>
        </w:tc>
      </w:tr>
      <w:tr>
        <w:trPr/>
        <w:tc>
          <w:tcPr>
            <w:tcW w:w="2999" w:type="dxa"/>
            <w:gridSpan w:val="3"/>
            <w:tcBorders/>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Title:</w:t>
            </w:r>
          </w:p>
        </w:tc>
        <w:tc>
          <w:tcPr>
            <w:tcW w:w="775" w:type="dxa"/>
            <w:tcBorders/>
            <w:vAlign w:val="center"/>
          </w:tcPr>
          <w:p>
            <w:pPr>
              <w:pStyle w:val="TableContents"/>
              <w:bidi w:val="0"/>
              <w:spacing w:before="0" w:after="283"/>
              <w:jc w:val="both"/>
              <w:rPr/>
            </w:pPr>
            <w:r>
              <w:rPr/>
              <w:t> </w:t>
            </w:r>
          </w:p>
        </w:tc>
        <w:tc>
          <w:tcPr>
            <w:tcW w:w="1665" w:type="dxa"/>
            <w:gridSpan w:val="3"/>
            <w:tcBorders/>
            <w:vAlign w:val="center"/>
          </w:tcPr>
          <w:p>
            <w:pPr>
              <w:pStyle w:val="TableContents"/>
              <w:pBdr>
                <w:bottom w:val="single" w:sz="6" w:space="1" w:color="000000"/>
              </w:pBdr>
              <w:bidi w:val="0"/>
              <w:spacing w:before="0" w:after="15"/>
              <w:jc w:val="both"/>
              <w:rPr>
                <w:rFonts w:ascii="Times New Roman" w:hAnsi="Times New Roman"/>
                <w:color w:val="000000"/>
                <w:sz w:val="22"/>
              </w:rPr>
            </w:pPr>
            <w:r>
              <w:rPr>
                <w:rFonts w:ascii="Times New Roman" w:hAnsi="Times New Roman"/>
                <w:color w:val="000000"/>
                <w:sz w:val="22"/>
              </w:rPr>
              <w:t>General Counsel</w:t>
            </w:r>
          </w:p>
        </w:tc>
        <w:tc>
          <w:tcPr>
            <w:tcW w:w="146" w:type="dxa"/>
            <w:tcBorders/>
            <w:vAlign w:val="center"/>
          </w:tcPr>
          <w:p>
            <w:pPr>
              <w:pStyle w:val="TableContents"/>
              <w:bidi w:val="0"/>
              <w:spacing w:before="0" w:after="283"/>
              <w:jc w:val="both"/>
              <w:rPr/>
            </w:pPr>
            <w:r>
              <w:rPr/>
              <w:t> </w:t>
            </w:r>
          </w:p>
        </w:tc>
        <w:tc>
          <w:tcPr>
            <w:tcW w:w="364" w:type="dxa"/>
            <w:gridSpan w:val="3"/>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496" w:type="dxa"/>
            <w:tcBorders/>
            <w:vAlign w:val="center"/>
          </w:tcPr>
          <w:p>
            <w:pPr>
              <w:pStyle w:val="TableContents"/>
              <w:bidi w:val="0"/>
              <w:spacing w:before="0" w:after="283"/>
              <w:jc w:val="both"/>
              <w:rPr/>
            </w:pPr>
            <w:r>
              <w:rPr/>
              <w:t> </w:t>
            </w:r>
          </w:p>
        </w:tc>
        <w:tc>
          <w:tcPr>
            <w:tcW w:w="781" w:type="dxa"/>
            <w:tcBorders/>
            <w:vAlign w:val="center"/>
          </w:tcPr>
          <w:p>
            <w:pPr>
              <w:pStyle w:val="TableContents"/>
              <w:bidi w:val="0"/>
              <w:spacing w:before="0" w:after="283"/>
              <w:jc w:val="both"/>
              <w:rPr/>
            </w:pPr>
            <w:r>
              <w:rPr/>
              <w:t> </w:t>
            </w:r>
          </w:p>
        </w:tc>
        <w:tc>
          <w:tcPr>
            <w:tcW w:w="2536" w:type="dxa"/>
            <w:tcBorders/>
            <w:vAlign w:val="center"/>
          </w:tcPr>
          <w:p>
            <w:pPr>
              <w:pStyle w:val="TableContents"/>
              <w:pBdr>
                <w:bottom w:val="single" w:sz="6" w:space="1" w:color="000000"/>
              </w:pBdr>
              <w:bidi w:val="0"/>
              <w:spacing w:before="0" w:after="15"/>
              <w:jc w:val="both"/>
              <w:rPr/>
            </w:pPr>
            <w:r>
              <w:rPr/>
              <w:t> </w:t>
            </w:r>
          </w:p>
        </w:tc>
      </w:tr>
    </w:tbl>
    <w:p>
      <w:pPr>
        <w:pStyle w:val="TextBody"/>
        <w:bidi w:val="0"/>
        <w:jc w:val="center"/>
        <w:rPr>
          <w:rFonts w:ascii="Times New Roman" w:hAnsi="Times New Roman"/>
          <w:sz w:val="20"/>
        </w:rPr>
      </w:pPr>
      <w:r>
        <w:rPr>
          <w:rFonts w:ascii="Times New Roman" w:hAnsi="Times New Roman"/>
          <w:color w:val="000000"/>
          <w:sz w:val="22"/>
        </w:rPr>
        <w:t>1</w:t>
      </w:r>
      <w:r>
        <w:rPr>
          <w:rFonts w:ascii="Arial" w:hAnsi="Arial"/>
          <w:color w:val="000000"/>
          <w:sz w:val="17"/>
        </w:rPr>
        <w:t>.</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2"/>
        </w:rPr>
      </w:pPr>
      <w:bookmarkStart w:id="51" w:name="sndx-ex10_27.htm"/>
      <w:bookmarkStart w:id="52" w:name="kssndxex10_27"/>
      <w:bookmarkEnd w:id="51"/>
      <w:bookmarkEnd w:id="52"/>
      <w:r>
        <w:rPr>
          <w:rFonts w:ascii="Times New Roman" w:hAnsi="Times New Roman"/>
          <w:color w:val="000000"/>
          <w:sz w:val="22"/>
        </w:rPr>
        <w:t>Exhibit 10.27</w:t>
      </w:r>
      <w:r>
        <w:br w:type="page"/>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AMENDMENT TO EXECUTIVE EMPLOYMENT AGREEMENT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This </w:t>
      </w:r>
      <w:r>
        <w:rPr>
          <w:rFonts w:ascii="Times New Roman" w:hAnsi="Times New Roman"/>
          <w:b/>
          <w:color w:val="000000"/>
          <w:sz w:val="22"/>
        </w:rPr>
        <w:t>AMENDMENT TO EXECUTIVE EMPLOYMENT AGREEMENT</w:t>
      </w:r>
      <w:r>
        <w:rPr>
          <w:rFonts w:ascii="Times New Roman" w:hAnsi="Times New Roman"/>
          <w:color w:val="000000"/>
          <w:sz w:val="20"/>
        </w:rPr>
        <w:t xml:space="preserve"> </w:t>
      </w:r>
      <w:r>
        <w:rPr>
          <w:rFonts w:ascii="Times New Roman" w:hAnsi="Times New Roman"/>
          <w:color w:val="000000"/>
          <w:sz w:val="22"/>
        </w:rPr>
        <w:t>(this “</w:t>
      </w:r>
      <w:r>
        <w:rPr>
          <w:rFonts w:ascii="Times New Roman" w:hAnsi="Times New Roman"/>
          <w:b/>
          <w:i/>
          <w:color w:val="000000"/>
          <w:sz w:val="22"/>
        </w:rPr>
        <w:t>Amendment</w:t>
      </w:r>
      <w:r>
        <w:rPr>
          <w:rFonts w:ascii="Times New Roman" w:hAnsi="Times New Roman"/>
          <w:color w:val="000000"/>
          <w:sz w:val="20"/>
        </w:rPr>
        <w:t>”</w:t>
      </w:r>
      <w:r>
        <w:rPr>
          <w:rFonts w:ascii="Times New Roman" w:hAnsi="Times New Roman"/>
          <w:color w:val="000000"/>
          <w:sz w:val="22"/>
        </w:rPr>
        <w:t>) is entered into as of the 26</w:t>
      </w:r>
      <w:r>
        <w:rPr>
          <w:rFonts w:ascii="Times New Roman" w:hAnsi="Times New Roman"/>
          <w:color w:val="000000"/>
          <w:sz w:val="15"/>
        </w:rPr>
        <w:t>th</w:t>
      </w:r>
      <w:r>
        <w:rPr>
          <w:rFonts w:ascii="Times New Roman" w:hAnsi="Times New Roman"/>
          <w:color w:val="000000"/>
          <w:sz w:val="20"/>
        </w:rPr>
        <w:t xml:space="preserve"> </w:t>
      </w:r>
      <w:r>
        <w:rPr>
          <w:rFonts w:ascii="Times New Roman" w:hAnsi="Times New Roman"/>
          <w:color w:val="000000"/>
          <w:sz w:val="22"/>
        </w:rPr>
        <w:t>day of February, 2024 (the “</w:t>
      </w:r>
      <w:r>
        <w:rPr>
          <w:rFonts w:ascii="Times New Roman" w:hAnsi="Times New Roman"/>
          <w:b/>
          <w:i/>
          <w:color w:val="000000"/>
          <w:sz w:val="22"/>
        </w:rPr>
        <w:t>Execution Date</w:t>
      </w:r>
      <w:r>
        <w:rPr>
          <w:rFonts w:ascii="Times New Roman" w:hAnsi="Times New Roman"/>
          <w:color w:val="000000"/>
          <w:sz w:val="20"/>
        </w:rPr>
        <w:t>”</w:t>
      </w:r>
      <w:r>
        <w:rPr>
          <w:rFonts w:ascii="Times New Roman" w:hAnsi="Times New Roman"/>
          <w:color w:val="000000"/>
          <w:sz w:val="22"/>
        </w:rPr>
        <w:t xml:space="preserve">), between </w:t>
      </w:r>
      <w:r>
        <w:rPr>
          <w:rFonts w:ascii="Times New Roman" w:hAnsi="Times New Roman"/>
          <w:b/>
          <w:color w:val="000000"/>
          <w:sz w:val="22"/>
        </w:rPr>
        <w:t xml:space="preserve">KEITH A. GOLDAN </w:t>
      </w:r>
      <w:r>
        <w:rPr>
          <w:rFonts w:ascii="Times New Roman" w:hAnsi="Times New Roman"/>
          <w:color w:val="000000"/>
          <w:sz w:val="22"/>
        </w:rPr>
        <w:t>(“</w:t>
      </w:r>
      <w:r>
        <w:rPr>
          <w:rFonts w:ascii="Times New Roman" w:hAnsi="Times New Roman"/>
          <w:b/>
          <w:i/>
          <w:color w:val="000000"/>
          <w:sz w:val="22"/>
        </w:rPr>
        <w:t>Executive</w:t>
      </w:r>
      <w:r>
        <w:rPr>
          <w:rFonts w:ascii="Times New Roman" w:hAnsi="Times New Roman"/>
          <w:color w:val="000000"/>
          <w:sz w:val="20"/>
        </w:rPr>
        <w:t>”</w:t>
      </w:r>
      <w:r>
        <w:rPr>
          <w:rFonts w:ascii="Times New Roman" w:hAnsi="Times New Roman"/>
          <w:color w:val="000000"/>
          <w:sz w:val="22"/>
        </w:rPr>
        <w:t xml:space="preserve">) and </w:t>
      </w:r>
      <w:r>
        <w:rPr>
          <w:rFonts w:ascii="Times New Roman" w:hAnsi="Times New Roman"/>
          <w:b/>
          <w:caps/>
          <w:color w:val="000000"/>
          <w:sz w:val="22"/>
        </w:rPr>
        <w:t>Syndax Pharmaceuticals, Inc.</w:t>
      </w:r>
      <w:r>
        <w:rPr>
          <w:rFonts w:ascii="Times New Roman" w:hAnsi="Times New Roman"/>
          <w:color w:val="000000"/>
          <w:sz w:val="20"/>
        </w:rPr>
        <w:t xml:space="preserve"> </w:t>
      </w:r>
      <w:r>
        <w:rPr>
          <w:rFonts w:ascii="Times New Roman" w:hAnsi="Times New Roman"/>
          <w:color w:val="000000"/>
          <w:sz w:val="22"/>
        </w:rPr>
        <w:t>(the “</w:t>
      </w:r>
      <w:r>
        <w:rPr>
          <w:rFonts w:ascii="Times New Roman" w:hAnsi="Times New Roman"/>
          <w:b/>
          <w:i/>
          <w:color w:val="000000"/>
          <w:sz w:val="22"/>
        </w:rPr>
        <w:t>Company</w:t>
      </w:r>
      <w:r>
        <w:rPr>
          <w:rFonts w:ascii="Times New Roman" w:hAnsi="Times New Roman"/>
          <w:color w:val="000000"/>
          <w:sz w:val="20"/>
        </w:rPr>
        <w:t>”</w:t>
      </w:r>
      <w:r>
        <w:rPr>
          <w:rFonts w:ascii="Times New Roman" w:hAnsi="Times New Roman"/>
          <w:color w:val="000000"/>
          <w:sz w:val="22"/>
        </w:rPr>
        <w:t>) and supplements the terms of that certain executive employment agreement by and between the Parties, dated as of June 8, 2022 (the “</w:t>
      </w:r>
      <w:r>
        <w:rPr>
          <w:rFonts w:ascii="Times New Roman" w:hAnsi="Times New Roman"/>
          <w:b/>
          <w:i/>
          <w:color w:val="000000"/>
          <w:sz w:val="22"/>
        </w:rPr>
        <w:t>Agreement</w:t>
      </w:r>
      <w:r>
        <w:rPr>
          <w:rFonts w:ascii="Times New Roman" w:hAnsi="Times New Roman"/>
          <w:color w:val="000000"/>
          <w:sz w:val="20"/>
        </w:rPr>
        <w:t>”</w:t>
      </w:r>
      <w:r>
        <w:rPr>
          <w:rFonts w:ascii="Times New Roman" w:hAnsi="Times New Roman"/>
          <w:color w:val="000000"/>
          <w:sz w:val="22"/>
        </w:rPr>
        <w:t>). Capitalized terms used and not otherwise defined herein shall have the meaning ascribed to such terms in the Agreement.</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RECITALS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Company employs Executive as its Chief Financial Officer upon the terms and conditions set forth in the Agreement.</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Compensation Committee of the Company’s Board of Directors approved certain changes to terms of Executive’s employment and the parties are entering this Amendment specifying such changes.</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AGREEMENT</w:t>
      </w:r>
    </w:p>
    <w:p>
      <w:pPr>
        <w:pStyle w:val="TextBody"/>
        <w:bidi w:val="0"/>
        <w:spacing w:before="0" w:after="240"/>
        <w:jc w:val="both"/>
        <w:rPr>
          <w:rFonts w:ascii="Times New Roman" w:hAnsi="Times New Roman"/>
          <w:sz w:val="20"/>
        </w:rPr>
      </w:pPr>
      <w:r>
        <w:rPr>
          <w:rFonts w:ascii="Times New Roman" w:hAnsi="Times New Roman"/>
          <w:b/>
          <w:color w:val="000000"/>
          <w:sz w:val="22"/>
        </w:rPr>
        <w:t>NOW, THEREFORE</w:t>
      </w:r>
      <w:r>
        <w:rPr>
          <w:rFonts w:ascii="Times New Roman" w:hAnsi="Times New Roman"/>
          <w:color w:val="000000"/>
          <w:sz w:val="22"/>
        </w:rPr>
        <w:t>, in consideration of the mutual promises contained herein, the Company and Executive agree as follows: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1.1</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Executive’s Target Performance Bonus as set forth in the Agreement is hereby amended to a threshold of up to forty-five percent (45%) of Executive’s Annual Base Salary.</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1.2</w:t>
      </w:r>
    </w:p>
    <w:p>
      <w:pPr>
        <w:pStyle w:val="TextBody"/>
        <w:bidi w:val="0"/>
        <w:spacing w:before="0" w:after="240"/>
        <w:jc w:val="both"/>
        <w:rPr/>
      </w:pPr>
      <w:r>
        <w:rPr>
          <w:color w:val="000000"/>
        </w:rPr>
        <w:t>“</w:t>
      </w:r>
      <w:r>
        <w:rPr>
          <w:rFonts w:ascii="Times New Roman" w:hAnsi="Times New Roman"/>
          <w:b/>
          <w:i/>
          <w:color w:val="000000"/>
          <w:sz w:val="22"/>
        </w:rPr>
        <w:t>Change in Control Benefits Period</w:t>
      </w:r>
      <w:r>
        <w:rPr>
          <w:color w:val="000000"/>
        </w:rPr>
        <w:t xml:space="preserve">” </w:t>
      </w:r>
      <w:r>
        <w:rPr>
          <w:rFonts w:ascii="Times New Roman" w:hAnsi="Times New Roman"/>
          <w:color w:val="000000"/>
          <w:sz w:val="22"/>
        </w:rPr>
        <w:t>means the period of eighteen (18) months commencing on the Termination Date.</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1.3</w:t>
      </w:r>
    </w:p>
    <w:p>
      <w:pPr>
        <w:pStyle w:val="TextBody"/>
        <w:bidi w:val="0"/>
        <w:spacing w:before="0" w:after="240"/>
        <w:jc w:val="both"/>
        <w:rPr/>
      </w:pPr>
      <w:r>
        <w:rPr>
          <w:color w:val="000000"/>
        </w:rPr>
        <w:t>“</w:t>
      </w:r>
      <w:r>
        <w:rPr>
          <w:rFonts w:ascii="Times New Roman" w:hAnsi="Times New Roman"/>
          <w:b/>
          <w:i/>
          <w:color w:val="000000"/>
          <w:sz w:val="22"/>
        </w:rPr>
        <w:t>Change in Control Severance Period</w:t>
      </w:r>
      <w:r>
        <w:rPr>
          <w:color w:val="000000"/>
        </w:rPr>
        <w:t xml:space="preserve">” </w:t>
      </w:r>
      <w:r>
        <w:rPr>
          <w:rFonts w:ascii="Times New Roman" w:hAnsi="Times New Roman"/>
          <w:color w:val="000000"/>
          <w:sz w:val="22"/>
        </w:rPr>
        <w:t>means the period of eighteen (18) months commencing on the Termination Date.</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1.4</w:t>
      </w:r>
    </w:p>
    <w:p>
      <w:pPr>
        <w:pStyle w:val="TextBody"/>
        <w:bidi w:val="0"/>
        <w:spacing w:before="0" w:after="240"/>
        <w:jc w:val="both"/>
        <w:rPr/>
      </w:pPr>
      <w:r>
        <w:rPr>
          <w:rFonts w:ascii="Times New Roman" w:hAnsi="Times New Roman"/>
          <w:b/>
          <w:color w:val="000000"/>
          <w:sz w:val="22"/>
        </w:rPr>
        <w:t>Effectiveness of Agreement</w:t>
      </w:r>
      <w:r>
        <w:rPr>
          <w:rFonts w:ascii="Times New Roman" w:hAnsi="Times New Roman"/>
          <w:color w:val="000000"/>
          <w:sz w:val="22"/>
        </w:rPr>
        <w:t>. This Amendment shall be effective on the Execution Date.</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 * * * *</w:t>
      </w:r>
    </w:p>
    <w:p>
      <w:pPr>
        <w:pStyle w:val="TextBody"/>
        <w:bidi w:val="0"/>
        <w:jc w:val="both"/>
        <w:rPr>
          <w:rFonts w:ascii="Times New Roman" w:hAnsi="Times New Roman"/>
          <w:sz w:val="20"/>
        </w:rPr>
      </w:pPr>
      <w:r>
        <w:rPr>
          <w:rFonts w:ascii="Times New Roman" w:hAnsi="Times New Roman"/>
          <w:b/>
          <w:color w:val="000000"/>
          <w:sz w:val="22"/>
        </w:rPr>
        <w:t>IN WITNESS WHEREOF</w:t>
      </w:r>
      <w:r>
        <w:rPr>
          <w:rFonts w:ascii="Times New Roman" w:hAnsi="Times New Roman"/>
          <w:color w:val="000000"/>
          <w:sz w:val="22"/>
        </w:rPr>
        <w:t>, the parties have executed this Amendment on the Execution Date written above.</w:t>
      </w:r>
      <w:r>
        <w:rPr>
          <w:rFonts w:ascii="Times New Roman" w:hAnsi="Times New Roman"/>
          <w:color w:val="000000"/>
          <w:sz w:val="20"/>
        </w:rPr>
        <w:t xml:space="preserve"> </w:t>
      </w:r>
    </w:p>
    <w:tbl>
      <w:tblPr>
        <w:tblW w:w="9068" w:type="dxa"/>
        <w:jc w:val="left"/>
        <w:tblInd w:w="0" w:type="dxa"/>
        <w:tblLayout w:type="fixed"/>
        <w:tblCellMar>
          <w:top w:w="28" w:type="dxa"/>
          <w:left w:w="28" w:type="dxa"/>
          <w:bottom w:w="28" w:type="dxa"/>
          <w:right w:w="28" w:type="dxa"/>
        </w:tblCellMar>
      </w:tblPr>
      <w:tblGrid>
        <w:gridCol w:w="1764"/>
        <w:gridCol w:w="658"/>
        <w:gridCol w:w="577"/>
        <w:gridCol w:w="775"/>
        <w:gridCol w:w="972"/>
        <w:gridCol w:w="395"/>
        <w:gridCol w:w="298"/>
        <w:gridCol w:w="146"/>
        <w:gridCol w:w="109"/>
        <w:gridCol w:w="146"/>
        <w:gridCol w:w="109"/>
        <w:gridCol w:w="146"/>
        <w:gridCol w:w="496"/>
        <w:gridCol w:w="781"/>
        <w:gridCol w:w="1696"/>
      </w:tblGrid>
      <w:tr>
        <w:trPr/>
        <w:tc>
          <w:tcPr>
            <w:tcW w:w="1764"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r>
      <w:tr>
        <w:trPr/>
        <w:tc>
          <w:tcPr>
            <w:tcW w:w="1764" w:type="dxa"/>
            <w:tcBorders/>
            <w:vAlign w:val="center"/>
          </w:tcPr>
          <w:p>
            <w:pPr>
              <w:pStyle w:val="TableContents"/>
              <w:bidi w:val="0"/>
              <w:spacing w:before="0" w:after="283"/>
              <w:jc w:val="both"/>
              <w:rPr/>
            </w:pPr>
            <w:r>
              <w:rPr/>
              <w:t> </w:t>
            </w:r>
          </w:p>
        </w:tc>
        <w:tc>
          <w:tcPr>
            <w:tcW w:w="658" w:type="dxa"/>
            <w:tcBorders/>
            <w:vAlign w:val="center"/>
          </w:tcPr>
          <w:p>
            <w:pPr>
              <w:pStyle w:val="TableContents"/>
              <w:bidi w:val="0"/>
              <w:spacing w:before="0" w:after="283"/>
              <w:jc w:val="both"/>
              <w:rPr/>
            </w:pPr>
            <w:r>
              <w:rPr/>
              <w:t> </w:t>
            </w:r>
          </w:p>
        </w:tc>
        <w:tc>
          <w:tcPr>
            <w:tcW w:w="2324" w:type="dxa"/>
            <w:gridSpan w:val="3"/>
            <w:tcBorders/>
            <w:vAlign w:val="center"/>
          </w:tcPr>
          <w:p>
            <w:pPr>
              <w:pStyle w:val="TableContents"/>
              <w:bidi w:val="0"/>
              <w:spacing w:before="0" w:after="283"/>
              <w:jc w:val="both"/>
              <w:rPr/>
            </w:pPr>
            <w:r>
              <w:rPr/>
              <w:t> </w:t>
            </w:r>
          </w:p>
        </w:tc>
        <w:tc>
          <w:tcPr>
            <w:tcW w:w="395" w:type="dxa"/>
            <w:tcBorders/>
            <w:vAlign w:val="center"/>
          </w:tcPr>
          <w:p>
            <w:pPr>
              <w:pStyle w:val="TableContents"/>
              <w:bidi w:val="0"/>
              <w:spacing w:before="0" w:after="283"/>
              <w:jc w:val="both"/>
              <w:rPr/>
            </w:pPr>
            <w:r>
              <w:rPr/>
              <w:t> </w:t>
            </w:r>
          </w:p>
        </w:tc>
        <w:tc>
          <w:tcPr>
            <w:tcW w:w="553" w:type="dxa"/>
            <w:gridSpan w:val="3"/>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255" w:type="dxa"/>
            <w:gridSpan w:val="2"/>
            <w:tcBorders/>
            <w:vAlign w:val="center"/>
          </w:tcPr>
          <w:p>
            <w:pPr>
              <w:pStyle w:val="TableContents"/>
              <w:bidi w:val="0"/>
              <w:spacing w:before="0" w:after="283"/>
              <w:jc w:val="both"/>
              <w:rPr/>
            </w:pPr>
            <w:r>
              <w:rPr/>
              <w:t> </w:t>
            </w:r>
          </w:p>
        </w:tc>
        <w:tc>
          <w:tcPr>
            <w:tcW w:w="496" w:type="dxa"/>
            <w:tcBorders/>
            <w:vAlign w:val="center"/>
          </w:tcPr>
          <w:p>
            <w:pPr>
              <w:pStyle w:val="TableContents"/>
              <w:bidi w:val="0"/>
              <w:spacing w:before="0" w:after="283"/>
              <w:jc w:val="both"/>
              <w:rPr/>
            </w:pPr>
            <w:r>
              <w:rPr/>
              <w:t> </w:t>
            </w:r>
          </w:p>
        </w:tc>
        <w:tc>
          <w:tcPr>
            <w:tcW w:w="2477" w:type="dxa"/>
            <w:gridSpan w:val="2"/>
            <w:tcBorders/>
            <w:vAlign w:val="center"/>
          </w:tcPr>
          <w:p>
            <w:pPr>
              <w:pStyle w:val="TableContents"/>
              <w:bidi w:val="0"/>
              <w:spacing w:before="0" w:after="283"/>
              <w:jc w:val="both"/>
              <w:rPr/>
            </w:pPr>
            <w:r>
              <w:rPr/>
              <w:t> </w:t>
            </w:r>
          </w:p>
        </w:tc>
      </w:tr>
      <w:tr>
        <w:trPr/>
        <w:tc>
          <w:tcPr>
            <w:tcW w:w="4746" w:type="dxa"/>
            <w:gridSpan w:val="5"/>
            <w:tcBorders/>
            <w:vAlign w:val="center"/>
          </w:tcPr>
          <w:p>
            <w:pPr>
              <w:pStyle w:val="TableContents"/>
              <w:bidi w:val="0"/>
              <w:spacing w:before="0" w:after="283"/>
              <w:jc w:val="both"/>
              <w:rPr>
                <w:rFonts w:ascii="Times New Roman" w:hAnsi="Times New Roman"/>
                <w:b/>
                <w:caps/>
                <w:color w:val="000000"/>
                <w:sz w:val="22"/>
              </w:rPr>
            </w:pPr>
            <w:r>
              <w:rPr>
                <w:rFonts w:ascii="Times New Roman" w:hAnsi="Times New Roman"/>
                <w:b/>
                <w:caps/>
                <w:color w:val="000000"/>
                <w:sz w:val="22"/>
              </w:rPr>
              <w:t>Syndax Pharmaceuticals, Inc.</w:t>
            </w:r>
          </w:p>
        </w:tc>
        <w:tc>
          <w:tcPr>
            <w:tcW w:w="395" w:type="dxa"/>
            <w:tcBorders/>
            <w:vAlign w:val="center"/>
          </w:tcPr>
          <w:p>
            <w:pPr>
              <w:pStyle w:val="TableContents"/>
              <w:bidi w:val="0"/>
              <w:spacing w:before="0" w:after="283"/>
              <w:jc w:val="left"/>
              <w:rPr>
                <w:sz w:val="4"/>
                <w:szCs w:val="4"/>
              </w:rPr>
            </w:pPr>
            <w:r>
              <w:rPr>
                <w:sz w:val="4"/>
                <w:szCs w:val="4"/>
              </w:rPr>
            </w:r>
          </w:p>
        </w:tc>
        <w:tc>
          <w:tcPr>
            <w:tcW w:w="553" w:type="dxa"/>
            <w:gridSpan w:val="3"/>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255" w:type="dxa"/>
            <w:gridSpan w:val="2"/>
            <w:tcBorders/>
            <w:vAlign w:val="center"/>
          </w:tcPr>
          <w:p>
            <w:pPr>
              <w:pStyle w:val="TableContents"/>
              <w:bidi w:val="0"/>
              <w:spacing w:before="0" w:after="283"/>
              <w:jc w:val="both"/>
              <w:rPr/>
            </w:pPr>
            <w:r>
              <w:rPr/>
              <w:t> </w:t>
            </w:r>
          </w:p>
        </w:tc>
        <w:tc>
          <w:tcPr>
            <w:tcW w:w="496" w:type="dxa"/>
            <w:tcBorders/>
            <w:vAlign w:val="center"/>
          </w:tcPr>
          <w:p>
            <w:pPr>
              <w:pStyle w:val="TableContents"/>
              <w:bidi w:val="0"/>
              <w:spacing w:before="0" w:after="283"/>
              <w:jc w:val="left"/>
              <w:rPr>
                <w:sz w:val="4"/>
                <w:szCs w:val="4"/>
              </w:rPr>
            </w:pPr>
            <w:r>
              <w:rPr>
                <w:sz w:val="4"/>
                <w:szCs w:val="4"/>
              </w:rPr>
            </w:r>
          </w:p>
        </w:tc>
        <w:tc>
          <w:tcPr>
            <w:tcW w:w="2477" w:type="dxa"/>
            <w:gridSpan w:val="2"/>
            <w:tcBorders/>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EXECUTIVE</w:t>
            </w:r>
          </w:p>
        </w:tc>
      </w:tr>
      <w:tr>
        <w:trPr/>
        <w:tc>
          <w:tcPr>
            <w:tcW w:w="1764" w:type="dxa"/>
            <w:tcBorders/>
            <w:vAlign w:val="center"/>
          </w:tcPr>
          <w:p>
            <w:pPr>
              <w:pStyle w:val="TableContents"/>
              <w:bidi w:val="0"/>
              <w:spacing w:before="0" w:after="283"/>
              <w:jc w:val="both"/>
              <w:rPr/>
            </w:pPr>
            <w:r>
              <w:rPr/>
              <w:t> </w:t>
            </w:r>
          </w:p>
        </w:tc>
        <w:tc>
          <w:tcPr>
            <w:tcW w:w="2982" w:type="dxa"/>
            <w:gridSpan w:val="4"/>
            <w:tcBorders/>
            <w:vAlign w:val="center"/>
          </w:tcPr>
          <w:p>
            <w:pPr>
              <w:pStyle w:val="TableContents"/>
              <w:bidi w:val="0"/>
              <w:spacing w:before="0" w:after="283"/>
              <w:jc w:val="both"/>
              <w:rPr/>
            </w:pPr>
            <w:r>
              <w:rPr/>
              <w:t> </w:t>
            </w:r>
          </w:p>
        </w:tc>
        <w:tc>
          <w:tcPr>
            <w:tcW w:w="948" w:type="dxa"/>
            <w:gridSpan w:val="4"/>
            <w:tcBorders/>
            <w:vAlign w:val="center"/>
          </w:tcPr>
          <w:p>
            <w:pPr>
              <w:pStyle w:val="TableContents"/>
              <w:bidi w:val="0"/>
              <w:spacing w:before="0" w:after="283"/>
              <w:jc w:val="both"/>
              <w:rPr/>
            </w:pPr>
            <w:r>
              <w:rPr/>
              <w:t> </w:t>
            </w:r>
          </w:p>
        </w:tc>
        <w:tc>
          <w:tcPr>
            <w:tcW w:w="401" w:type="dxa"/>
            <w:gridSpan w:val="3"/>
            <w:tcBorders/>
            <w:vAlign w:val="center"/>
          </w:tcPr>
          <w:p>
            <w:pPr>
              <w:pStyle w:val="TableContents"/>
              <w:bidi w:val="0"/>
              <w:spacing w:before="0" w:after="283"/>
              <w:jc w:val="both"/>
              <w:rPr/>
            </w:pPr>
            <w:r>
              <w:rPr/>
              <w:t> </w:t>
            </w:r>
          </w:p>
        </w:tc>
        <w:tc>
          <w:tcPr>
            <w:tcW w:w="2973" w:type="dxa"/>
            <w:gridSpan w:val="3"/>
            <w:tcBorders/>
            <w:vAlign w:val="center"/>
          </w:tcPr>
          <w:p>
            <w:pPr>
              <w:pStyle w:val="TableContents"/>
              <w:bidi w:val="0"/>
              <w:spacing w:before="0" w:after="283"/>
              <w:jc w:val="both"/>
              <w:rPr/>
            </w:pPr>
            <w:r>
              <w:rPr/>
              <w:t> </w:t>
            </w:r>
          </w:p>
        </w:tc>
      </w:tr>
      <w:tr>
        <w:trPr/>
        <w:tc>
          <w:tcPr>
            <w:tcW w:w="1764" w:type="dxa"/>
            <w:tcBorders/>
            <w:vAlign w:val="center"/>
          </w:tcPr>
          <w:p>
            <w:pPr>
              <w:pStyle w:val="TableContents"/>
              <w:bidi w:val="0"/>
              <w:jc w:val="both"/>
              <w:rPr/>
            </w:pPr>
            <w:r>
              <w:rPr/>
              <w:t> </w:t>
            </w:r>
          </w:p>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By:</w:t>
            </w:r>
          </w:p>
        </w:tc>
        <w:tc>
          <w:tcPr>
            <w:tcW w:w="658" w:type="dxa"/>
            <w:tcBorders/>
            <w:vAlign w:val="center"/>
          </w:tcPr>
          <w:p>
            <w:pPr>
              <w:pStyle w:val="TableContents"/>
              <w:bidi w:val="0"/>
              <w:spacing w:before="0" w:after="283"/>
              <w:jc w:val="left"/>
              <w:rPr>
                <w:sz w:val="4"/>
                <w:szCs w:val="4"/>
              </w:rPr>
            </w:pPr>
            <w:r>
              <w:rPr>
                <w:sz w:val="4"/>
                <w:szCs w:val="4"/>
              </w:rPr>
            </w:r>
          </w:p>
        </w:tc>
        <w:tc>
          <w:tcPr>
            <w:tcW w:w="2324" w:type="dxa"/>
            <w:gridSpan w:val="3"/>
            <w:tcBorders/>
            <w:vAlign w:val="center"/>
          </w:tcPr>
          <w:p>
            <w:pPr>
              <w:pStyle w:val="TableContents"/>
              <w:bidi w:val="0"/>
              <w:spacing w:before="0" w:after="15"/>
              <w:jc w:val="both"/>
              <w:rPr/>
            </w:pPr>
            <w:r>
              <w:rPr/>
              <w:t> </w:t>
            </w:r>
          </w:p>
          <w:p>
            <w:pPr>
              <w:pStyle w:val="TableContents"/>
              <w:pBdr>
                <w:bottom w:val="single" w:sz="6" w:space="1" w:color="000000"/>
              </w:pBdr>
              <w:bidi w:val="0"/>
              <w:spacing w:before="0" w:after="15"/>
              <w:jc w:val="both"/>
              <w:rPr>
                <w:rFonts w:ascii="Times New Roman" w:hAnsi="Times New Roman"/>
                <w:color w:val="000000"/>
                <w:sz w:val="22"/>
              </w:rPr>
            </w:pPr>
            <w:r>
              <w:rPr>
                <w:rFonts w:ascii="Times New Roman" w:hAnsi="Times New Roman"/>
                <w:color w:val="000000"/>
                <w:sz w:val="22"/>
              </w:rPr>
              <w:t>/s/ Luke J. Albrecht</w:t>
            </w:r>
          </w:p>
        </w:tc>
        <w:tc>
          <w:tcPr>
            <w:tcW w:w="395" w:type="dxa"/>
            <w:tcBorders/>
            <w:vAlign w:val="center"/>
          </w:tcPr>
          <w:p>
            <w:pPr>
              <w:pStyle w:val="TableContents"/>
              <w:bidi w:val="0"/>
              <w:spacing w:before="0" w:after="283"/>
              <w:jc w:val="left"/>
              <w:rPr>
                <w:sz w:val="4"/>
                <w:szCs w:val="4"/>
              </w:rPr>
            </w:pPr>
            <w:r>
              <w:rPr>
                <w:sz w:val="4"/>
                <w:szCs w:val="4"/>
              </w:rPr>
            </w:r>
          </w:p>
        </w:tc>
        <w:tc>
          <w:tcPr>
            <w:tcW w:w="553" w:type="dxa"/>
            <w:gridSpan w:val="3"/>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255" w:type="dxa"/>
            <w:gridSpan w:val="2"/>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 xml:space="preserve">By: </w:t>
            </w:r>
          </w:p>
        </w:tc>
        <w:tc>
          <w:tcPr>
            <w:tcW w:w="2477" w:type="dxa"/>
            <w:gridSpan w:val="2"/>
            <w:tcBorders/>
            <w:vAlign w:val="center"/>
          </w:tcPr>
          <w:p>
            <w:pPr>
              <w:pStyle w:val="TableContents"/>
              <w:bidi w:val="0"/>
              <w:spacing w:before="0" w:after="15"/>
              <w:jc w:val="both"/>
              <w:rPr/>
            </w:pPr>
            <w:r>
              <w:rPr/>
              <w:t> </w:t>
            </w:r>
          </w:p>
          <w:p>
            <w:pPr>
              <w:pStyle w:val="TableContents"/>
              <w:pBdr>
                <w:bottom w:val="single" w:sz="6" w:space="1" w:color="000000"/>
              </w:pBdr>
              <w:bidi w:val="0"/>
              <w:spacing w:before="0" w:after="15"/>
              <w:jc w:val="both"/>
              <w:rPr>
                <w:rFonts w:ascii="Times New Roman" w:hAnsi="Times New Roman"/>
                <w:color w:val="000000"/>
                <w:sz w:val="22"/>
              </w:rPr>
            </w:pPr>
            <w:r>
              <w:rPr>
                <w:rFonts w:ascii="Times New Roman" w:hAnsi="Times New Roman"/>
                <w:color w:val="000000"/>
                <w:sz w:val="22"/>
              </w:rPr>
              <w:t>/s/ Keith A. Goldan</w:t>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both"/>
              <w:rPr/>
            </w:pPr>
            <w:r>
              <w:rPr/>
              <w:t> </w:t>
            </w:r>
          </w:p>
        </w:tc>
        <w:tc>
          <w:tcPr>
            <w:tcW w:w="1665" w:type="dxa"/>
            <w:gridSpan w:val="3"/>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364" w:type="dxa"/>
            <w:gridSpan w:val="3"/>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496" w:type="dxa"/>
            <w:tcBorders/>
            <w:vAlign w:val="center"/>
          </w:tcPr>
          <w:p>
            <w:pPr>
              <w:pStyle w:val="TableContents"/>
              <w:bidi w:val="0"/>
              <w:spacing w:before="0" w:after="283"/>
              <w:jc w:val="both"/>
              <w:rPr/>
            </w:pPr>
            <w:r>
              <w:rPr/>
              <w:t> </w:t>
            </w:r>
          </w:p>
        </w:tc>
        <w:tc>
          <w:tcPr>
            <w:tcW w:w="781" w:type="dxa"/>
            <w:tcBorders/>
            <w:vAlign w:val="center"/>
          </w:tcPr>
          <w:p>
            <w:pPr>
              <w:pStyle w:val="TableContents"/>
              <w:bidi w:val="0"/>
              <w:spacing w:before="0" w:after="283"/>
              <w:jc w:val="both"/>
              <w:rPr/>
            </w:pPr>
            <w:r>
              <w:rPr/>
              <w:t> </w:t>
            </w:r>
          </w:p>
        </w:tc>
        <w:tc>
          <w:tcPr>
            <w:tcW w:w="1696" w:type="dxa"/>
            <w:tcBorders/>
            <w:vAlign w:val="center"/>
          </w:tcPr>
          <w:p>
            <w:pPr>
              <w:pStyle w:val="TableContents"/>
              <w:bidi w:val="0"/>
              <w:spacing w:before="0" w:after="283"/>
              <w:jc w:val="both"/>
              <w:rPr/>
            </w:pPr>
            <w:r>
              <w:rPr/>
              <w:t> </w:t>
            </w:r>
          </w:p>
        </w:tc>
      </w:tr>
      <w:tr>
        <w:trPr/>
        <w:tc>
          <w:tcPr>
            <w:tcW w:w="2999" w:type="dxa"/>
            <w:gridSpan w:val="3"/>
            <w:tcBorders/>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Name:</w:t>
            </w:r>
          </w:p>
        </w:tc>
        <w:tc>
          <w:tcPr>
            <w:tcW w:w="775" w:type="dxa"/>
            <w:tcBorders/>
            <w:vAlign w:val="center"/>
          </w:tcPr>
          <w:p>
            <w:pPr>
              <w:pStyle w:val="TableContents"/>
              <w:bidi w:val="0"/>
              <w:spacing w:before="0" w:after="283"/>
              <w:jc w:val="left"/>
              <w:rPr>
                <w:sz w:val="4"/>
                <w:szCs w:val="4"/>
              </w:rPr>
            </w:pPr>
            <w:r>
              <w:rPr>
                <w:sz w:val="4"/>
                <w:szCs w:val="4"/>
              </w:rPr>
            </w:r>
          </w:p>
        </w:tc>
        <w:tc>
          <w:tcPr>
            <w:tcW w:w="1665" w:type="dxa"/>
            <w:gridSpan w:val="3"/>
            <w:tcBorders/>
            <w:vAlign w:val="center"/>
          </w:tcPr>
          <w:p>
            <w:pPr>
              <w:pStyle w:val="TableContents"/>
              <w:pBdr>
                <w:bottom w:val="single" w:sz="6" w:space="1" w:color="000000"/>
              </w:pBdr>
              <w:bidi w:val="0"/>
              <w:spacing w:before="0" w:after="15"/>
              <w:jc w:val="both"/>
              <w:rPr>
                <w:rFonts w:ascii="Times New Roman" w:hAnsi="Times New Roman"/>
                <w:color w:val="000000"/>
                <w:sz w:val="22"/>
              </w:rPr>
            </w:pPr>
            <w:r>
              <w:rPr>
                <w:rFonts w:ascii="Times New Roman" w:hAnsi="Times New Roman"/>
                <w:color w:val="000000"/>
                <w:sz w:val="22"/>
              </w:rPr>
              <w:t>Luke J. Albrecht</w:t>
            </w:r>
          </w:p>
        </w:tc>
        <w:tc>
          <w:tcPr>
            <w:tcW w:w="146" w:type="dxa"/>
            <w:tcBorders/>
            <w:vAlign w:val="center"/>
          </w:tcPr>
          <w:p>
            <w:pPr>
              <w:pStyle w:val="TableContents"/>
              <w:bidi w:val="0"/>
              <w:spacing w:before="0" w:after="283"/>
              <w:jc w:val="left"/>
              <w:rPr>
                <w:sz w:val="4"/>
                <w:szCs w:val="4"/>
              </w:rPr>
            </w:pPr>
            <w:r>
              <w:rPr>
                <w:sz w:val="4"/>
                <w:szCs w:val="4"/>
              </w:rPr>
            </w:r>
          </w:p>
        </w:tc>
        <w:tc>
          <w:tcPr>
            <w:tcW w:w="364" w:type="dxa"/>
            <w:gridSpan w:val="3"/>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both"/>
              <w:rPr/>
            </w:pPr>
            <w:r>
              <w:rPr/>
              <w:t> </w:t>
            </w:r>
          </w:p>
        </w:tc>
        <w:tc>
          <w:tcPr>
            <w:tcW w:w="781" w:type="dxa"/>
            <w:tcBorders/>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 xml:space="preserve">Name: </w:t>
            </w:r>
          </w:p>
        </w:tc>
        <w:tc>
          <w:tcPr>
            <w:tcW w:w="1696" w:type="dxa"/>
            <w:tcBorders/>
            <w:vAlign w:val="center"/>
          </w:tcPr>
          <w:p>
            <w:pPr>
              <w:pStyle w:val="TableContents"/>
              <w:pBdr>
                <w:bottom w:val="single" w:sz="6" w:space="1" w:color="000000"/>
              </w:pBdr>
              <w:bidi w:val="0"/>
              <w:spacing w:before="0" w:after="15"/>
              <w:jc w:val="both"/>
              <w:rPr>
                <w:rFonts w:ascii="Times New Roman" w:hAnsi="Times New Roman"/>
                <w:color w:val="000000"/>
                <w:sz w:val="22"/>
              </w:rPr>
            </w:pPr>
            <w:r>
              <w:rPr>
                <w:rFonts w:ascii="Times New Roman" w:hAnsi="Times New Roman"/>
                <w:color w:val="000000"/>
                <w:sz w:val="22"/>
              </w:rPr>
              <w:t>Keith A. Goldan</w:t>
            </w:r>
          </w:p>
        </w:tc>
      </w:tr>
      <w:tr>
        <w:trPr/>
        <w:tc>
          <w:tcPr>
            <w:tcW w:w="2999" w:type="dxa"/>
            <w:gridSpan w:val="3"/>
            <w:tcBorders/>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Title:</w:t>
            </w:r>
          </w:p>
        </w:tc>
        <w:tc>
          <w:tcPr>
            <w:tcW w:w="775" w:type="dxa"/>
            <w:tcBorders/>
            <w:vAlign w:val="center"/>
          </w:tcPr>
          <w:p>
            <w:pPr>
              <w:pStyle w:val="TableContents"/>
              <w:bidi w:val="0"/>
              <w:spacing w:before="0" w:after="283"/>
              <w:jc w:val="both"/>
              <w:rPr/>
            </w:pPr>
            <w:r>
              <w:rPr/>
              <w:t> </w:t>
            </w:r>
          </w:p>
        </w:tc>
        <w:tc>
          <w:tcPr>
            <w:tcW w:w="1665" w:type="dxa"/>
            <w:gridSpan w:val="3"/>
            <w:tcBorders/>
            <w:vAlign w:val="center"/>
          </w:tcPr>
          <w:p>
            <w:pPr>
              <w:pStyle w:val="TableContents"/>
              <w:pBdr>
                <w:bottom w:val="single" w:sz="6" w:space="1" w:color="000000"/>
              </w:pBdr>
              <w:bidi w:val="0"/>
              <w:spacing w:before="0" w:after="15"/>
              <w:jc w:val="both"/>
              <w:rPr>
                <w:rFonts w:ascii="Times New Roman" w:hAnsi="Times New Roman"/>
                <w:color w:val="000000"/>
                <w:sz w:val="22"/>
              </w:rPr>
            </w:pPr>
            <w:r>
              <w:rPr>
                <w:rFonts w:ascii="Times New Roman" w:hAnsi="Times New Roman"/>
                <w:color w:val="000000"/>
                <w:sz w:val="22"/>
              </w:rPr>
              <w:t>General Counsel</w:t>
            </w:r>
          </w:p>
        </w:tc>
        <w:tc>
          <w:tcPr>
            <w:tcW w:w="146" w:type="dxa"/>
            <w:tcBorders/>
            <w:vAlign w:val="center"/>
          </w:tcPr>
          <w:p>
            <w:pPr>
              <w:pStyle w:val="TableContents"/>
              <w:bidi w:val="0"/>
              <w:spacing w:before="0" w:after="283"/>
              <w:jc w:val="both"/>
              <w:rPr/>
            </w:pPr>
            <w:r>
              <w:rPr/>
              <w:t> </w:t>
            </w:r>
          </w:p>
        </w:tc>
        <w:tc>
          <w:tcPr>
            <w:tcW w:w="364" w:type="dxa"/>
            <w:gridSpan w:val="3"/>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496" w:type="dxa"/>
            <w:tcBorders/>
            <w:vAlign w:val="center"/>
          </w:tcPr>
          <w:p>
            <w:pPr>
              <w:pStyle w:val="TableContents"/>
              <w:bidi w:val="0"/>
              <w:spacing w:before="0" w:after="283"/>
              <w:jc w:val="both"/>
              <w:rPr/>
            </w:pPr>
            <w:r>
              <w:rPr/>
              <w:t> </w:t>
            </w:r>
          </w:p>
        </w:tc>
        <w:tc>
          <w:tcPr>
            <w:tcW w:w="781" w:type="dxa"/>
            <w:tcBorders/>
            <w:vAlign w:val="center"/>
          </w:tcPr>
          <w:p>
            <w:pPr>
              <w:pStyle w:val="TableContents"/>
              <w:bidi w:val="0"/>
              <w:spacing w:before="0" w:after="283"/>
              <w:jc w:val="both"/>
              <w:rPr/>
            </w:pPr>
            <w:r>
              <w:rPr/>
              <w:t> </w:t>
            </w:r>
          </w:p>
        </w:tc>
        <w:tc>
          <w:tcPr>
            <w:tcW w:w="1696" w:type="dxa"/>
            <w:tcBorders/>
            <w:vAlign w:val="center"/>
          </w:tcPr>
          <w:p>
            <w:pPr>
              <w:pStyle w:val="TableContents"/>
              <w:pBdr>
                <w:bottom w:val="single" w:sz="6" w:space="1" w:color="000000"/>
              </w:pBdr>
              <w:bidi w:val="0"/>
              <w:spacing w:before="0" w:after="15"/>
              <w:jc w:val="both"/>
              <w:rPr/>
            </w:pPr>
            <w:r>
              <w:rPr/>
              <w:t> </w:t>
            </w:r>
          </w:p>
        </w:tc>
      </w:tr>
    </w:tbl>
    <w:p>
      <w:pPr>
        <w:pStyle w:val="TextBody"/>
        <w:bidi w:val="0"/>
        <w:jc w:val="center"/>
        <w:rPr>
          <w:rFonts w:ascii="Times New Roman" w:hAnsi="Times New Roman"/>
          <w:sz w:val="20"/>
        </w:rPr>
      </w:pPr>
      <w:r>
        <w:rPr>
          <w:rFonts w:ascii="Times New Roman" w:hAnsi="Times New Roman"/>
          <w:color w:val="000000"/>
          <w:sz w:val="22"/>
        </w:rPr>
        <w:t>1</w:t>
      </w:r>
      <w:r>
        <w:rPr>
          <w:rFonts w:ascii="Arial" w:hAnsi="Arial"/>
          <w:color w:val="000000"/>
          <w:sz w:val="17"/>
        </w:rPr>
        <w:t>.</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2"/>
        </w:rPr>
      </w:pPr>
      <w:bookmarkStart w:id="53" w:name="sndx-ex10_30.htm"/>
      <w:bookmarkStart w:id="54" w:name="kssndxex10_30"/>
      <w:bookmarkEnd w:id="53"/>
      <w:bookmarkEnd w:id="54"/>
      <w:r>
        <w:rPr>
          <w:rFonts w:ascii="Times New Roman" w:hAnsi="Times New Roman"/>
          <w:color w:val="000000"/>
          <w:sz w:val="22"/>
        </w:rPr>
        <w:t>Exhibit 10.30</w:t>
      </w:r>
      <w:r>
        <w:br w:type="page"/>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AMENDMENT TO EXECUTIVE EMPLOYMENT AGREEMENT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This </w:t>
      </w:r>
      <w:r>
        <w:rPr>
          <w:rFonts w:ascii="Times New Roman" w:hAnsi="Times New Roman"/>
          <w:b/>
          <w:color w:val="000000"/>
          <w:sz w:val="22"/>
        </w:rPr>
        <w:t>AMENDMENT TO EXECUTIVE EMPLOYMENT AGREEMENT</w:t>
      </w:r>
      <w:r>
        <w:rPr>
          <w:rFonts w:ascii="Times New Roman" w:hAnsi="Times New Roman"/>
          <w:color w:val="000000"/>
          <w:sz w:val="20"/>
        </w:rPr>
        <w:t xml:space="preserve"> </w:t>
      </w:r>
      <w:r>
        <w:rPr>
          <w:rFonts w:ascii="Times New Roman" w:hAnsi="Times New Roman"/>
          <w:color w:val="000000"/>
          <w:sz w:val="22"/>
        </w:rPr>
        <w:t>(this “</w:t>
      </w:r>
      <w:r>
        <w:rPr>
          <w:rFonts w:ascii="Times New Roman" w:hAnsi="Times New Roman"/>
          <w:b/>
          <w:i/>
          <w:color w:val="000000"/>
          <w:sz w:val="22"/>
        </w:rPr>
        <w:t>Amendment</w:t>
      </w:r>
      <w:r>
        <w:rPr>
          <w:rFonts w:ascii="Times New Roman" w:hAnsi="Times New Roman"/>
          <w:color w:val="000000"/>
          <w:sz w:val="20"/>
        </w:rPr>
        <w:t>”</w:t>
      </w:r>
      <w:r>
        <w:rPr>
          <w:rFonts w:ascii="Times New Roman" w:hAnsi="Times New Roman"/>
          <w:color w:val="000000"/>
          <w:sz w:val="22"/>
        </w:rPr>
        <w:t>) is entered into as of the 26</w:t>
      </w:r>
      <w:r>
        <w:rPr>
          <w:rFonts w:ascii="Times New Roman" w:hAnsi="Times New Roman"/>
          <w:color w:val="000000"/>
          <w:sz w:val="15"/>
        </w:rPr>
        <w:t>th</w:t>
      </w:r>
      <w:r>
        <w:rPr>
          <w:rFonts w:ascii="Times New Roman" w:hAnsi="Times New Roman"/>
          <w:color w:val="000000"/>
          <w:sz w:val="20"/>
        </w:rPr>
        <w:t xml:space="preserve"> </w:t>
      </w:r>
      <w:r>
        <w:rPr>
          <w:rFonts w:ascii="Times New Roman" w:hAnsi="Times New Roman"/>
          <w:color w:val="000000"/>
          <w:sz w:val="22"/>
        </w:rPr>
        <w:t>day of February, 2024 (the “</w:t>
      </w:r>
      <w:r>
        <w:rPr>
          <w:rFonts w:ascii="Times New Roman" w:hAnsi="Times New Roman"/>
          <w:b/>
          <w:i/>
          <w:color w:val="000000"/>
          <w:sz w:val="22"/>
        </w:rPr>
        <w:t>Execution Date</w:t>
      </w:r>
      <w:r>
        <w:rPr>
          <w:rFonts w:ascii="Times New Roman" w:hAnsi="Times New Roman"/>
          <w:color w:val="000000"/>
          <w:sz w:val="20"/>
        </w:rPr>
        <w:t>”</w:t>
      </w:r>
      <w:r>
        <w:rPr>
          <w:rFonts w:ascii="Times New Roman" w:hAnsi="Times New Roman"/>
          <w:color w:val="000000"/>
          <w:sz w:val="22"/>
        </w:rPr>
        <w:t xml:space="preserve">), between </w:t>
      </w:r>
      <w:r>
        <w:rPr>
          <w:rFonts w:ascii="Times New Roman" w:hAnsi="Times New Roman"/>
          <w:b/>
          <w:color w:val="000000"/>
          <w:sz w:val="22"/>
        </w:rPr>
        <w:t xml:space="preserve">NEIL GALLAGHER, M.D., Ph.D. </w:t>
      </w:r>
      <w:r>
        <w:rPr>
          <w:rFonts w:ascii="Times New Roman" w:hAnsi="Times New Roman"/>
          <w:color w:val="000000"/>
          <w:sz w:val="22"/>
        </w:rPr>
        <w:t>(“</w:t>
      </w:r>
      <w:r>
        <w:rPr>
          <w:rFonts w:ascii="Times New Roman" w:hAnsi="Times New Roman"/>
          <w:b/>
          <w:i/>
          <w:color w:val="000000"/>
          <w:sz w:val="22"/>
        </w:rPr>
        <w:t>Executive</w:t>
      </w:r>
      <w:r>
        <w:rPr>
          <w:rFonts w:ascii="Times New Roman" w:hAnsi="Times New Roman"/>
          <w:color w:val="000000"/>
          <w:sz w:val="20"/>
        </w:rPr>
        <w:t>”</w:t>
      </w:r>
      <w:r>
        <w:rPr>
          <w:rFonts w:ascii="Times New Roman" w:hAnsi="Times New Roman"/>
          <w:color w:val="000000"/>
          <w:sz w:val="22"/>
        </w:rPr>
        <w:t xml:space="preserve">) and </w:t>
      </w:r>
      <w:r>
        <w:rPr>
          <w:rFonts w:ascii="Times New Roman" w:hAnsi="Times New Roman"/>
          <w:b/>
          <w:caps/>
          <w:color w:val="000000"/>
          <w:sz w:val="22"/>
        </w:rPr>
        <w:t>Syndax Pharmaceuticals, Inc.</w:t>
      </w:r>
      <w:r>
        <w:rPr>
          <w:rFonts w:ascii="Times New Roman" w:hAnsi="Times New Roman"/>
          <w:color w:val="000000"/>
          <w:sz w:val="20"/>
        </w:rPr>
        <w:t xml:space="preserve"> </w:t>
      </w:r>
      <w:r>
        <w:rPr>
          <w:rFonts w:ascii="Times New Roman" w:hAnsi="Times New Roman"/>
          <w:color w:val="000000"/>
          <w:sz w:val="22"/>
        </w:rPr>
        <w:t>(the “</w:t>
      </w:r>
      <w:r>
        <w:rPr>
          <w:rFonts w:ascii="Times New Roman" w:hAnsi="Times New Roman"/>
          <w:b/>
          <w:i/>
          <w:color w:val="000000"/>
          <w:sz w:val="22"/>
        </w:rPr>
        <w:t>Company</w:t>
      </w:r>
      <w:r>
        <w:rPr>
          <w:rFonts w:ascii="Times New Roman" w:hAnsi="Times New Roman"/>
          <w:color w:val="000000"/>
          <w:sz w:val="20"/>
        </w:rPr>
        <w:t>”</w:t>
      </w:r>
      <w:r>
        <w:rPr>
          <w:rFonts w:ascii="Times New Roman" w:hAnsi="Times New Roman"/>
          <w:color w:val="000000"/>
          <w:sz w:val="22"/>
        </w:rPr>
        <w:t>) and supplements the terms of that certain executive employment agreement by and between the Parties, dated as of March 30, 2023 (the “</w:t>
      </w:r>
      <w:r>
        <w:rPr>
          <w:rFonts w:ascii="Times New Roman" w:hAnsi="Times New Roman"/>
          <w:b/>
          <w:i/>
          <w:color w:val="000000"/>
          <w:sz w:val="22"/>
        </w:rPr>
        <w:t>Agreement</w:t>
      </w:r>
      <w:r>
        <w:rPr>
          <w:rFonts w:ascii="Times New Roman" w:hAnsi="Times New Roman"/>
          <w:color w:val="000000"/>
          <w:sz w:val="20"/>
        </w:rPr>
        <w:t>”</w:t>
      </w:r>
      <w:r>
        <w:rPr>
          <w:rFonts w:ascii="Times New Roman" w:hAnsi="Times New Roman"/>
          <w:color w:val="000000"/>
          <w:sz w:val="22"/>
        </w:rPr>
        <w:t>). Capitalized terms used and not otherwise defined herein shall have the meaning ascribed to such terms in the Agreement.</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RECITALS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Company employs Executive as its President, Head of Research and Development, upon the terms and conditions set forth in the Agreement.</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Compensation Committee of the Company’s Board of Directors approved certain changes to terms of Executive’s employment and the parties are entering this Amendment specifying such changes.</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AGREEMENT</w:t>
      </w:r>
    </w:p>
    <w:p>
      <w:pPr>
        <w:pStyle w:val="TextBody"/>
        <w:bidi w:val="0"/>
        <w:spacing w:before="0" w:after="240"/>
        <w:jc w:val="both"/>
        <w:rPr>
          <w:rFonts w:ascii="Times New Roman" w:hAnsi="Times New Roman"/>
          <w:sz w:val="20"/>
        </w:rPr>
      </w:pPr>
      <w:r>
        <w:rPr>
          <w:rFonts w:ascii="Times New Roman" w:hAnsi="Times New Roman"/>
          <w:b/>
          <w:color w:val="000000"/>
          <w:sz w:val="22"/>
        </w:rPr>
        <w:t>NOW, THEREFORE</w:t>
      </w:r>
      <w:r>
        <w:rPr>
          <w:rFonts w:ascii="Times New Roman" w:hAnsi="Times New Roman"/>
          <w:color w:val="000000"/>
          <w:sz w:val="22"/>
        </w:rPr>
        <w:t>, in consideration of the mutual promises contained herein, the Company and Executive agree as follows: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1.1</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Executive’s Target Performance Bonus as set forth in the Agreement is hereby amended to a threshold of up to fifty percent (50%) of Executive’s Annual Base Salary.</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1.2</w:t>
      </w:r>
    </w:p>
    <w:p>
      <w:pPr>
        <w:pStyle w:val="TextBody"/>
        <w:bidi w:val="0"/>
        <w:spacing w:before="0" w:after="240"/>
        <w:jc w:val="both"/>
        <w:rPr/>
      </w:pPr>
      <w:r>
        <w:rPr>
          <w:color w:val="000000"/>
        </w:rPr>
        <w:t>“</w:t>
      </w:r>
      <w:r>
        <w:rPr>
          <w:rFonts w:ascii="Times New Roman" w:hAnsi="Times New Roman"/>
          <w:b/>
          <w:i/>
          <w:color w:val="000000"/>
          <w:sz w:val="22"/>
        </w:rPr>
        <w:t>Change in Control Benefits Period</w:t>
      </w:r>
      <w:r>
        <w:rPr>
          <w:color w:val="000000"/>
        </w:rPr>
        <w:t xml:space="preserve">” </w:t>
      </w:r>
      <w:r>
        <w:rPr>
          <w:rFonts w:ascii="Times New Roman" w:hAnsi="Times New Roman"/>
          <w:color w:val="000000"/>
          <w:sz w:val="22"/>
        </w:rPr>
        <w:t>means the period of eighteen (18) months commencing on the Termination Date.</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1.3</w:t>
      </w:r>
    </w:p>
    <w:p>
      <w:pPr>
        <w:pStyle w:val="TextBody"/>
        <w:bidi w:val="0"/>
        <w:spacing w:before="0" w:after="240"/>
        <w:jc w:val="both"/>
        <w:rPr/>
      </w:pPr>
      <w:r>
        <w:rPr>
          <w:color w:val="000000"/>
        </w:rPr>
        <w:t>“</w:t>
      </w:r>
      <w:r>
        <w:rPr>
          <w:rFonts w:ascii="Times New Roman" w:hAnsi="Times New Roman"/>
          <w:b/>
          <w:i/>
          <w:color w:val="000000"/>
          <w:sz w:val="22"/>
        </w:rPr>
        <w:t>Change in Control Severance Period</w:t>
      </w:r>
      <w:r>
        <w:rPr>
          <w:color w:val="000000"/>
        </w:rPr>
        <w:t xml:space="preserve">” </w:t>
      </w:r>
      <w:r>
        <w:rPr>
          <w:rFonts w:ascii="Times New Roman" w:hAnsi="Times New Roman"/>
          <w:color w:val="000000"/>
          <w:sz w:val="22"/>
        </w:rPr>
        <w:t>means the period of eighteen (18) months commencing on the Termination Date.</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1.4</w:t>
      </w:r>
    </w:p>
    <w:p>
      <w:pPr>
        <w:pStyle w:val="TextBody"/>
        <w:bidi w:val="0"/>
        <w:spacing w:before="0" w:after="240"/>
        <w:jc w:val="both"/>
        <w:rPr/>
      </w:pPr>
      <w:r>
        <w:rPr>
          <w:rFonts w:ascii="Times New Roman" w:hAnsi="Times New Roman"/>
          <w:b/>
          <w:color w:val="000000"/>
          <w:sz w:val="22"/>
        </w:rPr>
        <w:t>Effectiveness of Agreement</w:t>
      </w:r>
      <w:r>
        <w:rPr>
          <w:rFonts w:ascii="Times New Roman" w:hAnsi="Times New Roman"/>
          <w:color w:val="000000"/>
          <w:sz w:val="22"/>
        </w:rPr>
        <w:t>. This Amendment shall be effective on the Execution Date.</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 * * * *</w:t>
      </w:r>
    </w:p>
    <w:p>
      <w:pPr>
        <w:pStyle w:val="TextBody"/>
        <w:bidi w:val="0"/>
        <w:jc w:val="both"/>
        <w:rPr>
          <w:rFonts w:ascii="Times New Roman" w:hAnsi="Times New Roman"/>
          <w:sz w:val="20"/>
        </w:rPr>
      </w:pPr>
      <w:r>
        <w:rPr>
          <w:rFonts w:ascii="Times New Roman" w:hAnsi="Times New Roman"/>
          <w:b/>
          <w:color w:val="000000"/>
          <w:sz w:val="22"/>
        </w:rPr>
        <w:t>IN WITNESS WHEREOF</w:t>
      </w:r>
      <w:r>
        <w:rPr>
          <w:rFonts w:ascii="Times New Roman" w:hAnsi="Times New Roman"/>
          <w:color w:val="000000"/>
          <w:sz w:val="22"/>
        </w:rPr>
        <w:t>, the parties have executed this Amendment on the Execution Date written above.</w:t>
      </w:r>
      <w:r>
        <w:rPr>
          <w:rFonts w:ascii="Times New Roman" w:hAnsi="Times New Roman"/>
          <w:color w:val="000000"/>
          <w:sz w:val="20"/>
        </w:rPr>
        <w:t xml:space="preserve"> </w:t>
      </w:r>
    </w:p>
    <w:tbl>
      <w:tblPr>
        <w:tblW w:w="10133" w:type="dxa"/>
        <w:jc w:val="left"/>
        <w:tblInd w:w="0" w:type="dxa"/>
        <w:tblLayout w:type="fixed"/>
        <w:tblCellMar>
          <w:top w:w="28" w:type="dxa"/>
          <w:left w:w="28" w:type="dxa"/>
          <w:bottom w:w="28" w:type="dxa"/>
          <w:right w:w="28" w:type="dxa"/>
        </w:tblCellMar>
      </w:tblPr>
      <w:tblGrid>
        <w:gridCol w:w="1764"/>
        <w:gridCol w:w="658"/>
        <w:gridCol w:w="577"/>
        <w:gridCol w:w="775"/>
        <w:gridCol w:w="972"/>
        <w:gridCol w:w="395"/>
        <w:gridCol w:w="298"/>
        <w:gridCol w:w="146"/>
        <w:gridCol w:w="109"/>
        <w:gridCol w:w="146"/>
        <w:gridCol w:w="109"/>
        <w:gridCol w:w="146"/>
        <w:gridCol w:w="496"/>
        <w:gridCol w:w="781"/>
        <w:gridCol w:w="2761"/>
      </w:tblGrid>
      <w:tr>
        <w:trPr/>
        <w:tc>
          <w:tcPr>
            <w:tcW w:w="1764"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61" w:type="dxa"/>
            <w:tcBorders/>
            <w:vAlign w:val="center"/>
          </w:tcPr>
          <w:p>
            <w:pPr>
              <w:pStyle w:val="TableContents"/>
              <w:bidi w:val="0"/>
              <w:spacing w:before="0" w:after="283"/>
              <w:jc w:val="left"/>
              <w:rPr>
                <w:sz w:val="4"/>
                <w:szCs w:val="4"/>
              </w:rPr>
            </w:pPr>
            <w:r>
              <w:rPr>
                <w:sz w:val="4"/>
                <w:szCs w:val="4"/>
              </w:rPr>
            </w:r>
          </w:p>
        </w:tc>
      </w:tr>
      <w:tr>
        <w:trPr/>
        <w:tc>
          <w:tcPr>
            <w:tcW w:w="1764" w:type="dxa"/>
            <w:tcBorders/>
            <w:vAlign w:val="center"/>
          </w:tcPr>
          <w:p>
            <w:pPr>
              <w:pStyle w:val="TableContents"/>
              <w:bidi w:val="0"/>
              <w:spacing w:before="0" w:after="283"/>
              <w:jc w:val="both"/>
              <w:rPr/>
            </w:pPr>
            <w:r>
              <w:rPr/>
              <w:t> </w:t>
            </w:r>
          </w:p>
        </w:tc>
        <w:tc>
          <w:tcPr>
            <w:tcW w:w="658" w:type="dxa"/>
            <w:tcBorders/>
            <w:vAlign w:val="center"/>
          </w:tcPr>
          <w:p>
            <w:pPr>
              <w:pStyle w:val="TableContents"/>
              <w:bidi w:val="0"/>
              <w:spacing w:before="0" w:after="283"/>
              <w:jc w:val="both"/>
              <w:rPr/>
            </w:pPr>
            <w:r>
              <w:rPr/>
              <w:t> </w:t>
            </w:r>
          </w:p>
        </w:tc>
        <w:tc>
          <w:tcPr>
            <w:tcW w:w="2324" w:type="dxa"/>
            <w:gridSpan w:val="3"/>
            <w:tcBorders/>
            <w:vAlign w:val="center"/>
          </w:tcPr>
          <w:p>
            <w:pPr>
              <w:pStyle w:val="TableContents"/>
              <w:bidi w:val="0"/>
              <w:spacing w:before="0" w:after="283"/>
              <w:jc w:val="both"/>
              <w:rPr/>
            </w:pPr>
            <w:r>
              <w:rPr/>
              <w:t> </w:t>
            </w:r>
          </w:p>
        </w:tc>
        <w:tc>
          <w:tcPr>
            <w:tcW w:w="395" w:type="dxa"/>
            <w:tcBorders/>
            <w:vAlign w:val="center"/>
          </w:tcPr>
          <w:p>
            <w:pPr>
              <w:pStyle w:val="TableContents"/>
              <w:bidi w:val="0"/>
              <w:spacing w:before="0" w:after="283"/>
              <w:jc w:val="both"/>
              <w:rPr/>
            </w:pPr>
            <w:r>
              <w:rPr/>
              <w:t> </w:t>
            </w:r>
          </w:p>
        </w:tc>
        <w:tc>
          <w:tcPr>
            <w:tcW w:w="553" w:type="dxa"/>
            <w:gridSpan w:val="3"/>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255" w:type="dxa"/>
            <w:gridSpan w:val="2"/>
            <w:tcBorders/>
            <w:vAlign w:val="center"/>
          </w:tcPr>
          <w:p>
            <w:pPr>
              <w:pStyle w:val="TableContents"/>
              <w:bidi w:val="0"/>
              <w:spacing w:before="0" w:after="283"/>
              <w:jc w:val="both"/>
              <w:rPr/>
            </w:pPr>
            <w:r>
              <w:rPr/>
              <w:t> </w:t>
            </w:r>
          </w:p>
        </w:tc>
        <w:tc>
          <w:tcPr>
            <w:tcW w:w="496" w:type="dxa"/>
            <w:tcBorders/>
            <w:vAlign w:val="center"/>
          </w:tcPr>
          <w:p>
            <w:pPr>
              <w:pStyle w:val="TableContents"/>
              <w:bidi w:val="0"/>
              <w:spacing w:before="0" w:after="283"/>
              <w:jc w:val="both"/>
              <w:rPr/>
            </w:pPr>
            <w:r>
              <w:rPr/>
              <w:t> </w:t>
            </w:r>
          </w:p>
        </w:tc>
        <w:tc>
          <w:tcPr>
            <w:tcW w:w="3542" w:type="dxa"/>
            <w:gridSpan w:val="2"/>
            <w:tcBorders/>
            <w:vAlign w:val="center"/>
          </w:tcPr>
          <w:p>
            <w:pPr>
              <w:pStyle w:val="TableContents"/>
              <w:bidi w:val="0"/>
              <w:spacing w:before="0" w:after="283"/>
              <w:jc w:val="both"/>
              <w:rPr/>
            </w:pPr>
            <w:r>
              <w:rPr/>
              <w:t> </w:t>
            </w:r>
          </w:p>
        </w:tc>
      </w:tr>
      <w:tr>
        <w:trPr/>
        <w:tc>
          <w:tcPr>
            <w:tcW w:w="4746" w:type="dxa"/>
            <w:gridSpan w:val="5"/>
            <w:tcBorders/>
            <w:vAlign w:val="center"/>
          </w:tcPr>
          <w:p>
            <w:pPr>
              <w:pStyle w:val="TableContents"/>
              <w:bidi w:val="0"/>
              <w:spacing w:before="0" w:after="283"/>
              <w:jc w:val="both"/>
              <w:rPr>
                <w:rFonts w:ascii="Times New Roman" w:hAnsi="Times New Roman"/>
                <w:b/>
                <w:caps/>
                <w:color w:val="000000"/>
                <w:sz w:val="22"/>
              </w:rPr>
            </w:pPr>
            <w:r>
              <w:rPr>
                <w:rFonts w:ascii="Times New Roman" w:hAnsi="Times New Roman"/>
                <w:b/>
                <w:caps/>
                <w:color w:val="000000"/>
                <w:sz w:val="22"/>
              </w:rPr>
              <w:t>Syndax Pharmaceuticals, Inc.</w:t>
            </w:r>
          </w:p>
        </w:tc>
        <w:tc>
          <w:tcPr>
            <w:tcW w:w="395" w:type="dxa"/>
            <w:tcBorders/>
            <w:vAlign w:val="center"/>
          </w:tcPr>
          <w:p>
            <w:pPr>
              <w:pStyle w:val="TableContents"/>
              <w:bidi w:val="0"/>
              <w:spacing w:before="0" w:after="283"/>
              <w:jc w:val="left"/>
              <w:rPr>
                <w:sz w:val="4"/>
                <w:szCs w:val="4"/>
              </w:rPr>
            </w:pPr>
            <w:r>
              <w:rPr>
                <w:sz w:val="4"/>
                <w:szCs w:val="4"/>
              </w:rPr>
            </w:r>
          </w:p>
        </w:tc>
        <w:tc>
          <w:tcPr>
            <w:tcW w:w="553" w:type="dxa"/>
            <w:gridSpan w:val="3"/>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255" w:type="dxa"/>
            <w:gridSpan w:val="2"/>
            <w:tcBorders/>
            <w:vAlign w:val="center"/>
          </w:tcPr>
          <w:p>
            <w:pPr>
              <w:pStyle w:val="TableContents"/>
              <w:bidi w:val="0"/>
              <w:spacing w:before="0" w:after="283"/>
              <w:jc w:val="both"/>
              <w:rPr/>
            </w:pPr>
            <w:r>
              <w:rPr/>
              <w:t> </w:t>
            </w:r>
          </w:p>
        </w:tc>
        <w:tc>
          <w:tcPr>
            <w:tcW w:w="496" w:type="dxa"/>
            <w:tcBorders/>
            <w:vAlign w:val="center"/>
          </w:tcPr>
          <w:p>
            <w:pPr>
              <w:pStyle w:val="TableContents"/>
              <w:bidi w:val="0"/>
              <w:spacing w:before="0" w:after="283"/>
              <w:jc w:val="left"/>
              <w:rPr>
                <w:sz w:val="4"/>
                <w:szCs w:val="4"/>
              </w:rPr>
            </w:pPr>
            <w:r>
              <w:rPr>
                <w:sz w:val="4"/>
                <w:szCs w:val="4"/>
              </w:rPr>
            </w:r>
          </w:p>
        </w:tc>
        <w:tc>
          <w:tcPr>
            <w:tcW w:w="3542" w:type="dxa"/>
            <w:gridSpan w:val="2"/>
            <w:tcBorders/>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EXECUTIVE</w:t>
            </w:r>
          </w:p>
        </w:tc>
      </w:tr>
      <w:tr>
        <w:trPr/>
        <w:tc>
          <w:tcPr>
            <w:tcW w:w="1764" w:type="dxa"/>
            <w:tcBorders/>
            <w:vAlign w:val="center"/>
          </w:tcPr>
          <w:p>
            <w:pPr>
              <w:pStyle w:val="TableContents"/>
              <w:bidi w:val="0"/>
              <w:spacing w:before="0" w:after="283"/>
              <w:jc w:val="both"/>
              <w:rPr/>
            </w:pPr>
            <w:r>
              <w:rPr/>
              <w:t> </w:t>
            </w:r>
          </w:p>
        </w:tc>
        <w:tc>
          <w:tcPr>
            <w:tcW w:w="2982" w:type="dxa"/>
            <w:gridSpan w:val="4"/>
            <w:tcBorders/>
            <w:vAlign w:val="center"/>
          </w:tcPr>
          <w:p>
            <w:pPr>
              <w:pStyle w:val="TableContents"/>
              <w:bidi w:val="0"/>
              <w:spacing w:before="0" w:after="283"/>
              <w:jc w:val="both"/>
              <w:rPr/>
            </w:pPr>
            <w:r>
              <w:rPr/>
              <w:t> </w:t>
            </w:r>
          </w:p>
        </w:tc>
        <w:tc>
          <w:tcPr>
            <w:tcW w:w="948" w:type="dxa"/>
            <w:gridSpan w:val="4"/>
            <w:tcBorders/>
            <w:vAlign w:val="center"/>
          </w:tcPr>
          <w:p>
            <w:pPr>
              <w:pStyle w:val="TableContents"/>
              <w:bidi w:val="0"/>
              <w:spacing w:before="0" w:after="283"/>
              <w:jc w:val="both"/>
              <w:rPr/>
            </w:pPr>
            <w:r>
              <w:rPr/>
              <w:t> </w:t>
            </w:r>
          </w:p>
        </w:tc>
        <w:tc>
          <w:tcPr>
            <w:tcW w:w="401" w:type="dxa"/>
            <w:gridSpan w:val="3"/>
            <w:tcBorders/>
            <w:vAlign w:val="center"/>
          </w:tcPr>
          <w:p>
            <w:pPr>
              <w:pStyle w:val="TableContents"/>
              <w:bidi w:val="0"/>
              <w:spacing w:before="0" w:after="283"/>
              <w:jc w:val="both"/>
              <w:rPr/>
            </w:pPr>
            <w:r>
              <w:rPr/>
              <w:t> </w:t>
            </w:r>
          </w:p>
        </w:tc>
        <w:tc>
          <w:tcPr>
            <w:tcW w:w="4038" w:type="dxa"/>
            <w:gridSpan w:val="3"/>
            <w:tcBorders/>
            <w:vAlign w:val="center"/>
          </w:tcPr>
          <w:p>
            <w:pPr>
              <w:pStyle w:val="TableContents"/>
              <w:bidi w:val="0"/>
              <w:spacing w:before="0" w:after="283"/>
              <w:jc w:val="both"/>
              <w:rPr/>
            </w:pPr>
            <w:r>
              <w:rPr/>
              <w:t> </w:t>
            </w:r>
          </w:p>
        </w:tc>
      </w:tr>
      <w:tr>
        <w:trPr/>
        <w:tc>
          <w:tcPr>
            <w:tcW w:w="1764" w:type="dxa"/>
            <w:tcBorders/>
            <w:vAlign w:val="center"/>
          </w:tcPr>
          <w:p>
            <w:pPr>
              <w:pStyle w:val="TableContents"/>
              <w:bidi w:val="0"/>
              <w:jc w:val="both"/>
              <w:rPr/>
            </w:pPr>
            <w:r>
              <w:rPr/>
              <w:t> </w:t>
            </w:r>
          </w:p>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By:</w:t>
            </w:r>
          </w:p>
        </w:tc>
        <w:tc>
          <w:tcPr>
            <w:tcW w:w="658" w:type="dxa"/>
            <w:tcBorders/>
            <w:vAlign w:val="center"/>
          </w:tcPr>
          <w:p>
            <w:pPr>
              <w:pStyle w:val="TableContents"/>
              <w:bidi w:val="0"/>
              <w:spacing w:before="0" w:after="283"/>
              <w:jc w:val="left"/>
              <w:rPr>
                <w:sz w:val="4"/>
                <w:szCs w:val="4"/>
              </w:rPr>
            </w:pPr>
            <w:r>
              <w:rPr>
                <w:sz w:val="4"/>
                <w:szCs w:val="4"/>
              </w:rPr>
            </w:r>
          </w:p>
        </w:tc>
        <w:tc>
          <w:tcPr>
            <w:tcW w:w="2324" w:type="dxa"/>
            <w:gridSpan w:val="3"/>
            <w:tcBorders/>
            <w:vAlign w:val="center"/>
          </w:tcPr>
          <w:p>
            <w:pPr>
              <w:pStyle w:val="TableContents"/>
              <w:bidi w:val="0"/>
              <w:spacing w:before="0" w:after="15"/>
              <w:jc w:val="both"/>
              <w:rPr/>
            </w:pPr>
            <w:r>
              <w:rPr/>
              <w:t> </w:t>
            </w:r>
          </w:p>
          <w:p>
            <w:pPr>
              <w:pStyle w:val="TableContents"/>
              <w:pBdr>
                <w:bottom w:val="single" w:sz="6" w:space="1" w:color="000000"/>
              </w:pBdr>
              <w:bidi w:val="0"/>
              <w:spacing w:before="0" w:after="15"/>
              <w:jc w:val="both"/>
              <w:rPr>
                <w:rFonts w:ascii="Times New Roman" w:hAnsi="Times New Roman"/>
                <w:color w:val="000000"/>
                <w:sz w:val="22"/>
              </w:rPr>
            </w:pPr>
            <w:r>
              <w:rPr>
                <w:rFonts w:ascii="Times New Roman" w:hAnsi="Times New Roman"/>
                <w:color w:val="000000"/>
                <w:sz w:val="22"/>
              </w:rPr>
              <w:t>/s/ Luke J. Albrecht</w:t>
            </w:r>
          </w:p>
        </w:tc>
        <w:tc>
          <w:tcPr>
            <w:tcW w:w="395" w:type="dxa"/>
            <w:tcBorders/>
            <w:vAlign w:val="center"/>
          </w:tcPr>
          <w:p>
            <w:pPr>
              <w:pStyle w:val="TableContents"/>
              <w:bidi w:val="0"/>
              <w:spacing w:before="0" w:after="283"/>
              <w:jc w:val="left"/>
              <w:rPr>
                <w:sz w:val="4"/>
                <w:szCs w:val="4"/>
              </w:rPr>
            </w:pPr>
            <w:r>
              <w:rPr>
                <w:sz w:val="4"/>
                <w:szCs w:val="4"/>
              </w:rPr>
            </w:r>
          </w:p>
        </w:tc>
        <w:tc>
          <w:tcPr>
            <w:tcW w:w="553" w:type="dxa"/>
            <w:gridSpan w:val="3"/>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255" w:type="dxa"/>
            <w:gridSpan w:val="2"/>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 xml:space="preserve">By: </w:t>
            </w:r>
          </w:p>
        </w:tc>
        <w:tc>
          <w:tcPr>
            <w:tcW w:w="3542" w:type="dxa"/>
            <w:gridSpan w:val="2"/>
            <w:tcBorders/>
            <w:vAlign w:val="center"/>
          </w:tcPr>
          <w:p>
            <w:pPr>
              <w:pStyle w:val="TableContents"/>
              <w:bidi w:val="0"/>
              <w:spacing w:before="0" w:after="15"/>
              <w:jc w:val="both"/>
              <w:rPr/>
            </w:pPr>
            <w:r>
              <w:rPr/>
              <w:t> </w:t>
            </w:r>
          </w:p>
          <w:p>
            <w:pPr>
              <w:pStyle w:val="TableContents"/>
              <w:pBdr>
                <w:bottom w:val="single" w:sz="6" w:space="1" w:color="000000"/>
              </w:pBdr>
              <w:bidi w:val="0"/>
              <w:spacing w:before="0" w:after="15"/>
              <w:jc w:val="both"/>
              <w:rPr>
                <w:rFonts w:ascii="Times New Roman" w:hAnsi="Times New Roman"/>
                <w:color w:val="000000"/>
                <w:sz w:val="22"/>
              </w:rPr>
            </w:pPr>
            <w:r>
              <w:rPr>
                <w:rFonts w:ascii="Times New Roman" w:hAnsi="Times New Roman"/>
                <w:color w:val="000000"/>
                <w:sz w:val="22"/>
              </w:rPr>
              <w:t>/s/ Neil Gallagher, M.D., Ph.D.</w:t>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both"/>
              <w:rPr/>
            </w:pPr>
            <w:r>
              <w:rPr/>
              <w:t> </w:t>
            </w:r>
          </w:p>
        </w:tc>
        <w:tc>
          <w:tcPr>
            <w:tcW w:w="1665" w:type="dxa"/>
            <w:gridSpan w:val="3"/>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364" w:type="dxa"/>
            <w:gridSpan w:val="3"/>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496" w:type="dxa"/>
            <w:tcBorders/>
            <w:vAlign w:val="center"/>
          </w:tcPr>
          <w:p>
            <w:pPr>
              <w:pStyle w:val="TableContents"/>
              <w:bidi w:val="0"/>
              <w:spacing w:before="0" w:after="283"/>
              <w:jc w:val="both"/>
              <w:rPr/>
            </w:pPr>
            <w:r>
              <w:rPr/>
              <w:t> </w:t>
            </w:r>
          </w:p>
        </w:tc>
        <w:tc>
          <w:tcPr>
            <w:tcW w:w="781" w:type="dxa"/>
            <w:tcBorders/>
            <w:vAlign w:val="center"/>
          </w:tcPr>
          <w:p>
            <w:pPr>
              <w:pStyle w:val="TableContents"/>
              <w:bidi w:val="0"/>
              <w:spacing w:before="0" w:after="283"/>
              <w:jc w:val="both"/>
              <w:rPr/>
            </w:pPr>
            <w:r>
              <w:rPr/>
              <w:t> </w:t>
            </w:r>
          </w:p>
        </w:tc>
        <w:tc>
          <w:tcPr>
            <w:tcW w:w="2761" w:type="dxa"/>
            <w:tcBorders/>
            <w:vAlign w:val="center"/>
          </w:tcPr>
          <w:p>
            <w:pPr>
              <w:pStyle w:val="TableContents"/>
              <w:bidi w:val="0"/>
              <w:spacing w:before="0" w:after="283"/>
              <w:jc w:val="both"/>
              <w:rPr/>
            </w:pPr>
            <w:r>
              <w:rPr/>
              <w:t> </w:t>
            </w:r>
          </w:p>
        </w:tc>
      </w:tr>
      <w:tr>
        <w:trPr/>
        <w:tc>
          <w:tcPr>
            <w:tcW w:w="2999" w:type="dxa"/>
            <w:gridSpan w:val="3"/>
            <w:tcBorders/>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Name:</w:t>
            </w:r>
          </w:p>
        </w:tc>
        <w:tc>
          <w:tcPr>
            <w:tcW w:w="775" w:type="dxa"/>
            <w:tcBorders/>
            <w:vAlign w:val="center"/>
          </w:tcPr>
          <w:p>
            <w:pPr>
              <w:pStyle w:val="TableContents"/>
              <w:bidi w:val="0"/>
              <w:spacing w:before="0" w:after="283"/>
              <w:jc w:val="left"/>
              <w:rPr>
                <w:sz w:val="4"/>
                <w:szCs w:val="4"/>
              </w:rPr>
            </w:pPr>
            <w:r>
              <w:rPr>
                <w:sz w:val="4"/>
                <w:szCs w:val="4"/>
              </w:rPr>
            </w:r>
          </w:p>
        </w:tc>
        <w:tc>
          <w:tcPr>
            <w:tcW w:w="1665" w:type="dxa"/>
            <w:gridSpan w:val="3"/>
            <w:tcBorders/>
            <w:vAlign w:val="center"/>
          </w:tcPr>
          <w:p>
            <w:pPr>
              <w:pStyle w:val="TableContents"/>
              <w:pBdr>
                <w:bottom w:val="single" w:sz="6" w:space="1" w:color="000000"/>
              </w:pBdr>
              <w:bidi w:val="0"/>
              <w:spacing w:before="0" w:after="15"/>
              <w:jc w:val="both"/>
              <w:rPr>
                <w:rFonts w:ascii="Times New Roman" w:hAnsi="Times New Roman"/>
                <w:color w:val="000000"/>
                <w:sz w:val="22"/>
              </w:rPr>
            </w:pPr>
            <w:r>
              <w:rPr>
                <w:rFonts w:ascii="Times New Roman" w:hAnsi="Times New Roman"/>
                <w:color w:val="000000"/>
                <w:sz w:val="22"/>
              </w:rPr>
              <w:t>Luke J. Albrecht</w:t>
            </w:r>
          </w:p>
        </w:tc>
        <w:tc>
          <w:tcPr>
            <w:tcW w:w="146" w:type="dxa"/>
            <w:tcBorders/>
            <w:vAlign w:val="center"/>
          </w:tcPr>
          <w:p>
            <w:pPr>
              <w:pStyle w:val="TableContents"/>
              <w:bidi w:val="0"/>
              <w:spacing w:before="0" w:after="283"/>
              <w:jc w:val="left"/>
              <w:rPr>
                <w:sz w:val="4"/>
                <w:szCs w:val="4"/>
              </w:rPr>
            </w:pPr>
            <w:r>
              <w:rPr>
                <w:sz w:val="4"/>
                <w:szCs w:val="4"/>
              </w:rPr>
            </w:r>
          </w:p>
        </w:tc>
        <w:tc>
          <w:tcPr>
            <w:tcW w:w="364" w:type="dxa"/>
            <w:gridSpan w:val="3"/>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both"/>
              <w:rPr/>
            </w:pPr>
            <w:r>
              <w:rPr/>
              <w:t> </w:t>
            </w:r>
          </w:p>
        </w:tc>
        <w:tc>
          <w:tcPr>
            <w:tcW w:w="781" w:type="dxa"/>
            <w:tcBorders/>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 xml:space="preserve">Name: </w:t>
            </w:r>
          </w:p>
        </w:tc>
        <w:tc>
          <w:tcPr>
            <w:tcW w:w="2761" w:type="dxa"/>
            <w:tcBorders/>
            <w:vAlign w:val="center"/>
          </w:tcPr>
          <w:p>
            <w:pPr>
              <w:pStyle w:val="TableContents"/>
              <w:pBdr>
                <w:bottom w:val="single" w:sz="6" w:space="1" w:color="000000"/>
              </w:pBdr>
              <w:bidi w:val="0"/>
              <w:spacing w:before="0" w:after="15"/>
              <w:jc w:val="both"/>
              <w:rPr>
                <w:rFonts w:ascii="Times New Roman" w:hAnsi="Times New Roman"/>
                <w:color w:val="000000"/>
                <w:sz w:val="22"/>
              </w:rPr>
            </w:pPr>
            <w:r>
              <w:rPr>
                <w:rFonts w:ascii="Times New Roman" w:hAnsi="Times New Roman"/>
                <w:color w:val="000000"/>
                <w:sz w:val="22"/>
              </w:rPr>
              <w:t>Neil Gallagher, M.D., Ph.D.</w:t>
            </w:r>
          </w:p>
        </w:tc>
      </w:tr>
      <w:tr>
        <w:trPr/>
        <w:tc>
          <w:tcPr>
            <w:tcW w:w="2999" w:type="dxa"/>
            <w:gridSpan w:val="3"/>
            <w:tcBorders/>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Title:</w:t>
            </w:r>
          </w:p>
        </w:tc>
        <w:tc>
          <w:tcPr>
            <w:tcW w:w="775" w:type="dxa"/>
            <w:tcBorders/>
            <w:vAlign w:val="center"/>
          </w:tcPr>
          <w:p>
            <w:pPr>
              <w:pStyle w:val="TableContents"/>
              <w:bidi w:val="0"/>
              <w:spacing w:before="0" w:after="283"/>
              <w:jc w:val="both"/>
              <w:rPr/>
            </w:pPr>
            <w:r>
              <w:rPr/>
              <w:t> </w:t>
            </w:r>
          </w:p>
        </w:tc>
        <w:tc>
          <w:tcPr>
            <w:tcW w:w="1665" w:type="dxa"/>
            <w:gridSpan w:val="3"/>
            <w:tcBorders/>
            <w:vAlign w:val="center"/>
          </w:tcPr>
          <w:p>
            <w:pPr>
              <w:pStyle w:val="TableContents"/>
              <w:pBdr>
                <w:bottom w:val="single" w:sz="6" w:space="1" w:color="000000"/>
              </w:pBdr>
              <w:bidi w:val="0"/>
              <w:spacing w:before="0" w:after="15"/>
              <w:jc w:val="both"/>
              <w:rPr>
                <w:rFonts w:ascii="Times New Roman" w:hAnsi="Times New Roman"/>
                <w:color w:val="000000"/>
                <w:sz w:val="22"/>
              </w:rPr>
            </w:pPr>
            <w:r>
              <w:rPr>
                <w:rFonts w:ascii="Times New Roman" w:hAnsi="Times New Roman"/>
                <w:color w:val="000000"/>
                <w:sz w:val="22"/>
              </w:rPr>
              <w:t>General Counsel</w:t>
            </w:r>
          </w:p>
        </w:tc>
        <w:tc>
          <w:tcPr>
            <w:tcW w:w="146" w:type="dxa"/>
            <w:tcBorders/>
            <w:vAlign w:val="center"/>
          </w:tcPr>
          <w:p>
            <w:pPr>
              <w:pStyle w:val="TableContents"/>
              <w:bidi w:val="0"/>
              <w:spacing w:before="0" w:after="283"/>
              <w:jc w:val="both"/>
              <w:rPr/>
            </w:pPr>
            <w:r>
              <w:rPr/>
              <w:t> </w:t>
            </w:r>
          </w:p>
        </w:tc>
        <w:tc>
          <w:tcPr>
            <w:tcW w:w="364" w:type="dxa"/>
            <w:gridSpan w:val="3"/>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496" w:type="dxa"/>
            <w:tcBorders/>
            <w:vAlign w:val="center"/>
          </w:tcPr>
          <w:p>
            <w:pPr>
              <w:pStyle w:val="TableContents"/>
              <w:bidi w:val="0"/>
              <w:spacing w:before="0" w:after="283"/>
              <w:jc w:val="both"/>
              <w:rPr/>
            </w:pPr>
            <w:r>
              <w:rPr/>
              <w:t> </w:t>
            </w:r>
          </w:p>
        </w:tc>
        <w:tc>
          <w:tcPr>
            <w:tcW w:w="781" w:type="dxa"/>
            <w:tcBorders/>
            <w:vAlign w:val="center"/>
          </w:tcPr>
          <w:p>
            <w:pPr>
              <w:pStyle w:val="TableContents"/>
              <w:bidi w:val="0"/>
              <w:spacing w:before="0" w:after="283"/>
              <w:jc w:val="both"/>
              <w:rPr/>
            </w:pPr>
            <w:r>
              <w:rPr/>
              <w:t> </w:t>
            </w:r>
          </w:p>
        </w:tc>
        <w:tc>
          <w:tcPr>
            <w:tcW w:w="2761" w:type="dxa"/>
            <w:tcBorders/>
            <w:vAlign w:val="center"/>
          </w:tcPr>
          <w:p>
            <w:pPr>
              <w:pStyle w:val="TableContents"/>
              <w:pBdr>
                <w:bottom w:val="single" w:sz="6" w:space="1" w:color="000000"/>
              </w:pBdr>
              <w:bidi w:val="0"/>
              <w:spacing w:before="0" w:after="15"/>
              <w:jc w:val="both"/>
              <w:rPr/>
            </w:pPr>
            <w:r>
              <w:rPr/>
              <w:t> </w:t>
            </w:r>
          </w:p>
        </w:tc>
      </w:tr>
    </w:tbl>
    <w:p>
      <w:pPr>
        <w:pStyle w:val="TextBody"/>
        <w:bidi w:val="0"/>
        <w:jc w:val="center"/>
        <w:rPr>
          <w:rFonts w:ascii="Times New Roman" w:hAnsi="Times New Roman"/>
          <w:sz w:val="20"/>
        </w:rPr>
      </w:pPr>
      <w:r>
        <w:rPr>
          <w:rFonts w:ascii="Times New Roman" w:hAnsi="Times New Roman"/>
          <w:color w:val="000000"/>
          <w:sz w:val="22"/>
        </w:rPr>
        <w:t>1</w:t>
      </w:r>
      <w:r>
        <w:rPr>
          <w:rFonts w:ascii="Arial" w:hAnsi="Arial"/>
          <w:color w:val="000000"/>
          <w:sz w:val="17"/>
        </w:rPr>
        <w:t>.</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2"/>
        </w:rPr>
      </w:pPr>
      <w:bookmarkStart w:id="55" w:name="sndx-ex10_31.htm"/>
      <w:bookmarkStart w:id="56" w:name="kssndxex10_31"/>
      <w:bookmarkEnd w:id="55"/>
      <w:bookmarkEnd w:id="56"/>
      <w:r>
        <w:rPr>
          <w:rFonts w:ascii="Times New Roman" w:hAnsi="Times New Roman"/>
          <w:color w:val="000000"/>
          <w:sz w:val="22"/>
        </w:rPr>
        <w:t>Exhibit 10.31</w:t>
      </w:r>
      <w:r>
        <w:br w:type="page"/>
      </w:r>
    </w:p>
    <w:p>
      <w:pPr>
        <w:pStyle w:val="TextBody"/>
        <w:bidi w:val="0"/>
        <w:jc w:val="center"/>
        <w:rPr>
          <w:rFonts w:ascii="Times New Roman" w:hAnsi="Times New Roman"/>
          <w:b/>
          <w:color w:val="000000"/>
          <w:sz w:val="22"/>
        </w:rPr>
      </w:pPr>
      <w:r>
        <w:rPr>
          <w:rFonts w:ascii="Times New Roman" w:hAnsi="Times New Roman"/>
          <w:b/>
          <w:color w:val="000000"/>
          <w:sz w:val="22"/>
        </w:rPr>
        <w:t>SYNDAX PHARMACEUTICALS, INC.</w:t>
      </w:r>
    </w:p>
    <w:p>
      <w:pPr>
        <w:pStyle w:val="TextBody"/>
        <w:bidi w:val="0"/>
        <w:jc w:val="center"/>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AMENDED &amp; RESTATED</w:t>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NON-EMPLOYEE DIRECTOR COMPENSATION POLICY</w:t>
      </w:r>
    </w:p>
    <w:p>
      <w:pPr>
        <w:pStyle w:val="TextBody"/>
        <w:bidi w:val="0"/>
        <w:jc w:val="center"/>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Effective: February 7, 2024</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Each member of the Board of Directors (the “</w:t>
      </w:r>
      <w:r>
        <w:rPr>
          <w:rFonts w:ascii="Times New Roman" w:hAnsi="Times New Roman"/>
          <w:b/>
          <w:i/>
          <w:color w:val="000000"/>
          <w:sz w:val="22"/>
        </w:rPr>
        <w:t>Board</w:t>
      </w:r>
      <w:r>
        <w:rPr>
          <w:rFonts w:ascii="Times New Roman" w:hAnsi="Times New Roman"/>
          <w:color w:val="000000"/>
          <w:sz w:val="20"/>
        </w:rPr>
        <w:t>”</w:t>
      </w:r>
      <w:r>
        <w:rPr>
          <w:rFonts w:ascii="Times New Roman" w:hAnsi="Times New Roman"/>
          <w:color w:val="000000"/>
          <w:sz w:val="22"/>
        </w:rPr>
        <w:t>) who is not also serving as an employee of Syndax Pharmaceuticals, Inc. (the “</w:t>
      </w:r>
      <w:r>
        <w:rPr>
          <w:rFonts w:ascii="Times New Roman" w:hAnsi="Times New Roman"/>
          <w:b/>
          <w:i/>
          <w:color w:val="000000"/>
          <w:sz w:val="22"/>
        </w:rPr>
        <w:t>Company</w:t>
      </w:r>
      <w:r>
        <w:rPr>
          <w:rFonts w:ascii="Times New Roman" w:hAnsi="Times New Roman"/>
          <w:color w:val="000000"/>
          <w:sz w:val="20"/>
        </w:rPr>
        <w:t>”</w:t>
      </w:r>
      <w:r>
        <w:rPr>
          <w:rFonts w:ascii="Times New Roman" w:hAnsi="Times New Roman"/>
          <w:color w:val="000000"/>
          <w:sz w:val="22"/>
        </w:rPr>
        <w:t>) or any of its subsidiaries will receive the compensation described in this Amended and Restated Non-Employee Director Compensation Policy for his or her Board service. This policy may be amended at any time in the sole discretion of the Board.</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Each non-employee director serving on the Board of the Company will receive an annual base cash fee for his or her services of $45,644. Each non-employee director other than the non-executive chairperson of the Board (the “</w:t>
      </w:r>
      <w:r>
        <w:rPr>
          <w:rFonts w:ascii="Times New Roman" w:hAnsi="Times New Roman"/>
          <w:b/>
          <w:i/>
          <w:color w:val="000000"/>
          <w:sz w:val="22"/>
        </w:rPr>
        <w:t>Chair</w:t>
      </w:r>
      <w:r>
        <w:rPr>
          <w:rFonts w:ascii="Times New Roman" w:hAnsi="Times New Roman"/>
          <w:color w:val="000000"/>
          <w:sz w:val="20"/>
        </w:rPr>
        <w:t>”</w:t>
      </w:r>
      <w:r>
        <w:rPr>
          <w:rFonts w:ascii="Times New Roman" w:hAnsi="Times New Roman"/>
          <w:color w:val="000000"/>
          <w:sz w:val="22"/>
        </w:rPr>
        <w:t>) shall also receive an annual award of deferred settlement restricted stock units to purchase 17,000 shares and the Chair shall also receive an annual award of deferred settlement restricted stock units to purchase 34,000 shares (each as adjusted for stock splits, stock dividends, recapitalization and similar events) of the Company’s common stock on the same date that the Board awards annual stock option grants to the Company’s executive officers (each an “</w:t>
      </w:r>
      <w:r>
        <w:rPr>
          <w:rFonts w:ascii="Times New Roman" w:hAnsi="Times New Roman"/>
          <w:b/>
          <w:i/>
          <w:color w:val="000000"/>
          <w:sz w:val="22"/>
        </w:rPr>
        <w:t>Annual Option Award</w:t>
      </w:r>
      <w:r>
        <w:rPr>
          <w:rFonts w:ascii="Times New Roman" w:hAnsi="Times New Roman"/>
          <w:color w:val="000000"/>
          <w:sz w:val="20"/>
        </w:rPr>
        <w:t>”</w:t>
      </w:r>
      <w:r>
        <w:rPr>
          <w:rFonts w:ascii="Times New Roman" w:hAnsi="Times New Roman"/>
          <w:color w:val="000000"/>
          <w:sz w:val="22"/>
        </w:rPr>
        <w:t>). Each Annual Option Award will vest on the one-year anniversary of the date of grant, subject to the director’s continued service to the Company.</w:t>
      </w:r>
    </w:p>
    <w:p>
      <w:pPr>
        <w:pStyle w:val="TextBody"/>
        <w:bidi w:val="0"/>
        <w:spacing w:before="1" w:after="283"/>
        <w:jc w:val="left"/>
        <w:rPr/>
      </w:pPr>
      <w:r>
        <w:rPr/>
        <w:t> </w:t>
      </w:r>
    </w:p>
    <w:p>
      <w:pPr>
        <w:pStyle w:val="TextBody"/>
        <w:bidi w:val="0"/>
        <w:jc w:val="both"/>
        <w:rPr>
          <w:rFonts w:ascii="Times New Roman" w:hAnsi="Times New Roman"/>
          <w:sz w:val="20"/>
        </w:rPr>
      </w:pPr>
      <w:r>
        <w:rPr>
          <w:rFonts w:ascii="Times New Roman" w:hAnsi="Times New Roman"/>
          <w:color w:val="000000"/>
          <w:sz w:val="22"/>
        </w:rPr>
        <w:t>Newly appointed non-employee directors will receive at the time of his or her appointment to the Board, a one-time initial award of options to purchase 35,000 shares (as adjusted for stock splits, stock dividends, recapitalization and similar events) of the Company’s common stock (the “</w:t>
      </w:r>
      <w:r>
        <w:rPr>
          <w:rFonts w:ascii="Times New Roman" w:hAnsi="Times New Roman"/>
          <w:b/>
          <w:i/>
          <w:color w:val="000000"/>
          <w:sz w:val="22"/>
        </w:rPr>
        <w:t>New Director Award</w:t>
      </w:r>
      <w:r>
        <w:rPr>
          <w:rFonts w:ascii="Times New Roman" w:hAnsi="Times New Roman"/>
          <w:color w:val="000000"/>
          <w:sz w:val="20"/>
        </w:rPr>
        <w:t>”</w:t>
      </w:r>
      <w:r>
        <w:rPr>
          <w:rFonts w:ascii="Times New Roman" w:hAnsi="Times New Roman"/>
          <w:color w:val="000000"/>
          <w:sz w:val="22"/>
        </w:rPr>
        <w:t>). Each New Director Award will vest monthly over a three-year period.</w:t>
      </w:r>
    </w:p>
    <w:p>
      <w:pPr>
        <w:pStyle w:val="TextBody"/>
        <w:bidi w:val="0"/>
        <w:spacing w:before="9" w:after="283"/>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The Chair will also receive an annual cash retainer of $79,876 for his or her service in such role.</w:t>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Each non-employee director, other than the chairperson of such committee, who serves on the following committees will receive an annual cash retainer, for each committee on which he or she serves, as listed below:</w:t>
      </w:r>
    </w:p>
    <w:p>
      <w:pPr>
        <w:pStyle w:val="TextBody"/>
        <w:bidi w:val="0"/>
        <w:jc w:val="both"/>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Audit committee – $11,410</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Compensation committee – $8,558</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Science &amp; Technology committee – $8,558</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2"/>
        </w:rPr>
      </w:pPr>
      <w:r>
        <w:rPr>
          <w:rFonts w:ascii="Times New Roman" w:hAnsi="Times New Roman"/>
          <w:color w:val="000000"/>
          <w:sz w:val="22"/>
        </w:rPr>
        <w:t>Nominating and corporate governance committee – $5,706</w:t>
      </w:r>
    </w:p>
    <w:p>
      <w:pPr>
        <w:pStyle w:val="TextBody"/>
        <w:bidi w:val="0"/>
        <w:spacing w:before="11" w:after="283"/>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Each chairperson of the audit, compensation, nominating and corporate governance and science and technology committees will receive an additional annual cash retainer as follows:</w:t>
      </w:r>
    </w:p>
    <w:p>
      <w:pPr>
        <w:pStyle w:val="TextBody"/>
        <w:bidi w:val="0"/>
        <w:jc w:val="both"/>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Audit committee – $22,822</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Compensation committee – $17,115</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Science &amp; Technology committee – $17,115</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2"/>
        </w:rPr>
      </w:pPr>
      <w:r>
        <w:rPr>
          <w:rFonts w:ascii="Times New Roman" w:hAnsi="Times New Roman"/>
          <w:color w:val="000000"/>
          <w:sz w:val="22"/>
        </w:rPr>
        <w:t>Nominating and corporate governance committee – $11,410</w:t>
      </w:r>
    </w:p>
    <w:p>
      <w:pPr>
        <w:pStyle w:val="TextBody"/>
        <w:bidi w:val="0"/>
        <w:spacing w:before="11" w:after="283"/>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The Company will also reimburse each of the directors for his or her travel expenses incurred in connection with his or her attendance at Board and committee meetings. All cash retainers will be paid in equal quarterly installments.</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57" w:name="sndx-ex23_1.htm"/>
      <w:bookmarkStart w:id="58" w:name="kssndxex23_1"/>
      <w:bookmarkEnd w:id="57"/>
      <w:bookmarkEnd w:id="58"/>
      <w:r>
        <w:rPr>
          <w:rFonts w:ascii="Times New Roman" w:hAnsi="Times New Roman"/>
          <w:b/>
          <w:color w:val="000000"/>
          <w:sz w:val="20"/>
        </w:rPr>
        <w:t>Exhibit 23.1</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CONSENT OF INDEPENDENT REGISTERED PUBLIC ACCOUNTING FIRM</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consent to the incorporation by reference in Registration Statement No. 333-254661 on Form S-3 and Registration Statement Nos. 333-210412, 333-220172, 333-226678, 333-233083, 333-241654, 333-258628, and 333-263185 on Form S-8 of our reports dated February 27, 2024, relating to the financial statements of Syndax Pharmaceuticals, Inc. and subsidiaries and the effectiveness of Syndax Pharmaceuticals, Inc. and subsidiaries’ internal control over financial reporting appearing in this Annual Report on Form 10-K for the year ended December 31, 2023.</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 Deloitte &amp; Touche LLP</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Boston, Massachusetts</w:t>
      </w:r>
    </w:p>
    <w:p>
      <w:pPr>
        <w:pStyle w:val="TextBody"/>
        <w:bidi w:val="0"/>
        <w:jc w:val="left"/>
        <w:rPr>
          <w:rFonts w:ascii="Times New Roman" w:hAnsi="Times New Roman"/>
          <w:color w:val="000000"/>
          <w:sz w:val="20"/>
        </w:rPr>
      </w:pPr>
      <w:r>
        <w:rPr>
          <w:rFonts w:ascii="Times New Roman" w:hAnsi="Times New Roman"/>
          <w:color w:val="000000"/>
          <w:sz w:val="20"/>
        </w:rPr>
        <w:t>February 27, 2024</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59" w:name="sndx-ex31_1.htm"/>
      <w:bookmarkStart w:id="60" w:name="kssndxex31_1"/>
      <w:bookmarkEnd w:id="59"/>
      <w:bookmarkEnd w:id="60"/>
      <w:r>
        <w:rPr>
          <w:rFonts w:ascii="Times New Roman" w:hAnsi="Times New Roman"/>
          <w:b/>
          <w:color w:val="000000"/>
          <w:sz w:val="20"/>
        </w:rPr>
        <w:t>Exhibit 31.1</w:t>
      </w:r>
      <w:r>
        <w:br w:type="page"/>
      </w:r>
    </w:p>
    <w:p>
      <w:pPr>
        <w:pStyle w:val="TextBody"/>
        <w:bidi w:val="0"/>
        <w:spacing w:before="120" w:after="283"/>
        <w:jc w:val="center"/>
        <w:rPr>
          <w:rFonts w:ascii="Times New Roman" w:hAnsi="Times New Roman"/>
          <w:sz w:val="20"/>
        </w:rPr>
      </w:pPr>
      <w:r>
        <w:rPr>
          <w:rFonts w:ascii="Times New Roman" w:hAnsi="Times New Roman"/>
          <w:b/>
          <w:color w:val="000000"/>
          <w:sz w:val="20"/>
        </w:rPr>
        <w:t>CERTIFICATIONS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Michael A. Metzger,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1. I have reviewed this Annual Report on Form 10-K of Syndax Pharmaceuticals, Inc.;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Date: February 27, 2024 </w:t>
      </w:r>
    </w:p>
    <w:tbl>
      <w:tblPr>
        <w:tblW w:w="3006" w:type="dxa"/>
        <w:jc w:val="left"/>
        <w:tblInd w:w="0" w:type="dxa"/>
        <w:tblLayout w:type="fixed"/>
        <w:tblCellMar>
          <w:top w:w="28" w:type="dxa"/>
          <w:left w:w="28" w:type="dxa"/>
          <w:bottom w:w="28" w:type="dxa"/>
          <w:right w:w="28" w:type="dxa"/>
        </w:tblCellMar>
      </w:tblPr>
      <w:tblGrid>
        <w:gridCol w:w="421"/>
        <w:gridCol w:w="109"/>
        <w:gridCol w:w="2476"/>
      </w:tblGrid>
      <w:tr>
        <w:trPr/>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By:</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Michael A. Metzger</w:t>
            </w:r>
          </w:p>
        </w:tc>
      </w:tr>
      <w:tr>
        <w:trPr/>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A. Metzger</w:t>
            </w:r>
          </w:p>
        </w:tc>
      </w:tr>
      <w:tr>
        <w:trPr/>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r>
        <w:trPr/>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spacing w:before="0" w:after="16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61" w:name="sndx-ex31_2.htm"/>
      <w:bookmarkStart w:id="62" w:name="kssndxex31_2"/>
      <w:bookmarkEnd w:id="61"/>
      <w:bookmarkEnd w:id="62"/>
      <w:r>
        <w:rPr>
          <w:rFonts w:ascii="Times New Roman" w:hAnsi="Times New Roman"/>
          <w:b/>
          <w:color w:val="000000"/>
          <w:sz w:val="20"/>
        </w:rPr>
        <w:t>Exhibit 31.2</w:t>
      </w:r>
      <w:r>
        <w:br w:type="page"/>
      </w:r>
    </w:p>
    <w:p>
      <w:pPr>
        <w:pStyle w:val="TextBody"/>
        <w:bidi w:val="0"/>
        <w:spacing w:before="120" w:after="283"/>
        <w:jc w:val="center"/>
        <w:rPr>
          <w:rFonts w:ascii="Times New Roman" w:hAnsi="Times New Roman"/>
          <w:sz w:val="20"/>
        </w:rPr>
      </w:pPr>
      <w:r>
        <w:rPr>
          <w:rFonts w:ascii="Times New Roman" w:hAnsi="Times New Roman"/>
          <w:b/>
          <w:color w:val="000000"/>
          <w:sz w:val="20"/>
        </w:rPr>
        <w:t>CERTIFICATIONS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Keith A. Goldan,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1. I have reviewed this Annual Report on Form 10-K of Syndax Pharmaceuticals, Inc.;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Date: February 27, 2024 </w:t>
      </w:r>
    </w:p>
    <w:tbl>
      <w:tblPr>
        <w:tblW w:w="2946" w:type="dxa"/>
        <w:jc w:val="left"/>
        <w:tblInd w:w="0" w:type="dxa"/>
        <w:tblLayout w:type="fixed"/>
        <w:tblCellMar>
          <w:top w:w="28" w:type="dxa"/>
          <w:left w:w="28" w:type="dxa"/>
          <w:bottom w:w="28" w:type="dxa"/>
          <w:right w:w="28" w:type="dxa"/>
        </w:tblCellMar>
      </w:tblPr>
      <w:tblGrid>
        <w:gridCol w:w="421"/>
        <w:gridCol w:w="109"/>
        <w:gridCol w:w="2416"/>
      </w:tblGrid>
      <w:tr>
        <w:trPr/>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By:</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Keith A. Goldan</w:t>
            </w:r>
          </w:p>
        </w:tc>
      </w:tr>
      <w:tr>
        <w:trPr/>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Keith A. Goldan</w:t>
            </w:r>
          </w:p>
        </w:tc>
      </w:tr>
      <w:tr>
        <w:trPr/>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63" w:name="sndx-ex32_1.htm"/>
      <w:bookmarkStart w:id="64" w:name="kssndxex32_1"/>
      <w:bookmarkEnd w:id="63"/>
      <w:bookmarkEnd w:id="64"/>
      <w:r>
        <w:rPr>
          <w:rFonts w:ascii="Times New Roman" w:hAnsi="Times New Roman"/>
          <w:b/>
          <w:color w:val="000000"/>
          <w:sz w:val="20"/>
        </w:rPr>
        <w:t>Exhibit 32.1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CERTIFICATIONS PURSUANT TO 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jc w:val="center"/>
        <w:rPr>
          <w:rFonts w:ascii="Times New Roman" w:hAnsi="Times New Roman"/>
          <w:b/>
          <w:color w:val="000000"/>
          <w:sz w:val="20"/>
        </w:rPr>
      </w:pPr>
      <w:r>
        <w:rPr>
          <w:rFonts w:ascii="Times New Roman" w:hAnsi="Times New Roman"/>
          <w:b/>
          <w:color w:val="000000"/>
          <w:sz w:val="20"/>
        </w:rPr>
        <w:t>*</w:t>
      </w:r>
    </w:p>
    <w:p>
      <w:pPr>
        <w:pStyle w:val="TextBody"/>
        <w:bidi w:val="0"/>
        <w:jc w:val="left"/>
        <w:rPr>
          <w:rFonts w:ascii="Times New Roman" w:hAnsi="Times New Roman"/>
          <w:color w:val="000000"/>
          <w:sz w:val="20"/>
        </w:rPr>
      </w:pPr>
      <w:r>
        <w:rPr>
          <w:rFonts w:ascii="Times New Roman" w:hAnsi="Times New Roman"/>
          <w:color w:val="000000"/>
          <w:sz w:val="20"/>
        </w:rPr>
        <w:t xml:space="preserve">Pursuant to the requirement set forth in Rule 13a-14(b) of the Securities Exchange Act of 1934, as amended (the “Exchange Act”), and Section 1350 of Chapter 63 of Title 18 of the United States Code (18 U.S.C. § 1350), Michael A. Metzger, Chief Executive Officer and Director of Syndax Pharmaceuticals, Inc. (the “Company”), and Keith A. Goldan, Chief Financial Officer and Treasurer of the Company, each hereby certifies that, to the best of his knowledge: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(1) The Company’s Annual Report on Form 10-K, for the year ended December 31, 2023, to which this Certification is attached as Exhibit 32.1 (the “Annual Report”), fully complies with the requirements of Section 13(a) or 15(d) of the Securities Exchange Act of 1934, as amended; 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(2) The information contained in the Annual Report fairly presents, in all material respects, the financial condition and results of operations of the Company for the period covered by the Annual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Date: February 27, 2024 </w:t>
      </w:r>
    </w:p>
    <w:tbl>
      <w:tblPr>
        <w:tblW w:w="2541" w:type="dxa"/>
        <w:jc w:val="left"/>
        <w:tblInd w:w="0" w:type="dxa"/>
        <w:tblLayout w:type="fixed"/>
        <w:tblCellMar>
          <w:top w:w="28" w:type="dxa"/>
          <w:left w:w="28" w:type="dxa"/>
          <w:bottom w:w="28" w:type="dxa"/>
          <w:right w:w="28" w:type="dxa"/>
        </w:tblCellMar>
      </w:tblPr>
      <w:tblGrid>
        <w:gridCol w:w="361"/>
        <w:gridCol w:w="109"/>
        <w:gridCol w:w="2071"/>
      </w:tblGrid>
      <w:tr>
        <w:trPr/>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By</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Michael A. Metzger</w:t>
            </w:r>
          </w:p>
        </w:tc>
      </w:tr>
      <w:tr>
        <w:trPr/>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A. Metzger</w:t>
            </w:r>
          </w:p>
        </w:tc>
      </w:tr>
      <w:tr>
        <w:trPr/>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Date: February 27, 2024 </w:t>
      </w:r>
    </w:p>
    <w:p>
      <w:pPr>
        <w:pStyle w:val="TextBody"/>
        <w:bidi w:val="0"/>
        <w:jc w:val="left"/>
        <w:rPr/>
      </w:pPr>
      <w:r>
        <w:rPr/>
        <w:t> </w:t>
      </w:r>
    </w:p>
    <w:tbl>
      <w:tblPr>
        <w:tblW w:w="3735" w:type="dxa"/>
        <w:jc w:val="left"/>
        <w:tblInd w:w="0" w:type="dxa"/>
        <w:tblLayout w:type="fixed"/>
        <w:tblCellMar>
          <w:top w:w="28" w:type="dxa"/>
          <w:left w:w="28" w:type="dxa"/>
          <w:bottom w:w="28" w:type="dxa"/>
          <w:right w:w="28" w:type="dxa"/>
        </w:tblCellMar>
      </w:tblPr>
      <w:tblGrid>
        <w:gridCol w:w="361"/>
        <w:gridCol w:w="223"/>
        <w:gridCol w:w="3151"/>
      </w:tblGrid>
      <w:tr>
        <w:trPr/>
        <w:tc>
          <w:tcPr>
            <w:tcW w:w="36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151" w:type="dxa"/>
            <w:tcBorders/>
            <w:vAlign w:val="center"/>
          </w:tcPr>
          <w:p>
            <w:pPr>
              <w:pStyle w:val="TableContents"/>
              <w:bidi w:val="0"/>
              <w:spacing w:before="0" w:after="283"/>
              <w:jc w:val="left"/>
              <w:rPr>
                <w:sz w:val="4"/>
                <w:szCs w:val="4"/>
              </w:rPr>
            </w:pPr>
            <w:r>
              <w:rPr>
                <w:sz w:val="4"/>
                <w:szCs w:val="4"/>
              </w:rPr>
            </w:r>
          </w:p>
        </w:tc>
      </w:tr>
      <w:tr>
        <w:trPr/>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By</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1"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/s/ Keith A. Goldan</w:t>
            </w:r>
          </w:p>
        </w:tc>
      </w:tr>
      <w:tr>
        <w:trPr/>
        <w:tc>
          <w:tcPr>
            <w:tcW w:w="36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315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Keith A. Goldan</w:t>
            </w:r>
          </w:p>
        </w:tc>
      </w:tr>
      <w:tr>
        <w:trPr/>
        <w:tc>
          <w:tcPr>
            <w:tcW w:w="36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 and Treasurer</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_______</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This certification accompanies the Annual Report, to which it relates, is not deemed filed with the Securities and Exchange Commission and is not to be incorporated by reference into any filing of the Company under the Securities Act of 1933, as amended, or the Securities Exchange Act of 1934, as amended (whether made before or after the date of the Annual Report), irrespective of any general incorporation language contained in such</w:t>
      </w:r>
    </w:p>
    <w:p>
      <w:pPr>
        <w:pStyle w:val="TextBody"/>
        <w:bidi w:val="0"/>
        <w:jc w:val="left"/>
        <w:rPr>
          <w:rFonts w:ascii="Times New Roman" w:hAnsi="Times New Roman"/>
          <w:color w:val="000000"/>
          <w:sz w:val="20"/>
        </w:rPr>
      </w:pPr>
      <w:r>
        <w:rPr>
          <w:rFonts w:ascii="Times New Roman" w:hAnsi="Times New Roman"/>
          <w:color w:val="000000"/>
          <w:sz w:val="20"/>
        </w:rPr>
        <w:t>filing</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2"/>
        </w:rPr>
      </w:pPr>
      <w:bookmarkStart w:id="65" w:name="sndx-ex97.htm"/>
      <w:bookmarkStart w:id="66" w:name="kssndxex97"/>
      <w:bookmarkEnd w:id="65"/>
      <w:bookmarkEnd w:id="66"/>
      <w:r>
        <w:rPr>
          <w:rFonts w:ascii="Times New Roman" w:hAnsi="Times New Roman"/>
          <w:color w:val="000000"/>
          <w:sz w:val="22"/>
        </w:rPr>
        <w:t>Exhibit 97</w:t>
      </w:r>
      <w:r>
        <w:br w:type="page"/>
      </w:r>
    </w:p>
    <w:p>
      <w:pPr>
        <w:pStyle w:val="TextBody"/>
        <w:bidi w:val="0"/>
        <w:spacing w:before="0" w:after="220"/>
        <w:jc w:val="center"/>
        <w:rPr>
          <w:rFonts w:ascii="Times New Roman" w:hAnsi="Times New Roman"/>
          <w:b/>
          <w:smallCaps/>
          <w:color w:val="000000"/>
          <w:sz w:val="22"/>
        </w:rPr>
      </w:pPr>
      <w:r>
        <w:rPr>
          <w:rFonts w:ascii="Times New Roman" w:hAnsi="Times New Roman"/>
          <w:b/>
          <w:smallCaps/>
          <w:color w:val="000000"/>
          <w:sz w:val="22"/>
        </w:rPr>
        <w:t>Syndax Pharmaceuticals, Inc.</w:t>
      </w:r>
    </w:p>
    <w:p>
      <w:pPr>
        <w:pStyle w:val="TextBody"/>
        <w:bidi w:val="0"/>
        <w:spacing w:before="0" w:after="220"/>
        <w:jc w:val="center"/>
        <w:rPr>
          <w:rFonts w:ascii="Times New Roman" w:hAnsi="Times New Roman"/>
          <w:b/>
          <w:smallCaps/>
          <w:color w:val="000000"/>
          <w:sz w:val="22"/>
        </w:rPr>
      </w:pPr>
      <w:r>
        <w:rPr>
          <w:rFonts w:ascii="Times New Roman" w:hAnsi="Times New Roman"/>
          <w:b/>
          <w:smallCaps/>
          <w:color w:val="000000"/>
          <w:sz w:val="22"/>
        </w:rPr>
        <w:t>Incentive Compensation Recoupment Policy</w:t>
      </w:r>
    </w:p>
    <w:p>
      <w:pPr>
        <w:pStyle w:val="TextBody"/>
        <w:bidi w:val="0"/>
        <w:spacing w:before="0" w:after="220"/>
        <w:jc w:val="both"/>
        <w:rPr>
          <w:rFonts w:ascii="Times New Roman" w:hAnsi="Times New Roman"/>
          <w:b/>
          <w:smallCaps/>
          <w:color w:val="000000"/>
          <w:sz w:val="22"/>
        </w:rPr>
      </w:pPr>
      <w:r>
        <w:rPr>
          <w:rFonts w:ascii="Times New Roman" w:hAnsi="Times New Roman"/>
          <w:b/>
          <w:smallCaps/>
          <w:color w:val="000000"/>
          <w:sz w:val="22"/>
        </w:rPr>
        <w:t>1.</w:t>
      </w:r>
    </w:p>
    <w:p>
      <w:pPr>
        <w:pStyle w:val="TextBody"/>
        <w:bidi w:val="0"/>
        <w:spacing w:before="0" w:after="220"/>
        <w:jc w:val="both"/>
        <w:rPr>
          <w:rFonts w:ascii="Times New Roman" w:hAnsi="Times New Roman"/>
          <w:b/>
          <w:smallCaps/>
          <w:color w:val="000000"/>
          <w:sz w:val="22"/>
        </w:rPr>
      </w:pPr>
      <w:r>
        <w:rPr>
          <w:rFonts w:ascii="Times New Roman" w:hAnsi="Times New Roman"/>
          <w:b/>
          <w:smallCaps/>
          <w:color w:val="000000"/>
          <w:sz w:val="22"/>
        </w:rPr>
        <w:t>Introduction</w:t>
      </w:r>
    </w:p>
    <w:p>
      <w:pPr>
        <w:pStyle w:val="TextBody"/>
        <w:bidi w:val="0"/>
        <w:spacing w:before="0" w:after="220"/>
        <w:jc w:val="both"/>
        <w:rPr>
          <w:rFonts w:ascii="Times New Roman" w:hAnsi="Times New Roman"/>
          <w:sz w:val="20"/>
        </w:rPr>
      </w:pPr>
      <w:r>
        <w:rPr>
          <w:rFonts w:ascii="Times New Roman" w:hAnsi="Times New Roman"/>
          <w:color w:val="000000"/>
          <w:sz w:val="22"/>
        </w:rPr>
        <w:t>The Compensation Committee (the “</w:t>
      </w:r>
      <w:r>
        <w:rPr>
          <w:rFonts w:ascii="Times New Roman" w:hAnsi="Times New Roman"/>
          <w:b/>
          <w:i/>
          <w:color w:val="000000"/>
          <w:sz w:val="22"/>
        </w:rPr>
        <w:t>Compensation Committee</w:t>
      </w:r>
      <w:r>
        <w:rPr>
          <w:rFonts w:ascii="Times New Roman" w:hAnsi="Times New Roman"/>
          <w:color w:val="000000"/>
          <w:sz w:val="20"/>
        </w:rPr>
        <w:t>”</w:t>
      </w:r>
      <w:r>
        <w:rPr>
          <w:rFonts w:ascii="Times New Roman" w:hAnsi="Times New Roman"/>
          <w:color w:val="000000"/>
          <w:sz w:val="22"/>
        </w:rPr>
        <w:t>) of the Board of Directors (the “</w:t>
      </w:r>
      <w:r>
        <w:rPr>
          <w:rFonts w:ascii="Times New Roman" w:hAnsi="Times New Roman"/>
          <w:b/>
          <w:i/>
          <w:color w:val="000000"/>
          <w:sz w:val="22"/>
        </w:rPr>
        <w:t>Board</w:t>
      </w:r>
      <w:r>
        <w:rPr>
          <w:rFonts w:ascii="Times New Roman" w:hAnsi="Times New Roman"/>
          <w:color w:val="000000"/>
          <w:sz w:val="20"/>
        </w:rPr>
        <w:t>”</w:t>
      </w:r>
      <w:r>
        <w:rPr>
          <w:rFonts w:ascii="Times New Roman" w:hAnsi="Times New Roman"/>
          <w:color w:val="000000"/>
          <w:sz w:val="22"/>
        </w:rPr>
        <w:t>) of Syndax Pharmaceuticals, Inc., a Delaware corporation (the “</w:t>
      </w:r>
      <w:r>
        <w:rPr>
          <w:rFonts w:ascii="Times New Roman" w:hAnsi="Times New Roman"/>
          <w:b/>
          <w:i/>
          <w:color w:val="000000"/>
          <w:sz w:val="22"/>
        </w:rPr>
        <w:t>Company</w:t>
      </w:r>
      <w:r>
        <w:rPr>
          <w:rFonts w:ascii="Times New Roman" w:hAnsi="Times New Roman"/>
          <w:color w:val="000000"/>
          <w:sz w:val="20"/>
        </w:rPr>
        <w:t>”</w:t>
      </w:r>
      <w:r>
        <w:rPr>
          <w:rFonts w:ascii="Times New Roman" w:hAnsi="Times New Roman"/>
          <w:color w:val="000000"/>
          <w:sz w:val="22"/>
        </w:rPr>
        <w:t>), has determined that it is in the best interests of the Company and its stockholders to adopt this Incentive Compensation Recoupment Policy (this “</w:t>
      </w:r>
      <w:r>
        <w:rPr>
          <w:rFonts w:ascii="Times New Roman" w:hAnsi="Times New Roman"/>
          <w:b/>
          <w:i/>
          <w:color w:val="000000"/>
          <w:sz w:val="22"/>
        </w:rPr>
        <w:t>Policy</w:t>
      </w:r>
      <w:r>
        <w:rPr>
          <w:rFonts w:ascii="Times New Roman" w:hAnsi="Times New Roman"/>
          <w:color w:val="000000"/>
          <w:sz w:val="20"/>
        </w:rPr>
        <w:t>”</w:t>
      </w:r>
      <w:r>
        <w:rPr>
          <w:rFonts w:ascii="Times New Roman" w:hAnsi="Times New Roman"/>
          <w:color w:val="000000"/>
          <w:sz w:val="22"/>
        </w:rPr>
        <w:t>) providing for the Company’s recoupment of Recoverable Incentive Compensation that is received by Covered Officers of the Company under certain circumstances. Certain capitalized terms used in this Policy have the meanings given to such terms in Section 3 below.</w:t>
      </w:r>
    </w:p>
    <w:p>
      <w:pPr>
        <w:pStyle w:val="TextBody"/>
        <w:bidi w:val="0"/>
        <w:spacing w:before="0" w:after="220"/>
        <w:jc w:val="both"/>
        <w:rPr>
          <w:rFonts w:ascii="Times New Roman" w:hAnsi="Times New Roman"/>
          <w:sz w:val="20"/>
        </w:rPr>
      </w:pPr>
      <w:r>
        <w:rPr>
          <w:rFonts w:ascii="Times New Roman" w:hAnsi="Times New Roman"/>
          <w:color w:val="000000"/>
          <w:sz w:val="22"/>
        </w:rPr>
        <w:t>This Policy is designed to comply with, and shall be interpreted to be consistent with, Section 10D of the Exchange Act, Rule 10D-1 promulgated thereunder (“</w:t>
      </w:r>
      <w:r>
        <w:rPr>
          <w:rFonts w:ascii="Times New Roman" w:hAnsi="Times New Roman"/>
          <w:b/>
          <w:i/>
          <w:color w:val="000000"/>
          <w:sz w:val="22"/>
        </w:rPr>
        <w:t>Rule 10D-1</w:t>
      </w:r>
      <w:r>
        <w:rPr>
          <w:rFonts w:ascii="Times New Roman" w:hAnsi="Times New Roman"/>
          <w:color w:val="000000"/>
          <w:sz w:val="20"/>
        </w:rPr>
        <w:t>”</w:t>
      </w:r>
      <w:r>
        <w:rPr>
          <w:rFonts w:ascii="Times New Roman" w:hAnsi="Times New Roman"/>
          <w:color w:val="000000"/>
          <w:sz w:val="22"/>
        </w:rPr>
        <w:t>) and Nasdaq Listing Rule 5608 (the “</w:t>
      </w:r>
      <w:r>
        <w:rPr>
          <w:rFonts w:ascii="Times New Roman" w:hAnsi="Times New Roman"/>
          <w:b/>
          <w:i/>
          <w:color w:val="000000"/>
          <w:sz w:val="22"/>
        </w:rPr>
        <w:t>Listing Standards</w:t>
      </w:r>
      <w:r>
        <w:rPr>
          <w:rFonts w:ascii="Times New Roman" w:hAnsi="Times New Roman"/>
          <w:color w:val="000000"/>
          <w:sz w:val="20"/>
        </w:rPr>
        <w:t>”</w:t>
      </w:r>
      <w:r>
        <w:rPr>
          <w:rFonts w:ascii="Times New Roman" w:hAnsi="Times New Roman"/>
          <w:color w:val="000000"/>
          <w:sz w:val="22"/>
        </w:rPr>
        <w:t>).</w:t>
      </w:r>
    </w:p>
    <w:p>
      <w:pPr>
        <w:pStyle w:val="TextBody"/>
        <w:bidi w:val="0"/>
        <w:spacing w:before="0" w:after="220"/>
        <w:jc w:val="both"/>
        <w:rPr>
          <w:rFonts w:ascii="Times New Roman" w:hAnsi="Times New Roman"/>
          <w:b/>
          <w:smallCaps/>
          <w:color w:val="000000"/>
          <w:sz w:val="22"/>
        </w:rPr>
      </w:pPr>
      <w:r>
        <w:rPr>
          <w:rFonts w:ascii="Times New Roman" w:hAnsi="Times New Roman"/>
          <w:b/>
          <w:smallCaps/>
          <w:color w:val="000000"/>
          <w:sz w:val="22"/>
        </w:rPr>
        <w:t>2.</w:t>
      </w:r>
    </w:p>
    <w:p>
      <w:pPr>
        <w:pStyle w:val="TextBody"/>
        <w:bidi w:val="0"/>
        <w:spacing w:before="0" w:after="220"/>
        <w:jc w:val="both"/>
        <w:rPr>
          <w:rFonts w:ascii="Times New Roman" w:hAnsi="Times New Roman"/>
          <w:b/>
          <w:smallCaps/>
          <w:color w:val="000000"/>
          <w:sz w:val="22"/>
        </w:rPr>
      </w:pPr>
      <w:r>
        <w:rPr>
          <w:rFonts w:ascii="Times New Roman" w:hAnsi="Times New Roman"/>
          <w:b/>
          <w:smallCaps/>
          <w:color w:val="000000"/>
          <w:sz w:val="22"/>
        </w:rPr>
        <w:t>Effective Date</w:t>
      </w:r>
    </w:p>
    <w:p>
      <w:pPr>
        <w:pStyle w:val="TextBody"/>
        <w:bidi w:val="0"/>
        <w:spacing w:before="0" w:after="220"/>
        <w:jc w:val="both"/>
        <w:rPr>
          <w:rFonts w:ascii="Times New Roman" w:hAnsi="Times New Roman"/>
          <w:sz w:val="20"/>
        </w:rPr>
      </w:pPr>
      <w:r>
        <w:rPr>
          <w:rFonts w:ascii="Times New Roman" w:hAnsi="Times New Roman"/>
          <w:color w:val="000000"/>
          <w:sz w:val="22"/>
        </w:rPr>
        <w:t>This Policy shall apply to all Incentive Compensation that is received by a Covered Officer on or after October 2, 2023 (the “</w:t>
      </w:r>
      <w:r>
        <w:rPr>
          <w:rFonts w:ascii="Times New Roman" w:hAnsi="Times New Roman"/>
          <w:b/>
          <w:i/>
          <w:color w:val="000000"/>
          <w:sz w:val="22"/>
        </w:rPr>
        <w:t>Effective Date</w:t>
      </w:r>
      <w:r>
        <w:rPr>
          <w:rFonts w:ascii="Times New Roman" w:hAnsi="Times New Roman"/>
          <w:color w:val="000000"/>
          <w:sz w:val="20"/>
        </w:rPr>
        <w:t>”</w:t>
      </w:r>
      <w:r>
        <w:rPr>
          <w:rFonts w:ascii="Times New Roman" w:hAnsi="Times New Roman"/>
          <w:color w:val="000000"/>
          <w:sz w:val="22"/>
        </w:rPr>
        <w:t>). Incentive Compensation is deemed “</w:t>
      </w:r>
      <w:r>
        <w:rPr>
          <w:rFonts w:ascii="Times New Roman" w:hAnsi="Times New Roman"/>
          <w:b/>
          <w:i/>
          <w:color w:val="000000"/>
          <w:sz w:val="22"/>
        </w:rPr>
        <w:t>received</w:t>
      </w:r>
      <w:r>
        <w:rPr>
          <w:rFonts w:ascii="Times New Roman" w:hAnsi="Times New Roman"/>
          <w:color w:val="000000"/>
          <w:sz w:val="20"/>
        </w:rPr>
        <w:t xml:space="preserve">” </w:t>
      </w:r>
      <w:r>
        <w:rPr>
          <w:rFonts w:ascii="Times New Roman" w:hAnsi="Times New Roman"/>
          <w:color w:val="000000"/>
          <w:sz w:val="22"/>
        </w:rPr>
        <w:t>in the Company’s fiscal period in which the Financial Reporting Measure specified in the Incentive Compensation award is attained, even if the payment or grant of such Incentive Compensation occurs after the end of that period.</w:t>
      </w:r>
    </w:p>
    <w:p>
      <w:pPr>
        <w:pStyle w:val="TextBody"/>
        <w:bidi w:val="0"/>
        <w:spacing w:before="0" w:after="220"/>
        <w:jc w:val="both"/>
        <w:rPr>
          <w:rFonts w:ascii="Times New Roman" w:hAnsi="Times New Roman"/>
          <w:b/>
          <w:smallCaps/>
          <w:color w:val="000000"/>
          <w:sz w:val="22"/>
        </w:rPr>
      </w:pPr>
      <w:r>
        <w:rPr>
          <w:rFonts w:ascii="Times New Roman" w:hAnsi="Times New Roman"/>
          <w:b/>
          <w:smallCaps/>
          <w:color w:val="000000"/>
          <w:sz w:val="22"/>
        </w:rPr>
        <w:t>3.</w:t>
      </w:r>
    </w:p>
    <w:p>
      <w:pPr>
        <w:pStyle w:val="TextBody"/>
        <w:bidi w:val="0"/>
        <w:spacing w:before="0" w:after="220"/>
        <w:jc w:val="both"/>
        <w:rPr>
          <w:rFonts w:ascii="Times New Roman" w:hAnsi="Times New Roman"/>
          <w:b/>
          <w:smallCaps/>
          <w:color w:val="000000"/>
          <w:sz w:val="22"/>
        </w:rPr>
      </w:pPr>
      <w:r>
        <w:rPr>
          <w:rFonts w:ascii="Times New Roman" w:hAnsi="Times New Roman"/>
          <w:b/>
          <w:smallCaps/>
          <w:color w:val="000000"/>
          <w:sz w:val="22"/>
        </w:rPr>
        <w:t>Definitions</w:t>
      </w:r>
    </w:p>
    <w:p>
      <w:pPr>
        <w:pStyle w:val="TextBody"/>
        <w:bidi w:val="0"/>
        <w:spacing w:before="0" w:after="220"/>
        <w:jc w:val="both"/>
        <w:rPr/>
      </w:pPr>
      <w:r>
        <w:rPr>
          <w:color w:val="000000"/>
        </w:rPr>
        <w:t>“</w:t>
      </w:r>
      <w:r>
        <w:rPr>
          <w:rFonts w:ascii="Times New Roman" w:hAnsi="Times New Roman"/>
          <w:b/>
          <w:i/>
          <w:color w:val="000000"/>
          <w:sz w:val="22"/>
        </w:rPr>
        <w:t>Accounting Restatement</w:t>
      </w:r>
      <w:r>
        <w:rPr>
          <w:rFonts w:ascii="Times New Roman" w:hAnsi="Times New Roman"/>
          <w:color w:val="000000"/>
          <w:sz w:val="20"/>
        </w:rPr>
        <w:t xml:space="preserve">” </w:t>
      </w:r>
      <w:r>
        <w:rPr>
          <w:rFonts w:ascii="Times New Roman" w:hAnsi="Times New Roman"/>
          <w:color w:val="000000"/>
          <w:sz w:val="22"/>
        </w:rPr>
        <w:t>means an accounting restatement that the Company is required to prepare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pStyle w:val="TextBody"/>
        <w:bidi w:val="0"/>
        <w:spacing w:before="0" w:after="220"/>
        <w:jc w:val="both"/>
        <w:rPr/>
      </w:pPr>
      <w:r>
        <w:rPr>
          <w:color w:val="000000"/>
        </w:rPr>
        <w:t>“</w:t>
      </w:r>
      <w:r>
        <w:rPr>
          <w:rFonts w:ascii="Times New Roman" w:hAnsi="Times New Roman"/>
          <w:b/>
          <w:i/>
          <w:color w:val="000000"/>
          <w:sz w:val="22"/>
        </w:rPr>
        <w:t>Accounting Restatement Date</w:t>
      </w:r>
      <w:r>
        <w:rPr>
          <w:rFonts w:ascii="Times New Roman" w:hAnsi="Times New Roman"/>
          <w:color w:val="000000"/>
          <w:sz w:val="20"/>
        </w:rPr>
        <w:t xml:space="preserve">” </w:t>
      </w:r>
      <w:r>
        <w:rPr>
          <w:rFonts w:ascii="Times New Roman" w:hAnsi="Times New Roman"/>
          <w:color w:val="000000"/>
          <w:sz w:val="22"/>
        </w:rPr>
        <w:t>means the earlier to occur of (a) the date that the Board, a committee of the Board authorized to take such action, or the officer or officers of the Company authorized to take such action if Board action is not required, concludes, or reasonably should have concluded, that the Company is required to prepare an Accounting Restatement, or (b) the date that a court, regulator or other legally authorized body directs the Company to prepare an Accounting Restatement.</w:t>
      </w:r>
    </w:p>
    <w:p>
      <w:pPr>
        <w:pStyle w:val="TextBody"/>
        <w:bidi w:val="0"/>
        <w:spacing w:before="0" w:after="220"/>
        <w:jc w:val="both"/>
        <w:rPr/>
      </w:pPr>
      <w:r>
        <w:rPr>
          <w:color w:val="000000"/>
        </w:rPr>
        <w:t>“</w:t>
      </w:r>
      <w:r>
        <w:rPr>
          <w:rFonts w:ascii="Times New Roman" w:hAnsi="Times New Roman"/>
          <w:b/>
          <w:i/>
          <w:color w:val="000000"/>
          <w:sz w:val="22"/>
        </w:rPr>
        <w:t>Administrator</w:t>
      </w:r>
      <w:r>
        <w:rPr>
          <w:rFonts w:ascii="Times New Roman" w:hAnsi="Times New Roman"/>
          <w:color w:val="000000"/>
          <w:sz w:val="20"/>
        </w:rPr>
        <w:t xml:space="preserve">” </w:t>
      </w:r>
      <w:r>
        <w:rPr>
          <w:rFonts w:ascii="Times New Roman" w:hAnsi="Times New Roman"/>
          <w:color w:val="000000"/>
          <w:sz w:val="22"/>
        </w:rPr>
        <w:t>means the Compensation Committee or, in the absence of such committee, the Board.</w:t>
      </w:r>
    </w:p>
    <w:p>
      <w:pPr>
        <w:pStyle w:val="TextBody"/>
        <w:bidi w:val="0"/>
        <w:spacing w:before="0" w:after="220"/>
        <w:jc w:val="both"/>
        <w:rPr/>
      </w:pPr>
      <w:r>
        <w:rPr>
          <w:color w:val="000000"/>
        </w:rPr>
        <w:t>“</w:t>
      </w:r>
      <w:r>
        <w:rPr>
          <w:rFonts w:ascii="Times New Roman" w:hAnsi="Times New Roman"/>
          <w:b/>
          <w:i/>
          <w:color w:val="000000"/>
          <w:sz w:val="22"/>
        </w:rPr>
        <w:t>Code</w:t>
      </w:r>
      <w:r>
        <w:rPr>
          <w:rFonts w:ascii="Times New Roman" w:hAnsi="Times New Roman"/>
          <w:color w:val="000000"/>
          <w:sz w:val="20"/>
        </w:rPr>
        <w:t xml:space="preserve">” </w:t>
      </w:r>
      <w:r>
        <w:rPr>
          <w:rFonts w:ascii="Times New Roman" w:hAnsi="Times New Roman"/>
          <w:color w:val="000000"/>
          <w:sz w:val="22"/>
        </w:rPr>
        <w:t>means the U.S. Internal Revenue Code of 1986, as amended, and the regulations promulgated thereunder.</w:t>
      </w:r>
    </w:p>
    <w:p>
      <w:pPr>
        <w:pStyle w:val="TextBody"/>
        <w:bidi w:val="0"/>
        <w:spacing w:before="0" w:after="220"/>
        <w:jc w:val="both"/>
        <w:rPr/>
      </w:pPr>
      <w:r>
        <w:rPr>
          <w:color w:val="000000"/>
        </w:rPr>
        <w:t>“</w:t>
      </w:r>
      <w:r>
        <w:rPr>
          <w:rFonts w:ascii="Times New Roman" w:hAnsi="Times New Roman"/>
          <w:b/>
          <w:i/>
          <w:color w:val="000000"/>
          <w:sz w:val="22"/>
        </w:rPr>
        <w:t>Covered Officer</w:t>
      </w:r>
      <w:r>
        <w:rPr>
          <w:rFonts w:ascii="Times New Roman" w:hAnsi="Times New Roman"/>
          <w:color w:val="000000"/>
          <w:sz w:val="20"/>
        </w:rPr>
        <w:t xml:space="preserve">” </w:t>
      </w:r>
      <w:r>
        <w:rPr>
          <w:rFonts w:ascii="Times New Roman" w:hAnsi="Times New Roman"/>
          <w:color w:val="000000"/>
          <w:sz w:val="22"/>
        </w:rPr>
        <w:t>means each current and former Executive Officer.</w:t>
      </w:r>
    </w:p>
    <w:p>
      <w:pPr>
        <w:pStyle w:val="TextBody"/>
        <w:bidi w:val="0"/>
        <w:spacing w:before="0" w:after="220"/>
        <w:jc w:val="both"/>
        <w:rPr/>
      </w:pPr>
      <w:r>
        <w:rPr>
          <w:color w:val="000000"/>
        </w:rPr>
        <w:t>“</w:t>
      </w:r>
      <w:r>
        <w:rPr>
          <w:rFonts w:ascii="Times New Roman" w:hAnsi="Times New Roman"/>
          <w:b/>
          <w:i/>
          <w:color w:val="000000"/>
          <w:sz w:val="22"/>
        </w:rPr>
        <w:t>Exchange</w:t>
      </w:r>
      <w:r>
        <w:rPr>
          <w:rFonts w:ascii="Times New Roman" w:hAnsi="Times New Roman"/>
          <w:color w:val="000000"/>
          <w:sz w:val="20"/>
        </w:rPr>
        <w:t xml:space="preserve">” </w:t>
      </w:r>
      <w:r>
        <w:rPr>
          <w:rFonts w:ascii="Times New Roman" w:hAnsi="Times New Roman"/>
          <w:color w:val="000000"/>
          <w:sz w:val="22"/>
        </w:rPr>
        <w:t>means the Nasdaq Stock Market.</w:t>
      </w:r>
    </w:p>
    <w:p>
      <w:pPr>
        <w:pStyle w:val="TextBody"/>
        <w:bidi w:val="0"/>
        <w:spacing w:before="0" w:after="220"/>
        <w:jc w:val="both"/>
        <w:rPr/>
      </w:pPr>
      <w:r>
        <w:rPr>
          <w:color w:val="000000"/>
        </w:rPr>
        <w:t>“</w:t>
      </w:r>
      <w:r>
        <w:rPr>
          <w:rFonts w:ascii="Times New Roman" w:hAnsi="Times New Roman"/>
          <w:b/>
          <w:i/>
          <w:color w:val="000000"/>
          <w:sz w:val="22"/>
        </w:rPr>
        <w:t>Exchange Act</w:t>
      </w:r>
      <w:r>
        <w:rPr>
          <w:rFonts w:ascii="Times New Roman" w:hAnsi="Times New Roman"/>
          <w:color w:val="000000"/>
          <w:sz w:val="20"/>
        </w:rPr>
        <w:t xml:space="preserve">” </w:t>
      </w:r>
      <w:r>
        <w:rPr>
          <w:rFonts w:ascii="Times New Roman" w:hAnsi="Times New Roman"/>
          <w:color w:val="000000"/>
          <w:sz w:val="22"/>
        </w:rPr>
        <w:t>means the U.S. Securities Exchange Act of 1934, as amended.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jc w:val="both"/>
        <w:rPr/>
      </w:pPr>
      <w:r>
        <w:rPr>
          <w:color w:val="000000"/>
        </w:rPr>
        <w:t>“</w:t>
      </w:r>
      <w:r>
        <w:rPr>
          <w:rFonts w:ascii="Times New Roman" w:hAnsi="Times New Roman"/>
          <w:b/>
          <w:i/>
          <w:color w:val="000000"/>
          <w:sz w:val="22"/>
        </w:rPr>
        <w:t>Executive Officer</w:t>
      </w:r>
      <w:r>
        <w:rPr>
          <w:rFonts w:ascii="Times New Roman" w:hAnsi="Times New Roman"/>
          <w:color w:val="000000"/>
          <w:sz w:val="20"/>
        </w:rPr>
        <w:t xml:space="preserve">” </w:t>
      </w:r>
      <w:r>
        <w:rPr>
          <w:rFonts w:ascii="Times New Roman" w:hAnsi="Times New Roman"/>
          <w:color w:val="000000"/>
          <w:sz w:val="22"/>
        </w:rPr>
        <w:t>means the Company’s president, principal financial officer, principal accounting officer (or if there is no such accounting officer, the controller), any vice-president of the Company in charge of a principal business unit, division, or function (such as sales, administration, or finance), any other officer who performs a policy-making function, or any other person who performs similar policy-making functions for the Company. Executive officers of the Company’s parent(s) or subsidiaries are deemed executive officers of the Company if they perform such policy-making functions for the Company. Policy-making function is not intended to include policy-making functions that are not significant. Identification of an executive officer for purposes of this Policy would include at a minimum executive officers identified pursuant to Item 401(b) of Regulation S-K promulgated under the Exchange Act.</w:t>
      </w:r>
    </w:p>
    <w:p>
      <w:pPr>
        <w:pStyle w:val="TextBody"/>
        <w:bidi w:val="0"/>
        <w:spacing w:before="0" w:after="220"/>
        <w:jc w:val="both"/>
        <w:rPr/>
      </w:pPr>
      <w:r>
        <w:rPr>
          <w:color w:val="000000"/>
        </w:rPr>
        <w:t>“</w:t>
      </w:r>
      <w:r>
        <w:rPr>
          <w:rFonts w:ascii="Times New Roman" w:hAnsi="Times New Roman"/>
          <w:b/>
          <w:i/>
          <w:color w:val="000000"/>
          <w:sz w:val="22"/>
        </w:rPr>
        <w:t>Financial Reporting Measures</w:t>
      </w:r>
      <w:r>
        <w:rPr>
          <w:rFonts w:ascii="Times New Roman" w:hAnsi="Times New Roman"/>
          <w:color w:val="000000"/>
          <w:sz w:val="20"/>
        </w:rPr>
        <w:t xml:space="preserve">” </w:t>
      </w:r>
      <w:r>
        <w:rPr>
          <w:rFonts w:ascii="Times New Roman" w:hAnsi="Times New Roman"/>
          <w:color w:val="000000"/>
          <w:sz w:val="22"/>
        </w:rPr>
        <w:t>means measures that are determined and presented in accordance with the accounting principles used in preparing the Company’s financial statements, and any measures derived wholly or in part from such measures, including Company stock price and total stockholder return (“</w:t>
      </w:r>
      <w:r>
        <w:rPr>
          <w:rFonts w:ascii="Times New Roman" w:hAnsi="Times New Roman"/>
          <w:b/>
          <w:i/>
          <w:color w:val="000000"/>
          <w:sz w:val="22"/>
        </w:rPr>
        <w:t>TSR</w:t>
      </w:r>
      <w:r>
        <w:rPr>
          <w:rFonts w:ascii="Times New Roman" w:hAnsi="Times New Roman"/>
          <w:color w:val="000000"/>
          <w:sz w:val="20"/>
        </w:rPr>
        <w:t>”</w:t>
      </w:r>
      <w:r>
        <w:rPr>
          <w:rFonts w:ascii="Times New Roman" w:hAnsi="Times New Roman"/>
          <w:color w:val="000000"/>
          <w:sz w:val="22"/>
        </w:rPr>
        <w:t>). A measure need not be presented in the Company’s financial statements or included in a filing with the SEC in order to be a Financial Reporting Measure.</w:t>
      </w:r>
    </w:p>
    <w:p>
      <w:pPr>
        <w:pStyle w:val="TextBody"/>
        <w:bidi w:val="0"/>
        <w:spacing w:before="0" w:after="220"/>
        <w:jc w:val="both"/>
        <w:rPr/>
      </w:pPr>
      <w:r>
        <w:rPr>
          <w:color w:val="000000"/>
        </w:rPr>
        <w:t>“</w:t>
      </w:r>
      <w:r>
        <w:rPr>
          <w:rFonts w:ascii="Times New Roman" w:hAnsi="Times New Roman"/>
          <w:b/>
          <w:i/>
          <w:color w:val="000000"/>
          <w:sz w:val="22"/>
        </w:rPr>
        <w:t>Incentive Compensation</w:t>
      </w:r>
      <w:r>
        <w:rPr>
          <w:rFonts w:ascii="Times New Roman" w:hAnsi="Times New Roman"/>
          <w:color w:val="000000"/>
          <w:sz w:val="20"/>
        </w:rPr>
        <w:t xml:space="preserve">” </w:t>
      </w:r>
      <w:r>
        <w:rPr>
          <w:rFonts w:ascii="Times New Roman" w:hAnsi="Times New Roman"/>
          <w:color w:val="000000"/>
          <w:sz w:val="22"/>
        </w:rPr>
        <w:t>means any compensation that is granted, earned or vested based wholly or in part upon the attainment of a Financial Reporting Measure.</w:t>
      </w:r>
      <w:r>
        <w:rPr>
          <w:rFonts w:ascii="Times New Roman" w:hAnsi="Times New Roman"/>
          <w:color w:val="000000"/>
          <w:sz w:val="20"/>
        </w:rPr>
        <w:t xml:space="preserve"> </w:t>
      </w:r>
    </w:p>
    <w:p>
      <w:pPr>
        <w:pStyle w:val="TextBody"/>
        <w:bidi w:val="0"/>
        <w:spacing w:before="0" w:after="220"/>
        <w:jc w:val="both"/>
        <w:rPr/>
      </w:pPr>
      <w:r>
        <w:rPr>
          <w:color w:val="000000"/>
        </w:rPr>
        <w:t>“</w:t>
      </w:r>
      <w:r>
        <w:rPr>
          <w:rFonts w:ascii="Times New Roman" w:hAnsi="Times New Roman"/>
          <w:b/>
          <w:i/>
          <w:color w:val="000000"/>
          <w:sz w:val="22"/>
        </w:rPr>
        <w:t>Lookback Period</w:t>
      </w:r>
      <w:r>
        <w:rPr>
          <w:rFonts w:ascii="Times New Roman" w:hAnsi="Times New Roman"/>
          <w:color w:val="000000"/>
          <w:sz w:val="20"/>
        </w:rPr>
        <w:t xml:space="preserve">” </w:t>
      </w:r>
      <w:r>
        <w:rPr>
          <w:rFonts w:ascii="Times New Roman" w:hAnsi="Times New Roman"/>
          <w:color w:val="000000"/>
          <w:sz w:val="22"/>
        </w:rPr>
        <w:t>means the three completed fiscal years immediately preceding the Accounting Restatement Date, as well as any transition period (resulting from a change in the Company’s fiscal year) within or immediately following those three completed fiscal years (except that a transition period of at least nine months shall count as a completed fiscal year). Notwithstanding the foregoing, the Lookback Period shall not include fiscal years completed prior to the Effective Date.</w:t>
      </w:r>
      <w:r>
        <w:rPr>
          <w:rFonts w:ascii="Times New Roman" w:hAnsi="Times New Roman"/>
          <w:color w:val="000000"/>
          <w:sz w:val="20"/>
        </w:rPr>
        <w:t xml:space="preserve"> </w:t>
      </w:r>
    </w:p>
    <w:p>
      <w:pPr>
        <w:pStyle w:val="TextBody"/>
        <w:bidi w:val="0"/>
        <w:spacing w:before="0" w:after="220"/>
        <w:jc w:val="both"/>
        <w:rPr/>
      </w:pPr>
      <w:r>
        <w:rPr>
          <w:color w:val="000000"/>
        </w:rPr>
        <w:t>“</w:t>
      </w:r>
      <w:r>
        <w:rPr>
          <w:rFonts w:ascii="Times New Roman" w:hAnsi="Times New Roman"/>
          <w:b/>
          <w:i/>
          <w:color w:val="000000"/>
          <w:sz w:val="22"/>
        </w:rPr>
        <w:t>Recoverable Incentive Compensation</w:t>
      </w:r>
      <w:r>
        <w:rPr>
          <w:rFonts w:ascii="Times New Roman" w:hAnsi="Times New Roman"/>
          <w:color w:val="000000"/>
          <w:sz w:val="20"/>
        </w:rPr>
        <w:t xml:space="preserve">” </w:t>
      </w:r>
      <w:r>
        <w:rPr>
          <w:rFonts w:ascii="Times New Roman" w:hAnsi="Times New Roman"/>
          <w:color w:val="000000"/>
          <w:sz w:val="22"/>
        </w:rPr>
        <w:t>means Incentive Compensation received by a Covered Officer during the Lookback Period that exceeds the amount of Incentive Compensation that would have been received had such amount been determined based on the Accounting Restatement, computed without regard to any taxes paid (</w:t>
      </w:r>
      <w:r>
        <w:rPr>
          <w:rFonts w:ascii="Times New Roman" w:hAnsi="Times New Roman"/>
          <w:i/>
          <w:color w:val="000000"/>
          <w:sz w:val="22"/>
        </w:rPr>
        <w:t>i.e.</w:t>
      </w:r>
      <w:r>
        <w:rPr>
          <w:rFonts w:ascii="Times New Roman" w:hAnsi="Times New Roman"/>
          <w:color w:val="000000"/>
          <w:sz w:val="22"/>
        </w:rPr>
        <w:t>, on a gross basis without regard to tax withholdings and other deductions). For any compensation plans or programs that take into account Incentive Compensation, the amount of Recoverable Incentive Compensation for purposes of this Policy shall include, without limitation, the amount contributed to any notional account based on Recoverable Incentive Compensation and any earnings to date on that notional amount. For any Incentive Compensation that is based on stock price or TSR, where the Recoverable Incentive Compensation is not subject to mathematical recalculation directly from the information in an Accounting Restatement, the Administrator will determine the amount of Recoverable Incentive Compensation based on a reasonable estimate of the effect of the Accounting Restatement on the stock price or TSR upon which the Incentive Compensation was received. The Company shall maintain documentation of the determination of that reasonable estimate and provide such documentation to the Exchange in accordance with the Listing Standards.</w:t>
      </w:r>
    </w:p>
    <w:p>
      <w:pPr>
        <w:pStyle w:val="TextBody"/>
        <w:bidi w:val="0"/>
        <w:spacing w:before="0" w:after="220"/>
        <w:jc w:val="both"/>
        <w:rPr/>
      </w:pPr>
      <w:r>
        <w:rPr>
          <w:color w:val="000000"/>
        </w:rPr>
        <w:t>“</w:t>
      </w:r>
      <w:r>
        <w:rPr>
          <w:rFonts w:ascii="Times New Roman" w:hAnsi="Times New Roman"/>
          <w:b/>
          <w:i/>
          <w:color w:val="000000"/>
          <w:sz w:val="22"/>
        </w:rPr>
        <w:t>SEC</w:t>
      </w:r>
      <w:r>
        <w:rPr>
          <w:rFonts w:ascii="Times New Roman" w:hAnsi="Times New Roman"/>
          <w:color w:val="000000"/>
          <w:sz w:val="20"/>
        </w:rPr>
        <w:t xml:space="preserve">” </w:t>
      </w:r>
      <w:r>
        <w:rPr>
          <w:rFonts w:ascii="Times New Roman" w:hAnsi="Times New Roman"/>
          <w:color w:val="000000"/>
          <w:sz w:val="22"/>
        </w:rPr>
        <w:t>means the U.S. Securities and Exchange Commission.</w:t>
      </w:r>
    </w:p>
    <w:p>
      <w:pPr>
        <w:pStyle w:val="TextBody"/>
        <w:bidi w:val="0"/>
        <w:spacing w:before="0" w:after="220"/>
        <w:jc w:val="both"/>
        <w:rPr>
          <w:rFonts w:ascii="Times New Roman" w:hAnsi="Times New Roman"/>
          <w:b/>
          <w:smallCaps/>
          <w:color w:val="000000"/>
          <w:sz w:val="22"/>
        </w:rPr>
      </w:pPr>
      <w:r>
        <w:rPr>
          <w:rFonts w:ascii="Times New Roman" w:hAnsi="Times New Roman"/>
          <w:b/>
          <w:smallCaps/>
          <w:color w:val="000000"/>
          <w:sz w:val="22"/>
        </w:rPr>
        <w:t>4.</w:t>
      </w:r>
    </w:p>
    <w:p>
      <w:pPr>
        <w:pStyle w:val="TextBody"/>
        <w:bidi w:val="0"/>
        <w:spacing w:before="0" w:after="220"/>
        <w:jc w:val="both"/>
        <w:rPr>
          <w:rFonts w:ascii="Times New Roman" w:hAnsi="Times New Roman"/>
          <w:b/>
          <w:smallCaps/>
          <w:color w:val="000000"/>
          <w:sz w:val="22"/>
        </w:rPr>
      </w:pPr>
      <w:r>
        <w:rPr>
          <w:rFonts w:ascii="Times New Roman" w:hAnsi="Times New Roman"/>
          <w:b/>
          <w:smallCaps/>
          <w:color w:val="000000"/>
          <w:sz w:val="22"/>
        </w:rPr>
        <w:t>Recoupment</w:t>
      </w:r>
    </w:p>
    <w:p>
      <w:pPr>
        <w:pStyle w:val="TextBody"/>
        <w:bidi w:val="0"/>
        <w:spacing w:before="0" w:after="220"/>
        <w:jc w:val="both"/>
        <w:rPr>
          <w:rFonts w:ascii="Times New Roman" w:hAnsi="Times New Roman"/>
          <w:b/>
          <w:color w:val="000000"/>
          <w:sz w:val="22"/>
        </w:rPr>
      </w:pPr>
      <w:r>
        <w:rPr>
          <w:rFonts w:ascii="Times New Roman" w:hAnsi="Times New Roman"/>
          <w:b/>
          <w:color w:val="000000"/>
          <w:sz w:val="22"/>
        </w:rPr>
        <w:t>(a)</w:t>
      </w:r>
    </w:p>
    <w:p>
      <w:pPr>
        <w:pStyle w:val="TextBody"/>
        <w:bidi w:val="0"/>
        <w:spacing w:before="0" w:after="220"/>
        <w:jc w:val="both"/>
        <w:rPr/>
      </w:pPr>
      <w:r>
        <w:rPr>
          <w:rFonts w:ascii="Times New Roman" w:hAnsi="Times New Roman"/>
          <w:b/>
          <w:color w:val="000000"/>
          <w:sz w:val="22"/>
        </w:rPr>
        <w:t xml:space="preserve">Applicability of Policy. </w:t>
      </w:r>
      <w:r>
        <w:rPr>
          <w:rFonts w:ascii="Times New Roman" w:hAnsi="Times New Roman"/>
          <w:color w:val="000000"/>
          <w:sz w:val="22"/>
        </w:rPr>
        <w:t xml:space="preserve">This Policy applies to Incentive Compensation received by a Covered Officer (i) after beginning services as an Executive Officer, (ii) who served as an Executive Officer at any time during the performance period for such Incentive Compensation, (iii) while the Company had a class of securities listed on a national securities exchange or a national securities association, and (iv) during the Lookback Period. </w:t>
      </w:r>
    </w:p>
    <w:p>
      <w:pPr>
        <w:pStyle w:val="TextBody"/>
        <w:bidi w:val="0"/>
        <w:spacing w:before="0" w:after="220"/>
        <w:jc w:val="both"/>
        <w:rPr>
          <w:rFonts w:ascii="Times New Roman" w:hAnsi="Times New Roman"/>
          <w:b/>
          <w:color w:val="000000"/>
          <w:sz w:val="22"/>
        </w:rPr>
      </w:pPr>
      <w:r>
        <w:rPr>
          <w:rFonts w:ascii="Times New Roman" w:hAnsi="Times New Roman"/>
          <w:b/>
          <w:color w:val="000000"/>
          <w:sz w:val="22"/>
        </w:rPr>
        <w:t>(b)</w:t>
      </w:r>
    </w:p>
    <w:p>
      <w:pPr>
        <w:pStyle w:val="TextBody"/>
        <w:bidi w:val="0"/>
        <w:spacing w:before="0" w:after="220"/>
        <w:jc w:val="both"/>
        <w:rPr/>
      </w:pPr>
      <w:r>
        <w:rPr>
          <w:rFonts w:ascii="Times New Roman" w:hAnsi="Times New Roman"/>
          <w:b/>
          <w:color w:val="000000"/>
          <w:sz w:val="22"/>
        </w:rPr>
        <w:t xml:space="preserve">Recoupment Generally. </w:t>
      </w:r>
      <w:r>
        <w:rPr>
          <w:rFonts w:ascii="Times New Roman" w:hAnsi="Times New Roman"/>
          <w:color w:val="000000"/>
          <w:sz w:val="22"/>
        </w:rPr>
        <w:t xml:space="preserve">Pursuant to the provisions of this Policy, if there is an </w:t>
      </w:r>
    </w:p>
    <w:p>
      <w:pPr>
        <w:pStyle w:val="TextBody"/>
        <w:bidi w:val="0"/>
        <w:jc w:val="center"/>
        <w:rPr>
          <w:rFonts w:ascii="Times New Roman" w:hAnsi="Times New Roman"/>
          <w:color w:val="000000"/>
          <w:sz w:val="22"/>
        </w:rPr>
      </w:pPr>
      <w:r>
        <w:rPr>
          <w:rFonts w:ascii="Times New Roman" w:hAnsi="Times New Roman"/>
          <w:color w:val="000000"/>
          <w:sz w:val="22"/>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jc w:val="both"/>
        <w:rPr/>
      </w:pPr>
      <w:r>
        <w:rPr>
          <w:rFonts w:ascii="Times New Roman" w:hAnsi="Times New Roman"/>
          <w:color w:val="000000"/>
          <w:sz w:val="22"/>
        </w:rPr>
        <w:t>Accounting Restatement, the Company must reasonably promptly recoup the full amount of the Recoverable Incentive Compensation, unless the conditions of one or more subsections of Section 4(c) of this Policy are met and the Compensation Committee, or, if such committee does not consist solely of independent directors, a majority of the independent directors serving on the Board, has made a determination that recoupment would be impracticable. Recoupment is required regardless of whether the Covered Officer engaged in any misconduct and regardless of fault, and the Company’s obligation to recoup Recoverable Incentive Compensation is not dependent on whether or when any restated financial statements are filed.</w:t>
      </w:r>
      <w:r>
        <w:rPr>
          <w:color w:val="000000"/>
        </w:rPr>
        <w:t xml:space="preserve"> </w:t>
      </w:r>
    </w:p>
    <w:p>
      <w:pPr>
        <w:pStyle w:val="TextBody"/>
        <w:bidi w:val="0"/>
        <w:spacing w:before="0" w:after="220"/>
        <w:jc w:val="both"/>
        <w:rPr>
          <w:rFonts w:ascii="Times New Roman" w:hAnsi="Times New Roman"/>
          <w:b/>
          <w:color w:val="000000"/>
          <w:sz w:val="22"/>
        </w:rPr>
      </w:pPr>
      <w:r>
        <w:rPr>
          <w:rFonts w:ascii="Times New Roman" w:hAnsi="Times New Roman"/>
          <w:b/>
          <w:color w:val="000000"/>
          <w:sz w:val="22"/>
        </w:rPr>
        <w:t>(c)</w:t>
      </w:r>
    </w:p>
    <w:p>
      <w:pPr>
        <w:pStyle w:val="TextBody"/>
        <w:bidi w:val="0"/>
        <w:spacing w:before="0" w:after="220"/>
        <w:jc w:val="both"/>
        <w:rPr/>
      </w:pPr>
      <w:r>
        <w:rPr>
          <w:rFonts w:ascii="Times New Roman" w:hAnsi="Times New Roman"/>
          <w:b/>
          <w:color w:val="000000"/>
          <w:sz w:val="22"/>
        </w:rPr>
        <w:t>Impracticability of Recovery.</w:t>
      </w:r>
      <w:r>
        <w:rPr>
          <w:color w:val="000000"/>
        </w:rPr>
        <w:t xml:space="preserve"> </w:t>
      </w:r>
      <w:r>
        <w:rPr>
          <w:rFonts w:ascii="Times New Roman" w:hAnsi="Times New Roman"/>
          <w:color w:val="000000"/>
          <w:sz w:val="22"/>
        </w:rPr>
        <w:t>Recoupment may be determined to be impracticable if, and only if:</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the direct expense paid to a third party to assist in enforcing this Policy would exceed the amount of the applicable Recoverable Incentive Compensation; provided that, before concluding that it would be impracticable to recover any amount of Recoverable Incentive Compensation based on expense of enforcement, the Company shall make a reasonable attempt to recover such Recoverable Incentive Compensation, document such reasonable attempt(s) to recover, and provide that documentation to the Exchange in accordance with the Listing Standards; or</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(ii)</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recoupment of the applicable Recoverable Incentive Compensation would likely cause an otherwise tax-qualified retirement plan, under which benefits are broadly available to employees of the Company, to fail to meet the requirements of Code Section 401(a)(13) or Code Section 411(a) and regulations thereunder.</w:t>
      </w:r>
    </w:p>
    <w:p>
      <w:pPr>
        <w:pStyle w:val="TextBody"/>
        <w:bidi w:val="0"/>
        <w:spacing w:before="0" w:after="220"/>
        <w:jc w:val="both"/>
        <w:rPr>
          <w:rFonts w:ascii="Times New Roman" w:hAnsi="Times New Roman"/>
          <w:b/>
          <w:color w:val="000000"/>
          <w:sz w:val="22"/>
        </w:rPr>
      </w:pPr>
      <w:r>
        <w:rPr>
          <w:rFonts w:ascii="Times New Roman" w:hAnsi="Times New Roman"/>
          <w:b/>
          <w:color w:val="000000"/>
          <w:sz w:val="22"/>
        </w:rPr>
        <w:t>(d)</w:t>
      </w:r>
    </w:p>
    <w:p>
      <w:pPr>
        <w:pStyle w:val="TextBody"/>
        <w:bidi w:val="0"/>
        <w:spacing w:before="0" w:after="220"/>
        <w:jc w:val="both"/>
        <w:rPr/>
      </w:pPr>
      <w:r>
        <w:rPr>
          <w:rFonts w:ascii="Times New Roman" w:hAnsi="Times New Roman"/>
          <w:b/>
          <w:color w:val="000000"/>
          <w:sz w:val="22"/>
        </w:rPr>
        <w:t>Sources of Recoupment.</w:t>
      </w:r>
      <w:r>
        <w:rPr>
          <w:color w:val="000000"/>
        </w:rPr>
        <w:t xml:space="preserve"> </w:t>
      </w:r>
      <w:r>
        <w:rPr>
          <w:rFonts w:ascii="Times New Roman" w:hAnsi="Times New Roman"/>
          <w:color w:val="000000"/>
          <w:sz w:val="22"/>
        </w:rPr>
        <w:t xml:space="preserve">To the extent permitted by applicable law, the Administrator shall, in its sole discretion, determine the timing and method for recouping Recoverable Incentive Compensation hereunder, provided that such recoupment is undertaken reasonably promptly. The Administrator may, in its discretion, seek recoupment from a Covered Officer from any of the following sources or a combination thereof, whether the applicable compensation was approved, awarded, granted, payable or paid to the Covered Officer prior to, on or after the Effective Date: (i) direct repayment of Recoverable Incentive Compensation previously paid to the Covered Officer; (ii) cancelling prior cash or equity-based awards (whether vested or unvested and whether paid or unpaid); (iii) cancelling or offsetting against any planned future cash or equity-based awards; (iv) forfeiture of deferred compensation, subject to compliance with Code Section 409A; and (v) any other method authorized by applicable law or contract. Subject to compliance with any applicable law, the Administrator may effectuate recoupment under this Policy from any amount otherwise payable to the Covered Officer, including amounts payable to such individual under any otherwise applicable Company plan or program, </w:t>
      </w:r>
      <w:r>
        <w:rPr>
          <w:rFonts w:ascii="Times New Roman" w:hAnsi="Times New Roman"/>
          <w:i/>
          <w:color w:val="000000"/>
          <w:sz w:val="22"/>
        </w:rPr>
        <w:t>e.g.</w:t>
      </w:r>
      <w:r>
        <w:rPr>
          <w:rFonts w:ascii="Times New Roman" w:hAnsi="Times New Roman"/>
          <w:color w:val="000000"/>
          <w:sz w:val="22"/>
        </w:rPr>
        <w:t>, base salary, bonuses or commissions and compensation previously deferred by the Covered Officer. The Administrator need not utilize the same method of recovery for all Covered Officers or with respect to all types of Recoverable Incentive Compensation.</w:t>
      </w:r>
    </w:p>
    <w:p>
      <w:pPr>
        <w:pStyle w:val="TextBody"/>
        <w:bidi w:val="0"/>
        <w:spacing w:before="0" w:after="220"/>
        <w:jc w:val="both"/>
        <w:rPr>
          <w:rFonts w:ascii="Times New Roman" w:hAnsi="Times New Roman"/>
          <w:b/>
          <w:color w:val="000000"/>
          <w:sz w:val="22"/>
        </w:rPr>
      </w:pPr>
      <w:r>
        <w:rPr>
          <w:rFonts w:ascii="Times New Roman" w:hAnsi="Times New Roman"/>
          <w:b/>
          <w:color w:val="000000"/>
          <w:sz w:val="22"/>
        </w:rPr>
        <w:t>(e)</w:t>
      </w:r>
    </w:p>
    <w:p>
      <w:pPr>
        <w:pStyle w:val="TextBody"/>
        <w:bidi w:val="0"/>
        <w:spacing w:before="0" w:after="220"/>
        <w:jc w:val="both"/>
        <w:rPr/>
      </w:pPr>
      <w:r>
        <w:rPr>
          <w:rFonts w:ascii="Times New Roman" w:hAnsi="Times New Roman"/>
          <w:b/>
          <w:color w:val="000000"/>
          <w:sz w:val="22"/>
        </w:rPr>
        <w:t>No Indemnification of Covered Officers.</w:t>
      </w:r>
      <w:r>
        <w:rPr>
          <w:color w:val="000000"/>
        </w:rPr>
        <w:t xml:space="preserve"> </w:t>
      </w:r>
      <w:r>
        <w:rPr>
          <w:rFonts w:ascii="Times New Roman" w:hAnsi="Times New Roman"/>
          <w:color w:val="000000"/>
          <w:sz w:val="22"/>
        </w:rPr>
        <w:t>Notwithstanding any indemnification agreement, applicable insurance policy or any other agreement or provision of the Company’s certificate of incorporation or bylaws to the contrary, no Covered Officer shall be entitled to indemnification or advancement of expenses in connection with any enforcement of this Policy by the Company, including paying or reimbursing such Covered Officer for insurance premiums to cover potential obligations to the Company under this Policy.</w:t>
      </w:r>
    </w:p>
    <w:p>
      <w:pPr>
        <w:pStyle w:val="TextBody"/>
        <w:bidi w:val="0"/>
        <w:spacing w:before="0" w:after="220"/>
        <w:jc w:val="both"/>
        <w:rPr>
          <w:rFonts w:ascii="Times New Roman" w:hAnsi="Times New Roman"/>
          <w:b/>
          <w:color w:val="000000"/>
          <w:sz w:val="22"/>
        </w:rPr>
      </w:pPr>
      <w:r>
        <w:rPr>
          <w:rFonts w:ascii="Times New Roman" w:hAnsi="Times New Roman"/>
          <w:b/>
          <w:color w:val="000000"/>
          <w:sz w:val="22"/>
        </w:rPr>
        <w:t>(f)</w:t>
      </w:r>
    </w:p>
    <w:p>
      <w:pPr>
        <w:pStyle w:val="TextBody"/>
        <w:bidi w:val="0"/>
        <w:spacing w:before="0" w:after="220"/>
        <w:jc w:val="both"/>
        <w:rPr/>
      </w:pPr>
      <w:r>
        <w:rPr>
          <w:rFonts w:ascii="Times New Roman" w:hAnsi="Times New Roman"/>
          <w:b/>
          <w:color w:val="000000"/>
          <w:sz w:val="22"/>
        </w:rPr>
        <w:t>Indemnification of Administrator.</w:t>
      </w:r>
      <w:r>
        <w:rPr>
          <w:color w:val="000000"/>
        </w:rPr>
        <w:t xml:space="preserve"> </w:t>
      </w:r>
      <w:r>
        <w:rPr>
          <w:rFonts w:ascii="Times New Roman" w:hAnsi="Times New Roman"/>
          <w:color w:val="000000"/>
          <w:sz w:val="22"/>
        </w:rPr>
        <w:t xml:space="preserve">Any members of the Administrator, and any other members of the Board who assist in the administration of this Policy, shall not be personally liable for any action, determination or interpretation made with respect to this Policy and shall be indemnified by the </w:t>
      </w:r>
    </w:p>
    <w:p>
      <w:pPr>
        <w:pStyle w:val="TextBody"/>
        <w:bidi w:val="0"/>
        <w:jc w:val="center"/>
        <w:rPr>
          <w:rFonts w:ascii="Times New Roman" w:hAnsi="Times New Roman"/>
          <w:color w:val="000000"/>
          <w:sz w:val="22"/>
        </w:rPr>
      </w:pPr>
      <w:r>
        <w:rPr>
          <w:rFonts w:ascii="Times New Roman" w:hAnsi="Times New Roman"/>
          <w:color w:val="000000"/>
          <w:sz w:val="22"/>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Company to the fullest extent under applicable law and Company policy with respect to any such action, determination or interpretation. The foregoing sentence shall not limit any other rights to indemnification of the members of the Board under applicable law or Company policy.</w:t>
      </w:r>
    </w:p>
    <w:p>
      <w:pPr>
        <w:pStyle w:val="TextBody"/>
        <w:bidi w:val="0"/>
        <w:spacing w:before="0" w:after="220"/>
        <w:jc w:val="both"/>
        <w:rPr>
          <w:rFonts w:ascii="Times New Roman" w:hAnsi="Times New Roman"/>
          <w:b/>
          <w:color w:val="000000"/>
          <w:sz w:val="22"/>
        </w:rPr>
      </w:pPr>
      <w:r>
        <w:rPr>
          <w:rFonts w:ascii="Times New Roman" w:hAnsi="Times New Roman"/>
          <w:b/>
          <w:color w:val="000000"/>
          <w:sz w:val="22"/>
        </w:rPr>
        <w:t>(g)</w:t>
      </w:r>
    </w:p>
    <w:p>
      <w:pPr>
        <w:pStyle w:val="TextBody"/>
        <w:bidi w:val="0"/>
        <w:spacing w:before="0" w:after="220"/>
        <w:jc w:val="both"/>
        <w:rPr/>
      </w:pPr>
      <w:r>
        <w:rPr>
          <w:rFonts w:ascii="Times New Roman" w:hAnsi="Times New Roman"/>
          <w:b/>
          <w:color w:val="000000"/>
          <w:sz w:val="22"/>
        </w:rPr>
        <w:t>No “Good Reason” for Covered Officers.</w:t>
      </w:r>
      <w:r>
        <w:rPr>
          <w:color w:val="000000"/>
        </w:rPr>
        <w:t xml:space="preserve"> </w:t>
      </w:r>
      <w:r>
        <w:rPr>
          <w:rFonts w:ascii="Times New Roman" w:hAnsi="Times New Roman"/>
          <w:color w:val="000000"/>
          <w:sz w:val="22"/>
        </w:rPr>
        <w:t>Any action by the Company to recoup or any recoupment of Recoverable Incentive Compensation under this Policy from a Covered Officer shall not be deemed (i) “good reason” for resignation or to serve as a basis for a claim of constructive termination under any benefits or compensation arrangement applicable to such Covered Officer, or (ii) to constitute a breach of a contract or other arrangement to which such Covered Officer is party.</w:t>
      </w:r>
    </w:p>
    <w:p>
      <w:pPr>
        <w:pStyle w:val="TextBody"/>
        <w:bidi w:val="0"/>
        <w:spacing w:before="0" w:after="220"/>
        <w:jc w:val="both"/>
        <w:rPr>
          <w:rFonts w:ascii="Times New Roman" w:hAnsi="Times New Roman"/>
          <w:b/>
          <w:smallCaps/>
          <w:color w:val="000000"/>
          <w:sz w:val="22"/>
        </w:rPr>
      </w:pPr>
      <w:r>
        <w:rPr>
          <w:rFonts w:ascii="Times New Roman" w:hAnsi="Times New Roman"/>
          <w:b/>
          <w:smallCaps/>
          <w:color w:val="000000"/>
          <w:sz w:val="22"/>
        </w:rPr>
        <w:t>5.</w:t>
      </w:r>
    </w:p>
    <w:p>
      <w:pPr>
        <w:pStyle w:val="TextBody"/>
        <w:bidi w:val="0"/>
        <w:spacing w:before="0" w:after="220"/>
        <w:jc w:val="both"/>
        <w:rPr>
          <w:rFonts w:ascii="Times New Roman" w:hAnsi="Times New Roman"/>
          <w:b/>
          <w:smallCaps/>
          <w:color w:val="000000"/>
          <w:sz w:val="22"/>
        </w:rPr>
      </w:pPr>
      <w:r>
        <w:rPr>
          <w:rFonts w:ascii="Times New Roman" w:hAnsi="Times New Roman"/>
          <w:b/>
          <w:smallCaps/>
          <w:color w:val="000000"/>
          <w:sz w:val="22"/>
        </w:rPr>
        <w:t>Administration</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Except as specifically set forth herein, this Policy shall be administered by the Administrator. The Administrator shall have full and final authority to make any and all determinations required under this Policy. Any determination by the Administrator with respect to this Policy shall be final, conclusive and binding on all interested parties and need not be uniform with respect to each individual covered by this Policy. In carrying out the administration of this Policy, the Administrator is authorized and directed to consult with the full Board or such other committees of the Board as may be necessary or appropriate as to matters within the scope of such other committee’s responsibility and authority. Subject to applicable law, the Administrator may authorize and empower any officer or employee of the Company to take any and all actions that the Administrator, in its sole discretion, deems necessary or appropriate to carry out the purpose and intent of this Policy (other than with respect to any recovery under this Policy involving such officer or employee).</w:t>
      </w:r>
    </w:p>
    <w:p>
      <w:pPr>
        <w:pStyle w:val="TextBody"/>
        <w:bidi w:val="0"/>
        <w:spacing w:before="0" w:after="220"/>
        <w:jc w:val="both"/>
        <w:rPr>
          <w:rFonts w:ascii="Times New Roman" w:hAnsi="Times New Roman"/>
          <w:b/>
          <w:smallCaps/>
          <w:color w:val="000000"/>
          <w:sz w:val="22"/>
        </w:rPr>
      </w:pPr>
      <w:r>
        <w:rPr>
          <w:rFonts w:ascii="Times New Roman" w:hAnsi="Times New Roman"/>
          <w:b/>
          <w:smallCaps/>
          <w:color w:val="000000"/>
          <w:sz w:val="22"/>
        </w:rPr>
        <w:t>6.</w:t>
      </w:r>
    </w:p>
    <w:p>
      <w:pPr>
        <w:pStyle w:val="TextBody"/>
        <w:bidi w:val="0"/>
        <w:spacing w:before="0" w:after="220"/>
        <w:jc w:val="both"/>
        <w:rPr>
          <w:rFonts w:ascii="Times New Roman" w:hAnsi="Times New Roman"/>
          <w:b/>
          <w:smallCaps/>
          <w:color w:val="000000"/>
          <w:sz w:val="22"/>
        </w:rPr>
      </w:pPr>
      <w:r>
        <w:rPr>
          <w:rFonts w:ascii="Times New Roman" w:hAnsi="Times New Roman"/>
          <w:b/>
          <w:smallCaps/>
          <w:color w:val="000000"/>
          <w:sz w:val="22"/>
        </w:rPr>
        <w:t>Severability</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If any provision of this Policy or the application of any such provision to a Covered Officer shall be adjudicated to be invalid, illegal or unenforceable in any respect, such invalidity, illegality or unenforceability shall not affect any other provisions of this Policy, and the invalid, illegal or unenforceable provisions shall be deemed amended to the minimum extent necessary to render any such provision or application enforceable.</w:t>
      </w:r>
    </w:p>
    <w:p>
      <w:pPr>
        <w:pStyle w:val="TextBody"/>
        <w:bidi w:val="0"/>
        <w:spacing w:before="0" w:after="220"/>
        <w:jc w:val="both"/>
        <w:rPr>
          <w:rFonts w:ascii="Times New Roman" w:hAnsi="Times New Roman"/>
          <w:b/>
          <w:smallCaps/>
          <w:color w:val="000000"/>
          <w:sz w:val="22"/>
        </w:rPr>
      </w:pPr>
      <w:r>
        <w:rPr>
          <w:rFonts w:ascii="Times New Roman" w:hAnsi="Times New Roman"/>
          <w:b/>
          <w:smallCaps/>
          <w:color w:val="000000"/>
          <w:sz w:val="22"/>
        </w:rPr>
        <w:t>7.</w:t>
      </w:r>
    </w:p>
    <w:p>
      <w:pPr>
        <w:pStyle w:val="TextBody"/>
        <w:bidi w:val="0"/>
        <w:spacing w:before="0" w:after="220"/>
        <w:jc w:val="both"/>
        <w:rPr>
          <w:rFonts w:ascii="Times New Roman" w:hAnsi="Times New Roman"/>
          <w:b/>
          <w:smallCaps/>
          <w:color w:val="000000"/>
          <w:sz w:val="22"/>
        </w:rPr>
      </w:pPr>
      <w:r>
        <w:rPr>
          <w:rFonts w:ascii="Times New Roman" w:hAnsi="Times New Roman"/>
          <w:b/>
          <w:smallCaps/>
          <w:color w:val="000000"/>
          <w:sz w:val="22"/>
        </w:rPr>
        <w:t>No Impairment of Other Remedies</w:t>
      </w:r>
    </w:p>
    <w:p>
      <w:pPr>
        <w:pStyle w:val="TextBody"/>
        <w:bidi w:val="0"/>
        <w:spacing w:before="0" w:after="220"/>
        <w:jc w:val="both"/>
        <w:rPr>
          <w:rFonts w:ascii="Times New Roman" w:hAnsi="Times New Roman"/>
          <w:sz w:val="20"/>
        </w:rPr>
      </w:pPr>
      <w:r>
        <w:rPr>
          <w:rFonts w:ascii="Times New Roman" w:hAnsi="Times New Roman"/>
          <w:color w:val="000000"/>
          <w:sz w:val="22"/>
        </w:rPr>
        <w:t>Nothing contained in this Policy, and no recoupment or recovery as contemplated herein, shall limit any claims, damages or other legal remedies the Company or any of its affiliates may have against a Covered Officer arising out of or resulting from any actions or omissions by the Covered Officer. This Policy does not preclude the Company from taking any other action to enforce a Covered Officer’s obligations to the Company, including, without limitation, termination of employment and/or institution of civil proceedings. This Policy is in addition to the requirements of Section 304 of the Sarbanes-Oxley Act of 2002 (“</w:t>
      </w:r>
      <w:r>
        <w:rPr>
          <w:rFonts w:ascii="Times New Roman" w:hAnsi="Times New Roman"/>
          <w:b/>
          <w:i/>
          <w:color w:val="000000"/>
          <w:sz w:val="22"/>
        </w:rPr>
        <w:t>SOX 304</w:t>
      </w:r>
      <w:r>
        <w:rPr>
          <w:rFonts w:ascii="Times New Roman" w:hAnsi="Times New Roman"/>
          <w:color w:val="000000"/>
          <w:sz w:val="20"/>
        </w:rPr>
        <w:t>”</w:t>
      </w:r>
      <w:r>
        <w:rPr>
          <w:rFonts w:ascii="Times New Roman" w:hAnsi="Times New Roman"/>
          <w:color w:val="000000"/>
          <w:sz w:val="22"/>
        </w:rPr>
        <w:t>) that are applicable to the Company’s Chief Executive Officer and Chief Financial Officer and to any other compensation recoupment policy and/or similar provisions in any employment, equity plan, equity award, or other individual agreement, to which the Company is a party or which the Company has adopted or may adopt and maintain from time to time; provided, however, that compensation recouped pursuant to this Policy shall not be duplicative of compensation recouped pursuant to SOX 304 or any such compensation recoupment policy and/or similar provisions in any such employment, equity plan, equity award, or other individual agreement except as may be required by law.</w:t>
      </w:r>
    </w:p>
    <w:p>
      <w:pPr>
        <w:pStyle w:val="TextBody"/>
        <w:bidi w:val="0"/>
        <w:jc w:val="center"/>
        <w:rPr>
          <w:rFonts w:ascii="Times New Roman" w:hAnsi="Times New Roman"/>
          <w:color w:val="000000"/>
          <w:sz w:val="22"/>
        </w:rPr>
      </w:pPr>
      <w:r>
        <w:rPr>
          <w:rFonts w:ascii="Times New Roman" w:hAnsi="Times New Roman"/>
          <w:color w:val="000000"/>
          <w:sz w:val="22"/>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jc w:val="both"/>
        <w:rPr>
          <w:rFonts w:ascii="Times New Roman" w:hAnsi="Times New Roman"/>
          <w:b/>
          <w:smallCaps/>
          <w:color w:val="000000"/>
          <w:sz w:val="22"/>
        </w:rPr>
      </w:pPr>
      <w:r>
        <w:rPr>
          <w:rFonts w:ascii="Times New Roman" w:hAnsi="Times New Roman"/>
          <w:b/>
          <w:smallCaps/>
          <w:color w:val="000000"/>
          <w:sz w:val="22"/>
        </w:rPr>
        <w:t>8.</w:t>
      </w:r>
    </w:p>
    <w:p>
      <w:pPr>
        <w:pStyle w:val="TextBody"/>
        <w:bidi w:val="0"/>
        <w:spacing w:before="0" w:after="220"/>
        <w:jc w:val="both"/>
        <w:rPr>
          <w:rFonts w:ascii="Times New Roman" w:hAnsi="Times New Roman"/>
          <w:b/>
          <w:smallCaps/>
          <w:color w:val="000000"/>
          <w:sz w:val="22"/>
        </w:rPr>
      </w:pPr>
      <w:r>
        <w:rPr>
          <w:rFonts w:ascii="Times New Roman" w:hAnsi="Times New Roman"/>
          <w:b/>
          <w:smallCaps/>
          <w:color w:val="000000"/>
          <w:sz w:val="22"/>
        </w:rPr>
        <w:t>Amendment; Termination</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The Administrator may amend, terminate or replace this Policy or any portion of this Policy at any time and from time to time in its sole discretion. The Administrator shall amend this Policy as it deems necessary to comply with applicable law or any Listing Standard.</w:t>
      </w:r>
    </w:p>
    <w:p>
      <w:pPr>
        <w:pStyle w:val="TextBody"/>
        <w:bidi w:val="0"/>
        <w:spacing w:before="0" w:after="220"/>
        <w:jc w:val="both"/>
        <w:rPr>
          <w:rFonts w:ascii="Times New Roman" w:hAnsi="Times New Roman"/>
          <w:b/>
          <w:smallCaps/>
          <w:color w:val="000000"/>
          <w:sz w:val="22"/>
        </w:rPr>
      </w:pPr>
      <w:r>
        <w:rPr>
          <w:rFonts w:ascii="Times New Roman" w:hAnsi="Times New Roman"/>
          <w:b/>
          <w:smallCaps/>
          <w:color w:val="000000"/>
          <w:sz w:val="22"/>
        </w:rPr>
        <w:t>9.</w:t>
      </w:r>
    </w:p>
    <w:p>
      <w:pPr>
        <w:pStyle w:val="TextBody"/>
        <w:bidi w:val="0"/>
        <w:spacing w:before="0" w:after="220"/>
        <w:jc w:val="both"/>
        <w:rPr>
          <w:rFonts w:ascii="Times New Roman" w:hAnsi="Times New Roman"/>
          <w:b/>
          <w:smallCaps/>
          <w:color w:val="000000"/>
          <w:sz w:val="22"/>
        </w:rPr>
      </w:pPr>
      <w:r>
        <w:rPr>
          <w:rFonts w:ascii="Times New Roman" w:hAnsi="Times New Roman"/>
          <w:b/>
          <w:smallCaps/>
          <w:color w:val="000000"/>
          <w:sz w:val="22"/>
        </w:rPr>
        <w:t>Successors</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This Policy shall be binding and enforceable against all Covered Officers and, to the extent required by Rule 10D-1 and/or the applicable Listing Standards, their beneficiaries, heirs, executors, administrators or other legal representatives.</w:t>
      </w:r>
    </w:p>
    <w:p>
      <w:pPr>
        <w:pStyle w:val="TextBody"/>
        <w:bidi w:val="0"/>
        <w:spacing w:before="0" w:after="220"/>
        <w:jc w:val="both"/>
        <w:rPr>
          <w:rFonts w:ascii="Times New Roman" w:hAnsi="Times New Roman"/>
          <w:sz w:val="20"/>
        </w:rPr>
      </w:pPr>
      <w:r>
        <w:rPr>
          <w:rFonts w:ascii="Times New Roman" w:hAnsi="Times New Roman"/>
          <w:b/>
          <w:color w:val="000000"/>
          <w:sz w:val="22"/>
        </w:rPr>
        <w:t xml:space="preserve">10. </w:t>
      </w:r>
      <w:r>
        <w:rPr>
          <w:rFonts w:ascii="Times New Roman" w:hAnsi="Times New Roman"/>
          <w:b/>
          <w:smallCaps/>
          <w:color w:val="000000"/>
          <w:sz w:val="22"/>
        </w:rPr>
        <w:t>Required Filings</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The Company shall make any disclosures and filings with respect to this Policy that are required by law, including as required by the SEC.</w:t>
      </w:r>
    </w:p>
    <w:p>
      <w:pPr>
        <w:pStyle w:val="TextBody"/>
        <w:bidi w:val="0"/>
        <w:spacing w:before="0" w:after="220"/>
        <w:jc w:val="center"/>
        <w:rPr>
          <w:rFonts w:ascii="Times New Roman" w:hAnsi="Times New Roman"/>
          <w:color w:val="000000"/>
          <w:sz w:val="22"/>
        </w:rPr>
      </w:pPr>
      <w:r>
        <w:rPr>
          <w:rFonts w:ascii="Times New Roman" w:hAnsi="Times New Roman"/>
          <w:color w:val="000000"/>
          <w:sz w:val="22"/>
        </w:rPr>
        <w:t>* * * * *</w:t>
      </w:r>
    </w:p>
    <w:p>
      <w:pPr>
        <w:pStyle w:val="TextBody"/>
        <w:bidi w:val="0"/>
        <w:jc w:val="center"/>
        <w:rPr>
          <w:rFonts w:ascii="Times New Roman" w:hAnsi="Times New Roman"/>
          <w:color w:val="000000"/>
          <w:sz w:val="22"/>
        </w:rPr>
      </w:pPr>
      <w:r>
        <w:rPr>
          <w:rFonts w:ascii="Times New Roman" w:hAnsi="Times New Roman"/>
          <w:color w:val="000000"/>
          <w:sz w:val="22"/>
        </w:rPr>
        <w:t>5</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20"/>
        <w:jc w:val="center"/>
        <w:rPr>
          <w:rFonts w:ascii="Times New Roman" w:hAnsi="Times New Roman"/>
          <w:b/>
          <w:smallCaps/>
          <w:color w:val="000000"/>
          <w:sz w:val="22"/>
        </w:rPr>
      </w:pPr>
      <w:r>
        <w:rPr>
          <w:rFonts w:ascii="Times New Roman" w:hAnsi="Times New Roman"/>
          <w:b/>
          <w:smallCaps/>
          <w:color w:val="000000"/>
          <w:sz w:val="22"/>
        </w:rPr>
        <w:t>Syndax Pharmaceuticals, Inc.</w:t>
      </w:r>
    </w:p>
    <w:p>
      <w:pPr>
        <w:pStyle w:val="TextBody"/>
        <w:bidi w:val="0"/>
        <w:spacing w:before="0" w:after="220"/>
        <w:jc w:val="center"/>
        <w:rPr>
          <w:rFonts w:ascii="Times New Roman" w:hAnsi="Times New Roman"/>
          <w:b/>
          <w:smallCaps/>
          <w:color w:val="000000"/>
          <w:sz w:val="22"/>
        </w:rPr>
      </w:pPr>
      <w:r>
        <w:rPr>
          <w:rFonts w:ascii="Times New Roman" w:hAnsi="Times New Roman"/>
          <w:b/>
          <w:smallCaps/>
          <w:color w:val="000000"/>
          <w:sz w:val="22"/>
        </w:rPr>
        <w:t>Incentive Compensation Recoupment Policy</w:t>
      </w:r>
    </w:p>
    <w:p>
      <w:pPr>
        <w:pStyle w:val="TextBody"/>
        <w:bidi w:val="0"/>
        <w:spacing w:before="0" w:after="220"/>
        <w:jc w:val="center"/>
        <w:rPr>
          <w:rFonts w:ascii="Times New Roman" w:hAnsi="Times New Roman"/>
          <w:b/>
          <w:smallCaps/>
          <w:color w:val="000000"/>
          <w:sz w:val="22"/>
        </w:rPr>
      </w:pPr>
      <w:r>
        <w:rPr>
          <w:rFonts w:ascii="Times New Roman" w:hAnsi="Times New Roman"/>
          <w:b/>
          <w:smallCaps/>
          <w:color w:val="000000"/>
          <w:sz w:val="22"/>
        </w:rPr>
        <w:t>Form of Executive Acknowledgment</w:t>
      </w:r>
    </w:p>
    <w:p>
      <w:pPr>
        <w:pStyle w:val="TextBody"/>
        <w:bidi w:val="0"/>
        <w:spacing w:before="0" w:after="220"/>
        <w:jc w:val="both"/>
        <w:rPr/>
      </w:pPr>
      <w:r>
        <w:rPr/>
        <w:t> </w:t>
      </w:r>
    </w:p>
    <w:p>
      <w:pPr>
        <w:pStyle w:val="TextBody"/>
        <w:bidi w:val="0"/>
        <w:spacing w:before="0" w:after="220"/>
        <w:jc w:val="both"/>
        <w:rPr>
          <w:rFonts w:ascii="Times New Roman" w:hAnsi="Times New Roman"/>
          <w:sz w:val="20"/>
        </w:rPr>
      </w:pPr>
      <w:r>
        <w:rPr>
          <w:rFonts w:ascii="Times New Roman" w:hAnsi="Times New Roman"/>
          <w:color w:val="000000"/>
          <w:sz w:val="22"/>
        </w:rPr>
        <w:t>I, the undersigned, agree and acknowledge that I am bound by, and subject to, the Syndax Pharmaceuticals, Inc. Incentive Compensation Recoupment Policy, as may be amended, restated, supplemented or otherwise modified from time to time (the “</w:t>
      </w:r>
      <w:r>
        <w:rPr>
          <w:rFonts w:ascii="Times New Roman" w:hAnsi="Times New Roman"/>
          <w:b/>
          <w:i/>
          <w:color w:val="000000"/>
          <w:sz w:val="22"/>
        </w:rPr>
        <w:t>Policy</w:t>
      </w:r>
      <w:r>
        <w:rPr>
          <w:rFonts w:ascii="Times New Roman" w:hAnsi="Times New Roman"/>
          <w:color w:val="000000"/>
          <w:sz w:val="20"/>
        </w:rPr>
        <w:t>”</w:t>
      </w:r>
      <w:r>
        <w:rPr>
          <w:rFonts w:ascii="Times New Roman" w:hAnsi="Times New Roman"/>
          <w:color w:val="000000"/>
          <w:sz w:val="22"/>
        </w:rPr>
        <w:t>). In the event of any inconsistency between the Policy and the terms of any employment agreement, offer letter or other individual agreement with Syndax Pharmaceuticals, Inc. (the “</w:t>
      </w:r>
      <w:r>
        <w:rPr>
          <w:rFonts w:ascii="Times New Roman" w:hAnsi="Times New Roman"/>
          <w:b/>
          <w:i/>
          <w:color w:val="000000"/>
          <w:sz w:val="22"/>
        </w:rPr>
        <w:t>Company</w:t>
      </w:r>
      <w:r>
        <w:rPr>
          <w:rFonts w:ascii="Times New Roman" w:hAnsi="Times New Roman"/>
          <w:color w:val="000000"/>
          <w:sz w:val="20"/>
        </w:rPr>
        <w:t>”</w:t>
      </w:r>
      <w:r>
        <w:rPr>
          <w:rFonts w:ascii="Times New Roman" w:hAnsi="Times New Roman"/>
          <w:color w:val="000000"/>
          <w:sz w:val="22"/>
        </w:rPr>
        <w:t>) to which I am a party, or the terms of any compensation plan, program or agreement, whether or not written, under which any compensation has been granted, awarded, earned or paid to me, the terms of the Policy shall govern.</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In the event that the Administrator (as defined in the Policy) determines that any compensation granted, awarded, earned or paid to me must be forfeited or reimbursed to the Company pursuant to the Policy, I will promptly take any action necessary to effectuate such forfeiture and/or reimbursement. I further agree and acknowledge that I am not entitled to indemnification, and hereby waive any right to advancement of expenses, in connection with any enforcement of the Policy by the Company.</w:t>
      </w:r>
    </w:p>
    <w:p>
      <w:pPr>
        <w:pStyle w:val="TextBody"/>
        <w:bidi w:val="0"/>
        <w:spacing w:before="0" w:after="220"/>
        <w:jc w:val="both"/>
        <w:rPr/>
      </w:pPr>
      <w:r>
        <w:rPr/>
        <w:t> </w:t>
      </w:r>
    </w:p>
    <w:p>
      <w:pPr>
        <w:pStyle w:val="TextBody"/>
        <w:bidi w:val="0"/>
        <w:spacing w:before="0" w:after="220"/>
        <w:jc w:val="both"/>
        <w:rPr>
          <w:rFonts w:ascii="Times New Roman" w:hAnsi="Times New Roman"/>
          <w:b/>
          <w:color w:val="000000"/>
          <w:sz w:val="22"/>
        </w:rPr>
      </w:pPr>
      <w:r>
        <w:rPr>
          <w:rFonts w:ascii="Times New Roman" w:hAnsi="Times New Roman"/>
          <w:b/>
          <w:color w:val="000000"/>
          <w:sz w:val="22"/>
        </w:rPr>
        <w:t>Agreed and Acknowledged:</w:t>
      </w:r>
    </w:p>
    <w:p>
      <w:pPr>
        <w:pStyle w:val="TextBody"/>
        <w:bidi w:val="0"/>
        <w:spacing w:before="0" w:after="220"/>
        <w:jc w:val="both"/>
        <w:rPr/>
      </w:pPr>
      <w:r>
        <w:rPr/>
        <w:t> </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 xml:space="preserve">Name: </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 xml:space="preserve">Title: </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 xml:space="preserve">Date: </w:t>
      </w:r>
    </w:p>
    <w:p>
      <w:pPr>
        <w:pStyle w:val="TextBody"/>
        <w:bidi w:val="0"/>
        <w:spacing w:before="0" w:after="220"/>
        <w:jc w:val="both"/>
        <w:rPr/>
      </w:pPr>
      <w:r>
        <w:rPr/>
        <w:t> </w:t>
      </w:r>
    </w:p>
    <w:p>
      <w:pPr>
        <w:pStyle w:val="TextBody"/>
        <w:bidi w:val="0"/>
        <w:spacing w:before="0" w:after="22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 w:name="Symbol">
    <w:altName w:val="serif"/>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hyperlink" Target="https://www.sec.gov/Archives/edgar/data/1395937/000119312516496764/d119516dex31.htm" TargetMode="External"/><Relationship Id="rId8" Type="http://schemas.openxmlformats.org/officeDocument/2006/relationships/hyperlink" Target="https://www.sec.gov/Archives/edgar/data/1395937/000095017023022802/sndx-ex3_1.htm" TargetMode="External"/><Relationship Id="rId9" Type="http://schemas.openxmlformats.org/officeDocument/2006/relationships/hyperlink" Target="https://www.sec.gov/Archives/edgar/data/1395937/000119312516496764/d119516dex32.htm" TargetMode="External"/><Relationship Id="rId10" Type="http://schemas.openxmlformats.org/officeDocument/2006/relationships/hyperlink" Target="https://www.sec.gov/Archives/edgar/data/1395937/000119312516457615/d117131dex41.htm" TargetMode="External"/><Relationship Id="rId11" Type="http://schemas.openxmlformats.org/officeDocument/2006/relationships/hyperlink" Target="https://www.sec.gov/Archives/edgar/data/1395937/000119312521361105/d274870dex41.htm" TargetMode="External"/><Relationship Id="rId12" Type="http://schemas.openxmlformats.org/officeDocument/2006/relationships/hyperlink" Target="https://www.sec.gov/Archives/edgar/data/1395937/000119312516420122/d39288dex103.htm" TargetMode="External"/><Relationship Id="rId13" Type="http://schemas.openxmlformats.org/officeDocument/2006/relationships/hyperlink" Target="https://www.sec.gov/Archives/edgar/data/1395937/000119312516420122/d39288dex104.htm" TargetMode="External"/><Relationship Id="rId14" Type="http://schemas.openxmlformats.org/officeDocument/2006/relationships/hyperlink" Target="https://www.sec.gov/Archives/edgar/data/1395937/000119312516420122/d39288dex105.htm" TargetMode="External"/><Relationship Id="rId15" Type="http://schemas.openxmlformats.org/officeDocument/2006/relationships/hyperlink" Target="https://www.sec.gov/Archives/edgar/data/1395937/000119312516420122/d39288dex106.htm" TargetMode="External"/><Relationship Id="rId16" Type="http://schemas.openxmlformats.org/officeDocument/2006/relationships/hyperlink" Target="https://www.sec.gov/Archives/edgar/data/1395937/000119312516420122/d39288dex107.htm" TargetMode="External"/><Relationship Id="rId17" Type="http://schemas.openxmlformats.org/officeDocument/2006/relationships/hyperlink" Target="https://www.sec.gov/Archives/edgar/data/1395937/000119312516420122/d39288dex108.htm" TargetMode="External"/><Relationship Id="rId18" Type="http://schemas.openxmlformats.org/officeDocument/2006/relationships/hyperlink" Target="https://www.sec.gov/Archives/edgar/data/1395937/000119312516420122/d39288dex109.htm" TargetMode="External"/><Relationship Id="rId19" Type="http://schemas.openxmlformats.org/officeDocument/2006/relationships/hyperlink" Target="https://www.sec.gov/Archives/edgar/data/1395937/000119312516420122/d39288dex1010.htm" TargetMode="External"/><Relationship Id="rId20" Type="http://schemas.openxmlformats.org/officeDocument/2006/relationships/hyperlink" Target="https://www.sec.gov/Archives/edgar/data/1395937/000119312516420122/d39288dex1011.htm" TargetMode="External"/><Relationship Id="rId21" Type="http://schemas.openxmlformats.org/officeDocument/2006/relationships/hyperlink" Target="https://www.sec.gov/Archives/edgar/data/1395937/000119312516420122/d39288dex1012.htm" TargetMode="External"/><Relationship Id="rId22" Type="http://schemas.openxmlformats.org/officeDocument/2006/relationships/hyperlink" Target="https://www.sec.gov/Archives/edgar/data/1395937/000119312516518181/d166957dex413.htm" TargetMode="External"/><Relationship Id="rId23" Type="http://schemas.openxmlformats.org/officeDocument/2006/relationships/hyperlink" Target="https://www.sec.gov/Archives/edgar/data/1395937/000119312516420122/d39288dex1014.htm" TargetMode="External"/><Relationship Id="rId24" Type="http://schemas.openxmlformats.org/officeDocument/2006/relationships/hyperlink" Target="https://www.sec.gov/Archives/edgar/data/1395937/000156459020037777/sndx-ex101_313.htm" TargetMode="External"/><Relationship Id="rId25" Type="http://schemas.openxmlformats.org/officeDocument/2006/relationships/hyperlink" Target="https://www.sec.gov/Archives/edgar/data/1395937/000156459021012607/sndx-ex1014_191.htm" TargetMode="External"/><Relationship Id="rId26" Type="http://schemas.openxmlformats.org/officeDocument/2006/relationships/hyperlink" Target="https://www.sec.gov/Archives/edgar/data/1395937/000119312516518181/d166957dex416.htm" TargetMode="External"/><Relationship Id="rId27" Type="http://schemas.openxmlformats.org/officeDocument/2006/relationships/hyperlink" Target="https://www.sec.gov/Archives/edgar/data/1395937/000095017023002172/sndx-ex10_2.htm" TargetMode="External"/><Relationship Id="rId28" Type="http://schemas.openxmlformats.org/officeDocument/2006/relationships/hyperlink" Target="https://www.sec.gov/Archives/edgar/data/1395937/000095017023018806/sndx-ex10_2.htm" TargetMode="External"/><Relationship Id="rId29" Type="http://schemas.openxmlformats.org/officeDocument/2006/relationships/hyperlink" Target="https://www.sec.gov/Archives/edgar/data/1395937/000156459022008112/sndx-ex1017_443.htm" TargetMode="External"/><Relationship Id="rId30" Type="http://schemas.openxmlformats.org/officeDocument/2006/relationships/hyperlink" Target="https://www.sec.gov/Archives/edgar/data/1395937/000156459022008112/sndx-ex1017_443.htm" TargetMode="External"/><Relationship Id="rId31" Type="http://schemas.openxmlformats.org/officeDocument/2006/relationships/hyperlink" Target="https://www.sec.gov/Archives/edgar/data/1395937/000156459022008112/sndx-ex1017_443.htm" TargetMode="External"/><Relationship Id="rId32" Type="http://schemas.openxmlformats.org/officeDocument/2006/relationships/hyperlink" Target="https://www.sec.gov/Archives/edgar/data/1395937/000156459022008112/sndx-ex1016_444.htm" TargetMode="External"/><Relationship Id="rId33" Type="http://schemas.openxmlformats.org/officeDocument/2006/relationships/hyperlink" Target="https://www.sec.gov/Archives/edgar/data/1395937/000156459022018873/sndx-ex101_11.htm" TargetMode="External"/><Relationship Id="rId34" Type="http://schemas.openxmlformats.org/officeDocument/2006/relationships/hyperlink" Target="https://www.sec.gov/Archives/edgar/data/1395937/000156459022023045/sndx-ex101_16.htm" TargetMode="External"/><Relationship Id="rId35" Type="http://schemas.openxmlformats.org/officeDocument/2006/relationships/hyperlink" Target="https://www.sec.gov/Archives/edgar/data/1395937/000095017022026017/sndx-ex10_1.htm" TargetMode="External"/><Relationship Id="rId36" Type="http://schemas.openxmlformats.org/officeDocument/2006/relationships/hyperlink" Target="https://www.sec.gov/Archives/edgar/data/1395937/000095017023010756/sndx-ex10_1.htm" TargetMode="External"/><Relationship Id="rId37" Type="http://schemas.openxmlformats.org/officeDocument/2006/relationships/hyperlink" Target="https://www.sec.gov/Archives/edgar/data/1395937/000119312516420122/d39288dex1021.htm" TargetMode="External"/><Relationship Id="rId38" Type="http://schemas.openxmlformats.org/officeDocument/2006/relationships/hyperlink" Target="https://www.sec.gov/Archives/edgar/data/1395937/000119312516420122/d39288dex1022.htm" TargetMode="External"/><Relationship Id="rId39" Type="http://schemas.openxmlformats.org/officeDocument/2006/relationships/hyperlink" Target="https://www.sec.gov/Archives/edgar/data/1395937/000119312516420122/d39288dex1023.htm" TargetMode="External"/><Relationship Id="rId40" Type="http://schemas.openxmlformats.org/officeDocument/2006/relationships/hyperlink" Target="https://www.sec.gov/Archives/edgar/data/1395937/000119312516420122/d39288dex1024.htm" TargetMode="External"/><Relationship Id="rId41" Type="http://schemas.openxmlformats.org/officeDocument/2006/relationships/hyperlink" Target="https://www.sec.gov/Archives/edgar/data/1395937/000119312516420122/d39288dex1024.htm" TargetMode="External"/><Relationship Id="rId42" Type="http://schemas.openxmlformats.org/officeDocument/2006/relationships/hyperlink" Target="https://www.sec.gov/Archives/edgar/data/1395937/000119312516420122/d39288dex1024.htm" TargetMode="External"/><Relationship Id="rId43" Type="http://schemas.openxmlformats.org/officeDocument/2006/relationships/hyperlink" Target="https://www.sec.gov/Archives/edgar/data/1395937/000119312516420122/d39288dex1025.htm" TargetMode="External"/><Relationship Id="rId44" Type="http://schemas.openxmlformats.org/officeDocument/2006/relationships/hyperlink" Target="https://www.sec.gov/Archives/edgar/data/1395937/000119312516420122/d39288dex1026.htm" TargetMode="External"/><Relationship Id="rId45" Type="http://schemas.openxmlformats.org/officeDocument/2006/relationships/hyperlink" Target="https://www.sec.gov/Archives/edgar/data/1395937/000119312516733845/d250701dex101.htm" TargetMode="External"/><Relationship Id="rId46" Type="http://schemas.openxmlformats.org/officeDocument/2006/relationships/hyperlink" Target="https://www.sec.gov/Archives/edgar/data/0001395937/000119312517163872/d380147dex104.htm" TargetMode="External"/><Relationship Id="rId47" Type="http://schemas.openxmlformats.org/officeDocument/2006/relationships/hyperlink" Target="https://www.sec.gov/Archives/edgar/data/1395937/000156459019041719/sndx-ex102_185.htm" TargetMode="External"/><Relationship Id="rId48" Type="http://schemas.openxmlformats.org/officeDocument/2006/relationships/hyperlink" Target="https://www.sec.gov/Archives/edgar/data/1395937/000095017022015523/sndx-ex10_1.htm" TargetMode="External"/><Relationship Id="rId49" Type="http://schemas.openxmlformats.org/officeDocument/2006/relationships/hyperlink" Target="https://www.sec.gov/Archives/edgar/data/1395937/000156459018004911/sndx-ex1047_509.htm" TargetMode="External"/><Relationship Id="rId50" Type="http://schemas.openxmlformats.org/officeDocument/2006/relationships/hyperlink" Target="https://www.sec.gov/Archives/edgar/data/1395937/000156459019017318/sndx-ex101_122.htm" TargetMode="External"/><Relationship Id="rId51" Type="http://schemas.openxmlformats.org/officeDocument/2006/relationships/hyperlink" Target="https://www.sec.gov/Archives/edgar/data/1395937/000156459021057004/sndx-ex101_182.htm" TargetMode="External"/><Relationship Id="rId52" Type="http://schemas.openxmlformats.org/officeDocument/2006/relationships/hyperlink" Target="https://www.sec.gov/Archives/edgar/data/1395937/000156459021057004/sndx-ex102_181.htm" TargetMode="External"/><Relationship Id="rId53" Type="http://schemas.openxmlformats.org/officeDocument/2006/relationships/hyperlink" Target="https://www.sec.gov/Archives/edgar/data/1395937/000095017023005079/sndx-ex21_1.htm" TargetMode="External"/><Relationship Id="rId54" Type="http://schemas.openxmlformats.org/officeDocument/2006/relationships/fontTable" Target="fontTable.xml"/><Relationship Id="rId5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25</Pages>
  <Words>101710</Words>
  <Characters>559175</Characters>
  <CharactersWithSpaces>661588</CharactersWithSpaces>
  <Paragraphs>8955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