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55880</wp:posOffset>
            </wp:positionV>
            <wp:extent cx="2371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9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83820</wp:posOffset>
            </wp:positionV>
            <wp:extent cx="2371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220" w:right="3920" w:hanging="4212"/>
        <w:spacing w:after="0" w:line="309" w:lineRule="auto"/>
        <w:tabs>
          <w:tab w:leader="none" w:pos="29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2022</w:t>
      </w:r>
    </w:p>
    <w:p>
      <w:pPr>
        <w:ind w:left="550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2600" w:type="dxa"/>
            <w:vAlign w:val="bottom"/>
            <w:gridSpan w:val="2"/>
          </w:tcPr>
          <w:p>
            <w:pPr>
              <w:ind w:left="700"/>
              <w:spacing w:after="0"/>
              <w:rPr>
                <w:sz w:val="20"/>
                <w:szCs w:val="20"/>
                <w:color w:val="auto"/>
              </w:rPr>
            </w:pPr>
            <w:r>
              <w:rPr>
                <w:rFonts w:ascii="Arial" w:cs="Arial" w:eastAsia="Arial" w:hAnsi="Arial"/>
                <w:sz w:val="14"/>
                <w:szCs w:val="14"/>
                <w:b w:val="1"/>
                <w:bCs w:val="1"/>
                <w:color w:val="auto"/>
                <w:w w:val="93"/>
              </w:rPr>
              <w:t>For the Transition Period from</w:t>
            </w:r>
          </w:p>
        </w:tc>
        <w:tc>
          <w:tcPr>
            <w:tcW w:w="860" w:type="dxa"/>
            <w:vAlign w:val="bottom"/>
            <w:tcBorders>
              <w:bottom w:val="single" w:sz="8" w:color="auto"/>
            </w:tcBorders>
          </w:tcPr>
          <w:p>
            <w:pPr>
              <w:spacing w:after="0"/>
              <w:rPr>
                <w:sz w:val="14"/>
                <w:szCs w:val="14"/>
                <w:color w:val="auto"/>
              </w:rPr>
            </w:pPr>
          </w:p>
        </w:tc>
        <w:tc>
          <w:tcPr>
            <w:tcW w:w="3520" w:type="dxa"/>
            <w:vAlign w:val="bottom"/>
            <w:gridSpan w:val="2"/>
          </w:tcPr>
          <w:p>
            <w:pPr>
              <w:ind w:left="40"/>
              <w:spacing w:after="0"/>
              <w:rPr>
                <w:sz w:val="20"/>
                <w:szCs w:val="20"/>
                <w:color w:val="auto"/>
              </w:rPr>
            </w:pPr>
            <w:r>
              <w:rPr>
                <w:rFonts w:ascii="Arial" w:cs="Arial" w:eastAsia="Arial" w:hAnsi="Arial"/>
                <w:sz w:val="14"/>
                <w:szCs w:val="14"/>
                <w:b w:val="1"/>
                <w:bCs w:val="1"/>
                <w:color w:val="auto"/>
              </w:rPr>
              <w:t>to</w:t>
            </w:r>
          </w:p>
        </w:tc>
      </w:tr>
      <w:tr>
        <w:trPr>
          <w:trHeight w:val="211"/>
        </w:trPr>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40" w:type="dxa"/>
            <w:vAlign w:val="bottom"/>
            <w:gridSpan w:val="4"/>
          </w:tcPr>
          <w:p>
            <w:pPr>
              <w:jc w:val="center"/>
              <w:ind w:right="2497"/>
              <w:spacing w:after="0"/>
              <w:rPr>
                <w:sz w:val="20"/>
                <w:szCs w:val="20"/>
                <w:color w:val="auto"/>
              </w:rPr>
            </w:pPr>
            <w:r>
              <w:rPr>
                <w:rFonts w:ascii="Arial" w:cs="Arial" w:eastAsia="Arial" w:hAnsi="Arial"/>
                <w:sz w:val="14"/>
                <w:szCs w:val="14"/>
                <w:b w:val="1"/>
                <w:bCs w:val="1"/>
                <w:color w:val="auto"/>
                <w:w w:val="93"/>
              </w:rPr>
              <w:t>Commission File Number: 001-37708</w:t>
            </w:r>
          </w:p>
        </w:tc>
      </w:tr>
      <w:tr>
        <w:trPr>
          <w:trHeight w:val="66"/>
        </w:trPr>
        <w:tc>
          <w:tcPr>
            <w:tcW w:w="1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gridSpan w:val="2"/>
          </w:tcPr>
          <w:p>
            <w:pPr>
              <w:spacing w:after="0"/>
              <w:rPr>
                <w:sz w:val="5"/>
                <w:szCs w:val="5"/>
                <w:color w:val="auto"/>
              </w:rPr>
            </w:pPr>
          </w:p>
        </w:tc>
        <w:tc>
          <w:tcPr>
            <w:tcW w:w="2500" w:type="dxa"/>
            <w:vAlign w:val="bottom"/>
          </w:tcPr>
          <w:p>
            <w:pPr>
              <w:spacing w:after="0"/>
              <w:rPr>
                <w:sz w:val="5"/>
                <w:szCs w:val="5"/>
                <w:color w:val="auto"/>
              </w:rPr>
            </w:pPr>
          </w:p>
        </w:tc>
      </w:tr>
      <w:tr>
        <w:trPr>
          <w:trHeight w:val="452"/>
        </w:trPr>
        <w:tc>
          <w:tcPr>
            <w:tcW w:w="1980" w:type="dxa"/>
            <w:vAlign w:val="bottom"/>
          </w:tcPr>
          <w:p>
            <w:pPr>
              <w:spacing w:after="0"/>
              <w:rPr>
                <w:sz w:val="24"/>
                <w:szCs w:val="24"/>
                <w:color w:val="auto"/>
              </w:rPr>
            </w:pPr>
          </w:p>
        </w:tc>
        <w:tc>
          <w:tcPr>
            <w:tcW w:w="6980" w:type="dxa"/>
            <w:vAlign w:val="bottom"/>
            <w:gridSpan w:val="5"/>
          </w:tcPr>
          <w:p>
            <w:pPr>
              <w:ind w:left="280"/>
              <w:spacing w:after="0"/>
              <w:rPr>
                <w:sz w:val="20"/>
                <w:szCs w:val="20"/>
                <w:color w:val="auto"/>
              </w:rPr>
            </w:pPr>
            <w:r>
              <w:rPr>
                <w:rFonts w:ascii="Arial" w:cs="Arial" w:eastAsia="Arial" w:hAnsi="Arial"/>
                <w:sz w:val="36"/>
                <w:szCs w:val="36"/>
                <w:b w:val="1"/>
                <w:bCs w:val="1"/>
                <w:color w:val="auto"/>
              </w:rPr>
              <w:t>Syndax Pharmaceuticals, Inc.</w:t>
            </w:r>
          </w:p>
        </w:tc>
      </w:tr>
      <w:tr>
        <w:trPr>
          <w:trHeight w:val="210"/>
        </w:trPr>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40" w:type="dxa"/>
            <w:vAlign w:val="bottom"/>
            <w:gridSpan w:val="4"/>
          </w:tcPr>
          <w:p>
            <w:pPr>
              <w:jc w:val="center"/>
              <w:ind w:right="2477"/>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100"/>
        </w:trPr>
        <w:tc>
          <w:tcPr>
            <w:tcW w:w="1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r>
      <w:tr>
        <w:trPr>
          <w:trHeight w:val="272"/>
        </w:trPr>
        <w:tc>
          <w:tcPr>
            <w:tcW w:w="1980" w:type="dxa"/>
            <w:vAlign w:val="bottom"/>
          </w:tcPr>
          <w:p>
            <w:pPr>
              <w:jc w:val="center"/>
              <w:ind w:right="214"/>
              <w:spacing w:after="0"/>
              <w:rPr>
                <w:sz w:val="20"/>
                <w:szCs w:val="20"/>
                <w:color w:val="auto"/>
              </w:rPr>
            </w:pPr>
            <w:r>
              <w:rPr>
                <w:rFonts w:ascii="Arial" w:cs="Arial" w:eastAsia="Arial" w:hAnsi="Arial"/>
                <w:sz w:val="14"/>
                <w:szCs w:val="14"/>
                <w:b w:val="1"/>
                <w:bCs w:val="1"/>
                <w:color w:val="auto"/>
                <w:w w:val="94"/>
              </w:rPr>
              <w:t>Delaware</w:t>
            </w:r>
          </w:p>
        </w:tc>
        <w:tc>
          <w:tcPr>
            <w:tcW w:w="3460" w:type="dxa"/>
            <w:vAlign w:val="bottom"/>
            <w:gridSpan w:val="3"/>
          </w:tcPr>
          <w:p>
            <w:pPr>
              <w:jc w:val="center"/>
              <w:ind w:left="1652"/>
              <w:spacing w:after="0"/>
              <w:rPr>
                <w:sz w:val="20"/>
                <w:szCs w:val="20"/>
                <w:color w:val="auto"/>
              </w:rPr>
            </w:pPr>
            <w:r>
              <w:rPr>
                <w:rFonts w:ascii="Arial" w:cs="Arial" w:eastAsia="Arial" w:hAnsi="Arial"/>
                <w:sz w:val="14"/>
                <w:szCs w:val="14"/>
                <w:b w:val="1"/>
                <w:bCs w:val="1"/>
                <w:color w:val="auto"/>
                <w:w w:val="96"/>
              </w:rPr>
              <w:t>2834</w:t>
            </w:r>
          </w:p>
        </w:tc>
        <w:tc>
          <w:tcPr>
            <w:tcW w:w="3520" w:type="dxa"/>
            <w:vAlign w:val="bottom"/>
            <w:gridSpan w:val="2"/>
          </w:tcPr>
          <w:p>
            <w:pPr>
              <w:jc w:val="center"/>
              <w:ind w:left="2188"/>
              <w:spacing w:after="0"/>
              <w:rPr>
                <w:sz w:val="20"/>
                <w:szCs w:val="20"/>
                <w:color w:val="auto"/>
              </w:rPr>
            </w:pPr>
            <w:r>
              <w:rPr>
                <w:rFonts w:ascii="Arial" w:cs="Arial" w:eastAsia="Arial" w:hAnsi="Arial"/>
                <w:sz w:val="14"/>
                <w:szCs w:val="14"/>
                <w:b w:val="1"/>
                <w:bCs w:val="1"/>
                <w:color w:val="auto"/>
                <w:w w:val="93"/>
              </w:rPr>
              <w:t>32-0162505</w:t>
            </w:r>
          </w:p>
        </w:tc>
      </w:tr>
      <w:tr>
        <w:trPr>
          <w:trHeight w:val="135"/>
        </w:trPr>
        <w:tc>
          <w:tcPr>
            <w:tcW w:w="1980" w:type="dxa"/>
            <w:vAlign w:val="bottom"/>
          </w:tcPr>
          <w:p>
            <w:pPr>
              <w:jc w:val="center"/>
              <w:ind w:right="234"/>
              <w:spacing w:after="0" w:line="135" w:lineRule="exact"/>
              <w:rPr>
                <w:sz w:val="20"/>
                <w:szCs w:val="20"/>
                <w:color w:val="auto"/>
              </w:rPr>
            </w:pPr>
            <w:r>
              <w:rPr>
                <w:rFonts w:ascii="Arial" w:cs="Arial" w:eastAsia="Arial" w:hAnsi="Arial"/>
                <w:sz w:val="13"/>
                <w:szCs w:val="13"/>
                <w:b w:val="1"/>
                <w:bCs w:val="1"/>
                <w:color w:val="auto"/>
                <w:w w:val="89"/>
              </w:rPr>
              <w:t>(State or Other Jurisdiction of</w:t>
            </w:r>
          </w:p>
        </w:tc>
        <w:tc>
          <w:tcPr>
            <w:tcW w:w="740" w:type="dxa"/>
            <w:vAlign w:val="bottom"/>
          </w:tcPr>
          <w:p>
            <w:pPr>
              <w:spacing w:after="0"/>
              <w:rPr>
                <w:sz w:val="11"/>
                <w:szCs w:val="11"/>
                <w:color w:val="auto"/>
              </w:rPr>
            </w:pPr>
          </w:p>
        </w:tc>
        <w:tc>
          <w:tcPr>
            <w:tcW w:w="2720" w:type="dxa"/>
            <w:vAlign w:val="bottom"/>
            <w:gridSpan w:val="2"/>
          </w:tcPr>
          <w:p>
            <w:pPr>
              <w:jc w:val="center"/>
              <w:ind w:left="970"/>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1020" w:type="dxa"/>
            <w:vAlign w:val="bottom"/>
          </w:tcPr>
          <w:p>
            <w:pPr>
              <w:spacing w:after="0"/>
              <w:rPr>
                <w:sz w:val="11"/>
                <w:szCs w:val="11"/>
                <w:color w:val="auto"/>
              </w:rPr>
            </w:pPr>
          </w:p>
        </w:tc>
        <w:tc>
          <w:tcPr>
            <w:tcW w:w="2500" w:type="dxa"/>
            <w:vAlign w:val="bottom"/>
          </w:tcPr>
          <w:p>
            <w:pPr>
              <w:jc w:val="center"/>
              <w:ind w:left="117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2"/>
        </w:trPr>
        <w:tc>
          <w:tcPr>
            <w:tcW w:w="1980" w:type="dxa"/>
            <w:vAlign w:val="bottom"/>
          </w:tcPr>
          <w:p>
            <w:pPr>
              <w:jc w:val="center"/>
              <w:ind w:right="234"/>
              <w:spacing w:after="0"/>
              <w:rPr>
                <w:sz w:val="20"/>
                <w:szCs w:val="20"/>
                <w:color w:val="auto"/>
              </w:rPr>
            </w:pPr>
            <w:r>
              <w:rPr>
                <w:rFonts w:ascii="Arial" w:cs="Arial" w:eastAsia="Arial" w:hAnsi="Arial"/>
                <w:sz w:val="13"/>
                <w:szCs w:val="13"/>
                <w:b w:val="1"/>
                <w:bCs w:val="1"/>
                <w:color w:val="auto"/>
                <w:w w:val="89"/>
              </w:rPr>
              <w:t>Incorporation or Organization)</w:t>
            </w:r>
          </w:p>
        </w:tc>
        <w:tc>
          <w:tcPr>
            <w:tcW w:w="740" w:type="dxa"/>
            <w:vAlign w:val="bottom"/>
          </w:tcPr>
          <w:p>
            <w:pPr>
              <w:spacing w:after="0"/>
              <w:rPr>
                <w:sz w:val="14"/>
                <w:szCs w:val="14"/>
                <w:color w:val="auto"/>
              </w:rPr>
            </w:pPr>
          </w:p>
        </w:tc>
        <w:tc>
          <w:tcPr>
            <w:tcW w:w="2720" w:type="dxa"/>
            <w:vAlign w:val="bottom"/>
            <w:gridSpan w:val="2"/>
          </w:tcPr>
          <w:p>
            <w:pPr>
              <w:jc w:val="center"/>
              <w:ind w:left="950"/>
              <w:spacing w:after="0"/>
              <w:rPr>
                <w:sz w:val="20"/>
                <w:szCs w:val="20"/>
                <w:color w:val="auto"/>
              </w:rPr>
            </w:pPr>
            <w:r>
              <w:rPr>
                <w:rFonts w:ascii="Arial" w:cs="Arial" w:eastAsia="Arial" w:hAnsi="Arial"/>
                <w:sz w:val="13"/>
                <w:szCs w:val="13"/>
                <w:b w:val="1"/>
                <w:bCs w:val="1"/>
                <w:color w:val="auto"/>
                <w:w w:val="86"/>
              </w:rPr>
              <w:t>Classification Code Number)</w:t>
            </w:r>
          </w:p>
        </w:tc>
        <w:tc>
          <w:tcPr>
            <w:tcW w:w="1020" w:type="dxa"/>
            <w:vAlign w:val="bottom"/>
          </w:tcPr>
          <w:p>
            <w:pPr>
              <w:spacing w:after="0"/>
              <w:rPr>
                <w:sz w:val="14"/>
                <w:szCs w:val="14"/>
                <w:color w:val="auto"/>
              </w:rPr>
            </w:pPr>
          </w:p>
        </w:tc>
        <w:tc>
          <w:tcPr>
            <w:tcW w:w="2500" w:type="dxa"/>
            <w:vAlign w:val="bottom"/>
          </w:tcPr>
          <w:p>
            <w:pPr>
              <w:jc w:val="center"/>
              <w:ind w:left="1177"/>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49"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35 Gatehouse Drive, Building D, Floor 3</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Waltham, Massachusetts 02451</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(781) 419-1400</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116" w:lineRule="exact"/>
        <w:rPr>
          <w:sz w:val="24"/>
          <w:szCs w:val="24"/>
          <w:color w:val="auto"/>
        </w:rPr>
      </w:pPr>
    </w:p>
    <w:tbl>
      <w:tblPr>
        <w:tblLayout w:type="fixed"/>
        <w:tblInd w:w="380" w:type="dxa"/>
        <w:tblCellMar>
          <w:top w:w="0" w:type="dxa"/>
          <w:left w:w="0" w:type="dxa"/>
          <w:bottom w:w="0" w:type="dxa"/>
          <w:right w:w="0" w:type="dxa"/>
        </w:tblCellMar>
      </w:tblPr>
      <w:tr>
        <w:trPr>
          <w:trHeight w:val="259"/>
        </w:trPr>
        <w:tc>
          <w:tcPr>
            <w:tcW w:w="220" w:type="dxa"/>
            <w:vAlign w:val="bottom"/>
            <w:tcBorders>
              <w:right w:val="single" w:sz="8" w:color="auto"/>
            </w:tcBorders>
          </w:tcPr>
          <w:p>
            <w:pPr>
              <w:spacing w:after="0"/>
              <w:rPr>
                <w:sz w:val="22"/>
                <w:szCs w:val="22"/>
                <w:color w:val="auto"/>
              </w:rPr>
            </w:pPr>
          </w:p>
        </w:tc>
        <w:tc>
          <w:tcPr>
            <w:tcW w:w="2560" w:type="dxa"/>
            <w:vAlign w:val="bottom"/>
            <w:tcBorders>
              <w:top w:val="single" w:sz="8" w:color="auto"/>
              <w:bottom w:val="single" w:sz="8" w:color="auto"/>
            </w:tcBorders>
          </w:tcPr>
          <w:p>
            <w:pPr>
              <w:jc w:val="center"/>
              <w:ind w:left="699"/>
              <w:spacing w:after="0"/>
              <w:rPr>
                <w:sz w:val="20"/>
                <w:szCs w:val="20"/>
                <w:color w:val="auto"/>
              </w:rPr>
            </w:pPr>
            <w:r>
              <w:rPr>
                <w:rFonts w:ascii="Arial" w:cs="Arial" w:eastAsia="Arial" w:hAnsi="Arial"/>
                <w:sz w:val="16"/>
                <w:szCs w:val="16"/>
                <w:b w:val="1"/>
                <w:bCs w:val="1"/>
                <w:color w:val="auto"/>
                <w:w w:val="88"/>
              </w:rPr>
              <w:t>Title of each class</w:t>
            </w:r>
          </w:p>
        </w:tc>
        <w:tc>
          <w:tcPr>
            <w:tcW w:w="6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820" w:type="dxa"/>
            <w:vAlign w:val="bottom"/>
            <w:tcBorders>
              <w:top w:val="single" w:sz="8" w:color="auto"/>
              <w:bottom w:val="single" w:sz="8" w:color="auto"/>
            </w:tcBorders>
          </w:tcPr>
          <w:p>
            <w:pPr>
              <w:spacing w:after="0"/>
              <w:rPr>
                <w:sz w:val="22"/>
                <w:szCs w:val="22"/>
                <w:color w:val="auto"/>
              </w:rPr>
            </w:pPr>
          </w:p>
        </w:tc>
        <w:tc>
          <w:tcPr>
            <w:tcW w:w="4060" w:type="dxa"/>
            <w:vAlign w:val="bottom"/>
            <w:tcBorders>
              <w:top w:val="single" w:sz="8" w:color="auto"/>
              <w:bottom w:val="single" w:sz="8" w:color="auto"/>
              <w:right w:val="single" w:sz="8" w:color="auto"/>
            </w:tcBorders>
            <w:gridSpan w:val="2"/>
          </w:tcPr>
          <w:p>
            <w:pPr>
              <w:jc w:val="center"/>
              <w:ind w:right="86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220" w:type="dxa"/>
            <w:vAlign w:val="bottom"/>
            <w:tcBorders>
              <w:right w:val="single" w:sz="8" w:color="auto"/>
            </w:tcBorders>
          </w:tcPr>
          <w:p>
            <w:pPr>
              <w:spacing w:after="0"/>
              <w:rPr>
                <w:sz w:val="17"/>
                <w:szCs w:val="17"/>
                <w:color w:val="auto"/>
              </w:rPr>
            </w:pPr>
          </w:p>
        </w:tc>
        <w:tc>
          <w:tcPr>
            <w:tcW w:w="256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w w:val="93"/>
              </w:rPr>
              <w:t>Common Stock</w:t>
            </w: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SNDX</w:t>
            </w:r>
          </w:p>
        </w:tc>
        <w:tc>
          <w:tcPr>
            <w:tcW w:w="820" w:type="dxa"/>
            <w:vAlign w:val="bottom"/>
            <w:tcBorders>
              <w:bottom w:val="single" w:sz="8" w:color="auto"/>
            </w:tcBorders>
          </w:tcPr>
          <w:p>
            <w:pPr>
              <w:spacing w:after="0"/>
              <w:rPr>
                <w:sz w:val="17"/>
                <w:szCs w:val="17"/>
                <w:color w:val="auto"/>
              </w:rPr>
            </w:pPr>
          </w:p>
        </w:tc>
        <w:tc>
          <w:tcPr>
            <w:tcW w:w="4060" w:type="dxa"/>
            <w:vAlign w:val="bottom"/>
            <w:tcBorders>
              <w:bottom w:val="single" w:sz="8" w:color="auto"/>
              <w:right w:val="single" w:sz="8" w:color="auto"/>
            </w:tcBorders>
            <w:gridSpan w:val="2"/>
          </w:tcPr>
          <w:p>
            <w:pPr>
              <w:jc w:val="center"/>
              <w:ind w:right="860"/>
              <w:spacing w:after="0"/>
              <w:rPr>
                <w:sz w:val="20"/>
                <w:szCs w:val="20"/>
                <w:color w:val="auto"/>
              </w:rPr>
            </w:pPr>
            <w:r>
              <w:rPr>
                <w:rFonts w:ascii="Arial" w:cs="Arial" w:eastAsia="Arial" w:hAnsi="Arial"/>
                <w:sz w:val="16"/>
                <w:szCs w:val="16"/>
                <w:color w:val="auto"/>
                <w:w w:val="93"/>
              </w:rPr>
              <w:t>The Nasdaq Stock Market, LLC</w:t>
            </w:r>
          </w:p>
        </w:tc>
      </w:tr>
      <w:tr>
        <w:trPr>
          <w:trHeight w:val="318"/>
        </w:trPr>
        <w:tc>
          <w:tcPr>
            <w:tcW w:w="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520" w:type="dxa"/>
            <w:vAlign w:val="bottom"/>
            <w:gridSpan w:val="6"/>
          </w:tcPr>
          <w:p>
            <w:pPr>
              <w:ind w:left="260"/>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r>
      <w:tr>
        <w:trPr>
          <w:trHeight w:val="100"/>
        </w:trPr>
        <w:tc>
          <w:tcPr>
            <w:tcW w:w="3380" w:type="dxa"/>
            <w:vAlign w:val="bottom"/>
            <w:gridSpan w:val="3"/>
          </w:tcPr>
          <w:p>
            <w:pPr>
              <w:spacing w:after="0"/>
              <w:rPr>
                <w:sz w:val="8"/>
                <w:szCs w:val="8"/>
                <w:color w:val="auto"/>
              </w:rPr>
            </w:pPr>
          </w:p>
        </w:tc>
        <w:tc>
          <w:tcPr>
            <w:tcW w:w="2860" w:type="dxa"/>
            <w:vAlign w:val="bottom"/>
            <w:tcBorders>
              <w:bottom w:val="single" w:sz="8" w:color="auto"/>
            </w:tcBorders>
            <w:gridSpan w:val="3"/>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r>
      <w:tr>
        <w:trPr>
          <w:trHeight w:val="221"/>
        </w:trPr>
        <w:tc>
          <w:tcPr>
            <w:tcW w:w="6240" w:type="dxa"/>
            <w:vAlign w:val="bottom"/>
            <w:gridSpan w:val="6"/>
          </w:tcPr>
          <w:p>
            <w:pPr>
              <w:spacing w:after="0"/>
              <w:rPr>
                <w:sz w:val="20"/>
                <w:szCs w:val="20"/>
                <w:color w:val="auto"/>
              </w:rPr>
            </w:pPr>
            <w:r>
              <w:rPr>
                <w:rFonts w:ascii="Arial" w:cs="Arial" w:eastAsia="Arial" w:hAnsi="Arial"/>
                <w:sz w:val="13"/>
                <w:szCs w:val="13"/>
                <w:color w:val="auto"/>
                <w:w w:val="88"/>
              </w:rPr>
              <w:t>Indicate by check mark if the registrant is a well-known seasoned issuer, as defined in Rule 405 of the Securities Act.  Yes</w:t>
            </w:r>
          </w:p>
        </w:tc>
        <w:tc>
          <w:tcPr>
            <w:tcW w:w="4060" w:type="dxa"/>
            <w:vAlign w:val="bottom"/>
            <w:gridSpan w:val="2"/>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tc>
      </w:tr>
      <w:tr>
        <w:trPr>
          <w:trHeight w:val="202"/>
        </w:trPr>
        <w:tc>
          <w:tcPr>
            <w:tcW w:w="6240" w:type="dxa"/>
            <w:vAlign w:val="bottom"/>
            <w:gridSpan w:val="6"/>
          </w:tcPr>
          <w:p>
            <w:pPr>
              <w:spacing w:after="0"/>
              <w:rPr>
                <w:sz w:val="20"/>
                <w:szCs w:val="20"/>
                <w:color w:val="auto"/>
              </w:rPr>
            </w:pPr>
            <w:r>
              <w:rPr>
                <w:rFonts w:ascii="Arial" w:cs="Arial" w:eastAsia="Arial" w:hAnsi="Arial"/>
                <w:sz w:val="13"/>
                <w:szCs w:val="13"/>
                <w:color w:val="auto"/>
                <w:w w:val="89"/>
              </w:rPr>
              <w:t>Indicate by check mark if the registrant is not required to file reports pursuant to Section 13 or 15(d) of the Securities Act.</w:t>
            </w:r>
          </w:p>
        </w:tc>
        <w:tc>
          <w:tcPr>
            <w:tcW w:w="406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-862965</wp:posOffset>
            </wp:positionV>
            <wp:extent cx="6413500"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3500" cy="316865"/>
                    </a:xfrm>
                    <a:prstGeom prst="rect">
                      <a:avLst/>
                    </a:prstGeom>
                    <a:noFill/>
                  </pic:spPr>
                </pic:pic>
              </a:graphicData>
            </a:graphic>
          </wp:anchor>
        </w:drawing>
      </w:r>
    </w:p>
    <w:p>
      <w:pPr>
        <w:ind w:firstLine="374"/>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20" w:firstLine="374"/>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380" w:firstLine="374"/>
        <w:spacing w:after="0" w:line="23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8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60" w:type="dxa"/>
            <w:vAlign w:val="bottom"/>
          </w:tcPr>
          <w:p>
            <w:pPr>
              <w:ind w:left="50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920" w:type="dxa"/>
            <w:vAlign w:val="bottom"/>
          </w:tcPr>
          <w:p>
            <w:pPr>
              <w:ind w:left="3120"/>
              <w:spacing w:after="0"/>
              <w:rPr>
                <w:sz w:val="20"/>
                <w:szCs w:val="20"/>
                <w:color w:val="auto"/>
              </w:rPr>
            </w:pPr>
            <w:r>
              <w:rPr>
                <w:rFonts w:ascii="Arial" w:cs="Arial" w:eastAsia="Arial" w:hAnsi="Arial"/>
                <w:sz w:val="13"/>
                <w:szCs w:val="13"/>
                <w:color w:val="auto"/>
              </w:rPr>
              <w:t>Accelerated Filer</w:t>
            </w:r>
          </w:p>
        </w:tc>
        <w:tc>
          <w:tcPr>
            <w:tcW w:w="440" w:type="dxa"/>
            <w:vAlign w:val="bottom"/>
          </w:tcPr>
          <w:p>
            <w:pPr>
              <w:ind w:left="340"/>
              <w:spacing w:after="0" w:line="175" w:lineRule="exact"/>
              <w:rPr>
                <w:sz w:val="20"/>
                <w:szCs w:val="20"/>
                <w:color w:val="auto"/>
              </w:rPr>
            </w:pPr>
            <w:r>
              <w:rPr>
                <w:rFonts w:ascii="Arial Unicode MS" w:cs="Arial Unicode MS" w:eastAsia="Arial Unicode MS" w:hAnsi="Arial Unicode MS"/>
                <w:sz w:val="13"/>
                <w:szCs w:val="13"/>
                <w:color w:val="auto"/>
                <w:w w:val="83"/>
              </w:rPr>
              <w:t>☐</w:t>
            </w:r>
          </w:p>
        </w:tc>
      </w:tr>
      <w:tr>
        <w:trPr>
          <w:trHeight w:val="243"/>
        </w:trPr>
        <w:tc>
          <w:tcPr>
            <w:tcW w:w="1880" w:type="dxa"/>
            <w:vAlign w:val="bottom"/>
          </w:tcPr>
          <w:p>
            <w:pPr>
              <w:spacing w:after="0"/>
              <w:rPr>
                <w:sz w:val="20"/>
                <w:szCs w:val="20"/>
                <w:color w:val="auto"/>
              </w:rPr>
            </w:pPr>
            <w:r>
              <w:rPr>
                <w:rFonts w:ascii="Arial" w:cs="Arial" w:eastAsia="Arial" w:hAnsi="Arial"/>
                <w:sz w:val="13"/>
                <w:szCs w:val="13"/>
                <w:color w:val="auto"/>
              </w:rPr>
              <w:t>Non-accelerated Filer</w:t>
            </w:r>
          </w:p>
        </w:tc>
        <w:tc>
          <w:tcPr>
            <w:tcW w:w="3760" w:type="dxa"/>
            <w:vAlign w:val="bottom"/>
          </w:tcPr>
          <w:p>
            <w:pPr>
              <w:ind w:left="50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920" w:type="dxa"/>
            <w:vAlign w:val="bottom"/>
          </w:tcPr>
          <w:p>
            <w:pPr>
              <w:ind w:left="3120"/>
              <w:spacing w:after="0"/>
              <w:rPr>
                <w:sz w:val="20"/>
                <w:szCs w:val="20"/>
                <w:color w:val="auto"/>
              </w:rPr>
            </w:pPr>
            <w:r>
              <w:rPr>
                <w:rFonts w:ascii="Arial" w:cs="Arial" w:eastAsia="Arial" w:hAnsi="Arial"/>
                <w:sz w:val="13"/>
                <w:szCs w:val="13"/>
                <w:color w:val="auto"/>
              </w:rPr>
              <w:t>Smaller Reporting Company</w:t>
            </w:r>
          </w:p>
        </w:tc>
        <w:tc>
          <w:tcPr>
            <w:tcW w:w="440" w:type="dxa"/>
            <w:vAlign w:val="bottom"/>
          </w:tcPr>
          <w:p>
            <w:pPr>
              <w:ind w:left="340"/>
              <w:spacing w:after="0" w:line="175" w:lineRule="exact"/>
              <w:rPr>
                <w:sz w:val="20"/>
                <w:szCs w:val="20"/>
                <w:color w:val="auto"/>
              </w:rPr>
            </w:pPr>
            <w:r>
              <w:rPr>
                <w:rFonts w:ascii="Arial Unicode MS" w:cs="Arial Unicode MS" w:eastAsia="Arial Unicode MS" w:hAnsi="Arial Unicode MS"/>
                <w:sz w:val="13"/>
                <w:szCs w:val="13"/>
                <w:color w:val="auto"/>
                <w:w w:val="83"/>
              </w:rPr>
              <w:t>☐</w:t>
            </w:r>
          </w:p>
        </w:tc>
      </w:tr>
      <w:tr>
        <w:trPr>
          <w:trHeight w:val="243"/>
        </w:trPr>
        <w:tc>
          <w:tcPr>
            <w:tcW w:w="188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760" w:type="dxa"/>
            <w:vAlign w:val="bottom"/>
          </w:tcPr>
          <w:p>
            <w:pPr>
              <w:ind w:left="50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920" w:type="dxa"/>
            <w:vAlign w:val="bottom"/>
          </w:tcPr>
          <w:p>
            <w:pPr>
              <w:spacing w:after="0"/>
              <w:rPr>
                <w:sz w:val="21"/>
                <w:szCs w:val="21"/>
                <w:color w:val="auto"/>
              </w:rPr>
            </w:pPr>
          </w:p>
        </w:tc>
        <w:tc>
          <w:tcPr>
            <w:tcW w:w="440" w:type="dxa"/>
            <w:vAlign w:val="bottom"/>
          </w:tcPr>
          <w:p>
            <w:pPr>
              <w:spacing w:after="0"/>
              <w:rPr>
                <w:sz w:val="21"/>
                <w:szCs w:val="21"/>
                <w:color w:val="auto"/>
              </w:rPr>
            </w:pPr>
          </w:p>
        </w:tc>
      </w:tr>
    </w:tbl>
    <w:p>
      <w:pPr>
        <w:spacing w:after="0" w:line="28" w:lineRule="exact"/>
        <w:rPr>
          <w:sz w:val="24"/>
          <w:szCs w:val="24"/>
          <w:color w:val="auto"/>
        </w:rPr>
      </w:pPr>
    </w:p>
    <w:p>
      <w:pPr>
        <w:ind w:right="20" w:firstLine="374"/>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Arial Unicode MS" w:cs="Arial Unicode MS" w:eastAsia="Arial Unicode MS" w:hAnsi="Arial Unicode MS"/>
          <w:sz w:val="13"/>
          <w:szCs w:val="13"/>
          <w:color w:val="auto"/>
        </w:rPr>
        <w:t>☐</w:t>
      </w:r>
    </w:p>
    <w:p>
      <w:pPr>
        <w:spacing w:after="0" w:line="4" w:lineRule="exact"/>
        <w:rPr>
          <w:sz w:val="24"/>
          <w:szCs w:val="24"/>
          <w:color w:val="auto"/>
        </w:rPr>
      </w:pPr>
    </w:p>
    <w:p>
      <w:pPr>
        <w:ind w:left="380"/>
        <w:spacing w:after="0" w:line="175" w:lineRule="exact"/>
        <w:tabs>
          <w:tab w:leader="none" w:pos="6200" w:val="left"/>
          <w:tab w:leader="none" w:pos="66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ab/>
        <w:t xml:space="preserve">No </w:t>
      </w:r>
      <w:r>
        <w:rPr>
          <w:rFonts w:ascii="Arial Unicode MS" w:cs="Arial Unicode MS" w:eastAsia="Arial Unicode MS" w:hAnsi="Arial Unicode MS"/>
          <w:sz w:val="13"/>
          <w:szCs w:val="13"/>
          <w:color w:val="auto"/>
        </w:rPr>
        <w:t>☒</w:t>
      </w:r>
    </w:p>
    <w:p>
      <w:pPr>
        <w:spacing w:after="0" w:line="39" w:lineRule="exact"/>
        <w:rPr>
          <w:sz w:val="24"/>
          <w:szCs w:val="24"/>
          <w:color w:val="auto"/>
        </w:rPr>
      </w:pPr>
    </w:p>
    <w:p>
      <w:pPr>
        <w:ind w:right="400" w:firstLine="374"/>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right="240" w:firstLine="374"/>
        <w:spacing w:after="0" w:line="162" w:lineRule="exact"/>
        <w:rPr>
          <w:sz w:val="20"/>
          <w:szCs w:val="20"/>
          <w:color w:val="auto"/>
        </w:rPr>
      </w:pPr>
      <w:r>
        <w:rPr>
          <w:rFonts w:ascii="Arial" w:cs="Arial" w:eastAsia="Arial" w:hAnsi="Arial"/>
          <w:sz w:val="13"/>
          <w:szCs w:val="13"/>
          <w:color w:val="231F20"/>
        </w:rPr>
        <w:t>If securities are registered pursuant to Section 12(b) of the Act, indicate by check mark whether the financial statements of the registrant included in the filing reflect the correction of an error to previously issued financial statements.</w:t>
      </w:r>
      <w:r>
        <w:rPr>
          <w:rFonts w:ascii="Arial Unicode MS" w:cs="Arial Unicode MS" w:eastAsia="Arial Unicode MS" w:hAnsi="Arial Unicode MS"/>
          <w:sz w:val="13"/>
          <w:szCs w:val="13"/>
          <w:color w:val="000000"/>
        </w:rPr>
        <w:t>☐</w:t>
      </w:r>
    </w:p>
    <w:p>
      <w:pPr>
        <w:spacing w:after="0" w:line="4" w:lineRule="exact"/>
        <w:rPr>
          <w:sz w:val="24"/>
          <w:szCs w:val="24"/>
          <w:color w:val="auto"/>
        </w:rPr>
      </w:pPr>
    </w:p>
    <w:p>
      <w:pPr>
        <w:ind w:right="320" w:firstLine="374"/>
        <w:spacing w:after="0" w:line="174" w:lineRule="exact"/>
        <w:rPr>
          <w:sz w:val="20"/>
          <w:szCs w:val="20"/>
          <w:color w:val="auto"/>
        </w:rPr>
      </w:pPr>
      <w:r>
        <w:rPr>
          <w:rFonts w:ascii="Arial" w:cs="Arial" w:eastAsia="Arial" w:hAnsi="Arial"/>
          <w:sz w:val="13"/>
          <w:szCs w:val="13"/>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231F20"/>
        </w:rPr>
        <w:t>ﬃ</w:t>
      </w:r>
      <w:r>
        <w:rPr>
          <w:rFonts w:ascii="Arial" w:cs="Arial" w:eastAsia="Arial" w:hAnsi="Arial"/>
          <w:sz w:val="13"/>
          <w:szCs w:val="13"/>
          <w:color w:val="231F20"/>
        </w:rPr>
        <w:t xml:space="preserve">cers during the relevant recovery period pursuant to §240.10D-1(b). </w:t>
      </w:r>
      <w:r>
        <w:rPr>
          <w:rFonts w:ascii="Arial Unicode MS" w:cs="Arial Unicode MS" w:eastAsia="Arial Unicode MS" w:hAnsi="Arial Unicode MS"/>
          <w:sz w:val="13"/>
          <w:szCs w:val="13"/>
          <w:color w:val="000000"/>
        </w:rPr>
        <w:t>☐</w:t>
      </w:r>
    </w:p>
    <w:p>
      <w:pPr>
        <w:spacing w:after="0" w:line="15" w:lineRule="exact"/>
        <w:rPr>
          <w:sz w:val="24"/>
          <w:szCs w:val="24"/>
          <w:color w:val="auto"/>
        </w:rPr>
      </w:pPr>
    </w:p>
    <w:p>
      <w:pPr>
        <w:ind w:right="140" w:firstLine="374"/>
        <w:spacing w:after="0" w:line="228" w:lineRule="auto"/>
        <w:rPr>
          <w:sz w:val="20"/>
          <w:szCs w:val="20"/>
          <w:color w:val="auto"/>
        </w:rPr>
      </w:pPr>
      <w:r>
        <w:rPr>
          <w:rFonts w:ascii="Arial" w:cs="Arial" w:eastAsia="Arial" w:hAnsi="Arial"/>
          <w:sz w:val="13"/>
          <w:szCs w:val="13"/>
          <w:color w:val="auto"/>
        </w:rPr>
        <w:t>The aggregate market value of the voting and non-voting of common equity held by non-affiliates of the registrant was $1,084,471,643 as of June 30, 2022 based on the closing price of $19.24 as reported on the Nasdaq Global Select Market on such date. Shares of the registrant's common stock held by executive officers, directors, and their affiliates have been excluded from this calculation. The determination of affiliate status is not necessarily a conclusive determination for other purposes.</w:t>
      </w:r>
    </w:p>
    <w:p>
      <w:pPr>
        <w:spacing w:after="0" w:line="32" w:lineRule="exact"/>
        <w:rPr>
          <w:sz w:val="24"/>
          <w:szCs w:val="24"/>
          <w:color w:val="auto"/>
        </w:rPr>
      </w:pPr>
    </w:p>
    <w:p>
      <w:pPr>
        <w:ind w:left="380"/>
        <w:spacing w:after="0"/>
        <w:rPr>
          <w:sz w:val="20"/>
          <w:szCs w:val="20"/>
          <w:color w:val="auto"/>
        </w:rPr>
      </w:pPr>
      <w:r>
        <w:rPr>
          <w:rFonts w:ascii="Arial" w:cs="Arial" w:eastAsia="Arial" w:hAnsi="Arial"/>
          <w:sz w:val="13"/>
          <w:szCs w:val="13"/>
          <w:color w:val="auto"/>
        </w:rPr>
        <w:t>As of February 24, 2023, there were 68,442.572 shares of common stock outstanding.</w:t>
      </w:r>
    </w:p>
    <w:p>
      <w:pPr>
        <w:spacing w:after="0" w:line="35" w:lineRule="exact"/>
        <w:rPr>
          <w:sz w:val="24"/>
          <w:szCs w:val="24"/>
          <w:color w:val="auto"/>
        </w:rPr>
      </w:pPr>
    </w:p>
    <w:p>
      <w:pPr>
        <w:ind w:left="41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43" w:lineRule="exact"/>
        <w:rPr>
          <w:sz w:val="24"/>
          <w:szCs w:val="24"/>
          <w:color w:val="auto"/>
        </w:rPr>
      </w:pPr>
    </w:p>
    <w:p>
      <w:pPr>
        <w:ind w:right="100" w:firstLine="382"/>
        <w:spacing w:after="0" w:line="235" w:lineRule="auto"/>
        <w:rPr>
          <w:sz w:val="20"/>
          <w:szCs w:val="20"/>
          <w:color w:val="auto"/>
        </w:rPr>
      </w:pPr>
      <w:r>
        <w:rPr>
          <w:rFonts w:ascii="Arial" w:cs="Arial" w:eastAsia="Arial" w:hAnsi="Arial"/>
          <w:sz w:val="13"/>
          <w:szCs w:val="13"/>
          <w:color w:val="auto"/>
        </w:rPr>
        <w:t>Portions of the registrant’s definitive proxy statement for its 2023 Annual Meeting of Stockholders, which the registrant intends to file pursuant to Regulation 14A with the Securities and Exchange Commission not later than 120 days after the registrant’s fiscal year ended December 31, 2022, are incorporated by reference into Part III of this Annual Report on Form 10-K.</w:t>
      </w:r>
    </w:p>
    <w:p>
      <w:pPr>
        <w:spacing w:after="0" w:line="175" w:lineRule="exact"/>
        <w:rPr>
          <w:sz w:val="24"/>
          <w:szCs w:val="24"/>
          <w:color w:val="auto"/>
        </w:rPr>
      </w:pPr>
    </w:p>
    <w:p>
      <w:pPr>
        <w:ind w:left="100"/>
        <w:spacing w:after="0"/>
        <w:tabs>
          <w:tab w:leader="none" w:pos="1700" w:val="left"/>
          <w:tab w:leader="none" w:pos="3300" w:val="left"/>
          <w:tab w:leader="none" w:pos="4720" w:val="left"/>
          <w:tab w:leader="none" w:pos="6960" w:val="left"/>
          <w:tab w:leader="none" w:pos="876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Deloitte &amp; Touche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New York,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256540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gridSpan w:val="22"/>
            <w:vMerge w:val="restart"/>
          </w:tcPr>
          <w:p>
            <w:pPr>
              <w:spacing w:after="0"/>
              <w:rPr>
                <w:sz w:val="20"/>
                <w:szCs w:val="20"/>
                <w:color w:val="auto"/>
              </w:rPr>
            </w:pPr>
            <w:r>
              <w:rPr>
                <w:rFonts w:ascii="Arial" w:cs="Arial" w:eastAsia="Arial" w:hAnsi="Arial"/>
                <w:sz w:val="18"/>
                <w:szCs w:val="18"/>
                <w:b w:val="1"/>
                <w:bCs w:val="1"/>
                <w:color w:val="0000FF"/>
                <w:w w:val="99"/>
              </w:rPr>
              <w:t>SPECIAL NOTE REGARDING FORWARD-LOOKING STATEMENTS</w:t>
            </w:r>
          </w:p>
        </w:tc>
        <w:tc>
          <w:tcPr>
            <w:tcW w:w="5040" w:type="dxa"/>
            <w:vAlign w:val="bottom"/>
            <w:gridSpan w:val="8"/>
            <w:vMerge w:val="restart"/>
          </w:tcPr>
          <w:p>
            <w:pPr>
              <w:spacing w:after="0"/>
              <w:rPr>
                <w:sz w:val="16"/>
                <w:szCs w:val="16"/>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5660" w:type="dxa"/>
            <w:vAlign w:val="bottom"/>
            <w:tcBorders>
              <w:bottom w:val="single" w:sz="8" w:color="0000FF"/>
            </w:tcBorders>
            <w:gridSpan w:val="22"/>
            <w:vMerge w:val="continue"/>
          </w:tcPr>
          <w:p>
            <w:pPr>
              <w:spacing w:after="0"/>
              <w:rPr>
                <w:sz w:val="14"/>
                <w:szCs w:val="14"/>
                <w:color w:val="auto"/>
              </w:rPr>
            </w:pPr>
          </w:p>
        </w:tc>
        <w:tc>
          <w:tcPr>
            <w:tcW w:w="5040" w:type="dxa"/>
            <w:vAlign w:val="bottom"/>
            <w:gridSpan w:val="8"/>
            <w:vMerge w:val="continue"/>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438"/>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gridSpan w:val="11"/>
          </w:tcPr>
          <w:p>
            <w:pPr>
              <w:jc w:val="center"/>
              <w:ind w:right="5060"/>
              <w:spacing w:after="0"/>
              <w:rPr>
                <w:sz w:val="20"/>
                <w:szCs w:val="20"/>
                <w:color w:val="auto"/>
              </w:rPr>
            </w:pPr>
            <w:r>
              <w:rPr>
                <w:rFonts w:ascii="Arial" w:cs="Arial" w:eastAsia="Arial" w:hAnsi="Arial"/>
                <w:sz w:val="18"/>
                <w:szCs w:val="18"/>
                <w:b w:val="1"/>
                <w:bCs w:val="1"/>
                <w:color w:val="0000FF"/>
                <w:w w:val="98"/>
              </w:rPr>
              <w:t>PART I</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4"/>
              </w:rPr>
              <w:t>Business</w:t>
            </w:r>
          </w:p>
        </w:tc>
        <w:tc>
          <w:tcPr>
            <w:tcW w:w="20" w:type="dxa"/>
            <w:vAlign w:val="bottom"/>
            <w:tcBorders>
              <w:bottom w:val="single" w:sz="8" w:color="0000EE"/>
            </w:tcBorders>
          </w:tcPr>
          <w:p>
            <w:pPr>
              <w:spacing w:after="0"/>
              <w:rPr>
                <w:sz w:val="18"/>
                <w:szCs w:val="18"/>
                <w:color w:val="auto"/>
              </w:rPr>
            </w:pPr>
          </w:p>
        </w:tc>
        <w:tc>
          <w:tcPr>
            <w:tcW w:w="3440" w:type="dxa"/>
            <w:vAlign w:val="bottom"/>
            <w:gridSpan w:val="16"/>
          </w:tcPr>
          <w:p>
            <w:pPr>
              <w:spacing w:after="0"/>
              <w:rPr>
                <w:sz w:val="18"/>
                <w:szCs w:val="18"/>
                <w:color w:val="auto"/>
              </w:rPr>
            </w:pPr>
          </w:p>
        </w:tc>
        <w:tc>
          <w:tcPr>
            <w:tcW w:w="580" w:type="dxa"/>
            <w:vAlign w:val="bottom"/>
            <w:tcBorders>
              <w:top w:val="single" w:sz="8" w:color="0000FF"/>
            </w:tcBorders>
            <w:gridSpan w:val="2"/>
          </w:tcPr>
          <w:p>
            <w:pPr>
              <w:spacing w:after="0"/>
              <w:rPr>
                <w:sz w:val="18"/>
                <w:szCs w:val="18"/>
                <w:color w:val="auto"/>
              </w:rPr>
            </w:pPr>
          </w:p>
        </w:tc>
        <w:tc>
          <w:tcPr>
            <w:tcW w:w="5060" w:type="dxa"/>
            <w:vAlign w:val="bottom"/>
            <w:gridSpan w:val="9"/>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740" w:type="dxa"/>
            <w:vAlign w:val="bottom"/>
            <w:gridSpan w:val="29"/>
          </w:tcPr>
          <w:p>
            <w:pPr>
              <w:spacing w:after="0"/>
              <w:rPr>
                <w:sz w:val="20"/>
                <w:szCs w:val="20"/>
                <w:color w:val="auto"/>
              </w:rPr>
            </w:pPr>
            <w:r>
              <w:rPr>
                <w:rFonts w:ascii="Arial" w:cs="Arial" w:eastAsia="Arial" w:hAnsi="Arial"/>
                <w:sz w:val="18"/>
                <w:szCs w:val="18"/>
                <w:color w:val="0000FF"/>
              </w:rPr>
              <w:t>Risk Factors</w:t>
            </w: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1B.</w:t>
            </w:r>
          </w:p>
        </w:tc>
        <w:tc>
          <w:tcPr>
            <w:tcW w:w="9740" w:type="dxa"/>
            <w:vAlign w:val="bottom"/>
            <w:gridSpan w:val="29"/>
          </w:tcPr>
          <w:p>
            <w:pPr>
              <w:spacing w:after="0"/>
              <w:rPr>
                <w:sz w:val="20"/>
                <w:szCs w:val="20"/>
                <w:color w:val="auto"/>
              </w:rPr>
            </w:pPr>
            <w:r>
              <w:rPr>
                <w:rFonts w:ascii="Arial" w:cs="Arial" w:eastAsia="Arial" w:hAnsi="Arial"/>
                <w:sz w:val="18"/>
                <w:szCs w:val="18"/>
                <w:color w:val="0000FF"/>
              </w:rPr>
              <w:t>Unresolved Staff Comments</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Properties</w:t>
            </w:r>
          </w:p>
        </w:tc>
        <w:tc>
          <w:tcPr>
            <w:tcW w:w="7700" w:type="dxa"/>
            <w:vAlign w:val="bottom"/>
            <w:gridSpan w:val="17"/>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20" w:type="dxa"/>
            <w:vAlign w:val="bottom"/>
            <w:tcBorders>
              <w:bottom w:val="single" w:sz="8" w:color="0000EE"/>
            </w:tcBorders>
          </w:tcPr>
          <w:p>
            <w:pPr>
              <w:spacing w:after="0"/>
              <w:rPr>
                <w:sz w:val="18"/>
                <w:szCs w:val="18"/>
                <w:color w:val="auto"/>
              </w:rPr>
            </w:pPr>
          </w:p>
        </w:tc>
        <w:tc>
          <w:tcPr>
            <w:tcW w:w="8380" w:type="dxa"/>
            <w:vAlign w:val="bottom"/>
            <w:gridSpan w:val="22"/>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gridSpan w:val="29"/>
          </w:tcPr>
          <w:p>
            <w:pPr>
              <w:spacing w:after="0"/>
              <w:rPr>
                <w:sz w:val="20"/>
                <w:szCs w:val="20"/>
                <w:color w:val="auto"/>
              </w:rPr>
            </w:pPr>
            <w:r>
              <w:rPr>
                <w:rFonts w:ascii="Arial" w:cs="Arial" w:eastAsia="Arial" w:hAnsi="Arial"/>
                <w:sz w:val="18"/>
                <w:szCs w:val="18"/>
                <w:color w:val="0000FF"/>
              </w:rPr>
              <w:t>Mine Safety Disclosures</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8"/>
        </w:trPr>
        <w:tc>
          <w:tcPr>
            <w:tcW w:w="9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12"/>
          </w:tcPr>
          <w:p>
            <w:pPr>
              <w:jc w:val="center"/>
              <w:ind w:right="5020"/>
              <w:spacing w:after="0"/>
              <w:rPr>
                <w:sz w:val="20"/>
                <w:szCs w:val="20"/>
                <w:color w:val="auto"/>
              </w:rPr>
            </w:pPr>
            <w:r>
              <w:rPr>
                <w:rFonts w:ascii="Arial" w:cs="Arial" w:eastAsia="Arial" w:hAnsi="Arial"/>
                <w:sz w:val="18"/>
                <w:szCs w:val="18"/>
                <w:b w:val="1"/>
                <w:bCs w:val="1"/>
                <w:color w:val="0000FF"/>
                <w:w w:val="99"/>
              </w:rPr>
              <w:t>PART II</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814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0"/>
              </w:rPr>
              <w:t>Market for Registrant’s Common Equity, Related Stockholder Matters and Issuers Purchases of Equity Securities</w:t>
            </w:r>
          </w:p>
        </w:tc>
        <w:tc>
          <w:tcPr>
            <w:tcW w:w="1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740" w:type="dxa"/>
            <w:vAlign w:val="bottom"/>
            <w:gridSpan w:val="29"/>
          </w:tcPr>
          <w:p>
            <w:pPr>
              <w:spacing w:after="0"/>
              <w:rPr>
                <w:sz w:val="20"/>
                <w:szCs w:val="20"/>
                <w:color w:val="auto"/>
              </w:rPr>
            </w:pPr>
            <w:r>
              <w:rPr>
                <w:rFonts w:ascii="Arial" w:cs="Arial" w:eastAsia="Arial" w:hAnsi="Arial"/>
                <w:sz w:val="18"/>
                <w:szCs w:val="18"/>
                <w:color w:val="0000FF"/>
              </w:rPr>
              <w:t>Selected Financial Data</w:t>
            </w: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7.</w:t>
            </w:r>
          </w:p>
        </w:tc>
        <w:tc>
          <w:tcPr>
            <w:tcW w:w="9740" w:type="dxa"/>
            <w:vAlign w:val="bottom"/>
            <w:gridSpan w:val="2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0000FF"/>
            </w:tcBorders>
            <w:gridSpan w:val="2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300" w:type="dxa"/>
            <w:vAlign w:val="bottom"/>
            <w:gridSpan w:val="4"/>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Financial Statements and Supplementary Data</w:t>
            </w:r>
          </w:p>
        </w:tc>
        <w:tc>
          <w:tcPr>
            <w:tcW w:w="5440" w:type="dxa"/>
            <w:vAlign w:val="bottom"/>
            <w:gridSpan w:val="10"/>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9.</w:t>
            </w:r>
          </w:p>
        </w:tc>
        <w:tc>
          <w:tcPr>
            <w:tcW w:w="9740" w:type="dxa"/>
            <w:vAlign w:val="bottom"/>
            <w:gridSpan w:val="29"/>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FF"/>
            </w:tcBorders>
            <w:gridSpan w:val="26"/>
          </w:tcPr>
          <w:p>
            <w:pPr>
              <w:spacing w:after="0"/>
              <w:rPr>
                <w:sz w:val="20"/>
                <w:szCs w:val="20"/>
                <w:color w:val="auto"/>
              </w:rPr>
            </w:pPr>
            <w:r>
              <w:rPr>
                <w:rFonts w:ascii="Arial" w:cs="Arial" w:eastAsia="Arial" w:hAnsi="Arial"/>
                <w:sz w:val="18"/>
                <w:szCs w:val="18"/>
                <w:color w:val="0000FF"/>
              </w:rPr>
              <w:t>Controls and Procedures</w:t>
            </w:r>
          </w:p>
        </w:tc>
        <w:tc>
          <w:tcPr>
            <w:tcW w:w="3280" w:type="dxa"/>
            <w:vAlign w:val="bottom"/>
            <w:gridSpan w:val="3"/>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20" w:type="dxa"/>
            <w:vAlign w:val="bottom"/>
            <w:tcBorders>
              <w:top w:val="single" w:sz="8" w:color="0000FF"/>
              <w:bottom w:val="single" w:sz="8" w:color="0000EE"/>
            </w:tcBorders>
          </w:tcPr>
          <w:p>
            <w:pPr>
              <w:spacing w:after="0"/>
              <w:rPr>
                <w:sz w:val="18"/>
                <w:szCs w:val="18"/>
                <w:color w:val="auto"/>
              </w:rPr>
            </w:pPr>
          </w:p>
        </w:tc>
        <w:tc>
          <w:tcPr>
            <w:tcW w:w="420" w:type="dxa"/>
            <w:vAlign w:val="bottom"/>
            <w:tcBorders>
              <w:top w:val="single" w:sz="8" w:color="0000FF"/>
            </w:tcBorders>
            <w:gridSpan w:val="4"/>
          </w:tcPr>
          <w:p>
            <w:pPr>
              <w:spacing w:after="0"/>
              <w:rPr>
                <w:sz w:val="18"/>
                <w:szCs w:val="18"/>
                <w:color w:val="auto"/>
              </w:rPr>
            </w:pPr>
          </w:p>
        </w:tc>
        <w:tc>
          <w:tcPr>
            <w:tcW w:w="7980" w:type="dxa"/>
            <w:vAlign w:val="bottom"/>
            <w:gridSpan w:val="19"/>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9C.</w:t>
            </w:r>
          </w:p>
        </w:tc>
        <w:tc>
          <w:tcPr>
            <w:tcW w:w="490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0"/>
              </w:rPr>
              <w:t>Disclosure Regarding Foreign Jurisdictions that Prevent Inspections</w:t>
            </w:r>
          </w:p>
        </w:tc>
        <w:tc>
          <w:tcPr>
            <w:tcW w:w="4840" w:type="dxa"/>
            <w:vAlign w:val="bottom"/>
            <w:gridSpan w:val="6"/>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38"/>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00" w:type="dxa"/>
            <w:vAlign w:val="bottom"/>
            <w:gridSpan w:val="13"/>
          </w:tcPr>
          <w:p>
            <w:pPr>
              <w:jc w:val="center"/>
              <w:ind w:right="4980"/>
              <w:spacing w:after="0"/>
              <w:rPr>
                <w:sz w:val="20"/>
                <w:szCs w:val="20"/>
                <w:color w:val="auto"/>
              </w:rPr>
            </w:pPr>
            <w:r>
              <w:rPr>
                <w:rFonts w:ascii="Arial" w:cs="Arial" w:eastAsia="Arial" w:hAnsi="Arial"/>
                <w:sz w:val="18"/>
                <w:szCs w:val="18"/>
                <w:b w:val="1"/>
                <w:bCs w:val="1"/>
                <w:color w:val="0000FF"/>
              </w:rPr>
              <w:t>PART III</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right w:val="single" w:sz="8" w:color="0000EE"/>
            </w:tcBorders>
            <w:gridSpan w:val="2"/>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5"/>
            <w:shd w:val="clear" w:color="auto" w:fill="0000FF"/>
          </w:tcPr>
          <w:p>
            <w:pPr>
              <w:spacing w:after="0" w:line="20" w:lineRule="exact"/>
              <w:rPr>
                <w:sz w:val="1"/>
                <w:szCs w:val="1"/>
                <w:color w:val="auto"/>
              </w:rPr>
            </w:pPr>
          </w:p>
        </w:tc>
        <w:tc>
          <w:tcPr>
            <w:tcW w:w="700" w:type="dxa"/>
            <w:vAlign w:val="bottom"/>
            <w:tcBorders>
              <w:left w:val="single" w:sz="8" w:color="0000FF"/>
            </w:tcBorders>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10.</w:t>
            </w:r>
          </w:p>
        </w:tc>
        <w:tc>
          <w:tcPr>
            <w:tcW w:w="9740" w:type="dxa"/>
            <w:vAlign w:val="bottom"/>
            <w:gridSpan w:val="29"/>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11.</w:t>
            </w:r>
          </w:p>
        </w:tc>
        <w:tc>
          <w:tcPr>
            <w:tcW w:w="408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Executive Compensation</w:t>
            </w:r>
          </w:p>
        </w:tc>
        <w:tc>
          <w:tcPr>
            <w:tcW w:w="5660" w:type="dxa"/>
            <w:vAlign w:val="bottom"/>
            <w:gridSpan w:val="12"/>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8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12.</w:t>
            </w:r>
          </w:p>
        </w:tc>
        <w:tc>
          <w:tcPr>
            <w:tcW w:w="728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2460" w:type="dxa"/>
            <w:vAlign w:val="bottom"/>
            <w:gridSpan w:val="2"/>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13.</w:t>
            </w:r>
          </w:p>
        </w:tc>
        <w:tc>
          <w:tcPr>
            <w:tcW w:w="9740" w:type="dxa"/>
            <w:vAlign w:val="bottom"/>
            <w:gridSpan w:val="29"/>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24"/>
          </w:tcPr>
          <w:p>
            <w:pPr>
              <w:spacing w:after="0"/>
              <w:rPr>
                <w:sz w:val="20"/>
                <w:szCs w:val="20"/>
                <w:color w:val="auto"/>
              </w:rPr>
            </w:pPr>
            <w:r>
              <w:rPr>
                <w:rFonts w:ascii="Arial" w:cs="Arial" w:eastAsia="Arial" w:hAnsi="Arial"/>
                <w:sz w:val="18"/>
                <w:szCs w:val="18"/>
                <w:color w:val="0000FF"/>
              </w:rPr>
              <w:t>Principal Accountant Fees and Services</w:t>
            </w:r>
          </w:p>
        </w:tc>
        <w:tc>
          <w:tcPr>
            <w:tcW w:w="4300" w:type="dxa"/>
            <w:vAlign w:val="bottom"/>
            <w:gridSpan w:val="5"/>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38"/>
        </w:trPr>
        <w:tc>
          <w:tcPr>
            <w:tcW w:w="9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00" w:type="dxa"/>
            <w:vAlign w:val="bottom"/>
            <w:gridSpan w:val="13"/>
          </w:tcPr>
          <w:p>
            <w:pPr>
              <w:jc w:val="center"/>
              <w:ind w:right="5000"/>
              <w:spacing w:after="0"/>
              <w:rPr>
                <w:sz w:val="20"/>
                <w:szCs w:val="20"/>
                <w:color w:val="auto"/>
              </w:rPr>
            </w:pPr>
            <w:r>
              <w:rPr>
                <w:rFonts w:ascii="Arial" w:cs="Arial" w:eastAsia="Arial" w:hAnsi="Arial"/>
                <w:sz w:val="18"/>
                <w:szCs w:val="18"/>
                <w:b w:val="1"/>
                <w:bCs w:val="1"/>
                <w:color w:val="0000FF"/>
                <w:w w:val="98"/>
              </w:rPr>
              <w:t>PART IV</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15.</w:t>
            </w:r>
          </w:p>
        </w:tc>
        <w:tc>
          <w:tcPr>
            <w:tcW w:w="4040" w:type="dxa"/>
            <w:vAlign w:val="bottom"/>
            <w:gridSpan w:val="16"/>
          </w:tcPr>
          <w:p>
            <w:pPr>
              <w:spacing w:after="0"/>
              <w:rPr>
                <w:sz w:val="20"/>
                <w:szCs w:val="20"/>
                <w:color w:val="auto"/>
              </w:rPr>
            </w:pPr>
            <w:r>
              <w:rPr>
                <w:rFonts w:ascii="Arial" w:cs="Arial" w:eastAsia="Arial" w:hAnsi="Arial"/>
                <w:sz w:val="18"/>
                <w:szCs w:val="18"/>
                <w:color w:val="0000FF"/>
              </w:rPr>
              <w:t>Exhibit and Financial Statement Schedules</w:t>
            </w:r>
          </w:p>
        </w:tc>
        <w:tc>
          <w:tcPr>
            <w:tcW w:w="700" w:type="dxa"/>
            <w:vAlign w:val="bottom"/>
            <w:tcBorders>
              <w:top w:val="single" w:sz="8" w:color="0000FF"/>
            </w:tcBorders>
            <w:gridSpan w:val="6"/>
          </w:tcPr>
          <w:p>
            <w:pPr>
              <w:spacing w:after="0"/>
              <w:rPr>
                <w:sz w:val="18"/>
                <w:szCs w:val="18"/>
                <w:color w:val="auto"/>
              </w:rPr>
            </w:pPr>
          </w:p>
        </w:tc>
        <w:tc>
          <w:tcPr>
            <w:tcW w:w="5000" w:type="dxa"/>
            <w:vAlign w:val="bottom"/>
            <w:gridSpan w:val="7"/>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16.</w:t>
            </w:r>
          </w:p>
        </w:tc>
        <w:tc>
          <w:tcPr>
            <w:tcW w:w="308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Form 10-K Summary</w:t>
            </w:r>
          </w:p>
        </w:tc>
        <w:tc>
          <w:tcPr>
            <w:tcW w:w="6660" w:type="dxa"/>
            <w:vAlign w:val="bottom"/>
            <w:gridSpan w:val="15"/>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This Annual Report on Form 10-K, or Annual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In some cases, you can identify forward-looking statements by terminology such as “anticipate,” “believe,” “could,” “estimate,” “expects,” “intend,” “may,” “plan,” “potential,” “predict,” “project,” “should,” “will,” “would” or the negative or plural of those terms, and similar expressions.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our research and development activities, clinical trials and preclinical studies;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16"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 as well as the potential use of our product candidates to treat various cancer indications and fibrotic diseases;</w:t>
      </w:r>
    </w:p>
    <w:p>
      <w:pPr>
        <w:spacing w:after="0" w:line="61"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61"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Eddingpharm Investment Company Limited, UCB Biopharma Sprl, and Vitae Pharmaceuticals, Inc., a subsidiary of Allergan plc, which was acquired by AbbVie Inc.;</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 with Incyte Corporation, or Incyte, to further develop and commercialize axatilimab;</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6" w:lineRule="exact"/>
        <w:rPr>
          <w:rFonts w:ascii="Arial" w:cs="Arial" w:eastAsia="Arial" w:hAnsi="Arial"/>
          <w:sz w:val="18"/>
          <w:szCs w:val="18"/>
          <w:color w:val="auto"/>
        </w:rPr>
      </w:pPr>
    </w:p>
    <w:p>
      <w:pPr>
        <w:jc w:val="both"/>
        <w:ind w:left="1020" w:right="24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public health crises and other adverse global economic conditions on our operations, research and development and clinical trials and potential disruption in the operations and business of third-party manufacturers, contract research organizations, or CROs, other service providers, and collaborators with whom we conduct business; and</w:t>
      </w:r>
    </w:p>
    <w:p>
      <w:pPr>
        <w:spacing w:after="0" w:line="74"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or the perception that hostilities may be imminent (such as the ongoing war between Russia and Ukraine), terrorism, natural disasters or public health crises.</w:t>
      </w:r>
    </w:p>
    <w:p>
      <w:pPr>
        <w:spacing w:after="0" w:line="169"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Factors that may cause actual results to differ materially from current expectations include, among other things, those set forth in Part I, Item 1A, “Risk Factors,” below and for the reasons described elsewhere in this Annual Report. Any forward-looking statement in this Annual Report reflects our current view with respect to future events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Except as required by law, we assume no obligation to update or revise these forward-looking statements for any reason, even if new information becomes available in the future.</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3" w:name="page4"/>
    <w:bookmarkEnd w:id="3"/>
    <w:p>
      <w:pPr>
        <w:ind w:firstLine="509"/>
        <w:spacing w:after="0" w:line="271" w:lineRule="auto"/>
        <w:rPr>
          <w:sz w:val="20"/>
          <w:szCs w:val="20"/>
          <w:color w:val="auto"/>
        </w:rPr>
      </w:pPr>
      <w:r>
        <w:rPr>
          <w:rFonts w:ascii="Arial" w:cs="Arial" w:eastAsia="Arial" w:hAnsi="Arial"/>
          <w:sz w:val="17"/>
          <w:szCs w:val="17"/>
          <w:color w:val="auto"/>
        </w:rPr>
        <w:t>This Annual Report also contains estimates, projections and other information concerning our industry, our business and the markets for certain drugs and consumer products,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and we have not independently verified the data from third party sources. In some cases, we do not expressly refer to the sources from which these data are derived.</w:t>
      </w:r>
    </w:p>
    <w:p>
      <w:pPr>
        <w:spacing w:after="0" w:line="181"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In this Annual Report, unless otherwise stated or as the context otherwise requires, references to “Syndax,” “the Company,” “we,” “us,” “our” and similar references refer to Syndax Pharmaceuticals, Inc. and its wholly owned subsidiaries. This Annual Report also contains references to our trademarks and to trademarks belonging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180" w:firstLine="509"/>
        <w:spacing w:after="0" w:line="271" w:lineRule="auto"/>
        <w:rPr>
          <w:sz w:val="20"/>
          <w:szCs w:val="20"/>
          <w:color w:val="auto"/>
        </w:rPr>
      </w:pPr>
      <w:r>
        <w:rPr>
          <w:rFonts w:ascii="Arial" w:cs="Arial" w:eastAsia="Arial" w:hAnsi="Arial"/>
          <w:sz w:val="17"/>
          <w:szCs w:val="17"/>
          <w:color w:val="auto"/>
        </w:rPr>
        <w:t>We are a clinical-stage biopharmaceutical company developing an innovative pipeline of cancer therapies. Our two lead product candidates are revumenib (SNDX-5613), and axatilimab (SNDX-6352). We are developing revumenib, a potent, selective, small molecule inhibitor of the menin-MLL binding interaction for the treatment of KMT2A rearranged, or KMT2Ar, also known as mixed lineage leukemia rearranged or MLLr, acute leukemias including acute lymphoblastic leukemia, or ALL, and acute myeloid leukemia, or AML, and NPM1 mutant AML. We are also developing axatilimab, a monoclonal antibody that blocks the colony stimulating factor 1, or CSF-1 receptor, in chronic graft-versus-host disease, or cGVHD, as well as idiopathic pulmonary fibrosis, or IPF. We plan to continue to leverage the technical and business expertise of our management team and scientific collaborators to license, acquire and develop additional therapeutics to expand our pipeline.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We are developing revumenib in acute leukemias and axatilimab for use in cGVHD and potentially other fibrotic-macrophage driven diseases, such as IPF, as single agents and in combination with approved drugs. Key elements of our strategy include:</w:t>
      </w:r>
    </w:p>
    <w:p>
      <w:pPr>
        <w:spacing w:after="0" w:line="62" w:lineRule="exact"/>
        <w:rPr>
          <w:sz w:val="20"/>
          <w:szCs w:val="20"/>
          <w:color w:val="auto"/>
        </w:rPr>
      </w:pPr>
    </w:p>
    <w:p>
      <w:pPr>
        <w:ind w:left="1020" w:right="120" w:hanging="503"/>
        <w:spacing w:after="0" w:line="296"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Develop revumenib for the treatment of genetically defined leukemias. We believe that revumenib has the potential to treat at least two genetically defined acute leukemias: (i) KMT2Ar and (ii) mutations in NPM1, or NPM1c, AML. Our Phase 1/2 open-label AUGMENT-101 trial is ongoing. We have initiated the pivotal Phase 2 portion of the trial with relapsed/refractory, or R/R, patients to be enrolled in three indication-specific expansion cohorts to determine the efficacy, short- and long-term safety, and tolerability of revumenib in KMT2Ar ALL, KMT2Ar AML and NPM1c AML. We are also concurrently expanding into the frontline and maintenance settings with new trials.</w:t>
      </w:r>
    </w:p>
    <w:p>
      <w:pPr>
        <w:spacing w:after="0" w:line="52" w:lineRule="exact"/>
        <w:rPr>
          <w:rFonts w:ascii="Arial" w:cs="Arial" w:eastAsia="Arial" w:hAnsi="Arial"/>
          <w:sz w:val="16"/>
          <w:szCs w:val="16"/>
          <w:color w:val="auto"/>
        </w:rPr>
      </w:pPr>
    </w:p>
    <w:p>
      <w:pPr>
        <w:ind w:left="1020" w:right="40" w:hanging="503"/>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axatilimab for the treatment of cGVHD. We have completed enrollment in the pivotal AGAVE-201 trial for the treatment of patients with cGVHD and, together with Incyte, plan to commence a clinical trial testing axatilimab in combination with ruxolitinib in steroid naive cGVHD. We are also exploring the use of axatilimab to treat other fibrotic diseases where monocyte-derived macrophages have been shown to play a role, such as IPF.</w:t>
      </w:r>
    </w:p>
    <w:p>
      <w:pPr>
        <w:spacing w:after="0" w:line="77" w:lineRule="exact"/>
        <w:rPr>
          <w:rFonts w:ascii="Arial" w:cs="Arial" w:eastAsia="Arial" w:hAnsi="Arial"/>
          <w:sz w:val="18"/>
          <w:szCs w:val="18"/>
          <w:color w:val="auto"/>
        </w:rPr>
      </w:pPr>
    </w:p>
    <w:p>
      <w:pPr>
        <w:ind w:left="1020" w:hanging="503"/>
        <w:spacing w:after="0" w:line="279"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Leverage the technical, clinical, regulatory and business expertise of our management team and scientific collaborators to license, acquire and develop additional cancer therapies to expand our pipeline. We licensed the global rights to axatilimab and revumenib and are working closely with our collaboration partner, Incyte, on the development and commercialization of axatilimab. We are continuing to leverage the collective talent within our organization and network of advisors to guide our pipeline expansion and development plans.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342890" cy="3133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2890" cy="3133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Revumenib</w:t>
      </w:r>
    </w:p>
    <w:p>
      <w:pPr>
        <w:spacing w:after="0" w:line="229"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Our first clinical-stage product candidate, revumenib, is a potent, orally active inhibitor of the high affinity interaction site on menin with the protein MLL1. This specific interaction is a key driver for two genetically defined acute leukemias: (i) KMT2Ar and (ii) NPM1c AML. The R/R settings of both diseases have a poor prognosis. In preclinical testing, revumenib has demonstrated benefit in leukemic models of disease. Initial clinical evidence with revumenib also supports the hypothesis that disruption of the menin-MLL interaction can lead to responses in acute leukemias.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-19685</wp:posOffset>
            </wp:positionV>
            <wp:extent cx="5342890" cy="2448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2890" cy="2448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Our near-term focus is to rapidly establish proof-of-concept that revumenib is a targeted therapy that can potentially provide meaningful clinical benefit to adult and pediatric R/R patients with mNPM1 and KMT2Ar, ALL</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 w:name="page7"/>
    <w:bookmarkEnd w:id="6"/>
    <w:p>
      <w:pPr>
        <w:spacing w:after="0" w:line="273" w:lineRule="auto"/>
        <w:rPr>
          <w:sz w:val="20"/>
          <w:szCs w:val="20"/>
          <w:color w:val="auto"/>
        </w:rPr>
      </w:pPr>
      <w:r>
        <w:rPr>
          <w:rFonts w:ascii="Arial" w:cs="Arial" w:eastAsia="Arial" w:hAnsi="Arial"/>
          <w:sz w:val="17"/>
          <w:szCs w:val="17"/>
          <w:color w:val="auto"/>
        </w:rPr>
        <w:t>or AML. In 2019, we commenced AUGMENT-101, a clinical trial consisting initially of a Phase 1 dose escalation portion to determine the maximum tolerated dose, or MTD, and recommended Phase 2 dose of revumenib in patients with R/R KMT2Ar or NPM1c acute leukemia. We are conducting the trial at multiple centers globally. As discussed below, we have completed the Phase 1 portion of the trial, and the pivotal Phase 2 portion of the trial is ongoing, enrolling R/R patients across each of three distinct trial populations: patients with NPM1 mutant AML, patients with KMT2Ar AML, and patients with KMT2Ar ALL to determine the efficacy, safety, and tolerability of revumenib. Based on discussions with the U.S. Food and Drug Administration, or FDA, AUGMENT-101 may serve as the basis for regulatory filings in each of the three populations.</w:t>
      </w:r>
    </w:p>
    <w:p>
      <w:pPr>
        <w:spacing w:after="0" w:line="176"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On November 3, 2022, we announced updated data from the Phase 1 portion of the ongoing AUGMENT-101 trial of revumenib in patients with R/R NPM1 mutant or MLLr acute leukemia. As of the March 2022 data cutoff date, 60 patients with R/R mNPM1 or KMT2Ar acute leukemia were evaluable for efficacy, an increase of 9 patients from the 51 evaluable for efficacy at the 2021 ASH Annual Meeting. In the efficacy evaluable population, the overall response rate, which we define as CR, plus CRh, plus CRp, plus MLFS, was 53% (32/60), with CR/CRh rate of 30% (18/60), and 78% (14/18) of patients with CR/CRh attaining minimal residual disease, or MRD, negativity. Additional analyses from the trial indicate that at doses which met the protocol defined criteria for a recommended Phase 2 dose, the CR/CRh rate was 27% in both the KMT2Ar (10/37) and the mutant NPM1 (3/11) patient populations. A total of 38% (12/32) of responders proceeded to transplant. The median time to response in the trial was 1.9 months, and the median duration of CR/CRh response was 9.1 months in the efficacy evaluable population as of data cutoff. Revumenib was well-tolerated, and there were no discontinuations due to treatment related adverse events. This data was featured in two oral sessions at the 2022 ASH Annual Meeting.</w:t>
      </w:r>
    </w:p>
    <w:p>
      <w:pPr>
        <w:spacing w:after="0" w:line="170"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The data shows that revumenib has been well tolerated to date, and no new safety signals were identified in the trial, including in patients who proceeded to stem cell transplant. The only dose limiting toxicity observed was asymptomatic Grade 3 QT prolongation. No ventricular arrythmias or other clinical sequelae related to QTc prolongation were reported. All cases of differentiation syndrome were Grade 2 and readily managed with standard therapies. Grade 3 and greater treatment-related adverse events other than dose limiting toxicity included diarrhea (3%), fatigue (3%), anemia (3%), tumor lysis syndrome (2%), neutropenia (2%), thrombocytopenia (2%), hypercalcemia (2%) and hypokalemia (2%).</w:t>
      </w:r>
    </w:p>
    <w:p>
      <w:pPr>
        <w:spacing w:after="0" w:line="390"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Two trials, BEAT-AML and AUGMENT-102, are ongoing and will assess the safety, tolerability, and preliminary anti-leukemic efficacy of revumenib and establish an appropriate Phase 2 dose when used in combination with other approved agents. BEAT-AML is a front-line combination trial of revumenib with venetoclax and azacitidine being conducted as part of the Leukemia &amp; Lymphoma Society’s Beat AML</w:t>
      </w:r>
      <w:r>
        <w:rPr>
          <w:rFonts w:ascii="Arial" w:cs="Arial" w:eastAsia="Arial" w:hAnsi="Arial"/>
          <w:sz w:val="23"/>
          <w:szCs w:val="23"/>
          <w:color w:val="auto"/>
          <w:vertAlign w:val="superscript"/>
        </w:rPr>
        <w:t>®</w:t>
      </w:r>
      <w:r>
        <w:rPr>
          <w:rFonts w:ascii="Arial" w:cs="Arial" w:eastAsia="Arial" w:hAnsi="Arial"/>
          <w:sz w:val="17"/>
          <w:szCs w:val="17"/>
          <w:color w:val="auto"/>
        </w:rPr>
        <w:t xml:space="preserve"> Master Clinical Trial. AUGMENT-102 is a trial assessing revumenib in combination with chemotherapy in patients with R/R mNPM1 or KMT2Ar acute leukemias.</w:t>
      </w:r>
    </w:p>
    <w:p>
      <w:pPr>
        <w:spacing w:after="0" w:line="40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the first quarter of 2023, the Australasian Leukemia and Lymphoma Group initiated the INTERCEPT trial of revumenib as monotherapy in patients with AML who are minimal residual disease-positive following initial treatment. The trial is a part of the INTERCEPT AML Master Clinical Trial, a collaborative clinical trial investigating novel therapies to target early relapse and clonal evolution as pre-emptive therapy in AML. Revumenib is the first menin inhibitor to be included in the INTERCEPT AML Master Clinical Trial.</w:t>
      </w:r>
    </w:p>
    <w:p>
      <w:pPr>
        <w:spacing w:after="0" w:line="200" w:lineRule="exact"/>
        <w:rPr>
          <w:sz w:val="20"/>
          <w:szCs w:val="20"/>
          <w:color w:val="auto"/>
        </w:rPr>
      </w:pPr>
    </w:p>
    <w:p>
      <w:pPr>
        <w:spacing w:after="0" w:line="201"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Also in the first quarter of 2023, we initiated a proof-of-concept clinical trial of revumenib in patients with unresectable metastatic microsatellite stable colorectal cancer, or CRC. We expect to report initial topline data from the trial by the end of 2023.</w:t>
      </w:r>
    </w:p>
    <w:p>
      <w:pPr>
        <w:spacing w:after="0" w:line="385" w:lineRule="exact"/>
        <w:rPr>
          <w:sz w:val="20"/>
          <w:szCs w:val="20"/>
          <w:color w:val="auto"/>
        </w:rPr>
      </w:pPr>
    </w:p>
    <w:p>
      <w:pPr>
        <w:ind w:right="200" w:firstLine="509"/>
        <w:spacing w:after="0" w:line="279" w:lineRule="auto"/>
        <w:rPr>
          <w:sz w:val="20"/>
          <w:szCs w:val="20"/>
          <w:color w:val="auto"/>
        </w:rPr>
      </w:pPr>
      <w:r>
        <w:rPr>
          <w:rFonts w:ascii="Arial" w:cs="Arial" w:eastAsia="Arial" w:hAnsi="Arial"/>
          <w:sz w:val="17"/>
          <w:szCs w:val="17"/>
          <w:color w:val="auto"/>
        </w:rPr>
        <w:t>In January 2020, the FDA granted revumenib Orphan Drug Designation, or ODD, for the treatment of adult and pediatric AML and in June 2021, the FDA granted Fast Track Designation to revumenib for the treatment of adult and pediatric patients with relapsed or refractory acute leukemias harboring a MLLr or NPM1 mutation. In December 2021, we announced that the European Commission granted ODD to revumenib for the treatment of AML. On December 5, 2022, we announced that the FDA granted Breakthrough Therapy Designation, or BTD, for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7" w:name="page8"/>
    <w:bookmarkEnd w:id="7"/>
    <w:p>
      <w:pPr>
        <w:ind w:right="40"/>
        <w:spacing w:after="0" w:line="275" w:lineRule="auto"/>
        <w:rPr>
          <w:sz w:val="20"/>
          <w:szCs w:val="20"/>
          <w:color w:val="auto"/>
        </w:rPr>
      </w:pPr>
      <w:r>
        <w:rPr>
          <w:rFonts w:ascii="Arial" w:cs="Arial" w:eastAsia="Arial" w:hAnsi="Arial"/>
          <w:sz w:val="17"/>
          <w:szCs w:val="17"/>
          <w:color w:val="auto"/>
        </w:rPr>
        <w:t>revumenib for the treatment of R/R acute leukemia harboring a KMT2A rearrangement, regardless of age or tumor type. Following the receipt of BTD, we will pool data from the AUGMENT-101 cohorts enrolling R/R KMT2Ar AML and R/R KMT2Ar ALL to file a single New Drug Application, or NDA, for the treatment of adult and pediatric KMT2Ar acute leukemia. We have completed enrollment of a sufficient number of KMT2Ar acute leukemia patients to support this filing strategy and expect to share topline data from the KMT2Ar cohort in the third quarter of 2023, and submit an NDA filing by the end of 2023. We also expect to complete enrollment of the NPM1 AML cohort in the second half of 2023.</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Revumenib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Rationale for Targeting MLLr</w:t>
      </w:r>
    </w:p>
    <w:p>
      <w:pPr>
        <w:spacing w:after="0" w:line="11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MLLr leukemias arise by rare, spontaneous translocations at the MLL1 locus (11q23). It is estimated that approximately 10% of AML and ALL harbor this MLL-re-arrangement with a worldwide incidence of approximately 5,000 to 7,000 cases per year. These translocations generate oncogenic fusion proteins with more than 90 different MLL fusions currently known. All MLL fusion proteins bind with high affinity to the chromatin associated protein menin through a conserved N-terminal sequence. This specific interaction with menin enables an aberrant transcription program that drives leukemic transformation. In pre-clinical animal models, small molecule inhibitors of the menin-MLL interaction have demonstrated deep and durable single agent treatment effects in multiple leukemic xenografts harboring MLL fusions. Inhibiting the menin-MLL1 interaction represents a novel targeted strategy for the treatment of MLLr leukemias. Today, the first choice therapy for both MLLr AML and MLLr ALL still relies heavily on intensive chemotherapy, if a patient can tolerate such treatment. Despite these patients being routinely diagnosed, there are currently no targeted therapies approved to treat patients with MLLr acute leukemias. Currently there are several other clinical-stage menin-inhibitors in development for the treatment of MLLr AML and MLLr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62230</wp:posOffset>
            </wp:positionV>
            <wp:extent cx="4246880" cy="1447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46880" cy="144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Rationale for Targeting Nucleophosmin 1 Mutant AML</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NPM1 is among the most frequently mutated genes in AML, found in approximately 30% of AML cases for an incidence of approximately 20,000 cases per year. Mutations in NPM1, or NPM1c, lead to the aberrant cytoplasmic localization of the mutants. NPM1c lead to its aberrant cytoplasmic localization. Recent preclinical research has demonstrated that NPM1c works directly with the menin-MLL complex to induce a leukemic transcription program</w:t>
      </w:r>
      <w:r>
        <w:rPr>
          <w:rFonts w:ascii="Arial" w:cs="Arial" w:eastAsia="Arial" w:hAnsi="Arial"/>
          <w:sz w:val="20"/>
          <w:szCs w:val="20"/>
          <w:color w:val="auto"/>
        </w:rPr>
        <w:t>.</w:t>
      </w:r>
      <w:r>
        <w:rPr>
          <w:rFonts w:ascii="Arial" w:cs="Arial" w:eastAsia="Arial" w:hAnsi="Arial"/>
          <w:sz w:val="17"/>
          <w:szCs w:val="17"/>
          <w:color w:val="auto"/>
        </w:rPr>
        <w:t xml:space="preserve"> As a result, NPM1c harboring cells are sensitive to menin-MLL interaction inhibitors. In NPM1c cells, inhibition of the menin-MLL interaction suppresses the leukemic transcription program, causing growth arrest, terminal differentiation and cell death. In animal models, small molecule inhibitors of the menin-MLL interaction have demonstrated deep and durable single agent treatment effects in multiple NPM1c xenografts. Based on these findings, blocking the menin-MLL1 interaction represents a novel targeted strategy for the treatment of NPM1c AML.</w:t>
      </w:r>
    </w:p>
    <w:p>
      <w:pPr>
        <w:spacing w:after="0" w:line="181" w:lineRule="exact"/>
        <w:rPr>
          <w:sz w:val="20"/>
          <w:szCs w:val="20"/>
          <w:color w:val="auto"/>
        </w:rPr>
      </w:pPr>
    </w:p>
    <w:p>
      <w:pPr>
        <w:jc w:val="both"/>
        <w:ind w:right="420" w:firstLine="509"/>
        <w:spacing w:after="0" w:line="263" w:lineRule="auto"/>
        <w:rPr>
          <w:sz w:val="20"/>
          <w:szCs w:val="20"/>
          <w:color w:val="auto"/>
        </w:rPr>
      </w:pPr>
      <w:r>
        <w:rPr>
          <w:rFonts w:ascii="Arial" w:cs="Arial" w:eastAsia="Arial" w:hAnsi="Arial"/>
          <w:sz w:val="18"/>
          <w:szCs w:val="18"/>
          <w:color w:val="auto"/>
        </w:rPr>
        <w:t>Like MLLr, NPM1 is readily diagnosed as part of the standard AML patient work-up today, and yet there are no targeted therapies specifically approved to treat patients with NPM1c AML. There are several additional clinical stage agents currently advancing as potential treatments for NPM1c AML.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Rational for Targeting CRC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ind w:right="20" w:firstLine="509"/>
        <w:spacing w:after="0" w:line="286" w:lineRule="auto"/>
        <w:rPr>
          <w:sz w:val="20"/>
          <w:szCs w:val="20"/>
          <w:color w:val="auto"/>
        </w:rPr>
      </w:pPr>
      <w:r>
        <w:rPr>
          <w:rFonts w:ascii="Arial" w:cs="Arial" w:eastAsia="Arial" w:hAnsi="Arial"/>
          <w:sz w:val="17"/>
          <w:szCs w:val="17"/>
          <w:color w:val="auto"/>
        </w:rPr>
        <w:t>CRC is the second most lethal cancer, the third most prevalent malignant tumor worldwide, and the fourth most common cancer diagnosed in the United States each year. In 2022, over 150,000 new CRC cases arose, and 52,000 deaths were reported, accounting for nearly 10% of new cancer cases and deaths in the U.S. Meanwhile, the five-year survival rate for CRC is approximately 65% and drops to 15% for metastatic CRC.</w:t>
      </w:r>
    </w:p>
    <w:p>
      <w:pPr>
        <w:spacing w:after="0" w:line="380"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Today, physicians can choose from a number of approved chemotherapies (</w:t>
      </w:r>
      <w:r>
        <w:rPr>
          <w:rFonts w:ascii="Arial" w:cs="Arial" w:eastAsia="Arial" w:hAnsi="Arial"/>
          <w:sz w:val="18"/>
          <w:szCs w:val="18"/>
          <w:i w:val="1"/>
          <w:iCs w:val="1"/>
          <w:color w:val="auto"/>
        </w:rPr>
        <w:t>Stivarga</w:t>
      </w:r>
      <w:r>
        <w:rPr>
          <w:rFonts w:ascii="Arial" w:cs="Arial" w:eastAsia="Arial" w:hAnsi="Arial"/>
          <w:sz w:val="18"/>
          <w:szCs w:val="18"/>
          <w:color w:val="auto"/>
        </w:rPr>
        <w:t xml:space="preserve">,® </w:t>
      </w:r>
      <w:r>
        <w:rPr>
          <w:rFonts w:ascii="Arial" w:cs="Arial" w:eastAsia="Arial" w:hAnsi="Arial"/>
          <w:sz w:val="18"/>
          <w:szCs w:val="18"/>
          <w:i w:val="1"/>
          <w:iCs w:val="1"/>
          <w:color w:val="auto"/>
        </w:rPr>
        <w:t>Lonsurf®</w:t>
      </w:r>
      <w:r>
        <w:rPr>
          <w:rFonts w:ascii="Arial" w:cs="Arial" w:eastAsia="Arial" w:hAnsi="Arial"/>
          <w:sz w:val="18"/>
          <w:szCs w:val="18"/>
          <w:color w:val="auto"/>
        </w:rPr>
        <w:t>), immunotherapies (</w:t>
      </w:r>
      <w:r>
        <w:rPr>
          <w:rFonts w:ascii="Arial" w:cs="Arial" w:eastAsia="Arial" w:hAnsi="Arial"/>
          <w:sz w:val="18"/>
          <w:szCs w:val="18"/>
          <w:i w:val="1"/>
          <w:iCs w:val="1"/>
          <w:color w:val="auto"/>
        </w:rPr>
        <w:t>Yervoy®</w:t>
      </w:r>
      <w:r>
        <w:rPr>
          <w:rFonts w:ascii="Arial" w:cs="Arial" w:eastAsia="Arial" w:hAnsi="Arial"/>
          <w:sz w:val="18"/>
          <w:szCs w:val="18"/>
          <w:color w:val="auto"/>
        </w:rPr>
        <w:t xml:space="preserve">,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w:t>
      </w:r>
      <w:r>
        <w:rPr>
          <w:rFonts w:ascii="Arial" w:cs="Arial" w:eastAsia="Arial" w:hAnsi="Arial"/>
          <w:sz w:val="18"/>
          <w:szCs w:val="18"/>
          <w:i w:val="1"/>
          <w:iCs w:val="1"/>
          <w:color w:val="auto"/>
        </w:rPr>
        <w:t>Opdivo®</w:t>
      </w:r>
      <w:r>
        <w:rPr>
          <w:rFonts w:ascii="Arial" w:cs="Arial" w:eastAsia="Arial" w:hAnsi="Arial"/>
          <w:sz w:val="18"/>
          <w:szCs w:val="18"/>
          <w:color w:val="auto"/>
        </w:rPr>
        <w:t>) and targeted agents (</w:t>
      </w:r>
      <w:r>
        <w:rPr>
          <w:rFonts w:ascii="Arial" w:cs="Arial" w:eastAsia="Arial" w:hAnsi="Arial"/>
          <w:sz w:val="18"/>
          <w:szCs w:val="18"/>
          <w:i w:val="1"/>
          <w:iCs w:val="1"/>
          <w:color w:val="auto"/>
        </w:rPr>
        <w:t>Avastin®</w:t>
      </w:r>
      <w:r>
        <w:rPr>
          <w:rFonts w:ascii="Arial" w:cs="Arial" w:eastAsia="Arial" w:hAnsi="Arial"/>
          <w:sz w:val="18"/>
          <w:szCs w:val="18"/>
          <w:color w:val="auto"/>
        </w:rPr>
        <w:t>,</w:t>
      </w:r>
      <w:r>
        <w:rPr>
          <w:rFonts w:ascii="Arial" w:cs="Arial" w:eastAsia="Arial" w:hAnsi="Arial"/>
          <w:sz w:val="18"/>
          <w:szCs w:val="18"/>
          <w:i w:val="1"/>
          <w:iCs w:val="1"/>
          <w:color w:val="auto"/>
        </w:rPr>
        <w:t xml:space="preserve"> Cyramza®</w:t>
      </w:r>
      <w:r>
        <w:rPr>
          <w:rFonts w:ascii="Arial" w:cs="Arial" w:eastAsia="Arial" w:hAnsi="Arial"/>
          <w:sz w:val="18"/>
          <w:szCs w:val="18"/>
          <w:color w:val="auto"/>
        </w:rPr>
        <w:t>,</w:t>
      </w:r>
      <w:r>
        <w:rPr>
          <w:rFonts w:ascii="Arial" w:cs="Arial" w:eastAsia="Arial" w:hAnsi="Arial"/>
          <w:sz w:val="18"/>
          <w:szCs w:val="18"/>
          <w:i w:val="1"/>
          <w:iCs w:val="1"/>
          <w:color w:val="auto"/>
        </w:rPr>
        <w:t xml:space="preserve"> Zaltrap®</w:t>
      </w:r>
      <w:r>
        <w:rPr>
          <w:rFonts w:ascii="Arial" w:cs="Arial" w:eastAsia="Arial" w:hAnsi="Arial"/>
          <w:sz w:val="18"/>
          <w:szCs w:val="18"/>
          <w:color w:val="auto"/>
        </w:rPr>
        <w:t>,</w:t>
      </w:r>
      <w:r>
        <w:rPr>
          <w:rFonts w:ascii="Arial" w:cs="Arial" w:eastAsia="Arial" w:hAnsi="Arial"/>
          <w:sz w:val="18"/>
          <w:szCs w:val="18"/>
          <w:i w:val="1"/>
          <w:iCs w:val="1"/>
          <w:color w:val="auto"/>
        </w:rPr>
        <w:t xml:space="preserve"> Erbitux®</w:t>
      </w:r>
      <w:r>
        <w:rPr>
          <w:rFonts w:ascii="Arial" w:cs="Arial" w:eastAsia="Arial" w:hAnsi="Arial"/>
          <w:sz w:val="18"/>
          <w:szCs w:val="18"/>
          <w:color w:val="auto"/>
        </w:rPr>
        <w:t>,</w:t>
      </w:r>
      <w:r>
        <w:rPr>
          <w:rFonts w:ascii="Arial" w:cs="Arial" w:eastAsia="Arial" w:hAnsi="Arial"/>
          <w:sz w:val="18"/>
          <w:szCs w:val="18"/>
          <w:i w:val="1"/>
          <w:iCs w:val="1"/>
          <w:color w:val="auto"/>
        </w:rPr>
        <w:t xml:space="preserve"> Vectibix®</w:t>
      </w:r>
      <w:r>
        <w:rPr>
          <w:rFonts w:ascii="Arial" w:cs="Arial" w:eastAsia="Arial" w:hAnsi="Arial"/>
          <w:sz w:val="18"/>
          <w:szCs w:val="18"/>
          <w:color w:val="auto"/>
        </w:rPr>
        <w:t>,</w:t>
      </w:r>
      <w:r>
        <w:rPr>
          <w:rFonts w:ascii="Arial" w:cs="Arial" w:eastAsia="Arial" w:hAnsi="Arial"/>
          <w:sz w:val="18"/>
          <w:szCs w:val="18"/>
          <w:i w:val="1"/>
          <w:iCs w:val="1"/>
          <w:color w:val="auto"/>
        </w:rPr>
        <w:t xml:space="preserve"> Braftovi®</w:t>
      </w:r>
      <w:r>
        <w:rPr>
          <w:rFonts w:ascii="Arial" w:cs="Arial" w:eastAsia="Arial" w:hAnsi="Arial"/>
          <w:sz w:val="18"/>
          <w:szCs w:val="18"/>
          <w:color w:val="auto"/>
        </w:rPr>
        <w:t>) to treat CRC. Despite these advancements, there remains</w:t>
      </w:r>
      <w:r>
        <w:rPr>
          <w:rFonts w:ascii="Arial" w:cs="Arial" w:eastAsia="Arial" w:hAnsi="Arial"/>
          <w:sz w:val="18"/>
          <w:szCs w:val="18"/>
          <w:i w:val="1"/>
          <w:iCs w:val="1"/>
          <w:color w:val="auto"/>
        </w:rPr>
        <w:t xml:space="preserve"> </w:t>
      </w:r>
      <w:r>
        <w:rPr>
          <w:rFonts w:ascii="Arial" w:cs="Arial" w:eastAsia="Arial" w:hAnsi="Arial"/>
          <w:sz w:val="18"/>
          <w:szCs w:val="18"/>
          <w:color w:val="auto"/>
        </w:rPr>
        <w:t>a critical need for more effective therapies to address metastatic CRC.</w:t>
      </w:r>
    </w:p>
    <w:p>
      <w:pPr>
        <w:spacing w:after="0" w:line="398"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Nearly all colorectal tumors, harbor genetic mutations that lead to the hyperactivation of b-catenin signaling, which in turn initiate the expression of various downstream targets that promote proliferation and maintain a stem cell state, highlighting the potential value of developing treatments that target b-catenin signaling in cancer. b-catenin itself, however, is an intractable drug target and the mechanisms underlying b-catenin–driven transcription remain largely elusive, underscoring the need to identify therapeutically tractable components of b-catenin transcriptional output. Recently, several researchers have utilized functional genomic screens to uncover new targets of high relevance to the oncogenic property of b-catenin. Through this process they have validated the selective dependence of KMT2A for growth of b-catenin–active CRC cells and showed KMT2A expression to be associated with malignant CRC growth in vivo and shortened survival in patients with CRC. Targeting KMT2A using menin inhibitors has been shown to selectively reduce the viability of b-catenin–active cells and CRC organoids, but not b-catenin–inactive cells and normal organoids.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Axatilimab</w:t>
      </w:r>
    </w:p>
    <w:p>
      <w:pPr>
        <w:spacing w:after="0" w:line="121" w:lineRule="exact"/>
        <w:rPr>
          <w:sz w:val="20"/>
          <w:szCs w:val="20"/>
          <w:color w:val="auto"/>
        </w:rPr>
      </w:pPr>
    </w:p>
    <w:p>
      <w:pPr>
        <w:ind w:firstLine="464"/>
        <w:spacing w:after="0" w:line="270" w:lineRule="auto"/>
        <w:rPr>
          <w:sz w:val="20"/>
          <w:szCs w:val="20"/>
          <w:color w:val="auto"/>
        </w:rPr>
      </w:pPr>
      <w:r>
        <w:rPr>
          <w:rFonts w:ascii="Arial" w:cs="Arial" w:eastAsia="Arial" w:hAnsi="Arial"/>
          <w:sz w:val="17"/>
          <w:szCs w:val="17"/>
          <w:color w:val="auto"/>
        </w:rPr>
        <w:t>We are also developing axatilimab a monoclonal antibody targeting the colony stimulating factor-1 receptor, or CSF-1R, a cell surface protein thought to control the survival and function of monocytes and macrophages. Axatilimab binds with high affinity to CSF-1R and blocks the binding of the two known CSF-1R ligands CSF-1 and IL-34. CSF-1R is expressed on the surface of specific immune cells known as macrophages and their precursor cells known as monocytes. CSF-1R signaling on these cells has been demonstrated in preclinical studies conducted in animal models of skin and lung cGVHD to be the key regulatory pathway involved in the expansion and infiltration of the macrophages that mediate fibrosis and the cGVHD disease process. Blocking CSF-1R activity with an experimental CSF-1R antibody in these studies was shown to prevent and treat the symptoms of cGVHD. We believe that by inhibiting CSF-1R activation on monocytes and macrophages, axatilimab has the potential to be used to treat cGVHD as well as other fibrotic diseases where monocyte-derived macrophages have been shown to play a significant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2000250</wp:posOffset>
            </wp:positionH>
            <wp:positionV relativeFrom="paragraph">
              <wp:posOffset>125095</wp:posOffset>
            </wp:positionV>
            <wp:extent cx="3116580" cy="2046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6580" cy="204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ind w:right="60" w:firstLine="464"/>
        <w:spacing w:after="0" w:line="263" w:lineRule="auto"/>
        <w:rPr>
          <w:sz w:val="20"/>
          <w:szCs w:val="20"/>
          <w:color w:val="auto"/>
        </w:rPr>
      </w:pPr>
      <w:r>
        <w:rPr>
          <w:rFonts w:ascii="Arial" w:cs="Arial" w:eastAsia="Arial" w:hAnsi="Arial"/>
          <w:sz w:val="18"/>
          <w:szCs w:val="18"/>
          <w:color w:val="auto"/>
        </w:rPr>
        <w:t>Our near-term focus is to rapidly establish that axatilimab can provide meaningful clinical benefit in patients with advanced cGVHD where prior therapies are no longer effective and to establish proof-of-concept of using axatilimab to treat other fibrotic diseases where monocyte-derived macrophages have been shown to play a role.</w:t>
      </w:r>
    </w:p>
    <w:p>
      <w:pPr>
        <w:spacing w:after="0" w:line="183" w:lineRule="exact"/>
        <w:rPr>
          <w:sz w:val="20"/>
          <w:szCs w:val="20"/>
          <w:color w:val="auto"/>
        </w:rPr>
      </w:pPr>
    </w:p>
    <w:p>
      <w:pPr>
        <w:jc w:val="both"/>
        <w:ind w:right="280" w:firstLine="464"/>
        <w:spacing w:after="0" w:line="256" w:lineRule="auto"/>
        <w:rPr>
          <w:sz w:val="20"/>
          <w:szCs w:val="20"/>
          <w:color w:val="auto"/>
        </w:rPr>
      </w:pPr>
      <w:r>
        <w:rPr>
          <w:rFonts w:ascii="Arial" w:cs="Arial" w:eastAsia="Arial" w:hAnsi="Arial"/>
          <w:sz w:val="18"/>
          <w:szCs w:val="18"/>
          <w:color w:val="auto"/>
        </w:rPr>
        <w:t>On November 3, 2022, we and Incyte announced completion of enrollment in the pivotal AGAVE-201 trial evaluating axatilimab in patients with cGVHD following two or more prior lines of therapy. The trial is evaluating the safety and efficacy of three dosing regimens of axatilimab. The primary endpoint will assess objective response rate based on the 2014 NIH consensus criteria for cGVHD, with key secondary endpoints including duration of response and improvement in modified Lee Symptom Scale score. Together with Incyte, we expect to report topline data in mid-2023, and if successful, expect to submit a Biologics License Application by the end of 2023.</w:t>
      </w:r>
    </w:p>
    <w:p>
      <w:pPr>
        <w:spacing w:after="0" w:line="200" w:lineRule="exact"/>
        <w:rPr>
          <w:sz w:val="20"/>
          <w:szCs w:val="20"/>
          <w:color w:val="auto"/>
        </w:rPr>
      </w:pPr>
    </w:p>
    <w:p>
      <w:pPr>
        <w:spacing w:after="0" w:line="206" w:lineRule="exact"/>
        <w:rPr>
          <w:sz w:val="20"/>
          <w:szCs w:val="20"/>
          <w:color w:val="auto"/>
        </w:rPr>
      </w:pPr>
    </w:p>
    <w:p>
      <w:pPr>
        <w:ind w:right="100" w:firstLine="464"/>
        <w:spacing w:after="0" w:line="263" w:lineRule="auto"/>
        <w:rPr>
          <w:sz w:val="20"/>
          <w:szCs w:val="20"/>
          <w:color w:val="auto"/>
        </w:rPr>
      </w:pPr>
      <w:r>
        <w:rPr>
          <w:rFonts w:ascii="Arial" w:cs="Arial" w:eastAsia="Arial" w:hAnsi="Arial"/>
          <w:sz w:val="18"/>
          <w:szCs w:val="18"/>
          <w:color w:val="auto"/>
        </w:rPr>
        <w:t>In the first half of 2023, we plan to initiate a Phase 2b trial to assess the efficacy, safety and tolerability of axatilimab in patients with IPF. This 52-week, randomized, double-blind and placebo-controlled trial is expected to enroll approximately 170 patients. The primary endpoint will assess the change from baseline in forced vital capacity, which is the current registrational endpoint in IPF.</w:t>
      </w:r>
    </w:p>
    <w:p>
      <w:pPr>
        <w:spacing w:after="0" w:line="398" w:lineRule="exact"/>
        <w:rPr>
          <w:sz w:val="20"/>
          <w:szCs w:val="20"/>
          <w:color w:val="auto"/>
        </w:rPr>
      </w:pPr>
    </w:p>
    <w:p>
      <w:pPr>
        <w:ind w:right="640" w:firstLine="464"/>
        <w:spacing w:after="0" w:line="277" w:lineRule="auto"/>
        <w:rPr>
          <w:sz w:val="20"/>
          <w:szCs w:val="20"/>
          <w:color w:val="auto"/>
        </w:rPr>
      </w:pPr>
      <w:r>
        <w:rPr>
          <w:rFonts w:ascii="Arial" w:cs="Arial" w:eastAsia="Arial" w:hAnsi="Arial"/>
          <w:sz w:val="18"/>
          <w:szCs w:val="18"/>
          <w:color w:val="auto"/>
        </w:rPr>
        <w:t>We are working with Incyte to initiate a trial testing axatilimab in combination with ruxolitinib in steroid naive cGVHD. The Phase 1 trial is expected to begin later this year.</w:t>
      </w:r>
    </w:p>
    <w:p>
      <w:pPr>
        <w:spacing w:after="0" w:line="3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March and April of 2021, we announced that the FDA granted ODD to axatilimab for the treatment of patients with cGVHD and IPF.</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Axatilimab in GVHD</w:t>
      </w:r>
    </w:p>
    <w:p>
      <w:pPr>
        <w:spacing w:after="0" w:line="117"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cGVHD, an immune response of the donor-derived hematopoietic cells against recipient tissues, is a serious, potentially life-threatening complication of allogeneic hematopoietic stem cell transplantation, or HSCT, that can last for years. cGVHD is estimated to develop in approximately 40% of transplant recipients and affects approximately 14,000 patients in the United States. cGVHD typically manifests across multiple organ systems, with the skin and mucosa being commonly involved, and is characterized by the development of fibrotic tissue.</w:t>
      </w:r>
    </w:p>
    <w:p>
      <w:pPr>
        <w:spacing w:after="0" w:line="170"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 xml:space="preserve">The first line of therapy for cGVHD is typically corticosteroids, though approximately 50% of patients may require treatment with additional systemic therapies, such as extracorporeal photopheresis, cytostatic agents such as mycophenolate moftetil, methotrexate, and immunomodulators such as rituximab, IL-2. </w:t>
      </w:r>
      <w:r>
        <w:rPr>
          <w:rFonts w:ascii="Arial" w:cs="Arial" w:eastAsia="Arial" w:hAnsi="Arial"/>
          <w:sz w:val="16"/>
          <w:szCs w:val="16"/>
          <w:i w:val="1"/>
          <w:iCs w:val="1"/>
          <w:color w:val="auto"/>
        </w:rPr>
        <w:t>Imbruvica</w:t>
      </w:r>
      <w:r>
        <w:rPr>
          <w:rFonts w:ascii="Arial" w:cs="Arial" w:eastAsia="Arial" w:hAnsi="Arial"/>
          <w:sz w:val="16"/>
          <w:szCs w:val="16"/>
          <w:color w:val="auto"/>
        </w:rPr>
        <w:t xml:space="preserve">® (ibrutinib), a BTK inhibitor, was the first FDA-approved therapy for cGVHD and is indicated for use after one or more lines of therapy. </w:t>
      </w:r>
      <w:r>
        <w:rPr>
          <w:rFonts w:ascii="Arial" w:cs="Arial" w:eastAsia="Arial" w:hAnsi="Arial"/>
          <w:sz w:val="16"/>
          <w:szCs w:val="16"/>
          <w:i w:val="1"/>
          <w:iCs w:val="1"/>
          <w:color w:val="auto"/>
        </w:rPr>
        <w:t>Imbruvica</w:t>
      </w:r>
      <w:r>
        <w:rPr>
          <w:rFonts w:ascii="Arial" w:cs="Arial" w:eastAsia="Arial" w:hAnsi="Arial"/>
          <w:sz w:val="16"/>
          <w:szCs w:val="16"/>
          <w:color w:val="auto"/>
        </w:rPr>
        <w:t xml:space="preserve"> received approval based on Phase 1/2 clinical trial data that showed a 68% overall response rate, with 48% of responses lasting 20 weeks or longer and reduced dependence on steroids for most patients. The FDA has approved two additional drugs, </w:t>
      </w:r>
      <w:r>
        <w:rPr>
          <w:rFonts w:ascii="Arial" w:cs="Arial" w:eastAsia="Arial" w:hAnsi="Arial"/>
          <w:sz w:val="16"/>
          <w:szCs w:val="16"/>
          <w:i w:val="1"/>
          <w:iCs w:val="1"/>
          <w:color w:val="auto"/>
        </w:rPr>
        <w:t>Rezurock</w:t>
      </w:r>
      <w:r>
        <w:rPr>
          <w:rFonts w:ascii="Arial" w:cs="Arial" w:eastAsia="Arial" w:hAnsi="Arial"/>
          <w:sz w:val="16"/>
          <w:szCs w:val="16"/>
          <w:color w:val="auto"/>
        </w:rPr>
        <w:t xml:space="preserve">® (belomosidil) and </w:t>
      </w:r>
      <w:r>
        <w:rPr>
          <w:rFonts w:ascii="Arial" w:cs="Arial" w:eastAsia="Arial" w:hAnsi="Arial"/>
          <w:sz w:val="16"/>
          <w:szCs w:val="16"/>
          <w:i w:val="1"/>
          <w:iCs w:val="1"/>
          <w:color w:val="auto"/>
        </w:rPr>
        <w:t>Jakafi</w:t>
      </w:r>
      <w:r>
        <w:rPr>
          <w:rFonts w:ascii="Arial" w:cs="Arial" w:eastAsia="Arial" w:hAnsi="Arial"/>
          <w:sz w:val="16"/>
          <w:szCs w:val="16"/>
          <w:color w:val="auto"/>
        </w:rPr>
        <w:t>® (ruxolitinib), for use in patients with cGVHD after failure of one or more lines of systemic therapy. While approved agents have shown a benefit in improving symptoms of this disease, none have demonstrated an improvement in long-term outcomes and a significant unmet medical need still remains for this patient population. Additionally, all currently approved agents are believed to exert their effect through T- and B-cells, with minimal impact on macrophages. By inhibiting the work of monocyte-derived macrophages, Axatilimab, provides a differentiated way to treat cGVHD, which we expect is ultimately expected to have a more pronounced impact on the fibrotic process. We also believe that shifting CSF-1R inhibition earlier in the treatment phase of cGVHD, to minimize formation of fibrotic tissue, could have a meaningful long-term impact on the disease process itself.</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Axatilimab in IPF</w:t>
      </w:r>
    </w:p>
    <w:p>
      <w:pPr>
        <w:spacing w:after="0" w:line="11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IPF is a specific form of chronic, fibrosing, interstitial pneumonia limited to the lungs with a median survival of approximately three to five years after diagnosis. IPF is a rare disease, with an estimated prevalence of 281,000 people among the seven major market countries. IPF incidence and prevalence increase with age and are higher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ind w:right="320"/>
        <w:spacing w:after="0" w:line="277" w:lineRule="auto"/>
        <w:rPr>
          <w:sz w:val="20"/>
          <w:szCs w:val="20"/>
          <w:color w:val="auto"/>
        </w:rPr>
      </w:pPr>
      <w:r>
        <w:rPr>
          <w:rFonts w:ascii="Arial" w:cs="Arial" w:eastAsia="Arial" w:hAnsi="Arial"/>
          <w:sz w:val="18"/>
          <w:szCs w:val="18"/>
          <w:color w:val="auto"/>
        </w:rPr>
        <w:t>among males. Although rare, the incidence of IPF is increasing, likely due to an increasing understanding of the disease and the recent development of uniform diagnostic criteria.</w:t>
      </w:r>
    </w:p>
    <w:p>
      <w:pPr>
        <w:spacing w:after="0" w:line="62"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There are currently two approved therapies for IPF, nintedanib and pirfenidone. Despite these recent advances, the unmet medical need in IPF remains high, with a five-year mortality rate of 50% to 70% with deaths occurring mainly due to respiratory failure. Lung transplantation remains the only curative treatment option, but less than five percent of IPF patients undergo lung transplantation. There is an urgent need for new and more effective treatments for IPF that can address the limitations of current treatment options, improve mortality, and quality of life.</w:t>
      </w:r>
    </w:p>
    <w:p>
      <w:pPr>
        <w:spacing w:after="0" w:line="2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Growing evidence suggests macrophages are critical regulators of lung fibrosis. Recent work has established a role for monocyte-derived macrophages as the pathogenic population of cells required for the development of fibrosis and that drive the fibrotic process. Reducing the circulating levels of pathogenic monocyte-derived macrophage precursors or inhibiting their activation in tissues provides an opportunity to therapeutically intervene and directly inhibit fibrosis. Recent experiments have demonstrated that the monocyte-derived, pro-fibrotic macrophages are CSF-1-dependent and CSF-1R inhibition through anti-CSF-1R antibody can block fibrosis in fibrotic disease models. We believe that using axatilimab to inhibit the work of monocyte-derived macrophages may provide a differentiated way to treat IPF, and could result in a more pronounced impact on the fibrotic process.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Entinostat</w:t>
      </w:r>
    </w:p>
    <w:p>
      <w:pPr>
        <w:spacing w:after="0" w:line="229" w:lineRule="exact"/>
        <w:rPr>
          <w:sz w:val="20"/>
          <w:szCs w:val="20"/>
          <w:color w:val="auto"/>
        </w:rPr>
      </w:pPr>
    </w:p>
    <w:p>
      <w:pPr>
        <w:ind w:right="260" w:firstLine="464"/>
        <w:spacing w:after="0" w:line="279" w:lineRule="auto"/>
        <w:rPr>
          <w:sz w:val="20"/>
          <w:szCs w:val="20"/>
          <w:color w:val="auto"/>
        </w:rPr>
      </w:pPr>
      <w:r>
        <w:rPr>
          <w:rFonts w:ascii="Arial" w:cs="Arial" w:eastAsia="Arial" w:hAnsi="Arial"/>
          <w:sz w:val="17"/>
          <w:szCs w:val="17"/>
          <w:color w:val="auto"/>
        </w:rPr>
        <w:t>Entinostat is our oral, small molecule product candidate that has direct effects on both cancer cells and immune regulatory cells, potentially enhancing the body’s immune response to tumors. We have deprioritized the development of entinostat, but maintain a license, development and commercialization agreement with Eddingpharm International Company Limited, or Eddingpharm, under which we granted Eddingpharm an exclusive license under our intellectual property rights to develop and commercialize entinostat in China and certain other Asian countries.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Incyte Collaboration and License Agreement</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September 2021, we entered into a collaboration and license agreement, or the Incyte Collaboration Agreement, with Incyte for the development and commercialization of axatilimab. Additionally, in September 2021 we entered into a share purchase agreement with Incyte, or the Incyte Share Purchase Agreement. Under the terms of the Incyte Collaboration Agreement, Incyte received exclusive commercialization rights outside of the United States, and we and Incyte will, subject to the exercise of our co-promotion option, have co-commercialization rights in the United States, with respect to axatilimab. Incyte is responsible for leading commercialization strategy and booking all revenue from worldwide sales of axatilimab, subject to its royalty payment obligations set forth below. The parties will share equally the profits and losses from the co-commercialization efforts. We and Incyte are co-developing axatilimab and sharing development costs associated with global and U.S.-specific clinical trials, with Incyte responsible for 55% of such costs and we are responsible for 45% of such costs. Each company is responsible for funding any independent development activities. All development costs related to the collaboration are subject to a joint development plan. A joint development committee between us and Incyte will govern future development of axatilimab.</w:t>
      </w:r>
    </w:p>
    <w:p>
      <w:pPr>
        <w:spacing w:after="0" w:line="74"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We are eligible to receive up to $220 million in future contingent development and regulatory milestones and up to $230 million in commercialization milestones under the Incyte Collaboration Agreement. In addition, we are eligible to receive tiered royalties on potential net sales of the licensed product comprising axatilimab ranging from the low to mid double-digit percentages. In December 2021, we received an upfront cash payment of $117 million and we issued 1,421,523 shares of common stock for an aggregate purchase price of $35 million, or $24.62 per share.</w:t>
      </w: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Vitae Pharmaceuticals, Inc.</w:t>
      </w:r>
    </w:p>
    <w:p>
      <w:pPr>
        <w:spacing w:after="0" w:line="117" w:lineRule="exact"/>
        <w:rPr>
          <w:sz w:val="20"/>
          <w:szCs w:val="20"/>
          <w:color w:val="auto"/>
        </w:rPr>
      </w:pPr>
    </w:p>
    <w:p>
      <w:pPr>
        <w:jc w:val="both"/>
        <w:ind w:right="280" w:firstLine="509"/>
        <w:spacing w:after="0" w:line="286" w:lineRule="auto"/>
        <w:rPr>
          <w:sz w:val="20"/>
          <w:szCs w:val="20"/>
          <w:color w:val="auto"/>
        </w:rPr>
      </w:pPr>
      <w:r>
        <w:rPr>
          <w:rFonts w:ascii="Arial" w:cs="Arial" w:eastAsia="Arial" w:hAnsi="Arial"/>
          <w:sz w:val="17"/>
          <w:szCs w:val="17"/>
          <w:color w:val="auto"/>
        </w:rPr>
        <w:t>We have a license agreement with Vitae Pharmaceuticals, Inc., a subsidiary of AbbVie plc, or the AbbVie License Agreement, under which Vitae granted us an exclusive, sublicensable, worldwide license to, preclinical, orally-available, small molecule inhibitors of the interaction of menin with the MLL protein, or the Menin Assets. We are solely responsible for the development and commercialization of the Menin Assets.</w:t>
      </w:r>
    </w:p>
    <w:p>
      <w:pPr>
        <w:spacing w:after="0" w:line="56"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Subject to the achievement of certain milestone events, we may be required to pay Vitae up to an aggregate of $99 million in one-time development and regulatory milestone payments over the term of the AbbVie License Agreement. In the event that we or any of its affiliates or sublicensees commercializes the Menin Assets, we will also be obligated to pay Vitae low single to low double-digit royalties on sales, subject to reduction in certain circumstances, as well as up to an aggregate of $70.0 million in potential one-time, sales-based milestone payments based on achievement of certain annual sales thresholds. Under certain circumstances, we may be required to share a percentage of non-royalty income from sublicensees, subject to certain deductions, with Vitae. Since the inception of the agreement, we achieved certain development and regulatory milestones resulting in $8.0 million in milestone payments to Vitae, which included a $2.0 million payment in 2022. Additionally, in the fourth quarter 2022, we achieved certain development and regulatory milestones resulting in a $2.0 million accrued expense at December 31, 2022. The amount was paid in the first quarter of 2023.</w:t>
      </w:r>
    </w:p>
    <w:p>
      <w:pPr>
        <w:spacing w:after="0" w:line="163"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Each party may terminate the AbbVie License Agreement for the other party’s uncured material breach or insolvency; and we may terminate the AbbVie License Agreement at will at any time upon advance written notice to Vitae. Vitae may terminate the AbbVie License Agreement if we or any of its affiliates or sublicensees institutes a legal challenge to the validity, enforceability, or patentability of the licensed patent rights. Unless terminated earlier in accordance with its terms, the AbbVie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UCB</w:t>
      </w:r>
    </w:p>
    <w:p>
      <w:pPr>
        <w:spacing w:after="0" w:line="117"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We have a license agreement with UCB, or the UCB license agreement, under which UCB granted us a worldwide, sublicensable, exclusive license to UCB6352, which we refer to as axatilimab. The UCB license agreement permits us to use axatilimab or other licensed products for all human uses, including treatment, prevention and diagnostic uses, in all indications, diseases, conditions or disorders, and we are obligated to use commercially reasonable efforts to develop, obtain regulatory approval and commercialize a certain licensed product. We are solely responsible for the development and commercialization of axatilimab.</w:t>
      </w:r>
    </w:p>
    <w:p>
      <w:pPr>
        <w:spacing w:after="0" w:line="191"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Subject to the achievement of certain milestone events, we may be required to pay UCB up to $119.5 million in one-time development and regulatory milestone payments over the term of the UCB license agreement. In the event that we or any of our affiliates or sublicensees commercializes axatilimab,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 During the year ended December 31, 2020 and 2021, we were required to pay $2.0 million and $4.0 million, respectively, due to the achievement of certain development and regulatory milestones. Additionally, in connection with its most recent amendment of the UCB License Agreement, in the second quarter of 2022 we paid UCB $5.8 million, which was recognized as a milestone expense.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2" w:name="page13"/>
    <w:bookmarkEnd w:id="12"/>
    <w:p>
      <w:pPr>
        <w:ind w:right="120" w:firstLine="509"/>
        <w:spacing w:after="0" w:line="273" w:lineRule="auto"/>
        <w:rPr>
          <w:sz w:val="20"/>
          <w:szCs w:val="20"/>
          <w:color w:val="auto"/>
        </w:rPr>
      </w:pPr>
      <w:r>
        <w:rPr>
          <w:rFonts w:ascii="Arial" w:cs="Arial" w:eastAsia="Arial" w:hAnsi="Arial"/>
          <w:sz w:val="17"/>
          <w:szCs w:val="17"/>
          <w:color w:val="auto"/>
        </w:rPr>
        <w:t>Each party may terminate the UCB license agreement for the other party’s uncured material breach or insolvency; and we may terminate the UCB license agreement at will at any time upon advance written notice to UCB. UCB may terminate the UCB license agreement if we or any of our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Pharma AG</w:t>
      </w:r>
    </w:p>
    <w:p>
      <w:pPr>
        <w:spacing w:after="0" w:line="117"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We have a license agreement with Bayer Pharma AG, or Bayer, pursuant to which we obtained a worldwide, exclusive license to develop and commercialize entinostat and any other products containing the same active ingredient. The Bayer license agreement, as amended, permits us to use entinostat or other licensed products for the treatment of any human disease, and we are obligated to use commercially reasonable efforts to develop, manufacture and commercialize licensed products for all commercially reasonable indications. Initially, Bayer manufactured and supplied our requirements of entinostat, but effective May 2012, manufacturing rights and responsibility for entinostat was transferred to us, by mutual agreement of the parties.</w:t>
      </w:r>
    </w:p>
    <w:p>
      <w:pPr>
        <w:spacing w:after="0" w:line="160"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are obligated to pay up to approximately $50.0 million in the aggregate upon obtaining certain milestones in the development and marketing approval of entinostat, assuming that we pursue at least two different indications for entinostat or any other licensed product. We are also obligated to pay Bayer up to $100.0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81"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Bayer license agreement will remain in effect until the expiration of our royalty obligations under the agreement in all countries. Upon expiration of the agreement our licenses become fully paid-up and irrevocable.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Eddingpharm International Company Limited</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have a license, development and commercialization agreement with Eddingpharm International Company Limited, or Eddingpharm, under which we granted Eddingpharm an exclusive license under our intellectual property rights to develop and commercialize entinostat in China and certain other Asian countries. This license includes a sublicense under the rights we received under the Bayer license agreement. If we acquire or develop any other anti-cancer drug that, like entinostat, is a selective inhibitor of Class I HDAC, such drug will be included in this license as well. Eddingpharm is manufacturing entinostat during the term of the agreement or through termination of the agreement for our breach. During the term of the agreement, subject to certain exceptions, each party is prohibited from commercializing in China and certain other Asian countries any other selective inhibitor of Class I HDACs for the same indication as entinostat, with all forms of cancer being treated as the same indication.</w:t>
      </w:r>
    </w:p>
    <w:p>
      <w:pPr>
        <w:spacing w:after="0" w:line="18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are eligible to receive up to $10.0 million in development and regulatory milestone payments as well as royalty payments based on revenue targets. Royalty payment obligations will be payable in each country in the Eddingpharm territory until the later to occur of (i) the date that all valid claims of the last effective license patent in such country expires or is abandoned, withheld or otherwise invalidated and (ii) 15 years from the date of first commercial sale of entinostat in such country. Any payments owed to Bayer as a result of Eddingpharm’s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development of entinostat in the Eddingpharm territory will be made by us out of the payments we receive from Eddingpharm.</w:t>
      </w:r>
    </w:p>
    <w:p>
      <w:pPr>
        <w:spacing w:after="0" w:line="225"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agreement with Eddingpharm will expire with respect to each country in the Eddingpharm territory upon the expiration of all royalty payment obligations in such country. In addition, we may terminate the agreement in its entirety upon written notice to Eddingpharm if Eddingpharm or any affiliate commences any action or proceeding that challenges the validity, enforceability or scope of any licensed patent in the Eddingpharm territory. Eddingpharm may terminate the agreement in its entirety for convenience at any time upon advance notice to us. Either party may terminate the agreement for the other party’s uncured material breach, or bankruptcy or related actions or proceedings. If we commit an uncured material breach of certain provisions of the agreement, Eddingpharm may, instead of terminating the agreement, elect to continue the agreement in full force and effect except certain payments to us will be reduced.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Given our stage of development, we have recently started building a commercial infrastructure to support sales of our product candidates in the United States. We expect that our targeted sales force will focus on a well-defined group of medical oncologists, primarily in the non-hospital and academic settings, who are responsible for the care and treatment of cancer patients. For revumenib, we expect to manage sales, marketing and distribution through internal resources and third-party relationships. In accordance with our agreement, Incyte will lead the commercialization of axatilimab globally and we will elect whether to co-promote axatilimab in the United States. While we may commit significant financial and management resources to commercial activities, we would also consider collaborating with one or more pharmaceutical companies to enhance our commercial capabilities. Outside the United States, we plan to rely on our current partners and may seek additional pharmaceutical partners for sales and marketing activities.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do not own or operate manufacturing facilities for the production of axatilimab, revumenib or entinostat, and we do not have plans to develop our own manufacturing operations in the foreseeable future. We currently rely on third-party contract manufacturers as well as Incyte for all of our required raw materials, active pharmaceutical ingredients and finished product for our preclinical research and clinical trials. We do not have any current contractual relationship for the manufacture of commercial supplies. If axatilimab, revumenib or entinostat is approved by any regulatory agency, we intend to enter into agreements with a third-party contract manufacturer and one or more backup manufacturers for the commercial production of such product. Development and commercial quantities of any products that we develop will need to be manufactured in facilities, and by processes, that comply with the requirements of the FDA and the regulatory agencies of other jurisdictions in which we are seeking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Property Rights</w:t>
      </w:r>
    </w:p>
    <w:p>
      <w:pPr>
        <w:spacing w:after="0" w:line="117"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Through licensed intellectual property and our owned intellectual property, we seek patent protection in the United States and internationally for our product candidates, their methods of use and processes for their manufacture, as well as for other technologies, where appropriate. Our policy is to actively seek to protect our proprietary position by, among other things, filing patent applications in the United States and abroad claiming our proprietary technologies that are important to the development of our business. We also rely on trade secrets, know-how, continuing technological innovation and in-licensing opportunities to develop and maintain our proprietary position.</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 w:name="page15"/>
    <w:bookmarkEnd w:id="14"/>
    <w:p>
      <w:pPr>
        <w:ind w:right="20" w:firstLine="509"/>
        <w:spacing w:after="0" w:line="255" w:lineRule="auto"/>
        <w:rPr>
          <w:sz w:val="20"/>
          <w:szCs w:val="20"/>
          <w:color w:val="auto"/>
        </w:rPr>
      </w:pPr>
      <w:r>
        <w:rPr>
          <w:rFonts w:ascii="Arial" w:cs="Arial" w:eastAsia="Arial" w:hAnsi="Arial"/>
          <w:sz w:val="18"/>
          <w:szCs w:val="18"/>
          <w:color w:val="auto"/>
        </w:rPr>
        <w:t>We cannot be sure that patents will be granted with respect to any of our owned or licensed pending patent applications or with respect to any patent applications filed by us or our licensors in the future, nor can we be sure that any of our existing owned or licensed patents or any patents that may be granted to us or to our licensors in the future will protect our technology. Our success will depend significantly on our ability to obtain and maintain patent and other proprietary protection for the technologies that we consider important to our business, defend our patents, preserve the confidentiality of our trade secrets, operate our business without infringing the patents and proprietary rights of third parties, and prevent third parties from infringing our proprietary rights.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Axatilimab Patent Portfolio</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in-licensed from UCB a patent portfolio directed to axatilimab. As of December 31, 2022, the axatilimab composition-of-matter patent portfolio included two granted U.S. patents, 27 granted non-U.S. patents, including a granted EP patent which has been validated in 37 countries, and 16 non-U.S. pending patent applications. The in-licensed granted patents covering axatilimab, and any non-U.S. pending applications should they issue, will expire in August 2034 or later should patent term extension be granted.</w:t>
      </w:r>
    </w:p>
    <w:p>
      <w:pPr>
        <w:spacing w:after="0" w:line="185"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Our in-licensed patent portfolio also includes pending U.S. and non-U.S. patent applications directed to methods for the treatment and/or prophylaxis of fibrotic disease by administration of an inhibitor of CSF-1R activity, methods for the treatment and/or prophylaxis of inflammatory bowel disease, or IBD, by administration of an inhibitor of CSF-1R activity, and liquid pharmaceutical compositions of anti-CSF-1R antibodies. If these pending applications were to issue as one or more patents, these patents would expire between November 2024 and February 2036 or later should patent term extension be granted. Further, the in-licensed portfolio includes three non-U.S. patents directed to methods of treating solid tumors by administration of an inhibitor of CSF-1R activity. The three patents expired in October 2020.</w:t>
      </w:r>
    </w:p>
    <w:p>
      <w:pPr>
        <w:spacing w:after="0" w:line="83"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Our owned axatilimab patent portfolio includes one pending U.S. patent application and six non-U.S. patent applications directed to combinations of entinostat and axatilimab. If any one of these applications were to issue as one or more patents, these patents would expire in May 2038 or later should patent term extension be granted. Our owned axatilimab patent portfolio also consists of one pending international patent application under the Patent Cooperation Treaty, or PCT, directed to the treatment regimens and methods of using axatilimab includes one pending U.S. patent application and 18 non-U.S. patent applications. If this PCT application were to issue as one or more patents, these patents would expire in December 2040 or later should patent term extension be granted.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Menin Asset Patent Portfolio</w:t>
      </w:r>
    </w:p>
    <w:p>
      <w:pPr>
        <w:spacing w:after="0" w:line="117"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We in-licensed from Vitae Pharmaceuticals, Inc., a subsidiary of AbbVie plc, a patent portfolio directed to a series of selective preclinical inhibitors targeting the binding interaction of menin with MLL-r. As of December 31, 2022, the in-licensed portfolio includes three granted U.S. patents, U.S. Patent Nos. 11,479,557, 10,683,302 and 10,899,758, 13 granted non-U.S patents, including a granted European patent, which was validated in 30 member states, four allowed non-U.S patent applications, two pending U.S. applications and 20 non-U.S. pending patent applications covering composition of matter and methods of treating, e.g., MLL. The granted patents based on the in-licensed applications are expected to expire June 2037 or later should patent term extension be granted. If the in-licensed application were to issue as one or more patents, these patents would expire between June 2037 and September 2037.</w:t>
      </w:r>
    </w:p>
    <w:p>
      <w:pPr>
        <w:spacing w:after="0" w:line="193"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Our owned menin patent portfolio consists of eleven pending non-U.S. patent applications and one U.S. patent application, directed to combinations of a menin inhibitor and a CYP3A inhibitor for the treatment of various cancers. Our owned menin patent portfolio also consists of two U.S. provisional applications directed to menin inhibitors and combinations with various other compounds. If any applications arising from the provisional applications were to issue as one or more patents, these patents would expire between April 2041 and May 2043 or later should patent term extension be granted.</w:t>
      </w:r>
    </w:p>
    <w:p>
      <w:pPr>
        <w:spacing w:after="0" w:line="156" w:lineRule="exact"/>
        <w:rPr>
          <w:sz w:val="20"/>
          <w:szCs w:val="20"/>
          <w:color w:val="auto"/>
        </w:rPr>
      </w:pPr>
    </w:p>
    <w:p>
      <w:pPr>
        <w:ind w:right="200" w:firstLine="509"/>
        <w:spacing w:after="0" w:line="341" w:lineRule="auto"/>
        <w:rPr>
          <w:sz w:val="20"/>
          <w:szCs w:val="20"/>
          <w:color w:val="auto"/>
        </w:rPr>
      </w:pPr>
      <w:r>
        <w:rPr>
          <w:rFonts w:ascii="Arial" w:cs="Arial" w:eastAsia="Arial" w:hAnsi="Arial"/>
          <w:sz w:val="16"/>
          <w:szCs w:val="16"/>
          <w:color w:val="auto"/>
        </w:rPr>
        <w:t>We also co-own with Vitae and Syngene International Limited two pending non-U.S. patent applications, one pending U.S. patent application, and one pending PCT, covering composition of matter and methods of treating cancer and other diseases mediated by the menin-MLL interaction.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Entinostat Patent Portfolio</w:t>
      </w:r>
    </w:p>
    <w:p>
      <w:pPr>
        <w:spacing w:after="0" w:line="11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We strive to protect entinostat with multiple layers of patents. As of December 31, 2022, our portfolio included four owned pending U.S. non-provisional patent applications, three owned granted U.S. patents, U.S. Patent Nos. 10,226,472, 11,324,822, and 11,397,184 which expire in August 2032, March 2036 and September 2036, respectively, or later should patent term extension be granted, directed to methods of treating a patient with combinations of entinostat and pembrolizumab or other therapeutic agents, nine granted non-U.S. patents (including two European patents validated in at least 5 countries), three allowed non-U.S. patent applications, and 39 owned non-U.S. pending patent applications. Our owned entinostat patent portfolio includes pending U.S. and non-U.S. patent applications directed to methods of treating cancer patients by administration of entinostat and exemestane, methods of treating cancer patients by administration of entinostat in combination with an HER2 inhibitor, treatments with entinostat combined with anti PD-1 or anti PD-L1 antibodies, entinostat and CSF-1 or CSF-1R combination therapies (also discussed above in the Axatilimab Patent Portfolio) and patient selection for combination therapy comprising entinostat and a second therapeutic agent. If our owned pending U.S. applications and non-U.S. applications were to issue as one or more patents, these patents would expire between August 2032 and May 2039 or later should patent term extension be granted.</w:t>
      </w:r>
    </w:p>
    <w:p>
      <w:pPr>
        <w:spacing w:after="0" w:line="16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patent portfolio we licensed from Bayer contains a number of issued U.S. and foreign patents as well as patent applications pending outside the United States. A number of the patents and patent applications we licensed from Bayer are directed to entinostat while other patents and patent applications are directed to compounds other than entinostat. As of December 31, 2022, the portfolio we licensed from Bayer included seven issued U.S. patents, 62 granted non-U.S. patents and 17 patent applications pending in non-U.S. patent offices. For example, the portfolio we licensed from Bayer includes reissue U.S. Patent RE39,754, which covers a genus of benzamide compounds including entinostat or SNDX-275. RE39,754 is a composition of matter patent having an initial term which expired in September 2017.</w:t>
      </w:r>
    </w:p>
    <w:p>
      <w:pPr>
        <w:spacing w:after="0" w:line="191"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By comparison, the U.S. Patent RE39,754, which expired in September 2017, covers the chemical entity of entinostat and any crystalline or non-crystalline form of entinostat. On March 7, 2014, our licensor Bayer applied for reissue of the ‘166 patent. The reissue application sought to add three additional inventors to the ‘166 patent. The reissue was granted as RE45,499 on April 28, 2015, at which time the original ‘166 patent was surrendered. The reissue patent has the same force and effect as the original ‘166 patent and the same August 2029 expiration date.</w:t>
      </w:r>
    </w:p>
    <w:p>
      <w:pPr>
        <w:spacing w:after="0" w:line="17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Of the unexpired foreign-granted patents we licensed from Bayer, there are 33 granted foreign counterparts of the ‘166 patent (now RE45,499) that cover crystalline polymorph B, including the European patent and Eurasian patent. The granted European patent comprises 37 national countries that have all been validated, and the granted Eurasian patent comprises nine countries that have all been validated. Likewise, there are 3 pending foreign counterparts of the ‘166 crystalline polymorph B patent. Other patents and patent applications in the licensed Bayer portfolio are expired and cover methods of treatment by administration of entinostat. For example, U.S. Patent 7,317,028, which expired in October 2017, covers methods of treating selected cancers by administration of entinostat; U.S. Patent 7,687,525, which also expired in September 2017, covers methods of treating autoimmune disease by administration of entinostat; U.S. Patent 6,320,078, which expired in July 2019, covers methods of manufacturing entinostat; U.S. Patent No. 8,026,239, which expired in September 2017, covers methods of treating certain malignant tumors by administration of a compound within a subgenus of benzamide compounds including entinostat; U.S. Patent RE40,703, which expired in September 2017, covers a subgenus of benzamide compounds that does not include entinostat; and U.S. Patent 6,794,392, which expired in September 2017, covers a subgenus of benzamide compounds that does not include entinostat.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Patent Term</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date of filing the earliest non-provisional application or PCT application.</w:t>
      </w:r>
    </w:p>
    <w:p>
      <w:pPr>
        <w:spacing w:after="0" w:line="169"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the United States, a patent’s term may be lengthened by patent term adjustment, which compensates a patentee for administrative delays by the USPTO in granting a patent, or may be shortened if a patent is terminally disclaimed over an earlier-filed patent. The term of a patent that covers an approved drug may also be eligible for patent term extension, which permits patent term restoration as compensation for the patent term lost during the development and regulatory review process. To obtain a patent extension in the United States, the term of the relevant patent must not have expired before the extension application, the patent cannot have been extended previously under this law, an application for extension must be submitted, the product must be subject to regulatory review prior to its commercialization, and the permission for the commercial marketing or use of the product after such regulatory review period is the first permitted commercial marketing or use of the product. If our future products contain active ingredients which have not been previously approved, we may be eligible for a patent term extension in the United States. In the United States, we expect to seek extension of patent terms under the Drug Price Competition and Patent Term Restoration Act of 1984, which permits a patent term extension of up to five years beyond the expiration of the patent for patent claims covering a new chemical entity. If patent extensions are available to us outside of the United States, we would expect to file for a patent term extension in applicable jurisdictions.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 Information and Inventions Assignment Agreements</w:t>
      </w:r>
    </w:p>
    <w:p>
      <w:pPr>
        <w:spacing w:after="0" w:line="117" w:lineRule="exact"/>
        <w:rPr>
          <w:sz w:val="20"/>
          <w:szCs w:val="20"/>
          <w:color w:val="auto"/>
        </w:rPr>
      </w:pPr>
    </w:p>
    <w:p>
      <w:pPr>
        <w:ind w:right="740" w:firstLine="509"/>
        <w:spacing w:after="0" w:line="286" w:lineRule="auto"/>
        <w:rPr>
          <w:sz w:val="20"/>
          <w:szCs w:val="20"/>
          <w:color w:val="auto"/>
        </w:rPr>
      </w:pPr>
      <w:r>
        <w:rPr>
          <w:rFonts w:ascii="Arial" w:cs="Arial" w:eastAsia="Arial" w:hAnsi="Arial"/>
          <w:sz w:val="17"/>
          <w:szCs w:val="17"/>
          <w:color w:val="auto"/>
        </w:rPr>
        <w:t>We require our employees and consultants to execute confidentiality agreements upon the commencement of employment, consulting or collaborative relationships with us. These agreements provide that all confidential information developed or made known during the course of the relationship with us be kept confidential and not disclosed to third parties except in specific circumstances.</w:t>
      </w:r>
    </w:p>
    <w:p>
      <w:pPr>
        <w:spacing w:after="0" w:line="164" w:lineRule="exact"/>
        <w:rPr>
          <w:sz w:val="20"/>
          <w:szCs w:val="20"/>
          <w:color w:val="auto"/>
        </w:rPr>
      </w:pPr>
    </w:p>
    <w:p>
      <w:pPr>
        <w:jc w:val="both"/>
        <w:ind w:right="200" w:firstLine="509"/>
        <w:spacing w:after="0" w:line="311" w:lineRule="auto"/>
        <w:rPr>
          <w:sz w:val="20"/>
          <w:szCs w:val="20"/>
          <w:color w:val="auto"/>
        </w:rPr>
      </w:pPr>
      <w:r>
        <w:rPr>
          <w:rFonts w:ascii="Arial" w:cs="Arial" w:eastAsia="Arial" w:hAnsi="Arial"/>
          <w:sz w:val="16"/>
          <w:szCs w:val="16"/>
          <w:color w:val="auto"/>
        </w:rPr>
        <w:t>In the case of employees, the agreements provide that all inventions resulting from work performed for us, utilizing our property or relating to our business and conceived or completed by the individual during employment shall be our exclusive property to the extent permitted by applicable law. Our consulting and service agreements also provide for assignment to us of any intellectual property resulting from services performed for 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Government Regulation</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In the United States, the FDA regulates drugs and biologics under the Federal Food, Drug, and Cosmetic Act, or FDCA, the Public Health Service Act, and related regulations. Drugs and biologics are also subject to other federal, state and local statutes and regulations. The FDA and comparable regulatory agencies in state and local jurisdictions impose substantial requirements upon, among other things, the testing, development, manufacture, quality control, safety, purity, potency, labeling, storage, distribution, record keeping and reporting, approval, import and export, advertising and promotion, and postmarket surveillance of drugs and biologics.</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Biopharmaceutical Product Development Process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process required by the FDA before biopharmaceutical products may be marketed in the United States generally involves the following:</w:t>
      </w:r>
    </w:p>
    <w:p>
      <w:pPr>
        <w:spacing w:after="0" w:line="128" w:lineRule="exact"/>
        <w:rPr>
          <w:sz w:val="20"/>
          <w:szCs w:val="20"/>
          <w:color w:val="auto"/>
        </w:rPr>
      </w:pPr>
    </w:p>
    <w:p>
      <w:pPr>
        <w:ind w:left="1020" w:right="16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animal studies in accordance with applicable regulations, including the FDA’s good laboratory practice, or GLP regulations;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of an IND application which must become effective before clinical trials may begin;</w:t>
      </w:r>
    </w:p>
    <w:p>
      <w:pPr>
        <w:spacing w:after="0" w:line="116" w:lineRule="exact"/>
        <w:rPr>
          <w:rFonts w:ascii="Arial" w:cs="Arial" w:eastAsia="Arial" w:hAnsi="Arial"/>
          <w:sz w:val="18"/>
          <w:szCs w:val="18"/>
          <w:color w:val="auto"/>
        </w:rPr>
      </w:pPr>
    </w:p>
    <w:p>
      <w:pPr>
        <w:ind w:left="1020" w:right="320" w:hanging="503"/>
        <w:spacing w:after="0" w:line="341"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applicable regulations, including the FDA’s current good clinical practice, or GCP, regulations to establish the safety and efficacy of the proposed drug for its intended use or uses;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7" w:name="page18"/>
    <w:bookmarkEnd w:id="17"/>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an NDA for a new drug product or a Biologics License Application, or BLA, for biologics;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or BLA to accept the application for filing and review;</w:t>
      </w:r>
    </w:p>
    <w:p>
      <w:pPr>
        <w:spacing w:after="0" w:line="116"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drug or biologic is produced to assess compliance with the FDA’s current Good Manufacturing Practices, or cGMP, regulations to assure that the facilities, methods and controls are adequate to preserve the product’s identity, strength, quality and purity;</w:t>
      </w:r>
    </w:p>
    <w:p>
      <w:pPr>
        <w:spacing w:after="0" w:line="74"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FDA audit of the preclinical and/or clinical trial sites that generated the data in support of an NDA or BLA; and</w:t>
      </w:r>
    </w:p>
    <w:p>
      <w:pPr>
        <w:spacing w:after="0" w:line="116"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review and approval of an NDA or BLA prior to any commercial marketing or sale of the biopharmaceutical product in the United States.</w:t>
      </w:r>
    </w:p>
    <w:p>
      <w:pPr>
        <w:spacing w:after="0" w:line="169" w:lineRule="exact"/>
        <w:rPr>
          <w:sz w:val="20"/>
          <w:szCs w:val="20"/>
          <w:color w:val="auto"/>
        </w:rPr>
      </w:pPr>
    </w:p>
    <w:p>
      <w:pPr>
        <w:jc w:val="both"/>
        <w:ind w:right="80" w:firstLine="509"/>
        <w:spacing w:after="0" w:line="311" w:lineRule="auto"/>
        <w:rPr>
          <w:sz w:val="20"/>
          <w:szCs w:val="20"/>
          <w:color w:val="auto"/>
        </w:rPr>
      </w:pPr>
      <w:r>
        <w:rPr>
          <w:rFonts w:ascii="Arial" w:cs="Arial" w:eastAsia="Arial" w:hAnsi="Arial"/>
          <w:sz w:val="16"/>
          <w:szCs w:val="16"/>
          <w:color w:val="auto"/>
        </w:rPr>
        <w:t>Before testing any compounds with potential therapeutic value in humans, the product candidate enters the preclinical testing stage. Preclinical tests include laboratory evaluations of product chemistry and formulation, as well as animal studies to assess the potential safety, toxicity profile and activity of the product candidate. The conduct of the preclinical tests must comply with federal regulations and requirements including GLPs.</w:t>
      </w:r>
    </w:p>
    <w:p>
      <w:pPr>
        <w:spacing w:after="0" w:line="148"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Prior to commencing the first clinical trial in humans, an IND must be submitted to the FDA, and the IND must become effective. A sponsor must submit preclinical testing results to the FDA as part of the IND and the FDA must evaluate whether there is an adequate basis for testing the drug in humans. The IND automatically becomes effective 30 days after receipt by the FDA unless the FDA within the 30-day time period raises concerns or questions about the submitted data or the conduct of the proposed clinical trial and places the IND on clinical hold. In such case, the IND application sponsor must resolve any outstanding concerns with the FDA before the clinical trial may begin. A separate submission to the existing IND application must be made for each successive clinical trial to be conducted during product development. Further, an independent Institutional Review Board, or IRB, for each site proposing to conduct the clinical trial must review and approve the protocol and informed consent for any clinical trial before it commences at that site. Informed consent must also be obtained from each study subject. Regulatory authorities, an IRB, a data safety monitoring board or the trial sponsor may suspend or terminate a clinical trial at any time on various grounds, including a finding that the participants are being exposed to an unacceptable health risk.</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that may overlap:</w:t>
      </w:r>
    </w:p>
    <w:p>
      <w:pPr>
        <w:spacing w:after="0" w:line="117" w:lineRule="exact"/>
        <w:rPr>
          <w:sz w:val="20"/>
          <w:szCs w:val="20"/>
          <w:color w:val="auto"/>
        </w:rPr>
      </w:pPr>
    </w:p>
    <w:p>
      <w:pPr>
        <w:ind w:left="1020" w:right="300" w:hanging="503"/>
        <w:spacing w:after="0" w:line="341"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Phase 1—The drug is initially given to healthy human subjects or patients and tested for safety, dosage tolerance, absorption, metabolism, distribution and excretion, the side effects associated with increasing doses, and if possible, to gain early evidence on effectiveness.</w:t>
      </w:r>
    </w:p>
    <w:p>
      <w:pPr>
        <w:spacing w:after="0" w:line="16" w:lineRule="exact"/>
        <w:rPr>
          <w:rFonts w:ascii="Arial" w:cs="Arial" w:eastAsia="Arial" w:hAnsi="Arial"/>
          <w:sz w:val="16"/>
          <w:szCs w:val="16"/>
          <w:color w:val="auto"/>
        </w:rPr>
      </w:pPr>
    </w:p>
    <w:p>
      <w:pPr>
        <w:ind w:left="1020" w:right="160" w:hanging="503"/>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2—The drug is evaluated in a limited patient population to identify possible adverse effects and safety risks, to preliminarily evaluate the efficacy of the product for specific targeted diseases or conditions and to determine dosage tolerance, optimal dosage and dosing schedule.</w:t>
      </w:r>
    </w:p>
    <w:p>
      <w:pPr>
        <w:spacing w:after="0" w:line="74" w:lineRule="exact"/>
        <w:rPr>
          <w:rFonts w:ascii="Arial" w:cs="Arial" w:eastAsia="Arial" w:hAnsi="Arial"/>
          <w:sz w:val="18"/>
          <w:szCs w:val="18"/>
          <w:color w:val="auto"/>
        </w:rPr>
      </w:pPr>
    </w:p>
    <w:p>
      <w:pPr>
        <w:ind w:left="1020" w:hanging="503"/>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3—Clinical trials are undertaken to further evaluate dosage, clinical efficacy and safety at geographically dispersed clinical trial sites. These clinical trials are intended to establish the overall benefit-risk ratio of the product and to provide an adequate basis for product approval by the FDA.</w:t>
      </w:r>
    </w:p>
    <w:p>
      <w:pPr>
        <w:spacing w:after="0" w:line="183"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also has express statutory authority to require post-market clinical studies to address safety issues.</w:t>
      </w:r>
    </w:p>
    <w:p>
      <w:pPr>
        <w:spacing w:after="0" w:line="183" w:lineRule="exact"/>
        <w:rPr>
          <w:sz w:val="20"/>
          <w:szCs w:val="20"/>
          <w:color w:val="auto"/>
        </w:rPr>
      </w:pPr>
    </w:p>
    <w:p>
      <w:pPr>
        <w:ind w:right="280" w:firstLine="509"/>
        <w:spacing w:after="0" w:line="311" w:lineRule="auto"/>
        <w:rPr>
          <w:sz w:val="20"/>
          <w:szCs w:val="20"/>
          <w:color w:val="auto"/>
        </w:rPr>
      </w:pPr>
      <w:r>
        <w:rPr>
          <w:rFonts w:ascii="Arial" w:cs="Arial" w:eastAsia="Arial" w:hAnsi="Arial"/>
          <w:sz w:val="16"/>
          <w:szCs w:val="16"/>
          <w:color w:val="auto"/>
        </w:rPr>
        <w:t>Some clinical trials are overseen by an independent group of qualified experts organized by the clinical trial sponsor, known as a data monitoring board or committee. This group provides recommendations for whether or not a trial may move forward at designated checkpoints based on access to certain data from the study. A sponsor may also suspend or terminate a clinical trial based on evolving business objectives and/or competitive climate.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ind w:right="160" w:firstLine="509"/>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drug candidate and, among other things, must include developed methods for testing the identity, strength, quality and purity of the finished product. Additionally, appropriate packaging must be selected and tested and stability studies must be conducted to demonstrate that the product candidate does not undergo unacceptable deterioration over its shelf life.</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FDA Review and Approval Processes</w:t>
      </w:r>
    </w:p>
    <w:p>
      <w:pPr>
        <w:spacing w:after="0" w:line="117" w:lineRule="exact"/>
        <w:rPr>
          <w:sz w:val="20"/>
          <w:szCs w:val="20"/>
          <w:color w:val="auto"/>
        </w:rPr>
      </w:pPr>
    </w:p>
    <w:p>
      <w:pPr>
        <w:jc w:val="both"/>
        <w:ind w:right="40" w:firstLine="509"/>
        <w:spacing w:after="0" w:line="293" w:lineRule="auto"/>
        <w:rPr>
          <w:sz w:val="20"/>
          <w:szCs w:val="20"/>
          <w:color w:val="auto"/>
        </w:rPr>
      </w:pPr>
      <w:r>
        <w:rPr>
          <w:rFonts w:ascii="Arial" w:cs="Arial" w:eastAsia="Arial" w:hAnsi="Arial"/>
          <w:sz w:val="16"/>
          <w:szCs w:val="16"/>
          <w:color w:val="auto"/>
        </w:rPr>
        <w:t>In order to obtain approval to market a biopharmaceutical product in the United States, a marketing application must be submitted to the FDA that provides data establishing to the FDA’s satisfaction the safety and effectiveness of the investigational drug for the proposed indication. Each NDA or BLA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63"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FDA will initially review an NDA or BLA for completeness before it accepts it for filing. The FDA has 60 days from its receipt of an application to determine whether the application will be accepted for filing based on the agency’s threshold determination that the application is sufficiently complete to permit substantive review. If it is not, the FDA may refuse to file the application and request additional information, in which case the application must be resubmitted with the supplemental information, and review of the application is delayed. After an NDA or BLA submission is accepted for filing, the FDA reviews the application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9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Upon the filing of an NDA or BLA, the FDA may grant a priority review designation to a product, which sets the target date for FDA action on the application at 6 months, rather than the standard 10 months. Priority review is given for drug that treats a serious condition and, if approved, would provide a significant improvement in safety or effectiveness. Priority review designation does not change the scientific or medical standard for approval or the quality of evidence necessary to support approval.</w:t>
      </w:r>
    </w:p>
    <w:p>
      <w:pPr>
        <w:spacing w:after="0" w:line="18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sites to assure compliance with GCP.</w:t>
      </w:r>
    </w:p>
    <w:p>
      <w:pPr>
        <w:spacing w:after="0" w:line="185"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After the FDA completes its initial review of an NDA or BLA, it will communicate to the sponsor that the product is approved, or it will issue a complete response letter to communicate that the application will not be approved in its current form and inform the sponsor of changes that must be made or additional clinical, nonclinical or manufacturing data that must be received before the application can be approved.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ind w:right="40" w:firstLine="509"/>
        <w:spacing w:after="0" w:line="254" w:lineRule="auto"/>
        <w:rPr>
          <w:sz w:val="20"/>
          <w:szCs w:val="20"/>
          <w:color w:val="auto"/>
        </w:rPr>
      </w:pPr>
      <w:r>
        <w:rPr>
          <w:rFonts w:ascii="Arial" w:cs="Arial" w:eastAsia="Arial" w:hAnsi="Arial"/>
          <w:sz w:val="18"/>
          <w:szCs w:val="18"/>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For example, the FDA may require Phase 4 testing, which involves clinical trials designed to further assess a drug’s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an NDA must submit a proposed REMS, and the FDA will not approve an NDA without an approved REMS, if required.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Review Programs</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Among other programs, the FDA may expedite the review of a product candidate designated as a breakthrough therapy, which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sponsor may request the FDA to designate a drug as a breakthrough therapy at the time of, or any time after, the submission of an IND application for the drug. If the FDA designates a drug as a breakthrough therapy, it must take actions appropriate to expedite the development and review of the application, which may include holding meetings with the sponsor and the review team throughout the development of the drug;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 The FDA may rescind a breakthrough therapy designation in the future if further clinical development later shows that the criteria for designation are no longer met.</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Breakthrough therapy designation does not change the standards for approval but may expedite the development or review process.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If and when approved, any products manufactured or distributed by us or on our behalf will be subject to continuing regulation by the FDA, including requirements for record-keeping, reporting of adverse experiences and submitting annual reports.</w:t>
      </w:r>
    </w:p>
    <w:p>
      <w:pPr>
        <w:spacing w:after="0" w:line="169"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Biopharmaceutical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The FDA and certain states also impose requirements on manufacturers and distributors to establish the pedigree of product in the chain of distribution, including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application, shut down manufacturing operations or withdraw approval of an application, or we may recall the product from distribution. Noncompliance with cGMP or other requirements can result in issuance of warning letters, civil and criminal penalties, seizures and injunctive action.</w:t>
      </w:r>
    </w:p>
    <w:p>
      <w:pPr>
        <w:spacing w:after="0" w:line="170" w:lineRule="exact"/>
        <w:rPr>
          <w:sz w:val="20"/>
          <w:szCs w:val="20"/>
          <w:color w:val="auto"/>
        </w:rPr>
      </w:pPr>
    </w:p>
    <w:p>
      <w:pPr>
        <w:jc w:val="both"/>
        <w:ind w:right="80" w:firstLine="509"/>
        <w:spacing w:after="0" w:line="311" w:lineRule="auto"/>
        <w:rPr>
          <w:sz w:val="20"/>
          <w:szCs w:val="20"/>
          <w:color w:val="auto"/>
        </w:rPr>
      </w:pPr>
      <w:r>
        <w:rPr>
          <w:rFonts w:ascii="Arial" w:cs="Arial" w:eastAsia="Arial" w:hAnsi="Arial"/>
          <w:sz w:val="16"/>
          <w:szCs w:val="16"/>
          <w:color w:val="auto"/>
        </w:rPr>
        <w:t>The FDA closely regulates the labeling, marketing and promotion of drugs and biologics. While doctors are free to prescribe any drug approved by the FDA for any use based on the doctor’s independent medical judgement, a company can only make claims relating to safety and efficacy of a drug that are consistent with FDA approval, and the company is allowed to actively market a drug only for the particular use and treatment approved by the FDA. In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 w:name="page21"/>
    <w:bookmarkEnd w:id="20"/>
    <w:p>
      <w:pPr>
        <w:ind w:right="60"/>
        <w:spacing w:after="0" w:line="311" w:lineRule="auto"/>
        <w:rPr>
          <w:sz w:val="20"/>
          <w:szCs w:val="20"/>
          <w:color w:val="auto"/>
        </w:rPr>
      </w:pPr>
      <w:r>
        <w:rPr>
          <w:rFonts w:ascii="Arial" w:cs="Arial" w:eastAsia="Arial" w:hAnsi="Arial"/>
          <w:sz w:val="16"/>
          <w:szCs w:val="16"/>
          <w:color w:val="auto"/>
        </w:rPr>
        <w:t>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both domestic and foreign markets, sales of any products for which we may receive regulatory approval will depend in part upon the availability of coverage and adequate reimbursement to healthcare providers from third-party payors. Such third-party payors include government health programs, such as Medicare and Medicaid, as well as managed care organizations, private health insurers and other organizations. Coverage decisions may depend upon clinical and economic standards that disfavor new drug products when more established or lower cost therapeutic alternatives are available. Assuming coverage is granted, the reimbursement rates paid for covered products might not be adequate. Even if favorable coverage status and adequate reimbursement rates are attained, less favorable coverage policies and reimbursement rates may be implemented in the future. The marketability of any products for which we may receive regulatory approval for commercial sale may suffer if the government and other third-party payors fail to provide coverage and adequate reimbursement to allow us to sell such products on a competitive and profitable basis. For example, under these circumstances, physicians may limit how much or under what circumstances they will prescribe or administer such products, and patients may decline to purchase them. This, in turn, could affect our ability to successfully commercialize our products and impact our profitability, results of operations, financial condition, and future success.</w:t>
      </w:r>
    </w:p>
    <w:p>
      <w:pPr>
        <w:spacing w:after="0" w:line="17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Such pressure, along with the increased emphasis on managed healthcare in the United States and on country and regional pricing and reimbursement controls in the European Union, will likely put additional downward pressure on product pricing, reimbursement and usage, which may adversely affect our future product sales and results of operations. These pressures can arise from rules and practices of managed care groups, judicial decisions, governmental laws and regulations related to government healthcare programs, healthcare reform, and pharmaceutical coverage and reimbursement policies.</w:t>
      </w:r>
    </w:p>
    <w:p>
      <w:pPr>
        <w:spacing w:after="0" w:line="193"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The market for any product candidates for which we may receive regulatory approval will depend significantly on the degree to which these products are listed on third-party payors’ drug formularies or lists of medications for which third-party payors provide coverage and reimbursement to the extent products for which we may receive regulatory approval are covered under a pharmacy benefit or are otherwise subject to a formulary. The industry competition to be included on such formularies often leads to downward pricing pressures on pharmaceutical companies. Also, third-party payors may refuse to include a particular branded drug on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Further, one payor’s determination to provide coverage for a drug product does not assure that other payors will also provide coverage for the drug product.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We cannot be certain that our product candidates will be considered cost-effective. This process could delay the market acceptance of any product candidates for which we may receive approval and could have a negative effect on our future revenues and operating results.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Federal and State Fraud and Abuse and Data Privacy and Security Laws and Regulations</w:t>
      </w:r>
    </w:p>
    <w:p>
      <w:pPr>
        <w:spacing w:after="0" w:line="11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In addition to FDA restrictions on marketing of pharmaceutical products, federal and state laws restrict business practices in the pharmaceutical industry. These laws include anti-kickback and false claims laws and regulations as well as data privacy and security laws and regulations. The laws that will affect our operations include, but are not limited to:</w:t>
      </w:r>
    </w:p>
    <w:p>
      <w:pPr>
        <w:spacing w:after="0" w:line="75" w:lineRule="exact"/>
        <w:rPr>
          <w:sz w:val="20"/>
          <w:szCs w:val="20"/>
          <w:color w:val="auto"/>
        </w:rPr>
      </w:pPr>
    </w:p>
    <w:p>
      <w:pPr>
        <w:ind w:left="1020" w:right="20" w:hanging="503"/>
        <w:spacing w:after="0" w:line="270"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Patient Protection and Affordable Care Act, as amended by the Health Care and Education Reconciliation Act, collectively, the Affordable Care Act, amended the intent requirement of the federal Anti-Kickback Statute so that a person or entity no longer needs to have actual knowledge of this statute or specific intent to violate it in order to have committed a violation;</w:t>
      </w:r>
    </w:p>
    <w:p>
      <w:pPr>
        <w:spacing w:after="0" w:line="74" w:lineRule="exact"/>
        <w:rPr>
          <w:rFonts w:ascii="Arial" w:cs="Arial" w:eastAsia="Arial" w:hAnsi="Arial"/>
          <w:sz w:val="17"/>
          <w:szCs w:val="17"/>
          <w:color w:val="auto"/>
        </w:rPr>
      </w:pPr>
    </w:p>
    <w:p>
      <w:pPr>
        <w:ind w:left="1040" w:right="20" w:hanging="517"/>
        <w:spacing w:after="0" w:line="255"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without limitation, the False Claims Act, and civil monetary penalty laws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Affordable Care Act provides, and recent government cases against pharmaceutical manufacturers support, the view that federal Anti-Kickback Statute violations and certain marketing practices, including off-label promotion, may implicate the False Claims Act;</w:t>
      </w:r>
    </w:p>
    <w:p>
      <w:pPr>
        <w:spacing w:after="0" w:line="82" w:lineRule="exact"/>
        <w:rPr>
          <w:rFonts w:ascii="Arial" w:cs="Arial" w:eastAsia="Arial" w:hAnsi="Arial"/>
          <w:sz w:val="18"/>
          <w:szCs w:val="18"/>
          <w:color w:val="auto"/>
        </w:rPr>
      </w:pPr>
    </w:p>
    <w:p>
      <w:pPr>
        <w:ind w:left="1040" w:hanging="517"/>
        <w:spacing w:after="0" w:line="26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a person from knowingly and willfully executing a scheme or making false or fraudulent statements to defraud any healthcare benefit program, regardless of the payor (e.g., public or private);</w:t>
      </w:r>
    </w:p>
    <w:p>
      <w:pPr>
        <w:spacing w:after="0" w:line="74" w:lineRule="exact"/>
        <w:rPr>
          <w:rFonts w:ascii="Arial" w:cs="Arial" w:eastAsia="Arial" w:hAnsi="Arial"/>
          <w:sz w:val="18"/>
          <w:szCs w:val="18"/>
          <w:color w:val="auto"/>
        </w:rPr>
      </w:pPr>
    </w:p>
    <w:p>
      <w:pPr>
        <w:ind w:left="1040" w:right="140" w:hanging="517"/>
        <w:spacing w:after="0" w:line="255"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their implementing regulations, which imposes certain requirements relating to the privacy, security and transmission of individually identifiable health information without appropriate authorization by entities subject to the rule, such as health plans, healthcare clearinghouses and certain healthcare providers, known as covered entities, and their respective business associates, individuals or entities that perform certain services on behalf of a covered entity that involves the use or disclosure of individually identifiable health information, and their covered subcontractors;</w:t>
      </w:r>
    </w:p>
    <w:p>
      <w:pPr>
        <w:spacing w:after="0" w:line="82" w:lineRule="exact"/>
        <w:rPr>
          <w:rFonts w:ascii="Arial" w:cs="Arial" w:eastAsia="Arial" w:hAnsi="Arial"/>
          <w:sz w:val="18"/>
          <w:szCs w:val="18"/>
          <w:color w:val="auto"/>
        </w:rPr>
      </w:pPr>
    </w:p>
    <w:p>
      <w:pPr>
        <w:ind w:left="1040" w:hanging="517"/>
        <w:spacing w:after="0" w:line="255"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w:t>
      </w:r>
    </w:p>
    <w:p>
      <w:pPr>
        <w:spacing w:after="0" w:line="82" w:lineRule="exact"/>
        <w:rPr>
          <w:rFonts w:ascii="Arial" w:cs="Arial" w:eastAsia="Arial" w:hAnsi="Arial"/>
          <w:sz w:val="18"/>
          <w:szCs w:val="18"/>
          <w:color w:val="auto"/>
        </w:rPr>
      </w:pPr>
    </w:p>
    <w:p>
      <w:pPr>
        <w:ind w:left="1040" w:right="20" w:hanging="517"/>
        <w:spacing w:after="0" w:line="291"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state laws that require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laws that require manufactures to report pricing information regarding certain drugs, state and local laws that require the registration of pharmaceutical sales representatives, and state laws that govern the privacy and security of health information, which differ from each other in significant ways and often are not preempted by HIPAA, thus complicating compliance efforts.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22" w:name="page23"/>
    <w:bookmarkEnd w:id="22"/>
    <w:p>
      <w:pPr>
        <w:jc w:val="both"/>
        <w:ind w:right="400" w:firstLine="509"/>
        <w:spacing w:after="0" w:line="286" w:lineRule="auto"/>
        <w:rPr>
          <w:sz w:val="20"/>
          <w:szCs w:val="20"/>
          <w:color w:val="auto"/>
        </w:rPr>
      </w:pPr>
      <w:r>
        <w:rPr>
          <w:rFonts w:ascii="Arial" w:cs="Arial" w:eastAsia="Arial" w:hAnsi="Arial"/>
          <w:sz w:val="17"/>
          <w:szCs w:val="17"/>
          <w:color w:val="auto"/>
        </w:rPr>
        <w:t>We may also be subject to federal and state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64"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it is possible that some of our business activities could be subject to challenge, investigation or legal action under one or more of such laws.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w:t>
      </w:r>
    </w:p>
    <w:p>
      <w:pPr>
        <w:spacing w:after="0" w:line="176"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To the extent that any of our product candidates receive approval and are sold in a foreign country, we may be subject to similar foreign laws and regulations, which may include, for instance, applicable post-marketing requirements, including safety surveillance, anti-fraud and abuse laws, international data protection laws (including the General Data Protection Directive ((EU) 2016/679) on the protection of individuals with regard to the processing of personal data and on the free movement of such data as well as EU member state implementing legislation), and implementation of corporate compliance programs and reporting of payments or transfers of value to healthcare professionals.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 In March 2010, then President Obama signed into law the Affordable Care Act, which substantially changed the way healthcare will be financed by both governmental and private insurers, and significantly impacts the pharmaceutical industry. Among the provisions of the Affordable Care Act of importance to our business, including, without limitation, our ability to commercialize, and the prices we may obtain for, any of our product candidates that are approved for sale, are the following:</w:t>
      </w:r>
    </w:p>
    <w:p>
      <w:pPr>
        <w:spacing w:after="0" w:line="70"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annual, nondeductible fee payable by any entity that manufactures or imports specified branded prescription drugs and biologic agents;</w:t>
      </w:r>
    </w:p>
    <w:p>
      <w:pPr>
        <w:spacing w:after="0" w:line="139" w:lineRule="exact"/>
        <w:rPr>
          <w:rFonts w:ascii="Arial" w:cs="Arial" w:eastAsia="Arial" w:hAnsi="Arial"/>
          <w:sz w:val="16"/>
          <w:szCs w:val="16"/>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6"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False Claims Act and the federal Anti-Kickback Statute, new government investigative powers and enhanced penalties for noncompliance;</w:t>
      </w:r>
    </w:p>
    <w:p>
      <w:pPr>
        <w:spacing w:after="0" w:line="61"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 sale discounts off negotiated prices;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3" w:name="page24"/>
    <w:bookmarkEnd w:id="23"/>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6"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69"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There have been executive, judicial and Congressional challenges to certain aspects of the Affordable Care Act. For example, the Tax Cuts and Jobs Act of 2017, or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eliminated, effective January 1, 2020, the Affordable Care Act’s mandated “Cadillac” tax on high-cost employer-sponsored health coverage and medical device tax and, effective January 1, 2021, also eliminated the health insurer tax. On June 17, 2021, the U.S. Supreme Court dismissed a challenge on procedural grounds that argued the Affordable Care Act is unconstitutional in its entirety because the “individual mandate” was repealed by Congress. Further, on August 16, 2022, President Biden signed the Inflation Reduction Act of 2022, or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w:t>
      </w:r>
    </w:p>
    <w:p>
      <w:pPr>
        <w:spacing w:after="0" w:line="185"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There has been increasing legislative and enforcement interest in the United States with respect to specialty drug pricing practices. Specifically, there have been several recent U.S. Congressional inquiries, Presidential executive orders,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although they may be subject to legal challenges. Additionally, the Biden administration released an additional executive order on October 14, 2022, directing HHS to report on how the Center for Medicare and Medicaid Innovation can be further leveraged to test new models for lowering drug costs for Medicare and Medicaid beneficiaries.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5"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The full impact on our business of the Affordable Care Act and other new laws is uncertain but may result in additional reductions in Medicare and other healthcare funding. Nor is it clear whether other legislative changes will be adopted, if any, or how such changes would affect the demand for our products once commercialized.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Outside of the United States</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jc w:val="both"/>
        <w:ind w:right="240"/>
        <w:spacing w:after="0" w:line="286" w:lineRule="auto"/>
        <w:rPr>
          <w:sz w:val="20"/>
          <w:szCs w:val="20"/>
          <w:color w:val="auto"/>
        </w:rPr>
      </w:pPr>
      <w:r>
        <w:rPr>
          <w:rFonts w:ascii="Arial" w:cs="Arial" w:eastAsia="Arial" w:hAnsi="Arial"/>
          <w:sz w:val="17"/>
          <w:szCs w:val="17"/>
          <w:color w:val="auto"/>
        </w:rPr>
        <w:t>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As of February 22, 2023, we had 107 full-time employees. Of the full-time employees, 68 were primarily engaged in research and development activities and 24 have an M.D. or Ph.D degree. None of our employees are represented by labor unions or covered by collective bargaining agreements. We consider our relationship with our employees to be good.</w:t>
      </w:r>
    </w:p>
    <w:p>
      <w:pPr>
        <w:spacing w:after="0" w:line="183"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equity-based compensation awards and cash-based compensation awards, in order to increase stockholder value and the success of our company by motivating such individuals to perform to the best of their abilities and achieve our objectives.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We consider a number of measures and objectives in managing our human capital assets, including, among others, employee engagement, development, and training, talent acquisition and retention, employee safety and wellness, diversity and inclusion, and compensation and pay equity. We provide our employees with salaries and bonuses intended to be competitive for our industry, opportunities for equity ownership, development programs that enable continued learning and growth and a robust benefits package to promote well-being across all aspects of their lives, including health care, retirement planning and paid time off. In addition, we have conducted employee surveys to gauge employee engagement and identify areas of future focus for our human capital practices and benefits offerings.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Diversity, Equity and Inclusion (DEI)</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believe that a diverse workforce is critical to our success and we are fundamentally committed to creating and maintaining a work environment in which employees are treated fairly, with dignity, decency, respect and in accordance with all applicable laws. We understand that varied perspectives lead to the best ideas and outcomes. We believe that by creating a workplace where every individual can feel welcome and valued, we will be better able to achieve our corporate objectives. All employees must adhere to a code of business conduct and ethics and our employee handbook, which combined, define standards for appropriate behavior and are annually trained to help prevent, identify, report, and stop any type of discrimination and harassment. Our recruitment, hiring, development, training, compensation, and advancement is based on qualifications, performance, skills, and experience without regard to gender, race or ethnicity.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Commitment</w:t>
      </w:r>
    </w:p>
    <w:p>
      <w:pPr>
        <w:spacing w:after="0" w:line="121"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We are highly committed to policies and practices focused on environmental, social and governance, or ESG, positively impacting our social community and maintaining and cultivating good corporate governance. By focusing on ESG policies and practices, we believe that we can affect a meaningful and positive change in our communities and continue to cultivate our open and inclusive collaborative culture. Some of the initiatives that we were most proud of in 2022 included continuing support for the scientific, medical, patient and local communities in which we operate, including disease awareness and supporting community needs through both participation in events as well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5" w:name="page26"/>
    <w:bookmarkEnd w:id="25"/>
    <w:p>
      <w:pPr>
        <w:ind w:right="160"/>
        <w:spacing w:after="0" w:line="275" w:lineRule="auto"/>
        <w:rPr>
          <w:sz w:val="20"/>
          <w:szCs w:val="20"/>
          <w:color w:val="auto"/>
        </w:rPr>
      </w:pPr>
      <w:r>
        <w:rPr>
          <w:rFonts w:ascii="Arial" w:cs="Arial" w:eastAsia="Arial" w:hAnsi="Arial"/>
          <w:sz w:val="17"/>
          <w:szCs w:val="17"/>
          <w:color w:val="auto"/>
        </w:rPr>
        <w:t>as charitable giving to the community at large. We are committed to reducing our environmental footprint. Electric car charging stations are available to employees at our Massachusetts office location. We have been methodically minimizing our use of paper records in favor of electronic records and have a robust recycling program in each office for paper, batteries and electronic equipment. We enable our employees to participate in various charity events, including walks, races and other events that impact change in the communities of the patients that we serve. This allows our employees to support causes that are meaningful to them and their families and aligns with our mission, goals and vision.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121"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We were incorporated in Delaware in 2005. In 2011, we established a wholly owned subsidiary in the United Kingdom, in 2014 we established a wholly owned U.S. subsidiary, and in 2021, we established a wholly owned subsidiary in the Netherlands. There have been no material activities for these entities to date. We currently operate in one segment.</w:t>
      </w:r>
    </w:p>
    <w:p>
      <w:pPr>
        <w:spacing w:after="0" w:line="183" w:lineRule="exact"/>
        <w:rPr>
          <w:sz w:val="20"/>
          <w:szCs w:val="20"/>
          <w:color w:val="auto"/>
        </w:rPr>
      </w:pPr>
    </w:p>
    <w:p>
      <w:pPr>
        <w:jc w:val="both"/>
        <w:ind w:right="100" w:firstLine="509"/>
        <w:spacing w:after="0" w:line="301" w:lineRule="auto"/>
        <w:rPr>
          <w:sz w:val="20"/>
          <w:szCs w:val="20"/>
          <w:color w:val="auto"/>
        </w:rPr>
      </w:pPr>
      <w:r>
        <w:rPr>
          <w:rFonts w:ascii="Arial" w:cs="Arial" w:eastAsia="Arial" w:hAnsi="Arial"/>
          <w:sz w:val="16"/>
          <w:szCs w:val="16"/>
          <w:color w:val="auto"/>
        </w:rPr>
        <w:t>Our principal office is located in Waltham, Massachusetts, where we lease approximately 12,000 square feet of office space pursuant to a lease that expires in February 2025. We also lease approximately 4,000 square feet of office space in New York, NY pursuant to a lease that expires in August 2025. We believe our facilities are adequate to meet our current needs, although we may seek to negotiate new leases or evaluate additional or alternate space for our operations. We believe appropriate alternative space will be readily available on commercially reasonable terms.</w:t>
      </w:r>
    </w:p>
    <w:p>
      <w:pPr>
        <w:spacing w:after="0" w:line="156"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 xml:space="preserve">We file electronically with the SEC, our annual reports on Form 10-K, quarterly reports on Form 10-Q, current reports on Form 8-K, and amendments to those reports filed or furnished pursuant to Section 13(a) or 15(d) of the Exchange Act. We make available on our website at </w:t>
      </w:r>
      <w:r>
        <w:rPr>
          <w:rFonts w:ascii="Arial" w:cs="Arial" w:eastAsia="Arial" w:hAnsi="Arial"/>
          <w:sz w:val="18"/>
          <w:szCs w:val="18"/>
          <w:u w:val="single" w:color="auto"/>
          <w:color w:val="auto"/>
        </w:rPr>
        <w:t>www.syndax.com</w:t>
      </w:r>
      <w:r>
        <w:rPr>
          <w:rFonts w:ascii="Arial" w:cs="Arial" w:eastAsia="Arial" w:hAnsi="Arial"/>
          <w:sz w:val="18"/>
          <w:szCs w:val="18"/>
          <w:color w:val="auto"/>
        </w:rPr>
        <w:t>, under “Investors,” free of charge, copies of these reports as soon as reasonably practicable after filing or furnishing these reports with the SEC.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i w:val="1"/>
          <w:iCs w:val="1"/>
          <w:color w:val="auto"/>
        </w:rPr>
        <w:t>This Annual Report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You should carefully consider these risk factors, together with all of the other information included in this Annual Report as well as our other publicly available filings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Selected Risks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Our business is subject to numerous risks and uncertainties, of which you should be aware before making a decision to invest in our securities. These risks and uncertainties include, among others, the following:</w:t>
      </w:r>
    </w:p>
    <w:p>
      <w:pPr>
        <w:spacing w:after="0" w:line="62" w:lineRule="exact"/>
        <w:rPr>
          <w:sz w:val="20"/>
          <w:szCs w:val="20"/>
          <w:color w:val="auto"/>
        </w:rPr>
      </w:pPr>
    </w:p>
    <w:p>
      <w:pPr>
        <w:ind w:left="1020" w:right="126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 commercialization of any of our product candidates.</w:t>
      </w:r>
    </w:p>
    <w:p>
      <w:pPr>
        <w:spacing w:after="0" w:line="61"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1"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Revumenib has undergone limited clinical testing and we may fail to show that it is well tolerated and provides sufficient clinical benefit for patients.</w:t>
      </w:r>
    </w:p>
    <w:p>
      <w:pPr>
        <w:spacing w:after="0" w:line="61"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Axatilimab has undergone limited clinical testing and we may fail to show that it is well tolerated and provides a sufficient clinical benefit for patients.</w:t>
      </w:r>
    </w:p>
    <w:p>
      <w:pPr>
        <w:spacing w:after="0" w:line="61" w:lineRule="exact"/>
        <w:rPr>
          <w:rFonts w:ascii="Arial" w:cs="Arial" w:eastAsia="Arial" w:hAnsi="Arial"/>
          <w:sz w:val="18"/>
          <w:szCs w:val="18"/>
          <w:color w:val="auto"/>
        </w:rPr>
      </w:pPr>
    </w:p>
    <w:p>
      <w:pPr>
        <w:ind w:left="1020" w:right="120" w:hanging="503"/>
        <w:spacing w:after="0" w:line="307"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ind w:left="1020" w:right="56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Incyte may fail to perform its obligations as expected under the collaboration or may deprioritize its investment to further develop and commercialize axatilimab.</w:t>
      </w:r>
    </w:p>
    <w:p>
      <w:pPr>
        <w:spacing w:after="0" w:line="61"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or our collaborators are unable to enroll patients in clinical trials, these clinical trials may not be completed on a timely basis or at all.</w:t>
      </w:r>
    </w:p>
    <w:p>
      <w:pPr>
        <w:spacing w:after="0" w:line="61"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regulatory approval processes of the FDA and foreign regulatory authorities are lengthy, time-consuming and inherently unpredictable. Our inability to obtain regulatory approval for our product candidates would harm our business.</w:t>
      </w:r>
    </w:p>
    <w:p>
      <w:pPr>
        <w:spacing w:after="0" w:line="61"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healthcare payors and others in the medical community to be commercially successful.</w:t>
      </w:r>
    </w:p>
    <w:p>
      <w:pPr>
        <w:spacing w:after="0" w:line="61" w:lineRule="exact"/>
        <w:rPr>
          <w:rFonts w:ascii="Arial" w:cs="Arial" w:eastAsia="Arial" w:hAnsi="Arial"/>
          <w:sz w:val="18"/>
          <w:szCs w:val="18"/>
          <w:color w:val="auto"/>
        </w:rPr>
      </w:pPr>
    </w:p>
    <w:p>
      <w:pPr>
        <w:ind w:left="1020" w:right="120" w:hanging="503"/>
        <w:spacing w:after="0" w:line="286"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rely on third-party suppliers as well as Incyte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56" w:lineRule="exact"/>
        <w:rPr>
          <w:rFonts w:ascii="Arial" w:cs="Arial" w:eastAsia="Arial" w:hAnsi="Arial"/>
          <w:sz w:val="17"/>
          <w:szCs w:val="17"/>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Even if our product candidates receive regulatory approval, they may still face future development and regulatory difficulties.</w:t>
      </w:r>
    </w:p>
    <w:p>
      <w:pPr>
        <w:spacing w:after="0" w:line="116" w:lineRule="exact"/>
        <w:rPr>
          <w:rFonts w:ascii="Arial" w:cs="Arial" w:eastAsia="Arial" w:hAnsi="Arial"/>
          <w:sz w:val="18"/>
          <w:szCs w:val="18"/>
          <w:color w:val="auto"/>
        </w:rPr>
      </w:pPr>
    </w:p>
    <w:p>
      <w:pPr>
        <w:ind w:left="1020" w:right="20" w:hanging="503"/>
        <w:spacing w:after="0" w:line="341"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6" w:lineRule="exact"/>
        <w:rPr>
          <w:rFonts w:ascii="Arial" w:cs="Arial" w:eastAsia="Arial" w:hAnsi="Arial"/>
          <w:sz w:val="16"/>
          <w:szCs w:val="16"/>
          <w:color w:val="auto"/>
        </w:rPr>
      </w:pPr>
    </w:p>
    <w:p>
      <w:pPr>
        <w:ind w:left="1020" w:right="46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incurred net losses since our inception, except 2021, and anticipate that we will continue to incur net losses for the foreseeable future.</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currently have no source of product revenue and may never achieve or maintain profitability.</w:t>
      </w:r>
    </w:p>
    <w:p>
      <w:pPr>
        <w:spacing w:after="0" w:line="116"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price of our stock may be volatile and you could lose all or part of your investment.</w:t>
      </w:r>
    </w:p>
    <w:p>
      <w:pPr>
        <w:spacing w:after="0" w:line="116"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sell additional equity or debt securities or enter into other arrangements to fund our operations, which may result in dilution to our stockholders and impose restrictions or limitations on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financial success will depend substantially on our ability to effectively and profitably commercialize our product candidates. In order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commercialize our product candidates, we will be required to obtain regulatory approvals by establishing that each of them is sufficiently safe and effective.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our product candidates will depend on a number of factors, including the following:</w:t>
      </w:r>
    </w:p>
    <w:p>
      <w:pPr>
        <w:spacing w:after="0" w:line="102"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our research and development activities, clinical trials and preclinical studies;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completion of any future clinical trials of revumenib and axatilimab;</w:t>
      </w:r>
    </w:p>
    <w:p>
      <w:pPr>
        <w:spacing w:after="0" w:line="116"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 of key clinical trial activities, in connection with public health threats or any future geopolitical tensions, such as the ongoing war between Russia and Ukraine;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ind w:left="1020" w:right="58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 prior to receiving marketing approval;</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adverse drug reactions in any of our clinical trials;</w:t>
      </w:r>
    </w:p>
    <w:p>
      <w:pPr>
        <w:spacing w:after="0" w:line="116"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meeting the endpoints in the clinical trials of our product candidates;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use of our product candidates to treat various cancer indications and fibrotic diseases;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16"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1"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collaboration partner and of third-party contract manufacturers to produce trial supplies and to develop, validate and maintain a commercially viable manufacturing process that is compliant with cGMP;</w:t>
      </w:r>
    </w:p>
    <w:p>
      <w:pPr>
        <w:spacing w:after="0" w:line="61"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our product candidates.</w:t>
      </w:r>
    </w:p>
    <w:p>
      <w:pPr>
        <w:spacing w:after="0" w:line="117" w:lineRule="exact"/>
        <w:rPr>
          <w:sz w:val="20"/>
          <w:szCs w:val="20"/>
          <w:color w:val="auto"/>
        </w:rPr>
      </w:pPr>
    </w:p>
    <w:p>
      <w:pPr>
        <w:ind w:firstLine="578"/>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Revumenib has undergone limited clinical testing and we may fail to show that it is well tolerated and provides sufficient clinical benefit for patients</w:t>
      </w:r>
      <w:r>
        <w:rPr>
          <w:rFonts w:ascii="Arial" w:cs="Arial" w:eastAsia="Arial" w:hAnsi="Arial"/>
          <w:sz w:val="15"/>
          <w:szCs w:val="15"/>
          <w:i w:val="1"/>
          <w:iCs w:val="1"/>
          <w:color w:val="auto"/>
        </w:rPr>
        <w:t>.</w:t>
      </w:r>
    </w:p>
    <w:p>
      <w:pPr>
        <w:spacing w:after="0" w:line="151" w:lineRule="exact"/>
        <w:rPr>
          <w:sz w:val="20"/>
          <w:szCs w:val="20"/>
          <w:color w:val="auto"/>
        </w:rPr>
      </w:pPr>
    </w:p>
    <w:p>
      <w:pPr>
        <w:ind w:firstLine="584"/>
        <w:spacing w:after="0" w:line="267" w:lineRule="auto"/>
        <w:rPr>
          <w:sz w:val="20"/>
          <w:szCs w:val="20"/>
          <w:color w:val="auto"/>
        </w:rPr>
      </w:pPr>
      <w:r>
        <w:rPr>
          <w:rFonts w:ascii="Arial" w:cs="Arial" w:eastAsia="Arial" w:hAnsi="Arial"/>
          <w:sz w:val="17"/>
          <w:szCs w:val="17"/>
          <w:color w:val="auto"/>
        </w:rPr>
        <w:t>Research suggests that certain acute leukemias, such as KMT2Ar leukemias and nucleophosmin 1, or NPM1, mutant acute myeloid leukemia, or AML, are driven by the interaction of menin, a nuclear protein involved in transcription, with the N-terminus of MLL1 protein, a histone methyl transferase. In NPM1 mutant AML the interaction with menin occurs via the wild type MLL1 protein, and in KMT2Ar acute leukemias, the interaction occurs via a mutant form of MLL1, a fusion protein known as MLLr. MLLr results from a rare, spontaneous fusion between the N-terminus of the mixed lineage leukemia protein-1, or MLL1, and a host of signaling molecules and nuclear transcription factors. This fusion produces an aberrant transcription program that drives leukemic transformation. In pre-clinical animal models, small molecule inhibitors of the menin-MLLr interaction, such as revumenib, which bind to, and block the interaction of menin with either MLLr or MLL1, have demonstrated deep and durable single agent treatment effects in multiple leukemic xenograft models harboring MLL fusions or NPM1 mutations. Our strategy for developing revumenib is to conduct a Phase 1/2 clinical trial in r/r patients with KMT2Ar and NPM1 mutant acute leukemias and determine if the observed clinical efficacy supports further development. The Phase 1 portion of the trial is assessing the safety, tolerability and pharmacokinetics of revumenib, and seeks to establish a recommended Phase 2 dose. It is open label, and we have released and may in the future release results from time to time that reflect small numbers of patients which may not be accurately predictive of safety or efficacy results later in the trial or in subsequent trials. The Phase 2 portion is evaluating the efficacy of revumenib across three expansion cohorts enrolling pediatric and adult R/R patients with KMT2Ar acute lymphoblastic leukemia, or ALL, KMT2Ar AML, and NPM1 mutant AML. While we believe that we have established sufficient efficacy to warrant continued development in these indications, we have not yet sufficiently demonstrated a favorable risk-benefit of revumenib in patients.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Axatilimab has undergone limited clinical testing and we may fail to show that it is well tolerated and provides a clinical benefit for patients.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8" w:name="page29"/>
    <w:bookmarkEnd w:id="28"/>
    <w:p>
      <w:pPr>
        <w:ind w:firstLine="584"/>
        <w:spacing w:after="0" w:line="269" w:lineRule="auto"/>
        <w:rPr>
          <w:sz w:val="20"/>
          <w:szCs w:val="20"/>
          <w:color w:val="auto"/>
        </w:rPr>
      </w:pPr>
      <w:r>
        <w:rPr>
          <w:rFonts w:ascii="Arial" w:cs="Arial" w:eastAsia="Arial" w:hAnsi="Arial"/>
          <w:sz w:val="17"/>
          <w:szCs w:val="17"/>
          <w:color w:val="auto"/>
        </w:rPr>
        <w:t>Preclinical studies suggest that CSF-1/CSF-1R signaling may be the key regulatory pathway involved in the expansion and infiltration of donor derived macrophages that mediate the disease processes involved in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Our approach is to conduct a Phase 1/2 clinical trial with axatilimab in subjects with active cGVHD who have failed at least two prior lines of therapy. Following our end of Phase 1 meeting with the FDA, we have aligned on a regulatory path for axatilimab for the treatment of cGVHD and commenced a pivotal Phase 2 clinical trial, AGAVE-201, to assess the safety and efficacy of different doses and schedules of axatilimab for the treatment of patients with cGVHD. While we believe that we have established sufficient efficacy to warrant continued development in this indication, we have not yet sufficiently demonstrated a favorable risk-benefit of axatilimab in patients.</w:t>
      </w:r>
    </w:p>
    <w:p>
      <w:pPr>
        <w:spacing w:after="0" w:line="182" w:lineRule="exact"/>
        <w:rPr>
          <w:sz w:val="20"/>
          <w:szCs w:val="20"/>
          <w:color w:val="auto"/>
        </w:rPr>
      </w:pPr>
    </w:p>
    <w:p>
      <w:pPr>
        <w:ind w:right="160"/>
        <w:spacing w:after="0" w:line="307"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sz w:val="20"/>
          <w:szCs w:val="20"/>
          <w:color w:val="auto"/>
        </w:rPr>
      </w:pPr>
    </w:p>
    <w:p>
      <w:pPr>
        <w:ind w:right="40" w:firstLine="578"/>
        <w:spacing w:after="0" w:line="270" w:lineRule="auto"/>
        <w:rPr>
          <w:sz w:val="20"/>
          <w:szCs w:val="20"/>
          <w:color w:val="auto"/>
        </w:rPr>
      </w:pPr>
      <w:r>
        <w:rPr>
          <w:rFonts w:ascii="Arial" w:cs="Arial" w:eastAsia="Arial" w:hAnsi="Arial"/>
          <w:sz w:val="17"/>
          <w:szCs w:val="17"/>
          <w:color w:val="auto"/>
        </w:rPr>
        <w:t>From time to time, we may publish interim top-line or preliminary data from our clinical trials. For example, in April and December 2021 and in November 2022, we announced interim data from our Phase 1/2 clinical trial of revumenib.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any of our product candidates.</w:t>
      </w:r>
    </w:p>
    <w:p>
      <w:pPr>
        <w:spacing w:after="0" w:line="62" w:lineRule="exact"/>
        <w:rPr>
          <w:sz w:val="20"/>
          <w:szCs w:val="20"/>
          <w:color w:val="auto"/>
        </w:rPr>
      </w:pPr>
    </w:p>
    <w:p>
      <w:pPr>
        <w:ind w:right="20" w:firstLine="578"/>
        <w:spacing w:after="0" w:line="273" w:lineRule="auto"/>
        <w:rPr>
          <w:sz w:val="20"/>
          <w:szCs w:val="20"/>
          <w:color w:val="auto"/>
        </w:rPr>
      </w:pPr>
      <w:r>
        <w:rPr>
          <w:rFonts w:ascii="Arial" w:cs="Arial" w:eastAsia="Arial" w:hAnsi="Arial"/>
          <w:sz w:val="17"/>
          <w:szCs w:val="17"/>
          <w:color w:val="auto"/>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A number of companies in the pharmaceutical and biotechnology industries have suffered significant setbacks in advanced trials due to lack of efficacy or unacceptable safety profiles, notwithstanding promising results in earlier trials.</w:t>
      </w:r>
    </w:p>
    <w:p>
      <w:pPr>
        <w:spacing w:after="0" w:line="17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We are dependent upon our collaboration with Incyte to further develop and commercialize axatilimab. If we or Incyte fail to perform as expected the potential for us to generate future revenues under the collaboration could be significantly reduced, the development and/or commercialization of axatilimab may be terminated or substantially delayed, and our business could be adversely affected.</w:t>
      </w:r>
    </w:p>
    <w:p>
      <w:pPr>
        <w:spacing w:after="0" w:line="56" w:lineRule="exact"/>
        <w:rPr>
          <w:sz w:val="20"/>
          <w:szCs w:val="20"/>
          <w:color w:val="auto"/>
        </w:rPr>
      </w:pPr>
    </w:p>
    <w:p>
      <w:pPr>
        <w:ind w:right="560" w:firstLine="578"/>
        <w:spacing w:after="0" w:line="277" w:lineRule="auto"/>
        <w:rPr>
          <w:sz w:val="20"/>
          <w:szCs w:val="20"/>
          <w:color w:val="auto"/>
        </w:rPr>
      </w:pPr>
      <w:r>
        <w:rPr>
          <w:rFonts w:ascii="Arial" w:cs="Arial" w:eastAsia="Arial" w:hAnsi="Arial"/>
          <w:sz w:val="18"/>
          <w:szCs w:val="18"/>
          <w:color w:val="auto"/>
        </w:rPr>
        <w:t>We are subject to numerous risks related to the Incyte Collaboration Agreement to collaborate on the development and commercialization of axatilimab.</w:t>
      </w:r>
    </w:p>
    <w:p>
      <w:pPr>
        <w:spacing w:after="0" w:line="62" w:lineRule="exact"/>
        <w:rPr>
          <w:sz w:val="20"/>
          <w:szCs w:val="20"/>
          <w:color w:val="auto"/>
        </w:rPr>
      </w:pPr>
    </w:p>
    <w:p>
      <w:pPr>
        <w:ind w:right="340" w:firstLine="578"/>
        <w:spacing w:after="0" w:line="296" w:lineRule="auto"/>
        <w:rPr>
          <w:sz w:val="20"/>
          <w:szCs w:val="20"/>
          <w:color w:val="auto"/>
        </w:rPr>
      </w:pPr>
      <w:r>
        <w:rPr>
          <w:rFonts w:ascii="Arial" w:cs="Arial" w:eastAsia="Arial" w:hAnsi="Arial"/>
          <w:sz w:val="16"/>
          <w:szCs w:val="16"/>
          <w:color w:val="auto"/>
        </w:rPr>
        <w:t>For example, there is no assurance that the parties will achieve any of the regulatory development or sales milestones, that we will receive any future milestone or royalty payments under the collaboration agreement. Incyte’s activities may be influenced by, among other things, the efforts and allocation of resources by Incyte, which we cannot control. If Incyte does not perform in the manner we expect or fulfill its responsibilities in a timely manner, or at all, the clinical development, manufacturing, regulatory approval, and commercialization efforts related to axatilimab could be delayed or terminated. In addition, our license with Incyte may be unsuccessful due to other factors, including, without limitation, the following: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ind w:left="1040" w:right="1020" w:hanging="377"/>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Incyte may terminate the agreement for convenience upon 90 or 180 days’ notice depending on whether or not the parties have commercialized axatilimab in an indication in the respective territory;</w:t>
      </w:r>
    </w:p>
    <w:p>
      <w:pPr>
        <w:spacing w:after="0" w:line="61" w:lineRule="exact"/>
        <w:rPr>
          <w:rFonts w:ascii="Arial" w:cs="Arial" w:eastAsia="Arial" w:hAnsi="Arial"/>
          <w:sz w:val="18"/>
          <w:szCs w:val="18"/>
          <w:color w:val="auto"/>
        </w:rPr>
      </w:pPr>
    </w:p>
    <w:p>
      <w:pPr>
        <w:ind w:left="1040" w:right="280" w:hanging="377"/>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Incyte may change the focus of its development and commercialization efforts or prioritize other programs more highly and, accordingly, reduce the efforts and resources allocated to axatilimab</w:t>
      </w:r>
    </w:p>
    <w:p>
      <w:pPr>
        <w:spacing w:after="0" w:line="61" w:lineRule="exact"/>
        <w:rPr>
          <w:rFonts w:ascii="Arial" w:cs="Arial" w:eastAsia="Arial" w:hAnsi="Arial"/>
          <w:sz w:val="18"/>
          <w:szCs w:val="18"/>
          <w:color w:val="auto"/>
        </w:rPr>
      </w:pPr>
    </w:p>
    <w:p>
      <w:pPr>
        <w:ind w:left="1040" w:right="20" w:hanging="377"/>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Incyte may, within its commercially reasonable discretion, choose not to develop and commercialize axatilimab in all relevant markets or for one or more indications, if at all; and</w:t>
      </w:r>
    </w:p>
    <w:p>
      <w:pPr>
        <w:spacing w:after="0" w:line="61" w:lineRule="exact"/>
        <w:rPr>
          <w:rFonts w:ascii="Arial" w:cs="Arial" w:eastAsia="Arial" w:hAnsi="Arial"/>
          <w:sz w:val="18"/>
          <w:szCs w:val="18"/>
          <w:color w:val="auto"/>
        </w:rPr>
      </w:pPr>
    </w:p>
    <w:p>
      <w:pPr>
        <w:ind w:left="1040" w:right="360" w:hanging="377"/>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Incyte is acquired during the term of our collaboration, the acquirer may have competing programs or different strategic priorities that could cause it to reduce its commitment to our collaboration or to terminate the collaboration.</w:t>
      </w:r>
    </w:p>
    <w:p>
      <w:pPr>
        <w:spacing w:after="0" w:line="62"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We cannot ensure that the potential strategic benefits and opportunities expected from this collaboration with be realized on our anticipated timeline or at all.</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or our collaborators are unable to enroll patients in clinical trials, these clinical trials may not be completed on a timely basis or at all.</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public health crises, or geopolitical tensions, such as the ongoing war between Russia and Ukraine;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39" w:lineRule="exact"/>
        <w:rPr>
          <w:rFonts w:ascii="Arial" w:cs="Arial" w:eastAsia="Arial" w:hAnsi="Arial"/>
          <w:sz w:val="16"/>
          <w:szCs w:val="16"/>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and nature of the patient population, especially in the case of an orphan indication, we are pursuing;</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obtain and maintain patient consent;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a result of the above factors, there is a risk that our or our collaborators’ clinical trials may not be completed on a timely basis or at all.</w:t>
      </w:r>
    </w:p>
    <w:p>
      <w:pPr>
        <w:spacing w:after="0" w:line="23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16" w:lineRule="exact"/>
        <w:rPr>
          <w:rFonts w:ascii="Arial" w:cs="Arial" w:eastAsia="Arial" w:hAnsi="Arial"/>
          <w:sz w:val="18"/>
          <w:szCs w:val="18"/>
          <w:color w:val="auto"/>
        </w:rPr>
      </w:pPr>
    </w:p>
    <w:p>
      <w:pPr>
        <w:ind w:left="1020" w:right="106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30" w:name="page31"/>
    <w:bookmarkEnd w:id="30"/>
    <w:p>
      <w:pPr>
        <w:ind w:left="1020" w:right="1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1"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1"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61"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4"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16"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1"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1"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1"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We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9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would harm our business.</w:t>
      </w:r>
    </w:p>
    <w:p>
      <w:pPr>
        <w:spacing w:after="0" w:line="62" w:lineRule="exact"/>
        <w:rPr>
          <w:sz w:val="20"/>
          <w:szCs w:val="20"/>
          <w:color w:val="auto"/>
        </w:rPr>
      </w:pPr>
    </w:p>
    <w:p>
      <w:pPr>
        <w:ind w:right="20" w:firstLine="578"/>
        <w:spacing w:after="0" w:line="287" w:lineRule="auto"/>
        <w:rPr>
          <w:sz w:val="20"/>
          <w:szCs w:val="20"/>
          <w:color w:val="auto"/>
        </w:rPr>
      </w:pPr>
      <w:r>
        <w:rPr>
          <w:rFonts w:ascii="Arial" w:cs="Arial" w:eastAsia="Arial" w:hAnsi="Arial"/>
          <w:sz w:val="16"/>
          <w:szCs w:val="16"/>
          <w:color w:val="auto"/>
        </w:rPr>
        <w:t>The FDA and comparable foreign regulatory authorities extensively and rigorously regulate and evaluate the manufacture, testing, distribution, advertising and marketing of drug products prior to granting marketing approvals with respect to such products. This approval process generally requires, at minimum, testing of any product candidate in preclinical studies and clinical trials to establish its safety and effectiveness, and confirmation by the FDA and comparable foreign regulatory authorities that any such product candidate, and any parties involved in its manufacturing, testing and development, complied with current Good Manufacturing Practices, or GMP, current Good Laboratory Practices, or GLP, and current Good Clinical Practices, or GCP, regulations, standards and guidelines during such manufacturing, testing and development. 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ind w:right="440" w:firstLine="623"/>
        <w:spacing w:after="0" w:line="277" w:lineRule="auto"/>
        <w:rPr>
          <w:sz w:val="20"/>
          <w:szCs w:val="20"/>
          <w:color w:val="auto"/>
        </w:rPr>
      </w:pPr>
      <w:r>
        <w:rPr>
          <w:rFonts w:ascii="Arial" w:cs="Arial" w:eastAsia="Arial" w:hAnsi="Arial"/>
          <w:sz w:val="18"/>
          <w:szCs w:val="18"/>
          <w:color w:val="auto"/>
        </w:rPr>
        <w:t>In addition, our product candidates could fail to receive regulatory approval from the FDA or foreign regulatory authorities for other reasons, including but not limited to:</w:t>
      </w:r>
    </w:p>
    <w:p>
      <w:pPr>
        <w:spacing w:after="0" w:line="62"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to demonstrate that our product candidates are effective for their proposed indication and have an acceptable safety profile;</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disagreement with the design, size, conduct or implementation of our or our collaborators’ trials;</w:t>
      </w:r>
    </w:p>
    <w:p>
      <w:pPr>
        <w:spacing w:after="0" w:line="116"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BLA or other submission or to obtain regulatory approval;</w:t>
      </w:r>
    </w:p>
    <w:p>
      <w:pPr>
        <w:spacing w:after="0" w:line="61"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61"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w:t>
      </w:r>
    </w:p>
    <w:p>
      <w:pPr>
        <w:spacing w:after="0" w:line="18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r>
        <w:rPr>
          <w:rFonts w:ascii="Arial" w:cs="Arial" w:eastAsia="Arial" w:hAnsi="Arial"/>
          <w:sz w:val="18"/>
          <w:szCs w:val="18"/>
          <w:i w:val="1"/>
          <w:iCs w:val="1"/>
          <w:color w:val="auto"/>
        </w:rPr>
        <w:t>.</w:t>
      </w:r>
    </w:p>
    <w:p>
      <w:pPr>
        <w:spacing w:after="0" w:line="62" w:lineRule="exact"/>
        <w:rPr>
          <w:sz w:val="20"/>
          <w:szCs w:val="20"/>
          <w:color w:val="auto"/>
        </w:rPr>
      </w:pPr>
    </w:p>
    <w:p>
      <w:pPr>
        <w:ind w:right="120" w:firstLine="578"/>
        <w:spacing w:after="0" w:line="301" w:lineRule="auto"/>
        <w:rPr>
          <w:sz w:val="20"/>
          <w:szCs w:val="20"/>
          <w:color w:val="auto"/>
        </w:rPr>
      </w:pPr>
      <w:r>
        <w:rPr>
          <w:rFonts w:ascii="Arial" w:cs="Arial" w:eastAsia="Arial" w:hAnsi="Arial"/>
          <w:sz w:val="16"/>
          <w:szCs w:val="16"/>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48"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2" w:name="page33"/>
    <w:bookmarkEnd w:id="32"/>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sales and marketing;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117"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rely on third-party suppliers as well as Incyte to manufacture and distribute our clinical drug supplies for our product candidates, we intend to rely on these parties for commercial manufacturing and distribution of our product candidates and we expect to rely on third parties for manufacturing and distribution of preclinical, clinical and commercial supplies of any future product candidates.</w:t>
      </w:r>
    </w:p>
    <w:p>
      <w:pPr>
        <w:spacing w:after="0" w:line="56" w:lineRule="exact"/>
        <w:rPr>
          <w:sz w:val="20"/>
          <w:szCs w:val="20"/>
          <w:color w:val="auto"/>
        </w:rPr>
      </w:pPr>
    </w:p>
    <w:p>
      <w:pPr>
        <w:ind w:right="80" w:firstLine="578"/>
        <w:spacing w:after="0" w:line="256" w:lineRule="auto"/>
        <w:rPr>
          <w:sz w:val="20"/>
          <w:szCs w:val="20"/>
          <w:color w:val="auto"/>
        </w:rPr>
      </w:pPr>
      <w:r>
        <w:rPr>
          <w:rFonts w:ascii="Arial" w:cs="Arial" w:eastAsia="Arial" w:hAnsi="Arial"/>
          <w:sz w:val="18"/>
          <w:szCs w:val="18"/>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and Incyte for the foreseeable future, we do not have direct control over the ability of these parties to maintain adequate manufacturing capacity and capabilities to serve our needs, including quality control, quality assurance and qualified personnel. In additional, public health crises, may impact the ability of our existing or future manufacturers to perform their obligations to us.</w:t>
      </w:r>
    </w:p>
    <w:p>
      <w:pPr>
        <w:spacing w:after="0" w:line="83" w:lineRule="exact"/>
        <w:rPr>
          <w:sz w:val="20"/>
          <w:szCs w:val="20"/>
          <w:color w:val="auto"/>
        </w:rPr>
      </w:pPr>
    </w:p>
    <w:p>
      <w:pPr>
        <w:ind w:right="20" w:firstLine="578"/>
        <w:spacing w:after="0" w:line="287" w:lineRule="auto"/>
        <w:rPr>
          <w:sz w:val="20"/>
          <w:szCs w:val="20"/>
          <w:color w:val="auto"/>
        </w:rPr>
      </w:pPr>
      <w:r>
        <w:rPr>
          <w:rFonts w:ascii="Arial" w:cs="Arial" w:eastAsia="Arial" w:hAnsi="Arial"/>
          <w:sz w:val="16"/>
          <w:szCs w:val="16"/>
          <w:color w:val="auto"/>
        </w:rPr>
        <w:t>We are dependent on our third-party manufacturers and Incyte for compliance with cGMPs and for manufacture of both active drug substances and finished drug products. Facilities used by our third-party manufacturers and Incyte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or Incyte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right="20" w:firstLine="578"/>
        <w:spacing w:after="0" w:line="254" w:lineRule="auto"/>
        <w:rPr>
          <w:sz w:val="20"/>
          <w:szCs w:val="20"/>
          <w:color w:val="auto"/>
        </w:rPr>
      </w:pPr>
      <w:r>
        <w:rPr>
          <w:rFonts w:ascii="Arial" w:cs="Arial" w:eastAsia="Arial" w:hAnsi="Arial"/>
          <w:sz w:val="18"/>
          <w:szCs w:val="18"/>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85" w:lineRule="exact"/>
        <w:rPr>
          <w:sz w:val="20"/>
          <w:szCs w:val="20"/>
          <w:color w:val="auto"/>
        </w:rPr>
      </w:pPr>
    </w:p>
    <w:p>
      <w:pPr>
        <w:ind w:firstLine="578"/>
        <w:spacing w:after="0" w:line="259"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3" w:name="page34"/>
    <w:bookmarkEnd w:id="33"/>
    <w:p>
      <w:pPr>
        <w:ind w:right="320"/>
        <w:spacing w:after="0" w:line="277" w:lineRule="auto"/>
        <w:rPr>
          <w:sz w:val="20"/>
          <w:szCs w:val="20"/>
          <w:color w:val="auto"/>
        </w:rPr>
      </w:pPr>
      <w:r>
        <w:rPr>
          <w:rFonts w:ascii="Arial" w:cs="Arial" w:eastAsia="Arial" w:hAnsi="Arial"/>
          <w:sz w:val="18"/>
          <w:szCs w:val="18"/>
          <w:color w:val="auto"/>
        </w:rPr>
        <w:t>product from the market or suspension of manufacturing, or we may recall the product from distribution. If we, or our third-party manufacturers, fail to comply with applicable regulatory requirements, a regulatory agency may:</w:t>
      </w:r>
    </w:p>
    <w:p>
      <w:pPr>
        <w:spacing w:after="0" w:line="62"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6"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17" w:lineRule="exact"/>
        <w:rPr>
          <w:sz w:val="20"/>
          <w:szCs w:val="20"/>
          <w:color w:val="auto"/>
        </w:rPr>
      </w:pPr>
    </w:p>
    <w:p>
      <w:pPr>
        <w:ind w:right="20" w:firstLine="578"/>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62"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Advertising and promotion of any product candidate that obtains approval in the United States is heavily scrutinized by the FDA’s Office of Prescription Drug Promotion, the Department of Justice, the Department of Health and Human Services’ Office of Inspector General, state attorneys general, members of Congress, other government agencies and the public. While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70" w:lineRule="exact"/>
        <w:rPr>
          <w:sz w:val="20"/>
          <w:szCs w:val="20"/>
          <w:color w:val="auto"/>
        </w:rPr>
      </w:pPr>
    </w:p>
    <w:p>
      <w:pPr>
        <w:ind w:right="40" w:firstLine="578"/>
        <w:spacing w:after="0" w:line="286"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or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p>
    <w:p>
      <w:pPr>
        <w:spacing w:after="0" w:line="170" w:lineRule="exact"/>
        <w:rPr>
          <w:sz w:val="20"/>
          <w:szCs w:val="20"/>
          <w:color w:val="auto"/>
        </w:rPr>
      </w:pPr>
    </w:p>
    <w:p>
      <w:pPr>
        <w:ind w:right="420"/>
        <w:spacing w:after="0" w:line="341"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4" w:name="page35"/>
    <w:bookmarkEnd w:id="34"/>
    <w:p>
      <w:pPr>
        <w:ind w:firstLine="578"/>
        <w:spacing w:after="0" w:line="255"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83"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62"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16"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61" w:lineRule="exact"/>
        <w:rPr>
          <w:rFonts w:ascii="Arial" w:cs="Arial" w:eastAsia="Arial" w:hAnsi="Arial"/>
          <w:sz w:val="18"/>
          <w:szCs w:val="18"/>
          <w:color w:val="auto"/>
        </w:rPr>
      </w:pPr>
    </w:p>
    <w:p>
      <w:pPr>
        <w:ind w:left="1020" w:right="600" w:hanging="503"/>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74"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20" w:firstLine="578"/>
        <w:spacing w:after="0" w:line="307"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right="20" w:firstLine="578"/>
        <w:spacing w:after="0" w:line="268" w:lineRule="auto"/>
        <w:rPr>
          <w:sz w:val="20"/>
          <w:szCs w:val="20"/>
          <w:color w:val="auto"/>
        </w:rPr>
      </w:pPr>
      <w:r>
        <w:rPr>
          <w:rFonts w:ascii="Arial" w:cs="Arial" w:eastAsia="Arial" w:hAnsi="Arial"/>
          <w:sz w:val="17"/>
          <w:szCs w:val="17"/>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5" w:name="page36"/>
    <w:bookmarkEnd w:id="35"/>
    <w:p>
      <w:pPr>
        <w:ind w:right="180" w:firstLine="578"/>
        <w:spacing w:after="0" w:line="282" w:lineRule="auto"/>
        <w:rPr>
          <w:sz w:val="20"/>
          <w:szCs w:val="20"/>
          <w:color w:val="auto"/>
        </w:rPr>
      </w:pPr>
      <w:r>
        <w:rPr>
          <w:rFonts w:ascii="Arial" w:cs="Arial" w:eastAsia="Arial" w:hAnsi="Arial"/>
          <w:sz w:val="16"/>
          <w:szCs w:val="16"/>
          <w:color w:val="auto"/>
        </w:rPr>
        <w:t>Even if any of our product candidates received regulatory approval, such product candidates would face competition from other therapies in the relevant indication. For example, chronic graft versus host disease has historically been managed by off-label treatments. However, in the past several years, the FDA has approved three drugs, ibrutinib (</w:t>
      </w:r>
      <w:r>
        <w:rPr>
          <w:rFonts w:ascii="Arial" w:cs="Arial" w:eastAsia="Arial" w:hAnsi="Arial"/>
          <w:sz w:val="16"/>
          <w:szCs w:val="16"/>
          <w:i w:val="1"/>
          <w:iCs w:val="1"/>
          <w:color w:val="auto"/>
        </w:rPr>
        <w:t>Imbruvica</w:t>
      </w:r>
      <w:r>
        <w:rPr>
          <w:rFonts w:ascii="Arial" w:cs="Arial" w:eastAsia="Arial" w:hAnsi="Arial"/>
          <w:sz w:val="21"/>
          <w:szCs w:val="21"/>
          <w:i w:val="1"/>
          <w:iCs w:val="1"/>
          <w:color w:val="auto"/>
          <w:vertAlign w:val="superscript"/>
        </w:rPr>
        <w:t>®</w:t>
      </w:r>
      <w:r>
        <w:rPr>
          <w:rFonts w:ascii="Arial" w:cs="Arial" w:eastAsia="Arial" w:hAnsi="Arial"/>
          <w:sz w:val="16"/>
          <w:szCs w:val="16"/>
          <w:color w:val="auto"/>
        </w:rPr>
        <w:t>), belomosidil (</w:t>
      </w:r>
      <w:r>
        <w:rPr>
          <w:rFonts w:ascii="Arial" w:cs="Arial" w:eastAsia="Arial" w:hAnsi="Arial"/>
          <w:sz w:val="16"/>
          <w:szCs w:val="16"/>
          <w:i w:val="1"/>
          <w:iCs w:val="1"/>
          <w:color w:val="auto"/>
        </w:rPr>
        <w:t>Rezurock</w:t>
      </w:r>
      <w:r>
        <w:rPr>
          <w:rFonts w:ascii="Arial" w:cs="Arial" w:eastAsia="Arial" w:hAnsi="Arial"/>
          <w:sz w:val="21"/>
          <w:szCs w:val="21"/>
          <w:color w:val="auto"/>
          <w:vertAlign w:val="superscript"/>
        </w:rPr>
        <w:t>®</w:t>
      </w:r>
      <w:r>
        <w:rPr>
          <w:rFonts w:ascii="Arial" w:cs="Arial" w:eastAsia="Arial" w:hAnsi="Arial"/>
          <w:sz w:val="16"/>
          <w:szCs w:val="16"/>
          <w:color w:val="auto"/>
        </w:rPr>
        <w:t>) and ruxolitinib (</w:t>
      </w:r>
      <w:r>
        <w:rPr>
          <w:rFonts w:ascii="Arial" w:cs="Arial" w:eastAsia="Arial" w:hAnsi="Arial"/>
          <w:sz w:val="16"/>
          <w:szCs w:val="16"/>
          <w:i w:val="1"/>
          <w:iCs w:val="1"/>
          <w:color w:val="auto"/>
        </w:rPr>
        <w:t>Jakafi</w:t>
      </w:r>
      <w:r>
        <w:rPr>
          <w:rFonts w:ascii="Arial" w:cs="Arial" w:eastAsia="Arial" w:hAnsi="Arial"/>
          <w:sz w:val="21"/>
          <w:szCs w:val="21"/>
          <w:color w:val="auto"/>
          <w:vertAlign w:val="superscript"/>
        </w:rPr>
        <w:t>®</w:t>
      </w:r>
      <w:r>
        <w:rPr>
          <w:rFonts w:ascii="Arial" w:cs="Arial" w:eastAsia="Arial" w:hAnsi="Arial"/>
          <w:sz w:val="16"/>
          <w:szCs w:val="16"/>
          <w:color w:val="auto"/>
        </w:rPr>
        <w:t>), for use in patients with cGVHD after failure of one or more lines of systemic therapy. All three of these drugs may compete with axatilimab in patients diagnosed with cGVHD.</w:t>
      </w:r>
    </w:p>
    <w:p>
      <w:pPr>
        <w:spacing w:after="0" w:line="52" w:lineRule="exact"/>
        <w:rPr>
          <w:sz w:val="20"/>
          <w:szCs w:val="20"/>
          <w:color w:val="auto"/>
        </w:rPr>
      </w:pPr>
    </w:p>
    <w:p>
      <w:pPr>
        <w:ind w:right="120" w:firstLine="578"/>
        <w:spacing w:after="0" w:line="279" w:lineRule="auto"/>
        <w:rPr>
          <w:sz w:val="20"/>
          <w:szCs w:val="20"/>
          <w:color w:val="auto"/>
        </w:rPr>
      </w:pPr>
      <w:r>
        <w:rPr>
          <w:rFonts w:ascii="Arial" w:cs="Arial" w:eastAsia="Arial" w:hAnsi="Arial"/>
          <w:sz w:val="17"/>
          <w:szCs w:val="17"/>
          <w:color w:val="auto"/>
        </w:rPr>
        <w:t>Revumenib is being developed for the treatment of R/R adult and pediatric patients with KMT2Ar ALL, KMT2Ar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revumenib has the potential to be the first defined therapy for patients with KMT2Ar ALL, KMT2Ar AML and/or NPM1 mutant AML.</w:t>
      </w:r>
    </w:p>
    <w:p>
      <w:pPr>
        <w:spacing w:after="0" w:line="62" w:lineRule="exact"/>
        <w:rPr>
          <w:sz w:val="20"/>
          <w:szCs w:val="20"/>
          <w:color w:val="auto"/>
        </w:rPr>
      </w:pPr>
    </w:p>
    <w:p>
      <w:pPr>
        <w:ind w:right="240" w:firstLine="578"/>
        <w:spacing w:after="0" w:line="291"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17"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39" w:lineRule="exact"/>
        <w:rPr>
          <w:rFonts w:ascii="Arial" w:cs="Arial" w:eastAsia="Arial" w:hAnsi="Arial"/>
          <w:sz w:val="16"/>
          <w:szCs w:val="16"/>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16"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negotiate preferential formulary status for our product candidates.</w:t>
      </w:r>
    </w:p>
    <w:p>
      <w:pPr>
        <w:spacing w:after="0" w:line="117" w:lineRule="exact"/>
        <w:rPr>
          <w:sz w:val="20"/>
          <w:szCs w:val="20"/>
          <w:color w:val="auto"/>
        </w:rPr>
      </w:pPr>
    </w:p>
    <w:p>
      <w:pPr>
        <w:ind w:right="60" w:firstLine="578"/>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Biopharma Sprl, or UCB, to comply with the terms of our license agreement for axatilimab.</w:t>
      </w:r>
    </w:p>
    <w:p>
      <w:pPr>
        <w:spacing w:after="0" w:line="117" w:lineRule="exact"/>
        <w:rPr>
          <w:sz w:val="20"/>
          <w:szCs w:val="20"/>
          <w:color w:val="auto"/>
        </w:rPr>
      </w:pPr>
    </w:p>
    <w:p>
      <w:pPr>
        <w:ind w:right="200" w:firstLine="578"/>
        <w:spacing w:after="0" w:line="273" w:lineRule="auto"/>
        <w:rPr>
          <w:sz w:val="20"/>
          <w:szCs w:val="20"/>
          <w:color w:val="auto"/>
        </w:rPr>
      </w:pPr>
      <w:r>
        <w:rPr>
          <w:rFonts w:ascii="Arial" w:cs="Arial" w:eastAsia="Arial" w:hAnsi="Arial"/>
          <w:sz w:val="17"/>
          <w:szCs w:val="17"/>
          <w:color w:val="auto"/>
        </w:rPr>
        <w:t>Our commercial success also depends upon our ability to develop, manufacture, market and sell axatilimab. We have a worldwide, sublicensable, exclusive license to axatilimab pursuant to a license agreement with UCB.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6" w:name="page37"/>
    <w:bookmarkEnd w:id="36"/>
    <w:p>
      <w:pPr>
        <w:ind w:right="240"/>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2" w:lineRule="exact"/>
        <w:rPr>
          <w:sz w:val="20"/>
          <w:szCs w:val="20"/>
          <w:color w:val="auto"/>
        </w:rPr>
      </w:pPr>
    </w:p>
    <w:p>
      <w:pPr>
        <w:ind w:firstLine="578"/>
        <w:spacing w:after="0" w:line="285"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right="20" w:firstLine="578"/>
        <w:spacing w:after="0" w:line="273" w:lineRule="auto"/>
        <w:rPr>
          <w:sz w:val="20"/>
          <w:szCs w:val="20"/>
          <w:color w:val="auto"/>
        </w:rPr>
      </w:pPr>
      <w:r>
        <w:rPr>
          <w:rFonts w:ascii="Arial" w:cs="Arial" w:eastAsia="Arial" w:hAnsi="Arial"/>
          <w:sz w:val="17"/>
          <w:szCs w:val="17"/>
          <w:color w:val="auto"/>
        </w:rPr>
        <w:t>To succeed, we must recruit, retain, manage and motivate qualified clinical, scientific, technical, commercial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and biopharmaceutical industries is intense and as a result, we may be unable to continue to attract and retain qualified personnel necessary for the development of our business or to recruit suitable replacement personnel.</w:t>
      </w:r>
    </w:p>
    <w:p>
      <w:pPr>
        <w:spacing w:after="0" w:line="68" w:lineRule="exact"/>
        <w:rPr>
          <w:sz w:val="20"/>
          <w:szCs w:val="20"/>
          <w:color w:val="auto"/>
        </w:rPr>
      </w:pPr>
    </w:p>
    <w:p>
      <w:pPr>
        <w:ind w:firstLine="578"/>
        <w:spacing w:after="0" w:line="301"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2" w:lineRule="exact"/>
        <w:rPr>
          <w:sz w:val="20"/>
          <w:szCs w:val="20"/>
          <w:color w:val="auto"/>
        </w:rPr>
      </w:pPr>
    </w:p>
    <w:p>
      <w:pPr>
        <w:ind w:right="140" w:firstLine="578"/>
        <w:spacing w:after="0" w:line="293" w:lineRule="auto"/>
        <w:rPr>
          <w:sz w:val="20"/>
          <w:szCs w:val="20"/>
          <w:color w:val="auto"/>
        </w:rPr>
      </w:pPr>
      <w:r>
        <w:rPr>
          <w:rFonts w:ascii="Arial" w:cs="Arial" w:eastAsia="Arial" w:hAnsi="Arial"/>
          <w:sz w:val="16"/>
          <w:szCs w:val="16"/>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pharmacy benefit managers,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rebates and discounts from list prices and are challenging the prices charged for medical products.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7" w:name="page38"/>
    <w:bookmarkEnd w:id="37"/>
    <w:p>
      <w:pPr>
        <w:ind w:right="320" w:firstLine="578"/>
        <w:spacing w:after="0" w:line="263"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p>
    <w:p>
      <w:pPr>
        <w:spacing w:after="0" w:line="75"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There may be significant delays in obtaining adequate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marketing,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75" w:lineRule="exact"/>
        <w:rPr>
          <w:sz w:val="20"/>
          <w:szCs w:val="20"/>
          <w:color w:val="auto"/>
        </w:rPr>
      </w:pPr>
    </w:p>
    <w:p>
      <w:pPr>
        <w:ind w:right="60" w:firstLine="578"/>
        <w:spacing w:after="0" w:line="254" w:lineRule="auto"/>
        <w:rPr>
          <w:sz w:val="20"/>
          <w:szCs w:val="20"/>
          <w:color w:val="auto"/>
        </w:rPr>
      </w:pPr>
      <w:r>
        <w:rPr>
          <w:rFonts w:ascii="Arial" w:cs="Arial" w:eastAsia="Arial" w:hAnsi="Arial"/>
          <w:sz w:val="18"/>
          <w:szCs w:val="18"/>
          <w:color w:val="auto"/>
        </w:rPr>
        <w:t>Private payors often follow decisions by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85" w:lineRule="exact"/>
        <w:rPr>
          <w:sz w:val="20"/>
          <w:szCs w:val="20"/>
          <w:color w:val="auto"/>
        </w:rPr>
      </w:pPr>
    </w:p>
    <w:p>
      <w:pPr>
        <w:ind w:right="20" w:firstLine="578"/>
        <w:spacing w:after="0" w:line="270" w:lineRule="auto"/>
        <w:rPr>
          <w:sz w:val="20"/>
          <w:szCs w:val="20"/>
          <w:color w:val="auto"/>
        </w:rPr>
      </w:pPr>
      <w:r>
        <w:rPr>
          <w:rFonts w:ascii="Arial" w:cs="Arial" w:eastAsia="Arial" w:hAnsi="Arial"/>
          <w:sz w:val="17"/>
          <w:szCs w:val="17"/>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75" w:lineRule="exact"/>
        <w:rPr>
          <w:sz w:val="20"/>
          <w:szCs w:val="20"/>
          <w:color w:val="auto"/>
        </w:rPr>
      </w:pPr>
    </w:p>
    <w:p>
      <w:pPr>
        <w:ind w:right="220" w:firstLine="578"/>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51" w:lineRule="exact"/>
        <w:rPr>
          <w:sz w:val="20"/>
          <w:szCs w:val="20"/>
          <w:color w:val="auto"/>
        </w:rPr>
      </w:pPr>
    </w:p>
    <w:p>
      <w:pPr>
        <w:jc w:val="both"/>
        <w:ind w:right="80" w:firstLine="578"/>
        <w:spacing w:after="0" w:line="263"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w:t>
      </w:r>
    </w:p>
    <w:p>
      <w:pPr>
        <w:spacing w:after="0" w:line="75" w:lineRule="exact"/>
        <w:rPr>
          <w:sz w:val="20"/>
          <w:szCs w:val="20"/>
          <w:color w:val="auto"/>
        </w:rPr>
      </w:pPr>
    </w:p>
    <w:p>
      <w:pPr>
        <w:ind w:right="300" w:firstLine="578"/>
        <w:spacing w:after="0" w:line="311" w:lineRule="auto"/>
        <w:rPr>
          <w:sz w:val="20"/>
          <w:szCs w:val="20"/>
          <w:color w:val="auto"/>
        </w:rPr>
      </w:pPr>
      <w:r>
        <w:rPr>
          <w:rFonts w:ascii="Arial" w:cs="Arial" w:eastAsia="Arial" w:hAnsi="Arial"/>
          <w:sz w:val="16"/>
          <w:szCs w:val="16"/>
          <w:color w:val="auto"/>
        </w:rPr>
        <w:t>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w:t>
      </w:r>
    </w:p>
    <w:p>
      <w:pPr>
        <w:spacing w:after="0" w:line="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have been executive, judicial and Congressional challenges to certain aspects of the Affordable Care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ind w:right="80" w:firstLine="578"/>
        <w:spacing w:after="0" w:line="288" w:lineRule="auto"/>
        <w:rPr>
          <w:sz w:val="20"/>
          <w:szCs w:val="20"/>
          <w:color w:val="auto"/>
        </w:rPr>
      </w:pPr>
      <w:r>
        <w:rPr>
          <w:rFonts w:ascii="Arial" w:cs="Arial" w:eastAsia="Arial" w:hAnsi="Arial"/>
          <w:sz w:val="16"/>
          <w:szCs w:val="16"/>
          <w:color w:val="auto"/>
        </w:rPr>
        <w:t>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On August 16, 2022, President Biden signed the Inflation Reduction Act of 2022 or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costs through a newly established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58" w:lineRule="exact"/>
        <w:rPr>
          <w:sz w:val="20"/>
          <w:szCs w:val="20"/>
          <w:color w:val="auto"/>
        </w:rPr>
      </w:pPr>
    </w:p>
    <w:p>
      <w:pPr>
        <w:ind w:right="80" w:firstLine="578"/>
        <w:spacing w:after="0" w:line="259" w:lineRule="auto"/>
        <w:rPr>
          <w:sz w:val="20"/>
          <w:szCs w:val="20"/>
          <w:color w:val="auto"/>
        </w:rPr>
      </w:pPr>
      <w:r>
        <w:rPr>
          <w:rFonts w:ascii="Arial" w:cs="Arial" w:eastAsia="Arial" w:hAnsi="Arial"/>
          <w:sz w:val="18"/>
          <w:szCs w:val="18"/>
          <w:color w:val="auto"/>
        </w:rPr>
        <w:t>Other legislative changes have been proposed and adopted since the Affordable Care Act was enacted. These changes include aggregate reductions to Medicare payments to providers of up to 2% per fiscal year, which began in 2013, and due to subsequent legislative amendments to the statute, will remain in effect through 2031 unless additional Congressional action is taken. Under current legislation, the actual reduction in Medicare payments will vary from 1% in 2022 to up to 4% in the final fiscal year of this sequester.</w:t>
      </w:r>
    </w:p>
    <w:p>
      <w:pPr>
        <w:spacing w:after="0" w:line="77" w:lineRule="exact"/>
        <w:rPr>
          <w:sz w:val="20"/>
          <w:szCs w:val="20"/>
          <w:color w:val="auto"/>
        </w:rPr>
      </w:pPr>
    </w:p>
    <w:p>
      <w:pPr>
        <w:ind w:right="100" w:firstLine="578"/>
        <w:spacing w:after="0" w:line="256" w:lineRule="auto"/>
        <w:rPr>
          <w:sz w:val="20"/>
          <w:szCs w:val="20"/>
          <w:color w:val="auto"/>
        </w:rPr>
      </w:pPr>
      <w:r>
        <w:rPr>
          <w:rFonts w:ascii="Arial" w:cs="Arial" w:eastAsia="Arial" w:hAnsi="Arial"/>
          <w:sz w:val="18"/>
          <w:szCs w:val="18"/>
          <w:color w:val="auto"/>
        </w:rPr>
        <w:t>Additional changes that may affect our business include the expansion of new programs such as Medicare payment for performance initiatives for physicians under the Medicare Access and CHIP Reauthorization Act of 2015, or MACRA, which ended the use of the statutory formula and established a quality payment program, also referred to as the Quality Payment Program. In November 2019, CMS issued a final rule finalizing the changes to the Quality Payment Program. At this time, the full impact to overall physician reimbursement as a result of the introduction of the Quality Payment Program remains unclear.</w:t>
      </w:r>
    </w:p>
    <w:p>
      <w:pPr>
        <w:spacing w:after="0" w:line="83" w:lineRule="exact"/>
        <w:rPr>
          <w:sz w:val="20"/>
          <w:szCs w:val="20"/>
          <w:color w:val="auto"/>
        </w:rPr>
      </w:pPr>
    </w:p>
    <w:p>
      <w:pPr>
        <w:ind w:firstLine="578"/>
        <w:spacing w:after="0" w:line="285" w:lineRule="auto"/>
        <w:rPr>
          <w:sz w:val="20"/>
          <w:szCs w:val="20"/>
          <w:color w:val="auto"/>
        </w:rPr>
      </w:pPr>
      <w:r>
        <w:rPr>
          <w:rFonts w:ascii="Arial" w:cs="Arial" w:eastAsia="Arial" w:hAnsi="Arial"/>
          <w:sz w:val="16"/>
          <w:szCs w:val="16"/>
          <w:color w:val="auto"/>
        </w:rPr>
        <w:t>Also, there has been heightened governmental scrutiny recently over the manner in which drug manufacturers set prices for their marketed products, which have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in July 2021, the Biden administration released an executive order, “Promoting Competition in the American Economy,” with multiple provisions aimed at prescription drugs. In response to President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the Secretary of HHS to negotiate the price of certain high-expenditure, single-source drugs and biologics covered under Medicare Part B and Medicare Part D, and subjects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These provisions will take effect progressively starting in fiscal year 2023, although they may be subject to legal challenges. Further, the Biden administration released an additional executive order on October 14, 2022, directing HHS to report on how the Center for Medicare and Medicaid Innovation can be further leveraged to test new models for lowering drug costs for Medicare and Medicaid beneficiaries. At the state level, legislatures have increasingly passed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4" w:lineRule="exact"/>
        <w:rPr>
          <w:sz w:val="20"/>
          <w:szCs w:val="20"/>
          <w:color w:val="auto"/>
        </w:rPr>
      </w:pPr>
    </w:p>
    <w:p>
      <w:pPr>
        <w:ind w:right="20" w:firstLine="578"/>
        <w:spacing w:after="0" w:line="275" w:lineRule="auto"/>
        <w:rPr>
          <w:sz w:val="20"/>
          <w:szCs w:val="20"/>
          <w:color w:val="auto"/>
        </w:rPr>
      </w:pPr>
      <w:r>
        <w:rPr>
          <w:rFonts w:ascii="Arial" w:cs="Arial" w:eastAsia="Arial" w:hAnsi="Arial"/>
          <w:sz w:val="17"/>
          <w:szCs w:val="17"/>
          <w:color w:val="auto"/>
        </w:rPr>
        <w:t>We expect these and other healthcare reform measures that may be adopted in the future, may result in more rigorous coverage criteria and in additional downward pressure on the price that we receive for any approved drug. For example, based on a recent executive order, the Biden administration expressed its intent to pursue certain policy initiatives to reduce drug prices.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We are in the process of building our sales, marketing and distribution infrastructure.</w:t>
      </w:r>
    </w:p>
    <w:p>
      <w:pPr>
        <w:spacing w:after="0" w:line="117" w:lineRule="exact"/>
        <w:rPr>
          <w:sz w:val="20"/>
          <w:szCs w:val="20"/>
          <w:color w:val="auto"/>
        </w:rPr>
      </w:pPr>
    </w:p>
    <w:p>
      <w:pPr>
        <w:ind w:firstLine="578"/>
        <w:spacing w:after="0" w:line="301" w:lineRule="auto"/>
        <w:rPr>
          <w:sz w:val="20"/>
          <w:szCs w:val="20"/>
          <w:color w:val="auto"/>
        </w:rPr>
      </w:pPr>
      <w:r>
        <w:rPr>
          <w:rFonts w:ascii="Arial" w:cs="Arial" w:eastAsia="Arial" w:hAnsi="Arial"/>
          <w:sz w:val="16"/>
          <w:szCs w:val="16"/>
          <w:color w:val="auto"/>
        </w:rPr>
        <w:t>In order to market any approved product candidate in the future, we must build our sales, marketing, distribution, managerial and other non-technical capabilities or make arrangements with third parties to perform these services, as we do not presently have all of these capabilities. To develop our internal sales, distribution and marketing capabilities, we must invest significant amounts of financial and management resources in the future. For drugs where we decide to perform sales, marketing and distribution functions ourselves, we could face a number of challenges, including that:</w:t>
      </w:r>
    </w:p>
    <w:p>
      <w:pPr>
        <w:spacing w:after="0" w:line="48"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attract and build an effective marketing or sales organization;</w:t>
      </w:r>
    </w:p>
    <w:p>
      <w:pPr>
        <w:spacing w:after="0" w:line="116"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16" w:lineRule="exact"/>
        <w:rPr>
          <w:rFonts w:ascii="Arial" w:cs="Arial" w:eastAsia="Arial" w:hAnsi="Arial"/>
          <w:sz w:val="18"/>
          <w:szCs w:val="18"/>
          <w:color w:val="auto"/>
        </w:rPr>
      </w:pPr>
    </w:p>
    <w:p>
      <w:pPr>
        <w:ind w:left="1020" w:right="140" w:hanging="503"/>
        <w:spacing w:after="0" w:line="26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spacing w:after="0" w:line="75" w:lineRule="exact"/>
        <w:rPr>
          <w:sz w:val="20"/>
          <w:szCs w:val="20"/>
          <w:color w:val="auto"/>
        </w:rPr>
      </w:pPr>
    </w:p>
    <w:p>
      <w:pPr>
        <w:ind w:right="240" w:firstLine="578"/>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our product candidates.</w:t>
      </w:r>
    </w:p>
    <w:p>
      <w:pPr>
        <w:spacing w:after="0" w:line="128" w:lineRule="exact"/>
        <w:rPr>
          <w:sz w:val="20"/>
          <w:szCs w:val="20"/>
          <w:color w:val="auto"/>
        </w:rPr>
      </w:pPr>
    </w:p>
    <w:p>
      <w:pPr>
        <w:ind w:right="200" w:firstLine="578"/>
        <w:spacing w:after="0" w:line="256"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83"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sz w:val="20"/>
          <w:szCs w:val="20"/>
          <w:color w:val="auto"/>
        </w:rPr>
      </w:pPr>
    </w:p>
    <w:p>
      <w:pPr>
        <w:ind w:right="80" w:firstLine="578"/>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ind w:right="180"/>
        <w:spacing w:after="0" w:line="301" w:lineRule="auto"/>
        <w:rPr>
          <w:sz w:val="20"/>
          <w:szCs w:val="20"/>
          <w:color w:val="auto"/>
        </w:rPr>
      </w:pPr>
      <w:r>
        <w:rPr>
          <w:rFonts w:ascii="Arial" w:cs="Arial" w:eastAsia="Arial" w:hAnsi="Arial"/>
          <w:sz w:val="16"/>
          <w:szCs w:val="16"/>
          <w:b w:val="1"/>
          <w:bCs w:val="1"/>
          <w:i w:val="1"/>
          <w:iCs w:val="1"/>
          <w:color w:val="auto"/>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48" w:lineRule="exact"/>
        <w:rPr>
          <w:sz w:val="20"/>
          <w:szCs w:val="20"/>
          <w:color w:val="auto"/>
        </w:rPr>
      </w:pPr>
    </w:p>
    <w:p>
      <w:pPr>
        <w:ind w:right="40" w:firstLine="578"/>
        <w:spacing w:after="0" w:line="275" w:lineRule="auto"/>
        <w:rPr>
          <w:sz w:val="20"/>
          <w:szCs w:val="20"/>
          <w:color w:val="auto"/>
        </w:rPr>
      </w:pPr>
      <w:r>
        <w:rPr>
          <w:rFonts w:ascii="Arial" w:cs="Arial" w:eastAsia="Arial" w:hAnsi="Arial"/>
          <w:sz w:val="17"/>
          <w:szCs w:val="17"/>
          <w:color w:val="auto"/>
        </w:rPr>
        <w:t>Healthcare providers, including physicians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67" w:lineRule="exact"/>
        <w:rPr>
          <w:sz w:val="20"/>
          <w:szCs w:val="20"/>
          <w:color w:val="auto"/>
        </w:rPr>
      </w:pPr>
    </w:p>
    <w:p>
      <w:pPr>
        <w:ind w:left="1020" w:right="100" w:hanging="503"/>
        <w:spacing w:after="0" w:line="279"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61" w:lineRule="exact"/>
        <w:rPr>
          <w:rFonts w:ascii="Arial" w:cs="Arial" w:eastAsia="Arial" w:hAnsi="Arial"/>
          <w:sz w:val="17"/>
          <w:szCs w:val="17"/>
          <w:color w:val="auto"/>
        </w:rPr>
      </w:pPr>
    </w:p>
    <w:p>
      <w:pPr>
        <w:ind w:left="1020" w:right="20" w:hanging="503"/>
        <w:spacing w:after="0" w:line="25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77" w:lineRule="exact"/>
        <w:rPr>
          <w:rFonts w:ascii="Arial" w:cs="Arial" w:eastAsia="Arial" w:hAnsi="Arial"/>
          <w:sz w:val="18"/>
          <w:szCs w:val="18"/>
          <w:color w:val="auto"/>
        </w:rPr>
      </w:pPr>
    </w:p>
    <w:p>
      <w:pPr>
        <w:ind w:left="1020" w:right="20" w:hanging="503"/>
        <w:spacing w:after="0" w:line="254"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84" w:lineRule="exact"/>
        <w:rPr>
          <w:rFonts w:ascii="Arial" w:cs="Arial" w:eastAsia="Arial" w:hAnsi="Arial"/>
          <w:sz w:val="18"/>
          <w:szCs w:val="18"/>
          <w:color w:val="auto"/>
        </w:rPr>
      </w:pPr>
    </w:p>
    <w:p>
      <w:pPr>
        <w:ind w:left="1020" w:hanging="503"/>
        <w:spacing w:after="0" w:line="25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spacing w:after="0" w:line="82" w:lineRule="exact"/>
        <w:rPr>
          <w:rFonts w:ascii="Arial" w:cs="Arial" w:eastAsia="Arial" w:hAnsi="Arial"/>
          <w:sz w:val="18"/>
          <w:szCs w:val="18"/>
          <w:color w:val="auto"/>
        </w:rPr>
      </w:pPr>
    </w:p>
    <w:p>
      <w:pPr>
        <w:ind w:left="1020" w:hanging="503"/>
        <w:spacing w:after="0" w:line="273"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(as defined above) and their immediate family members; and</w:t>
      </w:r>
    </w:p>
    <w:p>
      <w:pPr>
        <w:spacing w:after="0" w:line="68" w:lineRule="exact"/>
        <w:rPr>
          <w:rFonts w:ascii="Arial" w:cs="Arial" w:eastAsia="Arial" w:hAnsi="Arial"/>
          <w:sz w:val="17"/>
          <w:szCs w:val="17"/>
          <w:color w:val="auto"/>
        </w:rPr>
      </w:pPr>
    </w:p>
    <w:p>
      <w:pPr>
        <w:ind w:left="1020" w:right="40" w:hanging="503"/>
        <w:spacing w:after="0" w:line="25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1" w:name="page42"/>
    <w:bookmarkEnd w:id="41"/>
    <w:p>
      <w:pPr>
        <w:ind w:left="1020" w:right="140"/>
        <w:spacing w:after="0" w:line="253" w:lineRule="auto"/>
        <w:rPr>
          <w:sz w:val="20"/>
          <w:szCs w:val="20"/>
          <w:color w:val="auto"/>
        </w:rPr>
      </w:pPr>
      <w:r>
        <w:rPr>
          <w:rFonts w:ascii="Arial" w:cs="Arial" w:eastAsia="Arial" w:hAnsi="Arial"/>
          <w:sz w:val="18"/>
          <w:szCs w:val="18"/>
          <w:color w:val="auto"/>
        </w:rPr>
        <w:t>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88" w:lineRule="exact"/>
        <w:rPr>
          <w:sz w:val="20"/>
          <w:szCs w:val="20"/>
          <w:color w:val="auto"/>
        </w:rPr>
      </w:pPr>
    </w:p>
    <w:p>
      <w:pPr>
        <w:ind w:firstLine="578"/>
        <w:spacing w:after="0" w:line="287" w:lineRule="auto"/>
        <w:rPr>
          <w:sz w:val="20"/>
          <w:szCs w:val="20"/>
          <w:color w:val="auto"/>
        </w:rPr>
      </w:pPr>
      <w:r>
        <w:rPr>
          <w:rFonts w:ascii="Arial" w:cs="Arial" w:eastAsia="Arial" w:hAnsi="Arial"/>
          <w:sz w:val="16"/>
          <w:szCs w:val="16"/>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2" w:lineRule="exact"/>
        <w:rPr>
          <w:sz w:val="20"/>
          <w:szCs w:val="20"/>
          <w:color w:val="auto"/>
        </w:rPr>
      </w:pPr>
    </w:p>
    <w:p>
      <w:pPr>
        <w:ind w:firstLine="578"/>
        <w:spacing w:after="0" w:line="285" w:lineRule="auto"/>
        <w:rPr>
          <w:sz w:val="20"/>
          <w:szCs w:val="20"/>
          <w:color w:val="auto"/>
        </w:rPr>
      </w:pPr>
      <w:r>
        <w:rPr>
          <w:rFonts w:ascii="Arial" w:cs="Arial" w:eastAsia="Arial" w:hAnsi="Arial"/>
          <w:sz w:val="16"/>
          <w:szCs w:val="16"/>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In addition, following the onset of the COVID-19 pandemic, we enabled substantially all of our employees to work remotely (and currently offer a hybrid-work environment), which may make us more vulnerable to cyberattacks.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ind w:right="20" w:firstLine="578"/>
        <w:spacing w:after="0" w:line="254"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85"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 Further, because of the work-from-home policies we implemented due to COVID-19, information that is normally protected, including company confidential information, may be less secure.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net losses since our inception, except 2021, and anticipate that we will continue to incur net losses for the foreseeable future.</w:t>
      </w:r>
    </w:p>
    <w:p>
      <w:pPr>
        <w:spacing w:after="0" w:line="140"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 except in 2021.</w:t>
      </w:r>
    </w:p>
    <w:p>
      <w:pPr>
        <w:spacing w:after="0" w:line="8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For the year ended December 31, 2022, we reported a net loss of $149.3 million. As of December 31, 2022, we had an accumulated deficit of $693.0 million, which included non-cash charges for stock-based compensation, preferred stock accretion and historical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ind w:right="260"/>
        <w:spacing w:after="0" w:line="277" w:lineRule="auto"/>
        <w:rPr>
          <w:sz w:val="20"/>
          <w:szCs w:val="20"/>
          <w:color w:val="auto"/>
        </w:rPr>
      </w:pPr>
      <w:r>
        <w:rPr>
          <w:rFonts w:ascii="Arial" w:cs="Arial" w:eastAsia="Arial" w:hAnsi="Arial"/>
          <w:sz w:val="18"/>
          <w:szCs w:val="18"/>
          <w:color w:val="auto"/>
        </w:rPr>
        <w:t>expenses and our ability to generate revenues, if any. Our prior losses and expected future losses have had and will continue to have an adverse effect on our stockholders’ equity and working capital.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jc w:val="both"/>
        <w:ind w:right="120" w:firstLine="578"/>
        <w:spacing w:after="0" w:line="263"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5"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16" w:lineRule="exact"/>
        <w:rPr>
          <w:rFonts w:ascii="Arial" w:cs="Arial" w:eastAsia="Arial" w:hAnsi="Arial"/>
          <w:sz w:val="18"/>
          <w:szCs w:val="18"/>
          <w:color w:val="auto"/>
        </w:rPr>
      </w:pPr>
    </w:p>
    <w:p>
      <w:pPr>
        <w:ind w:left="1020" w:right="4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16"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117" w:lineRule="exact"/>
        <w:rPr>
          <w:sz w:val="20"/>
          <w:szCs w:val="20"/>
          <w:color w:val="auto"/>
        </w:rPr>
      </w:pPr>
    </w:p>
    <w:p>
      <w:pPr>
        <w:ind w:firstLine="578"/>
        <w:spacing w:after="0" w:line="256" w:lineRule="auto"/>
        <w:rPr>
          <w:sz w:val="20"/>
          <w:szCs w:val="20"/>
          <w:color w:val="auto"/>
        </w:rPr>
      </w:pPr>
      <w:r>
        <w:rPr>
          <w:rFonts w:ascii="Arial" w:cs="Arial" w:eastAsia="Arial" w:hAnsi="Arial"/>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83" w:lineRule="exact"/>
        <w:rPr>
          <w:sz w:val="20"/>
          <w:szCs w:val="20"/>
          <w:color w:val="auto"/>
        </w:rPr>
      </w:pPr>
    </w:p>
    <w:p>
      <w:pPr>
        <w:ind w:right="120" w:firstLine="584"/>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5" w:lineRule="exact"/>
        <w:rPr>
          <w:sz w:val="20"/>
          <w:szCs w:val="20"/>
          <w:color w:val="auto"/>
        </w:rPr>
      </w:pPr>
    </w:p>
    <w:p>
      <w:pPr>
        <w:ind w:right="60" w:firstLine="578"/>
        <w:spacing w:after="0" w:line="293"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global economic slowdown, including any recessions that have occurred or may occur in the future. In addition, we may discover that we need to conduct additional activities that exceed our current budget to achieve appropriate rates of patient enrollment, which would increase our development costs.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ind w:firstLine="578"/>
        <w:spacing w:after="0" w:line="263"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w:t>
      </w:r>
    </w:p>
    <w:p>
      <w:pPr>
        <w:spacing w:after="0" w:line="75" w:lineRule="exact"/>
        <w:rPr>
          <w:sz w:val="20"/>
          <w:szCs w:val="20"/>
          <w:color w:val="auto"/>
        </w:rPr>
      </w:pPr>
    </w:p>
    <w:p>
      <w:pPr>
        <w:ind w:right="40" w:firstLine="578"/>
        <w:spacing w:after="0" w:line="270" w:lineRule="auto"/>
        <w:rPr>
          <w:sz w:val="20"/>
          <w:szCs w:val="20"/>
          <w:color w:val="auto"/>
        </w:rPr>
      </w:pPr>
      <w:r>
        <w:rPr>
          <w:rFonts w:ascii="Arial" w:cs="Arial" w:eastAsia="Arial" w:hAnsi="Arial"/>
          <w:sz w:val="17"/>
          <w:szCs w:val="17"/>
          <w:color w:val="auto"/>
        </w:rPr>
        <w:t>While the long-term economic impact of either the COVID-19 pandemic or the war between Russia and Ukraine is difficult to assess or predict, each of these events has caused significant disruptions to the global financial markets and contributed to a general global economic slowdown. Furthermore, inflation rates have increased recently to levels not seen in decades. Increased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If the disruptions and slowdown deepen or persist, we may not be able to access additional capital on favorable terms, or at all, which could in the future negatively affect our financial condition and our ability to pursue our business strategy. We cannot guarantee that future financing will be available in sufficient amounts or on terms acceptable to us, if at all. If we do not raise additional capital when required or on acceptable terms, we may need to:</w:t>
      </w:r>
    </w:p>
    <w:p>
      <w:pPr>
        <w:spacing w:after="0" w:line="70"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delay, scale back or discontinue the development or commercialization of our product candidates or cease operations altogether;</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16"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62" w:lineRule="exact"/>
        <w:rPr>
          <w:sz w:val="20"/>
          <w:szCs w:val="20"/>
          <w:color w:val="auto"/>
        </w:rPr>
      </w:pPr>
    </w:p>
    <w:p>
      <w:pPr>
        <w:ind w:right="140" w:firstLine="578"/>
        <w:spacing w:after="0" w:line="307"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16" w:lineRule="exact"/>
        <w:rPr>
          <w:rFonts w:ascii="Arial" w:cs="Arial" w:eastAsia="Arial" w:hAnsi="Arial"/>
          <w:sz w:val="18"/>
          <w:szCs w:val="18"/>
          <w:color w:val="auto"/>
        </w:rPr>
      </w:pPr>
    </w:p>
    <w:p>
      <w:pPr>
        <w:ind w:left="1020" w:right="340" w:hanging="503"/>
        <w:spacing w:after="0" w:line="307"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9" w:lineRule="exact"/>
        <w:rPr>
          <w:rFonts w:ascii="Arial" w:cs="Arial" w:eastAsia="Arial" w:hAnsi="Arial"/>
          <w:sz w:val="17"/>
          <w:szCs w:val="17"/>
          <w:color w:val="auto"/>
        </w:rPr>
      </w:pPr>
    </w:p>
    <w:p>
      <w:pPr>
        <w:jc w:val="both"/>
        <w:ind w:left="1020" w:right="300" w:hanging="503"/>
        <w:spacing w:after="0" w:line="26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4"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16"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1"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and timing for obtaining pricing, and coverage and reimbursement by third-party payors, which may require additional trials to address pharmacoeconomic benefit;</w:t>
      </w:r>
    </w:p>
    <w:p>
      <w:pPr>
        <w:spacing w:after="0" w:line="61"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6"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as we grow our company;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ind w:left="1020" w:right="300" w:hanging="503"/>
        <w:spacing w:after="0" w:line="26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or the perception that hostilities may be imminent (such as the ongoing war between Russia and Ukraine), terrorism, natural disasters, including earthquakes, typhoons, floods and fires, or public health crises.</w:t>
      </w:r>
    </w:p>
    <w:p>
      <w:pPr>
        <w:spacing w:after="0" w:line="75" w:lineRule="exact"/>
        <w:rPr>
          <w:sz w:val="20"/>
          <w:szCs w:val="20"/>
          <w:color w:val="auto"/>
        </w:rPr>
      </w:pPr>
    </w:p>
    <w:p>
      <w:pPr>
        <w:ind w:right="120" w:firstLine="578"/>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our company.</w:t>
      </w:r>
    </w:p>
    <w:p>
      <w:pPr>
        <w:spacing w:after="0" w:line="117" w:lineRule="exact"/>
        <w:rPr>
          <w:sz w:val="20"/>
          <w:szCs w:val="20"/>
          <w:color w:val="auto"/>
        </w:rPr>
      </w:pPr>
    </w:p>
    <w:p>
      <w:pPr>
        <w:ind w:firstLine="578"/>
        <w:spacing w:after="0" w:line="268" w:lineRule="auto"/>
        <w:rPr>
          <w:sz w:val="20"/>
          <w:szCs w:val="20"/>
          <w:color w:val="auto"/>
        </w:rPr>
      </w:pPr>
      <w:r>
        <w:rPr>
          <w:rFonts w:ascii="Arial" w:cs="Arial" w:eastAsia="Arial" w:hAnsi="Arial"/>
          <w:sz w:val="17"/>
          <w:szCs w:val="17"/>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which collectively may impact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Most recently, the IRA included a number of significant drug pricing reforms, including the establishment of a drug price negotiation program within the U.S. Department of Health and Human Services that would require pharmaceutical manufacturers to charge a negotiated "maximum fair price" for certain selected drugs or pay an excise tax for noncompliance, the establishment of rebate payment requirements on manufacturers under Medicare Parts B and D to penalize price increases that outpace inflation, and a redesign of the Part D benefit, as part of which manufacturers are required to provide discounts on Part D drugs and Part D beneficiaries' annual out-of-pocket spending will be capped at $2,000 beginning in 2025. The impact of changes under the Tax Act, the CARES Act, the IRA, or future reform legislation could increase our future U.S. tax expense and could have a material adverse impact on our business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last completed an analysis through December 31, 2020 and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20" w:firstLine="578"/>
        <w:spacing w:after="0" w:line="256"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ind w:right="20" w:firstLine="578"/>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70" w:lineRule="exact"/>
        <w:rPr>
          <w:sz w:val="20"/>
          <w:szCs w:val="20"/>
          <w:color w:val="auto"/>
        </w:rPr>
      </w:pPr>
    </w:p>
    <w:p>
      <w:pPr>
        <w:ind w:firstLine="578"/>
        <w:spacing w:after="0" w:line="284"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70" w:lineRule="exact"/>
        <w:rPr>
          <w:sz w:val="20"/>
          <w:szCs w:val="20"/>
          <w:color w:val="auto"/>
        </w:rPr>
      </w:pPr>
    </w:p>
    <w:p>
      <w:pPr>
        <w:ind w:right="100" w:firstLine="578"/>
        <w:spacing w:after="0" w:line="256"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83" w:lineRule="exact"/>
        <w:rPr>
          <w:sz w:val="20"/>
          <w:szCs w:val="20"/>
          <w:color w:val="auto"/>
        </w:rPr>
      </w:pPr>
    </w:p>
    <w:p>
      <w:pPr>
        <w:ind w:right="60" w:firstLine="578"/>
        <w:spacing w:after="0" w:line="270"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United States Patent and Trademark Office, or the USPTO, re-issued the ‘166 patent as U.S. patent RE45,499. RE45,499 reissued with</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spacing w:after="0" w:line="259" w:lineRule="auto"/>
        <w:rPr>
          <w:sz w:val="20"/>
          <w:szCs w:val="20"/>
          <w:color w:val="auto"/>
        </w:rPr>
      </w:pPr>
      <w:r>
        <w:rPr>
          <w:rFonts w:ascii="Arial" w:cs="Arial" w:eastAsia="Arial" w:hAnsi="Arial"/>
          <w:sz w:val="18"/>
          <w:szCs w:val="18"/>
          <w:color w:val="auto"/>
        </w:rPr>
        <w:t>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77" w:lineRule="exact"/>
        <w:rPr>
          <w:sz w:val="20"/>
          <w:szCs w:val="20"/>
          <w:color w:val="auto"/>
        </w:rPr>
      </w:pPr>
    </w:p>
    <w:p>
      <w:pPr>
        <w:ind w:right="20" w:firstLine="578"/>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68" w:lineRule="exact"/>
        <w:rPr>
          <w:sz w:val="20"/>
          <w:szCs w:val="20"/>
          <w:color w:val="auto"/>
        </w:rPr>
      </w:pPr>
    </w:p>
    <w:p>
      <w:pPr>
        <w:ind w:right="40" w:firstLine="578"/>
        <w:spacing w:after="0" w:line="271" w:lineRule="auto"/>
        <w:rPr>
          <w:sz w:val="20"/>
          <w:szCs w:val="20"/>
          <w:color w:val="auto"/>
        </w:rPr>
      </w:pPr>
      <w:r>
        <w:rPr>
          <w:rFonts w:ascii="Arial" w:cs="Arial" w:eastAsia="Arial" w:hAnsi="Arial"/>
          <w:sz w:val="17"/>
          <w:szCs w:val="17"/>
          <w:color w:val="auto"/>
        </w:rPr>
        <w:t>The portfolio that we licensed from UCB includes granted patents and applications with pending claims directed to the composition of matter of axatilimab (a humanized, full-length IgG4 (kappa light chain) antibody with high affinity for the CSF-1R) as 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methods of using axatilimab, or formulations of axatilimab. Based on the priority date and filing date of the applications in the portfolio we licensed from UCB, we expect that additional patents, if any, granted based on the currently pending applications would expire in 2036. The actual term of any patents granted based on the pending applications we licensed from UCB can only be determined after such patents are actually granted.</w:t>
      </w:r>
    </w:p>
    <w:p>
      <w:pPr>
        <w:spacing w:after="0" w:line="73" w:lineRule="exact"/>
        <w:rPr>
          <w:sz w:val="20"/>
          <w:szCs w:val="20"/>
          <w:color w:val="auto"/>
        </w:rPr>
      </w:pPr>
    </w:p>
    <w:p>
      <w:pPr>
        <w:ind w:right="20" w:firstLine="578"/>
        <w:spacing w:after="0" w:line="253" w:lineRule="auto"/>
        <w:rPr>
          <w:sz w:val="20"/>
          <w:szCs w:val="20"/>
          <w:color w:val="auto"/>
        </w:rPr>
      </w:pPr>
      <w:r>
        <w:rPr>
          <w:rFonts w:ascii="Arial" w:cs="Arial" w:eastAsia="Arial" w:hAnsi="Arial"/>
          <w:sz w:val="18"/>
          <w:szCs w:val="18"/>
          <w:color w:val="auto"/>
        </w:rPr>
        <w:t>The portfolio that we licensed from Vitae Pharmaceuticals, which is now a subsidiary of AbbVie Inc., or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AbbVie or even if one or more patents are granted that the claims issued in those patents would cover the desired lead compounds, compositions, and methods of use thereof. Based on the priority date and filing date of the applications in the portfolio that we licensed from AbbVie, we expect that a patent, if any, granted based on the currently pending applications would expire in 2037. The actual term of any patents granted based on the pending applications that we licensed from AbbVie can only be determined after such patents are actually granted.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40" w:firstLine="578"/>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70" w:lineRule="exact"/>
        <w:rPr>
          <w:sz w:val="20"/>
          <w:szCs w:val="20"/>
          <w:color w:val="auto"/>
        </w:rPr>
      </w:pPr>
    </w:p>
    <w:p>
      <w:pPr>
        <w:ind w:right="60" w:firstLine="578"/>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8" w:name="page49"/>
    <w:bookmarkEnd w:id="48"/>
    <w:p>
      <w:pPr>
        <w:ind w:right="280"/>
        <w:spacing w:after="0" w:line="263" w:lineRule="auto"/>
        <w:rPr>
          <w:sz w:val="20"/>
          <w:szCs w:val="20"/>
          <w:color w:val="auto"/>
        </w:rPr>
      </w:pPr>
      <w:r>
        <w:rPr>
          <w:rFonts w:ascii="Arial" w:cs="Arial" w:eastAsia="Arial" w:hAnsi="Arial"/>
          <w:sz w:val="18"/>
          <w:szCs w:val="18"/>
          <w:color w:val="auto"/>
        </w:rPr>
        <w:t>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75" w:lineRule="exact"/>
        <w:rPr>
          <w:sz w:val="20"/>
          <w:szCs w:val="20"/>
          <w:color w:val="auto"/>
        </w:rPr>
      </w:pPr>
    </w:p>
    <w:p>
      <w:pPr>
        <w:ind w:right="60" w:firstLine="578"/>
        <w:spacing w:after="0" w:line="269"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62" w:lineRule="exact"/>
        <w:rPr>
          <w:sz w:val="20"/>
          <w:szCs w:val="20"/>
          <w:color w:val="auto"/>
        </w:rPr>
      </w:pPr>
    </w:p>
    <w:p>
      <w:pPr>
        <w:ind w:right="200" w:firstLine="578"/>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68" w:lineRule="exact"/>
        <w:rPr>
          <w:sz w:val="20"/>
          <w:szCs w:val="20"/>
          <w:color w:val="auto"/>
        </w:rPr>
      </w:pPr>
    </w:p>
    <w:p>
      <w:pPr>
        <w:ind w:firstLine="578"/>
        <w:spacing w:after="0" w:line="275"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67" w:lineRule="exact"/>
        <w:rPr>
          <w:sz w:val="20"/>
          <w:szCs w:val="20"/>
          <w:color w:val="auto"/>
        </w:rPr>
      </w:pPr>
    </w:p>
    <w:p>
      <w:pPr>
        <w:ind w:right="80" w:firstLine="578"/>
        <w:spacing w:after="0" w:line="256"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83" w:lineRule="exact"/>
        <w:rPr>
          <w:sz w:val="20"/>
          <w:szCs w:val="20"/>
          <w:color w:val="auto"/>
        </w:rPr>
      </w:pPr>
    </w:p>
    <w:p>
      <w:pPr>
        <w:ind w:right="40" w:firstLine="578"/>
        <w:spacing w:after="0" w:line="279" w:lineRule="auto"/>
        <w:rPr>
          <w:sz w:val="20"/>
          <w:szCs w:val="20"/>
          <w:color w:val="auto"/>
        </w:rPr>
      </w:pPr>
      <w:r>
        <w:rPr>
          <w:rFonts w:ascii="Arial" w:cs="Arial" w:eastAsia="Arial" w:hAnsi="Arial"/>
          <w:sz w:val="17"/>
          <w:szCs w:val="17"/>
          <w:color w:val="auto"/>
        </w:rPr>
        <w:t>If the UCB license agreement is terminated, we would not be able to develop, manufacture, market or sell axatilimab and would need to negotiate a new or reinstated agreement, which may not be available to us on equally favorable terms, or at all. In addition, our collaboration with Incyte to further develop and commercialize axatilimab is dependent upon the effectiveness of the UCB license agreement. If the UCB license agreement is terminated, Incyte may terminate our collaboration and our business could be adversely affected.</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 related to revumenib or if the license agreement is otherwise terminated, we could lose the ability to continue the development and commercialization of revumenib.</w:t>
      </w:r>
    </w:p>
    <w:p>
      <w:pPr>
        <w:spacing w:after="0" w:line="62" w:lineRule="exact"/>
        <w:rPr>
          <w:sz w:val="20"/>
          <w:szCs w:val="20"/>
          <w:color w:val="auto"/>
        </w:rPr>
      </w:pPr>
    </w:p>
    <w:p>
      <w:pPr>
        <w:jc w:val="both"/>
        <w:ind w:right="520" w:firstLine="578"/>
        <w:spacing w:after="0" w:line="263" w:lineRule="auto"/>
        <w:rPr>
          <w:sz w:val="20"/>
          <w:szCs w:val="20"/>
          <w:color w:val="auto"/>
        </w:rPr>
      </w:pPr>
      <w:r>
        <w:rPr>
          <w:rFonts w:ascii="Arial" w:cs="Arial" w:eastAsia="Arial" w:hAnsi="Arial"/>
          <w:sz w:val="18"/>
          <w:szCs w:val="18"/>
          <w:color w:val="auto"/>
        </w:rPr>
        <w:t>Our commercial success depends upon our ability to develop, manufacture, market and sell revumenib. Subject to the achievement of certain milestone events, we may be required to pay Vitae, which is now a subsidiary of AbbVie, up to $99 million in one-time development and regulatory milestone payments over the term of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jc w:val="both"/>
        <w:ind w:right="20"/>
        <w:spacing w:after="0" w:line="279" w:lineRule="auto"/>
        <w:rPr>
          <w:sz w:val="20"/>
          <w:szCs w:val="20"/>
          <w:color w:val="auto"/>
        </w:rPr>
      </w:pPr>
      <w:r>
        <w:rPr>
          <w:rFonts w:ascii="Arial" w:cs="Arial" w:eastAsia="Arial" w:hAnsi="Arial"/>
          <w:sz w:val="17"/>
          <w:szCs w:val="17"/>
          <w:color w:val="auto"/>
        </w:rPr>
        <w:t>AbbVie license agreement. In the event that we or any of our affiliates or sublicensees commercializes revumenib, we will also be obligated to pay AbbVie low single to low double-digit royalties on sales, subject to reduction in certain circumstances, as well as up to an aggregate of $70 million in potential one-time sales-based milestone payments based on achievement of certain annual sales thresholds. Under certain circumstances, we may be required to share a percentage of non-royalty income from sublicensees, subject to certain deductions, with AbbVie.</w:t>
      </w:r>
    </w:p>
    <w:p>
      <w:pPr>
        <w:spacing w:after="0" w:line="62" w:lineRule="exact"/>
        <w:rPr>
          <w:sz w:val="20"/>
          <w:szCs w:val="20"/>
          <w:color w:val="auto"/>
        </w:rPr>
      </w:pPr>
    </w:p>
    <w:p>
      <w:pPr>
        <w:ind w:right="20" w:firstLine="578"/>
        <w:spacing w:after="0" w:line="256" w:lineRule="auto"/>
        <w:rPr>
          <w:sz w:val="20"/>
          <w:szCs w:val="20"/>
          <w:color w:val="auto"/>
        </w:rPr>
      </w:pPr>
      <w:r>
        <w:rPr>
          <w:rFonts w:ascii="Arial" w:cs="Arial" w:eastAsia="Arial" w:hAnsi="Arial"/>
          <w:sz w:val="18"/>
          <w:szCs w:val="18"/>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AbbVie may terminate the license agreement if we seek to revoke or challenge the validity of any patent licensed to us by AbbVie under the license agreement or if we procure or assist a third party to take any such action.</w:t>
      </w:r>
    </w:p>
    <w:p>
      <w:pPr>
        <w:spacing w:after="0" w:line="83" w:lineRule="exact"/>
        <w:rPr>
          <w:sz w:val="20"/>
          <w:szCs w:val="20"/>
          <w:color w:val="auto"/>
        </w:rPr>
      </w:pPr>
    </w:p>
    <w:p>
      <w:pPr>
        <w:ind w:right="60" w:firstLine="578"/>
        <w:spacing w:after="0" w:line="256"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AbbVie would expire because no commercial sales of revumenib have occurred and the last-to-expire relevant patent covering revumenib in a given country may change in the future.</w:t>
      </w:r>
    </w:p>
    <w:p>
      <w:pPr>
        <w:spacing w:after="0" w:line="83" w:lineRule="exact"/>
        <w:rPr>
          <w:sz w:val="20"/>
          <w:szCs w:val="20"/>
          <w:color w:val="auto"/>
        </w:rPr>
      </w:pPr>
    </w:p>
    <w:p>
      <w:pPr>
        <w:ind w:right="80" w:firstLine="578"/>
        <w:spacing w:after="0" w:line="277" w:lineRule="auto"/>
        <w:rPr>
          <w:sz w:val="20"/>
          <w:szCs w:val="20"/>
          <w:color w:val="auto"/>
        </w:rPr>
      </w:pPr>
      <w:r>
        <w:rPr>
          <w:rFonts w:ascii="Arial" w:cs="Arial" w:eastAsia="Arial" w:hAnsi="Arial"/>
          <w:sz w:val="18"/>
          <w:szCs w:val="18"/>
          <w:color w:val="auto"/>
        </w:rPr>
        <w:t>If the license agreement is terminated, we would not be able to develop, manufacture, market or sell revumenib and would need to negotiate a new or reinstated agreement, which may not be available to us on equally favorable terms, or at all.</w:t>
      </w:r>
    </w:p>
    <w:p>
      <w:pPr>
        <w:spacing w:after="0" w:line="16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2" w:lineRule="exact"/>
        <w:rPr>
          <w:sz w:val="20"/>
          <w:szCs w:val="20"/>
          <w:color w:val="auto"/>
        </w:rPr>
      </w:pPr>
    </w:p>
    <w:p>
      <w:pPr>
        <w:ind w:right="80" w:firstLine="578"/>
        <w:spacing w:after="0" w:line="256" w:lineRule="auto"/>
        <w:rPr>
          <w:sz w:val="20"/>
          <w:szCs w:val="20"/>
          <w:color w:val="auto"/>
        </w:rPr>
      </w:pPr>
      <w:r>
        <w:rPr>
          <w:rFonts w:ascii="Arial" w:cs="Arial" w:eastAsia="Arial" w:hAnsi="Arial"/>
          <w:sz w:val="18"/>
          <w:szCs w:val="18"/>
          <w:color w:val="auto"/>
        </w:rPr>
        <w:t>We have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83" w:lineRule="exact"/>
        <w:rPr>
          <w:sz w:val="20"/>
          <w:szCs w:val="20"/>
          <w:color w:val="auto"/>
        </w:rPr>
      </w:pPr>
    </w:p>
    <w:p>
      <w:pPr>
        <w:ind w:right="60" w:firstLine="578"/>
        <w:spacing w:after="0" w:line="291"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57" w:lineRule="exact"/>
        <w:rPr>
          <w:sz w:val="20"/>
          <w:szCs w:val="20"/>
          <w:color w:val="auto"/>
        </w:rPr>
      </w:pPr>
    </w:p>
    <w:p>
      <w:pPr>
        <w:ind w:firstLine="578"/>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68" w:lineRule="exact"/>
        <w:rPr>
          <w:sz w:val="20"/>
          <w:szCs w:val="20"/>
          <w:color w:val="auto"/>
        </w:rPr>
      </w:pPr>
    </w:p>
    <w:p>
      <w:pPr>
        <w:ind w:right="20" w:firstLine="578"/>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128" w:lineRule="exact"/>
        <w:rPr>
          <w:sz w:val="20"/>
          <w:szCs w:val="20"/>
          <w:color w:val="auto"/>
        </w:rPr>
      </w:pPr>
    </w:p>
    <w:p>
      <w:pPr>
        <w:ind w:right="120" w:firstLine="578"/>
        <w:spacing w:after="0" w:line="287"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61"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78"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5" w:lineRule="exact"/>
        <w:rPr>
          <w:sz w:val="20"/>
          <w:szCs w:val="20"/>
          <w:color w:val="auto"/>
        </w:rPr>
      </w:pPr>
    </w:p>
    <w:p>
      <w:pPr>
        <w:ind w:right="40" w:firstLine="578"/>
        <w:spacing w:after="0" w:line="270"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2" w:lineRule="exact"/>
        <w:rPr>
          <w:sz w:val="20"/>
          <w:szCs w:val="20"/>
          <w:color w:val="auto"/>
        </w:rPr>
      </w:pPr>
    </w:p>
    <w:p>
      <w:pPr>
        <w:ind w:right="200" w:firstLine="578"/>
        <w:spacing w:after="0" w:line="255" w:lineRule="auto"/>
        <w:rPr>
          <w:sz w:val="20"/>
          <w:szCs w:val="20"/>
          <w:color w:val="auto"/>
        </w:rPr>
      </w:pPr>
      <w:r>
        <w:rPr>
          <w:rFonts w:ascii="Arial" w:cs="Arial" w:eastAsia="Arial" w:hAnsi="Arial"/>
          <w:sz w:val="18"/>
          <w:szCs w:val="18"/>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1" w:name="page52"/>
    <w:bookmarkEnd w:id="51"/>
    <w:p>
      <w:pPr>
        <w:spacing w:after="0" w:line="293" w:lineRule="auto"/>
        <w:rPr>
          <w:sz w:val="20"/>
          <w:szCs w:val="20"/>
          <w:color w:val="auto"/>
        </w:rPr>
      </w:pPr>
      <w:r>
        <w:rPr>
          <w:rFonts w:ascii="Arial" w:cs="Arial" w:eastAsia="Arial" w:hAnsi="Arial"/>
          <w:sz w:val="16"/>
          <w:szCs w:val="16"/>
          <w:color w:val="auto"/>
        </w:rPr>
        <w:t>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55" w:lineRule="exact"/>
        <w:rPr>
          <w:sz w:val="20"/>
          <w:szCs w:val="20"/>
          <w:color w:val="auto"/>
        </w:rPr>
      </w:pPr>
    </w:p>
    <w:p>
      <w:pPr>
        <w:ind w:right="100" w:firstLine="578"/>
        <w:spacing w:after="0" w:line="269" w:lineRule="auto"/>
        <w:rPr>
          <w:sz w:val="20"/>
          <w:szCs w:val="20"/>
          <w:color w:val="auto"/>
        </w:rPr>
      </w:pPr>
      <w:r>
        <w:rPr>
          <w:rFonts w:ascii="Arial" w:cs="Arial" w:eastAsia="Arial" w:hAnsi="Arial"/>
          <w:sz w:val="17"/>
          <w:szCs w:val="17"/>
          <w:color w:val="auto"/>
        </w:rPr>
        <w:t xml:space="preserve">Third-party pre-issuance submission of prior art to the USPTO, or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71" w:lineRule="exact"/>
        <w:rPr>
          <w:sz w:val="20"/>
          <w:szCs w:val="20"/>
          <w:color w:val="auto"/>
        </w:rPr>
      </w:pPr>
    </w:p>
    <w:p>
      <w:pPr>
        <w:ind w:right="60" w:firstLine="57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8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5" w:lineRule="exact"/>
        <w:rPr>
          <w:sz w:val="20"/>
          <w:szCs w:val="20"/>
          <w:color w:val="auto"/>
        </w:rPr>
      </w:pPr>
    </w:p>
    <w:p>
      <w:pPr>
        <w:ind w:right="40" w:firstLine="578"/>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83"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2" w:name="page53"/>
    <w:bookmarkEnd w:id="52"/>
    <w:p>
      <w:pPr>
        <w:jc w:val="both"/>
        <w:ind w:right="160" w:firstLine="578"/>
        <w:spacing w:after="0" w:line="255"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83" w:lineRule="exact"/>
        <w:rPr>
          <w:sz w:val="20"/>
          <w:szCs w:val="20"/>
          <w:color w:val="auto"/>
        </w:rPr>
      </w:pPr>
    </w:p>
    <w:p>
      <w:pPr>
        <w:ind w:right="60" w:firstLine="578"/>
        <w:spacing w:after="0" w:line="263"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75" w:lineRule="exact"/>
        <w:rPr>
          <w:sz w:val="20"/>
          <w:szCs w:val="20"/>
          <w:color w:val="auto"/>
        </w:rPr>
      </w:pPr>
    </w:p>
    <w:p>
      <w:pPr>
        <w:ind w:firstLine="578"/>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66"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Risks Related to Ownership of Our Common Stock and Other General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ind w:right="180" w:firstLine="584"/>
        <w:spacing w:after="0" w:line="307"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39"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6" w:lineRule="exact"/>
        <w:rPr>
          <w:rFonts w:ascii="Arial" w:cs="Arial" w:eastAsia="Arial" w:hAnsi="Arial"/>
          <w:sz w:val="18"/>
          <w:szCs w:val="18"/>
          <w:color w:val="auto"/>
        </w:rPr>
      </w:pPr>
    </w:p>
    <w:p>
      <w:pPr>
        <w:ind w:left="1020" w:right="74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3" w:name="page54"/>
    <w:bookmarkEnd w:id="53"/>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6"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 including, but not limited to new or ongoing public health crises and the war between Russia and Ukraine.</w:t>
      </w:r>
    </w:p>
    <w:p>
      <w:pPr>
        <w:spacing w:after="0" w:line="62" w:lineRule="exact"/>
        <w:rPr>
          <w:sz w:val="20"/>
          <w:szCs w:val="20"/>
          <w:color w:val="auto"/>
        </w:rPr>
      </w:pPr>
    </w:p>
    <w:p>
      <w:pPr>
        <w:ind w:right="100" w:firstLine="578"/>
        <w:spacing w:after="0" w:line="255" w:lineRule="auto"/>
        <w:rPr>
          <w:sz w:val="20"/>
          <w:szCs w:val="20"/>
          <w:color w:val="auto"/>
        </w:rPr>
      </w:pPr>
      <w:r>
        <w:rPr>
          <w:rFonts w:ascii="Arial" w:cs="Arial" w:eastAsia="Arial" w:hAnsi="Arial"/>
          <w:sz w:val="18"/>
          <w:szCs w:val="18"/>
          <w:color w:val="auto"/>
        </w:rPr>
        <w:t>In addition, the stock market in general, and the Nasdaq Global Select Market, or Nasdaq, and biopharmaceutical companies in particular, frequently experiences extreme price and volume fluctuations that have often been unrelated or disproportionate to the operating performance of such companies. Broad market and industry factors, including potentially worsening economic conditions and other adverse effects or developments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share price.</w:t>
      </w:r>
    </w:p>
    <w:p>
      <w:pPr>
        <w:spacing w:after="0" w:line="128"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capital markets. Similarly, the current Russia-Ukraine war has created extreme volatility in the global capital markets and is expected to have further global economic consequences, including disruptions of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(wages). Any significant increases in inflation and related increase in interest rates could have a material adverse effect on our business, results of operations and financial condition</w:t>
      </w:r>
    </w:p>
    <w:p>
      <w:pPr>
        <w:spacing w:after="0" w:line="178"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ind w:right="20" w:firstLine="578"/>
        <w:spacing w:after="0" w:line="290" w:lineRule="auto"/>
        <w:rPr>
          <w:sz w:val="20"/>
          <w:szCs w:val="20"/>
          <w:color w:val="auto"/>
        </w:rPr>
      </w:pPr>
      <w:r>
        <w:rPr>
          <w:rFonts w:ascii="Arial" w:cs="Arial" w:eastAsia="Arial" w:hAnsi="Arial"/>
          <w:sz w:val="16"/>
          <w:szCs w:val="16"/>
          <w:color w:val="auto"/>
        </w:rPr>
        <w:t>Until we can generate a sufficient amount of profit from our products, if ever, we expect to finance our future cash needs through public or private equity or debt offerings. If we raise additional funds through the issuance of additional equity or debt securities, it may result in dilution to our existing stockholders and/or increased fixed payment obligations and the terms of these securities may include liquidation or other preferences that adversely affect your rights as a stockholder. For example, in December 2022, we sold a total of 7,840,909 shares of our common stock and there were no issuances of pre-funded warrants to purchase shares of our common stock. The shares of common stock into which the warrants may be exercised are considered outstanding for the purposes of computing earnings per share. Additionally, in April 2022, we sold 1,111,111 common shares under the 2021 ATM Program, with net proceeds of approximately $19.4 million. The issuance of these shares of our common stock resulted, and any future issuance pursuant to the exercise of the outstanding pre-funded warrants or sales under the 2021 ATM Program will result, in dilution to our stockholders.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4" w:name="page55"/>
    <w:bookmarkEnd w:id="54"/>
    <w:p>
      <w:pPr>
        <w:ind w:right="140" w:firstLine="578"/>
        <w:spacing w:after="0" w:line="255" w:lineRule="auto"/>
        <w:rPr>
          <w:sz w:val="20"/>
          <w:szCs w:val="20"/>
          <w:color w:val="auto"/>
        </w:rPr>
      </w:pPr>
      <w:r>
        <w:rPr>
          <w:rFonts w:ascii="Arial" w:cs="Arial" w:eastAsia="Arial" w:hAnsi="Arial"/>
          <w:sz w:val="18"/>
          <w:szCs w:val="18"/>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83" w:lineRule="exact"/>
        <w:rPr>
          <w:sz w:val="20"/>
          <w:szCs w:val="20"/>
          <w:color w:val="auto"/>
        </w:rPr>
      </w:pPr>
    </w:p>
    <w:p>
      <w:pPr>
        <w:jc w:val="both"/>
        <w:ind w:right="120" w:firstLine="578"/>
        <w:spacing w:after="0" w:line="263" w:lineRule="auto"/>
        <w:rPr>
          <w:sz w:val="20"/>
          <w:szCs w:val="20"/>
          <w:color w:val="auto"/>
        </w:rPr>
      </w:pPr>
      <w:r>
        <w:rPr>
          <w:rFonts w:ascii="Arial" w:cs="Arial" w:eastAsia="Arial" w:hAnsi="Arial"/>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16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control over matters subject to stockholder approval.</w:t>
      </w:r>
    </w:p>
    <w:p>
      <w:pPr>
        <w:spacing w:after="0" w:line="62"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As of December 31, 2022, our executive officers, directors, holders of 5% or more of our capital stock and their respective affiliates beneficially owned approximately 41.9%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jc w:val="both"/>
        <w:ind w:right="60" w:firstLine="509"/>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4" w:lineRule="exact"/>
        <w:rPr>
          <w:sz w:val="20"/>
          <w:szCs w:val="20"/>
          <w:color w:val="auto"/>
        </w:rPr>
      </w:pPr>
    </w:p>
    <w:p>
      <w:pPr>
        <w:ind w:right="4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ind w:firstLine="509"/>
        <w:spacing w:after="0" w:line="291"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Commencing after the filing of our initial annual report on Form 10-K, we have been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5" w:name="page56"/>
    <w:bookmarkEnd w:id="55"/>
    <w:p>
      <w:pPr>
        <w:ind w:right="180" w:firstLine="509"/>
        <w:spacing w:after="0" w:line="286" w:lineRule="auto"/>
        <w:rPr>
          <w:sz w:val="20"/>
          <w:szCs w:val="20"/>
          <w:color w:val="auto"/>
        </w:rPr>
      </w:pPr>
      <w:r>
        <w:rPr>
          <w:rFonts w:ascii="Arial" w:cs="Arial" w:eastAsia="Arial" w:hAnsi="Arial"/>
          <w:sz w:val="16"/>
          <w:szCs w:val="16"/>
          <w:color w:val="auto"/>
        </w:rPr>
        <w:t>We are required to get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w:t>
      </w:r>
    </w:p>
    <w:p>
      <w:pPr>
        <w:ind w:right="100" w:firstLine="8"/>
        <w:spacing w:after="0" w:line="286" w:lineRule="auto"/>
        <w:tabs>
          <w:tab w:leader="none" w:pos="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6"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ind w:firstLine="509"/>
        <w:spacing w:after="0" w:line="269"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6" w:name="page57"/>
    <w:bookmarkEnd w:id="56"/>
    <w:p>
      <w:pPr>
        <w:spacing w:after="0" w:line="308" w:lineRule="auto"/>
        <w:rPr>
          <w:sz w:val="20"/>
          <w:szCs w:val="20"/>
          <w:color w:val="auto"/>
        </w:rPr>
      </w:pPr>
      <w:r>
        <w:rPr>
          <w:rFonts w:ascii="Arial" w:cs="Arial" w:eastAsia="Arial" w:hAnsi="Arial"/>
          <w:sz w:val="18"/>
          <w:szCs w:val="18"/>
          <w:color w:val="auto"/>
        </w:rPr>
        <w:t>for our stockholders to receive a premium for their shares of our common stock and could also affect the price that some investors are willing to pay for our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Our headquarters is located in Waltham, Massachusetts, and consists of 12,207 square feet of leased office space under a lease that expires on February 28, 2025. We also have 4,039 square feet of leased office space in New York, New York, under a lease that expires on August 31, 2025. We believe that our existing facilities are sufficient for our needs for the foreseeable future. If we determine that additional or new facilities are needed in the future, we believe that appropriate alternative space would be available to us on commercially reasonable terms.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7" w:name="page58"/>
    <w:bookmarkEnd w:id="57"/>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8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Our common stock began trading on the Nasdaq Global Select Market on March 2, 2016, under the symbol “SNDX.” Prior to that time, there was no public market for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As of February 22, 2023, we had approximately 18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future earnings to fund the development and growth of our business. We do not expect to pay any cash dividends in the foreseeable future. Any future determination to pay dividends will be made at the discretion of our board of directors and will depend on then-existing conditions, including our financial conditions, operating results, contractual restrictions, capital requirements, business prospects and other factors our board of directors may deem relevant.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60" w:firstLine="779"/>
        <w:spacing w:after="0" w:line="270" w:lineRule="auto"/>
        <w:rPr>
          <w:sz w:val="20"/>
          <w:szCs w:val="20"/>
          <w:color w:val="auto"/>
        </w:rPr>
      </w:pPr>
      <w:r>
        <w:rPr>
          <w:rFonts w:ascii="Arial" w:cs="Arial" w:eastAsia="Arial" w:hAnsi="Arial"/>
          <w:sz w:val="17"/>
          <w:szCs w:val="17"/>
          <w:color w:val="auto"/>
        </w:rPr>
        <w:t>The performance graph shown below compares the annual change in cumulative total shareholder return on our common shares with the Nasdaq Composite Index and the Nasdaq Biotechnology Index from December 31, 2017, through the year ended December 31, 2022. The graph assumes an investment of $100 on December 31, 2017 in our common shares, the Nasdaq Composite Index and the Nasdaq Biotechnology Index and assumes that any dividends are reinvested. All index values are weighted by the capitalization of the companies included in the index. The comparisons shown in the graph below are based upon historical data. The stock price performance included in this graph is not necessarily indicative of future stock price performance. 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except to the extent that we specifically incorporate it by reference into such filing.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704850</wp:posOffset>
            </wp:positionH>
            <wp:positionV relativeFrom="page">
              <wp:posOffset>311785</wp:posOffset>
            </wp:positionV>
            <wp:extent cx="4700905" cy="397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4700905" cy="397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i w:val="1"/>
          <w:iCs w:val="1"/>
          <w:color w:val="auto"/>
        </w:rPr>
        <w:t>The following discussion and analysis should be read in conjunction with “Selected Financial Data” and our consolidated financial statements and related notes included elsewhere in this Annual Report. This discussion and analysis and other parts of this Annual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Annual Report. You should carefully read the “Risk Factors” section of this Annual Report to gain an understanding of the important factors that could cause actual results to differ materially from our forward-looking statements. Please also see the section entitled “Special Note Regarding Forward-Looking Statements.”</w:t>
      </w:r>
    </w:p>
    <w:p>
      <w:pPr>
        <w:spacing w:after="0" w:line="57"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i w:val="1"/>
          <w:iCs w:val="1"/>
          <w:color w:val="auto"/>
        </w:rPr>
        <w:t>For the discussion of the financial condition and results of operations for the year ended December 31, 2021 compared to the year ended December 31, 2020, refer to "Management's Discussion and Analysis of Financial Condition and Results of Operations—Results of Operations" and "—Liquidity and Capital Resources" included in the Annual Report on Form 10-K filed with the SEC on March 1, 2022.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We are a clinical-stage biopharmaceutical company developing an innovative pipeline of cancer therapies. Our two lead product candidates are revumenib (SNDX-5613), and axatilimab (SNDX-6352). We are developing revumenib, a potent, selective, small molecule inhibitor of the menin-MLL binding interaction for the treatment of KMT2A rearranged, also known as mixed lineage leukemia rearranged or MLLr, acute leukemias including acute lymphoblastic leukemia, ALL, and acute myeloid leukemia, AML, and NPM1 mutant AML. We are also developing axatilimab, a monoclonal antibody that blocks the colony stimulating factor 1, or CSF-1 receptor, in chronic graft-versus-host disease, or cGVHD, as well as idiopathic pulmonary fibrosis, or IPF. We plan to continue to leverage the technical and business expertise of our management team and scientific collaborators to license, acquire and develop additional therapeutics to expand our pipeline.</w:t>
      </w:r>
    </w:p>
    <w:p>
      <w:pPr>
        <w:spacing w:after="0" w:line="18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have no products approved for commercial sale and have not generated any product revenues from product sales to date. We continue to incur significant research and development and other expenses related to our ongoing operations. We have generated minimal license revenue, except for in 2021. Other than in 2021, we have never been profitable and have incurred losses in each period since our inception in 2005. For the years ended December 31, 2022 and 2020, we reported a net loss of $149.3 million and $73.2 million, respectively. For the year ended December 31, 2021, we reported a net profit of $24.9 million. As of December 31, 2022, we had an accumulated deficit of $693.0 million, which included non-cash charges for stock-based compensation, preferred stock accretion and extinguishment charges. As of December 31, 2022, we had cash, cash equivalents and short-term and long-term investments of $481.3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ind w:right="80" w:firstLine="374"/>
        <w:spacing w:after="0" w:line="269" w:lineRule="auto"/>
        <w:rPr>
          <w:sz w:val="20"/>
          <w:szCs w:val="20"/>
          <w:color w:val="auto"/>
        </w:rPr>
      </w:pPr>
      <w:r>
        <w:rPr>
          <w:rFonts w:ascii="Arial" w:cs="Arial" w:eastAsia="Arial" w:hAnsi="Arial"/>
          <w:sz w:val="17"/>
          <w:szCs w:val="17"/>
          <w:color w:val="auto"/>
        </w:rPr>
        <w:t>The global economic slowdown, the overall disruption of global healthcare systems and other risks and uncertainties associated with the public health crises and the ongoing war between Russia and Ukraine may have a material adverse effect on our business, financial condition, results of operations and growth prospects. The resulting high inflation rates may materially affect our business and corresponding financial position and cash flows. Inflationary factors, such as increases in the cost of our clinical trial materials and supplies, interest rates and overhead costs may adversely affect our operating results. Rising interest rates also present a recent challenge impacting the U.S. economy and could make it more difficult for us to obtain traditional financing on acceptable terms, if at all, in the future. Additionally, the general consensus among economists suggests that we should expect a higher recession risk to continue, which, together with the foregoing, could result in further economic uncertainty and volatility in the capital markets in the near term, and could negatively affect our operations. Furthermore, such economic conditions have produced downward pressure on share prices. Although we do not believe that inflation has had a material impact on our financial position or results of operations to date, we may experience increases in the near future (especially if inflation rates remain high or begin to rise again) on our operating costs, including our labor costs and research and development costs, due to supply chain constraints, the global geopolitical tension as 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ind w:right="140"/>
        <w:spacing w:after="0" w:line="277" w:lineRule="auto"/>
        <w:rPr>
          <w:sz w:val="20"/>
          <w:szCs w:val="20"/>
          <w:color w:val="auto"/>
        </w:rPr>
      </w:pPr>
      <w:r>
        <w:rPr>
          <w:rFonts w:ascii="Arial" w:cs="Arial" w:eastAsia="Arial" w:hAnsi="Arial"/>
          <w:sz w:val="18"/>
          <w:szCs w:val="18"/>
          <w:color w:val="auto"/>
        </w:rPr>
        <w:t>result of the ongoing war between Russia and Ukraine, worsening global macroeconomic conditions and employee availability and wage increases, which may result in additional stress on our working capital resources.</w:t>
      </w:r>
    </w:p>
    <w:p>
      <w:pPr>
        <w:spacing w:after="0" w:line="62"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In addition,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identifying; acquiring or in-licensing additional products or product candidates; pharmaceutical product development and the inherent uncertainty of clinical success; and the challenges of protecting and enhancing our intellectual property rights; complying with applicable regulatory requirements.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color w:val="auto"/>
        </w:rPr>
        <w:t>To date, we have not generated any product revenues. Our ability to generate revenue and become profitable depends upon our ability to obtain marketing approval of and successfully commercialize our product candidates. Our revenues for the years ended December 31, 2021 and 2020 have been solely derived from our license, development and commercialization agreements with Kyowa Kirin Co., Ltd., or KKC, and with Incyte Pharmaceuticals, Inc, or Incyte. We generated no revenue during the year ended December 31, 2022.</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In September 2021, we entered into a collaboration and license agreement with Incyte or the Incyte Collaboration Agreement, with Incyte for the worldwide development and commercialization of axatilimab. Additionally, in September 2021, we entered into a share purchase agreement with Incyte, or the Incyte Share Purchase Agreement. Under the terms of the Incyte Collaboration Agreement, Incyte received exclusive commercialization rights outside of the United States, and we and Incyte will, subject to the exercise of our co-promotion option, have co-commercialization rights in the United States, with respect to axatilimab. Incyte is responsible for leading commercialization strategy and booking all revenue from worldwide sales of axatilimab, subject to its royalty payment obligations set forth below. The parties will share equally the profits and losses from the co-commercialization efforts. We and Incyte are co-developing axatilimab and sharing development costs associated with global and U.S.-specific clinical trials, with Incyte responsible for 55% of such costs and we are responsible for 45% of such costs. Each company is responsible for funding any independent development activities. All development costs related to the collaboration are subject to a joint development plan. A joint development committee between us and Incyte will govern future development of axatilimab. Incyte is responsible for 100% of future development costs for trials that are specific to ex-U.S. countries. All development costs related to the collaboration will be subject to a joint development plan. In December 2021, we received an upfront cash payment of $117 million and issued 1,421,523 shares of common stock for an aggregate purchase price of $35 million. We allocated $126.6 million of the total consideration received to the license, and such amount was recognized as license revenue upon transfer of license to Incyte.</w:t>
      </w:r>
    </w:p>
    <w:p>
      <w:pPr>
        <w:spacing w:after="0" w:line="62"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We granted KKC an exclusive license to develop and commercialize entinostat in Japan and Korea, or the KKC license agreement. In 2015, we received a $25.0 million upfront payment from KKC, inclusive of an equity investment. We allocated $17.3 million of the upfront payment to the license fee, and such fee is being recognized as revenue ratably over our expected performance period (expected to be through 2029). The balance of the upfront payment of $7.7 million was allocated to KKC’s purchase of shares of our convertible preferred stock.</w:t>
      </w:r>
    </w:p>
    <w:p>
      <w:pPr>
        <w:spacing w:after="0" w:line="62" w:lineRule="exact"/>
        <w:rPr>
          <w:sz w:val="20"/>
          <w:szCs w:val="20"/>
          <w:color w:val="auto"/>
        </w:rPr>
      </w:pPr>
    </w:p>
    <w:p>
      <w:pPr>
        <w:ind w:right="640" w:firstLine="509"/>
        <w:spacing w:after="0" w:line="307" w:lineRule="auto"/>
        <w:rPr>
          <w:sz w:val="20"/>
          <w:szCs w:val="20"/>
          <w:color w:val="auto"/>
        </w:rPr>
      </w:pPr>
      <w:r>
        <w:rPr>
          <w:rFonts w:ascii="Arial" w:cs="Arial" w:eastAsia="Arial" w:hAnsi="Arial"/>
          <w:sz w:val="17"/>
          <w:szCs w:val="17"/>
          <w:color w:val="auto"/>
        </w:rPr>
        <w:t>In September 2021, KKC informed us that they discontinued the entinostat program and cancelled the license to develop and commercialize entinostat. As a result, we recognized $12.4 million in revenue which was previously deferred in the third quarter of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2" w:lineRule="exact"/>
        <w:rPr>
          <w:sz w:val="20"/>
          <w:szCs w:val="20"/>
          <w:color w:val="auto"/>
        </w:rPr>
      </w:pPr>
    </w:p>
    <w:p>
      <w:pPr>
        <w:ind w:left="1020" w:right="104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2" w:name="page63"/>
    <w:bookmarkEnd w:id="62"/>
    <w:p>
      <w:pPr>
        <w:ind w:left="1020" w:right="22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25"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7" w:lineRule="exact"/>
        <w:rPr>
          <w:sz w:val="20"/>
          <w:szCs w:val="20"/>
          <w:color w:val="auto"/>
        </w:rPr>
      </w:pPr>
    </w:p>
    <w:p>
      <w:pPr>
        <w:jc w:val="both"/>
        <w:ind w:right="80" w:firstLine="509"/>
        <w:spacing w:after="0" w:line="275" w:lineRule="auto"/>
        <w:rPr>
          <w:sz w:val="20"/>
          <w:szCs w:val="20"/>
          <w:color w:val="auto"/>
        </w:rPr>
      </w:pPr>
      <w:r>
        <w:rPr>
          <w:rFonts w:ascii="Arial" w:cs="Arial" w:eastAsia="Arial" w:hAnsi="Arial"/>
          <w:sz w:val="17"/>
          <w:szCs w:val="17"/>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spacing w:after="0" w:line="6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5"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25"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3" w:name="page64"/>
    <w:bookmarkEnd w:id="63"/>
    <w:p>
      <w:pPr>
        <w:ind w:right="120"/>
        <w:spacing w:after="0" w:line="259" w:lineRule="auto"/>
        <w:rPr>
          <w:sz w:val="20"/>
          <w:szCs w:val="20"/>
          <w:color w:val="auto"/>
        </w:rPr>
      </w:pPr>
      <w:r>
        <w:rPr>
          <w:rFonts w:ascii="Arial" w:cs="Arial" w:eastAsia="Arial" w:hAnsi="Arial"/>
          <w:sz w:val="18"/>
          <w:szCs w:val="18"/>
          <w:color w:val="auto"/>
        </w:rPr>
        <w:t>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primarily of interest expense on our term loan, operational and capital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income earned on our cash, cash equivalents and short and long-term investment balances.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Other income (expense) includes income recorded for the change in fair value of derivative liability established based on the terms under of the Letter Agreement with connection with the share purchase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and adopted by us as of the specified effective date. Unless otherwise discussed in Note 3 to our audited consolidated financial statements included in this Annual Report, we believe that the impact of recently issued standards that are not yet effective will not have a material impact on our financial position or results of operations upon adoption.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 Our critical accounting policies are described in greater detail in Note 3 to our audited consolidated financial statements included in this Annual Report.</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listed below our critical accounting estimates that we believe to have the greatest potential impact on our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Historically, our assumptions, judgments and estimates relative to our critical accounting estimates have not differed materially from actual results.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We enter into license agreements for the development and commercialization of our product candidates. License agreements may include non-refundable upfront payments, contingent payments based on the occurrence of specified events under our license arrangements, partial or complete reimbursement of research and development expenses, license fees and royalties on sales of entinostat if they are successfully approved and commercialized. Our performance obligations under the license agreements may include the transfer of intellectual property rights in the form of licenses, obligations to provide research and development services and related materials and participation on certain development and/or commercialization committees.</w:t>
      </w:r>
    </w:p>
    <w:p>
      <w:pPr>
        <w:spacing w:after="0" w:line="191"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Revenue is recognized when, or as, performance obligations are satisfied, which occurs when control of the promised products or services is transferred to customers. Revenue is measured as the amount of consideration we expect to receive in exchange for transferring products or services to a customer, or the transaction price. To the extent that the transaction price includes variable consideration, we estimate the amount of variable consideration</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4" w:name="page65"/>
    <w:bookmarkEnd w:id="64"/>
    <w:p>
      <w:pPr>
        <w:ind w:right="40"/>
        <w:spacing w:after="0" w:line="259" w:lineRule="auto"/>
        <w:rPr>
          <w:sz w:val="20"/>
          <w:szCs w:val="20"/>
          <w:color w:val="auto"/>
        </w:rPr>
      </w:pPr>
      <w:r>
        <w:rPr>
          <w:rFonts w:ascii="Arial" w:cs="Arial" w:eastAsia="Arial" w:hAnsi="Arial"/>
          <w:sz w:val="18"/>
          <w:szCs w:val="18"/>
          <w:color w:val="auto"/>
        </w:rPr>
        <w:t>that should be included in the transaction price utilizing the most likely amount method. Variable consideration is included in the transaction price if, in our judgment, it is probable that a significant future reversal of cumulative revenue under the contract will not occur. Estimates of variable consideration and determination of whether to include estimated amounts in the transaction price are based largely on an assessment of our anticipated performance and all information (historical, current and forecasted) that is reasonably available.</w:t>
      </w:r>
    </w:p>
    <w:p>
      <w:pPr>
        <w:spacing w:after="0" w:line="18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assessed the promises to determine if they are distinct performance obligations. Once the performance obligations are determined, the transaction price is allocated based on a relative standalone selling price basis. Milestone payments and royalties are typically considered variable consideration at the outset of the contract and are recognized in the transaction price either upon occurrence or when the constraint of a probable reversal is no longer applicable.</w:t>
      </w:r>
    </w:p>
    <w:p>
      <w:pPr>
        <w:spacing w:after="0" w:line="7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For license fee revenues as of December 31, 2021, we recorded revenues of $126.6 million relating to the Incyte Collaboration Agreement and $13.3 million relating to the KKC Agreement. For the year ended December 31, 2022, no revenue has been recognized.</w:t>
      </w:r>
    </w:p>
    <w:p>
      <w:pPr>
        <w:spacing w:after="0" w:line="62" w:lineRule="exact"/>
        <w:rPr>
          <w:sz w:val="20"/>
          <w:szCs w:val="20"/>
          <w:color w:val="auto"/>
        </w:rPr>
      </w:pPr>
    </w:p>
    <w:p>
      <w:pPr>
        <w:jc w:val="both"/>
        <w:ind w:right="280" w:firstLine="509"/>
        <w:spacing w:after="0" w:line="313" w:lineRule="auto"/>
        <w:rPr>
          <w:sz w:val="20"/>
          <w:szCs w:val="20"/>
          <w:color w:val="auto"/>
        </w:rPr>
      </w:pPr>
      <w:r>
        <w:rPr>
          <w:rFonts w:ascii="Arial" w:cs="Arial" w:eastAsia="Arial" w:hAnsi="Arial"/>
          <w:sz w:val="16"/>
          <w:szCs w:val="16"/>
          <w:color w:val="auto"/>
        </w:rPr>
        <w:t>We applied significant judgment to our Incyte Collaboration Agreement. We evaluated whether our contractual obligations represented distinct performance obligations. Such evaluation required judgment since it was made from the customer’s perspective. We determined that the transfer of the license to Incyte was a distinct performance obligation, separate from the ongoing collaboration activities. As such, we estimated the standalone selling price to be $126.6 million which we recognized as $126.6 million of license revenue for the year ended December 31, 2021.</w:t>
      </w:r>
    </w:p>
    <w:p>
      <w:pPr>
        <w:spacing w:after="0" w:line="38"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We applied significant judgment to our KKC Agreement. We evaluated whether our contractual obligations represented distinct performance obligations. Such evaluation required judgment since it was made from the customer’s perspective. We determined that our performance obligations under the collaboration at contract inception were not distinct and represented a single performance obligation. In September 2021, KKC informed us, that they have discontinued the entinostat program and have cancelled the license to develop and commercialize entinostat. As a result, we recognized $12.4 million in revenue which was previously deferred in the third quarter of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contracts and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We make estimates of our accrued and prepaid clinical expenses as of each balance sheet date in our consolidated financial statements based on facts and circumstances known to us at that time. Examples of estimated accrued research and development expenses include fees paid to contract research organizations, or CROs, and investigative sites in connection with clinical studies and to vendors related to product manufacturing and development of clinical supplies.</w:t>
      </w:r>
    </w:p>
    <w:p>
      <w:pPr>
        <w:spacing w:after="0" w:line="181"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base our expenses related to clinical study and trial costs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out of our control,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we have not experienced any significant adjustments to our estimates.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2022,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Years Ended</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93"/>
              </w:rPr>
              <w:t>2022 - 2021 Increase</w:t>
            </w:r>
          </w:p>
        </w:tc>
        <w:tc>
          <w:tcPr>
            <w:tcW w:w="19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2021 - 2020 Increase</w:t>
            </w:r>
          </w:p>
        </w:tc>
      </w:tr>
      <w:tr>
        <w:trPr>
          <w:trHeight w:val="185"/>
        </w:trPr>
        <w:tc>
          <w:tcPr>
            <w:tcW w:w="3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w w:val="96"/>
              </w:rPr>
              <w:t>December 31,</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294"/>
              <w:spacing w:after="0"/>
              <w:rPr>
                <w:sz w:val="20"/>
                <w:szCs w:val="20"/>
                <w:color w:val="auto"/>
              </w:rPr>
            </w:pPr>
            <w:r>
              <w:rPr>
                <w:rFonts w:ascii="Arial" w:cs="Arial" w:eastAsia="Arial" w:hAnsi="Arial"/>
                <w:sz w:val="14"/>
                <w:szCs w:val="14"/>
                <w:b w:val="1"/>
                <w:bCs w:val="1"/>
                <w:color w:val="auto"/>
                <w:w w:val="92"/>
              </w:rPr>
              <w:t>(Decrease)</w:t>
            </w:r>
          </w:p>
        </w:tc>
        <w:tc>
          <w:tcPr>
            <w:tcW w:w="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294"/>
              <w:spacing w:after="0"/>
              <w:rPr>
                <w:sz w:val="20"/>
                <w:szCs w:val="20"/>
                <w:color w:val="auto"/>
              </w:rPr>
            </w:pPr>
            <w:r>
              <w:rPr>
                <w:rFonts w:ascii="Arial" w:cs="Arial" w:eastAsia="Arial" w:hAnsi="Arial"/>
                <w:sz w:val="14"/>
                <w:szCs w:val="14"/>
                <w:b w:val="1"/>
                <w:bCs w:val="1"/>
                <w:color w:val="auto"/>
                <w:w w:val="89"/>
              </w:rPr>
              <w:t>(Decrease)</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3600" w:type="dxa"/>
            <w:vAlign w:val="bottom"/>
          </w:tcPr>
          <w:p>
            <w:pPr>
              <w:ind w:left="200"/>
              <w:spacing w:after="0"/>
              <w:rPr>
                <w:sz w:val="20"/>
                <w:szCs w:val="20"/>
                <w:color w:val="auto"/>
              </w:rPr>
            </w:pPr>
            <w:r>
              <w:rPr>
                <w:rFonts w:ascii="Arial" w:cs="Arial" w:eastAsia="Arial" w:hAnsi="Arial"/>
                <w:sz w:val="18"/>
                <w:szCs w:val="18"/>
                <w:color w:val="auto"/>
              </w:rPr>
              <w:t>License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139,709</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1,517</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(139,709 )</w:t>
            </w:r>
          </w:p>
        </w:tc>
        <w:tc>
          <w:tcPr>
            <w:tcW w:w="26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(100 )% $</w:t>
            </w:r>
          </w:p>
        </w:tc>
        <w:tc>
          <w:tcPr>
            <w:tcW w:w="680" w:type="dxa"/>
            <w:vAlign w:val="bottom"/>
          </w:tcPr>
          <w:p>
            <w:pPr>
              <w:jc w:val="right"/>
              <w:spacing w:after="0"/>
              <w:rPr>
                <w:sz w:val="20"/>
                <w:szCs w:val="20"/>
                <w:color w:val="auto"/>
              </w:rPr>
            </w:pPr>
            <w:r>
              <w:rPr>
                <w:rFonts w:ascii="Arial" w:cs="Arial" w:eastAsia="Arial" w:hAnsi="Arial"/>
                <w:sz w:val="18"/>
                <w:szCs w:val="18"/>
                <w:color w:val="auto"/>
              </w:rPr>
              <w:t>138,192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9110 %</w:t>
            </w:r>
          </w:p>
        </w:tc>
      </w:tr>
      <w:tr>
        <w:trPr>
          <w:trHeight w:val="236"/>
        </w:trPr>
        <w:tc>
          <w:tcPr>
            <w:tcW w:w="36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139,709</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(139,709</w:t>
            </w: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ind w:left="20"/>
              <w:spacing w:after="0"/>
              <w:rPr>
                <w:sz w:val="20"/>
                <w:szCs w:val="20"/>
                <w:color w:val="auto"/>
              </w:rPr>
            </w:pPr>
            <w:r>
              <w:rPr>
                <w:rFonts w:ascii="Arial" w:cs="Arial" w:eastAsia="Arial" w:hAnsi="Arial"/>
                <w:sz w:val="18"/>
                <w:szCs w:val="18"/>
                <w:color w:val="auto"/>
                <w:w w:val="90"/>
              </w:rPr>
              <w:t>)%</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138,192</w:t>
            </w: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9110</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36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118,499</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88,248</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50,435</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30,251</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37,813</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75 %</w:t>
            </w:r>
          </w:p>
        </w:tc>
      </w:tr>
      <w:tr>
        <w:trPr>
          <w:trHeight w:val="250"/>
        </w:trPr>
        <w:tc>
          <w:tcPr>
            <w:tcW w:w="36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33,258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25,241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22,505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8,017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12 %</w:t>
            </w:r>
          </w:p>
        </w:tc>
      </w:tr>
      <w:tr>
        <w:trPr>
          <w:trHeight w:val="236"/>
        </w:trPr>
        <w:tc>
          <w:tcPr>
            <w:tcW w:w="36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113,489</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72,940</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38,268</w:t>
            </w:r>
          </w:p>
        </w:tc>
        <w:tc>
          <w:tcPr>
            <w:tcW w:w="1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40,549</w:t>
            </w: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49"/>
        </w:trPr>
        <w:tc>
          <w:tcPr>
            <w:tcW w:w="360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2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(151,757 )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26,220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(71,423 )</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177,977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xml:space="preserve">(679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(97,643 )</w:t>
            </w:r>
          </w:p>
        </w:tc>
        <w:tc>
          <w:tcPr>
            <w:tcW w:w="2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43"/>
        </w:trPr>
        <w:tc>
          <w:tcPr>
            <w:tcW w:w="3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6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(3,137 )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(1,899 )</w:t>
            </w:r>
          </w:p>
        </w:tc>
        <w:tc>
          <w:tcPr>
            <w:tcW w:w="200" w:type="dxa"/>
            <w:vAlign w:val="bottom"/>
          </w:tcPr>
          <w:p>
            <w:pPr>
              <w:spacing w:after="0"/>
              <w:rPr>
                <w:sz w:val="21"/>
                <w:szCs w:val="21"/>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(2,357 )</w:t>
            </w:r>
          </w:p>
        </w:tc>
        <w:tc>
          <w:tcPr>
            <w:tcW w:w="200" w:type="dxa"/>
            <w:vAlign w:val="bottom"/>
          </w:tcPr>
          <w:p>
            <w:pPr>
              <w:spacing w:after="0"/>
              <w:rPr>
                <w:sz w:val="21"/>
                <w:szCs w:val="21"/>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(1,238 )</w:t>
            </w: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(19 )%</w:t>
            </w:r>
          </w:p>
        </w:tc>
      </w:tr>
      <w:tr>
        <w:trPr>
          <w:trHeight w:val="256"/>
        </w:trPr>
        <w:tc>
          <w:tcPr>
            <w:tcW w:w="36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5,872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5,469</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1357 %</w:t>
            </w:r>
          </w:p>
        </w:tc>
        <w:tc>
          <w:tcPr>
            <w:tcW w:w="1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(438 )</w:t>
            </w:r>
          </w:p>
        </w:tc>
        <w:tc>
          <w:tcPr>
            <w:tcW w:w="28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(52 )%</w:t>
            </w:r>
          </w:p>
        </w:tc>
      </w:tr>
      <w:tr>
        <w:trPr>
          <w:trHeight w:val="250"/>
        </w:trPr>
        <w:tc>
          <w:tcPr>
            <w:tcW w:w="3600" w:type="dxa"/>
            <w:vAlign w:val="bottom"/>
          </w:tcPr>
          <w:p>
            <w:pPr>
              <w:ind w:left="200"/>
              <w:spacing w:after="0"/>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(316 )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(219 )</w:t>
            </w:r>
          </w:p>
        </w:tc>
        <w:tc>
          <w:tcPr>
            <w:tcW w:w="200" w:type="dxa"/>
            <w:vAlign w:val="bottom"/>
          </w:tcPr>
          <w:p>
            <w:pPr>
              <w:spacing w:after="0"/>
              <w:rPr>
                <w:sz w:val="21"/>
                <w:szCs w:val="21"/>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(518 )</w:t>
            </w: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256 %</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192 %</w:t>
            </w:r>
          </w:p>
        </w:tc>
      </w:tr>
      <w:tr>
        <w:trPr>
          <w:trHeight w:val="236"/>
        </w:trPr>
        <w:tc>
          <w:tcPr>
            <w:tcW w:w="360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3,713</w:t>
            </w:r>
          </w:p>
        </w:tc>
        <w:tc>
          <w:tcPr>
            <w:tcW w:w="1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ind w:left="20"/>
              <w:spacing w:after="0"/>
              <w:rPr>
                <w:sz w:val="20"/>
                <w:szCs w:val="20"/>
                <w:color w:val="auto"/>
              </w:rPr>
            </w:pPr>
            <w:r>
              <w:rPr>
                <w:rFonts w:ascii="Arial" w:cs="Arial" w:eastAsia="Arial" w:hAnsi="Arial"/>
                <w:sz w:val="18"/>
                <w:szCs w:val="18"/>
                <w:color w:val="auto"/>
                <w:w w:val="90"/>
              </w:rPr>
              <w:t>)%</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gridSpan w:val="2"/>
          </w:tcPr>
          <w:p>
            <w:pPr>
              <w:spacing w:after="0"/>
              <w:rPr>
                <w:sz w:val="20"/>
                <w:szCs w:val="20"/>
                <w:color w:val="auto"/>
              </w:rPr>
            </w:pPr>
            <w:r>
              <w:rPr>
                <w:rFonts w:ascii="Arial" w:cs="Arial" w:eastAsia="Arial" w:hAnsi="Arial"/>
                <w:sz w:val="18"/>
                <w:szCs w:val="18"/>
                <w:color w:val="auto"/>
                <w:w w:val="81"/>
              </w:rPr>
              <w:t>)%</w:t>
            </w:r>
          </w:p>
        </w:tc>
      </w:tr>
      <w:tr>
        <w:trPr>
          <w:trHeight w:val="236"/>
        </w:trPr>
        <w:tc>
          <w:tcPr>
            <w:tcW w:w="36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(149,338 )</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24,926</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(73,158 )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181,690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 xml:space="preserve">(729 </w:t>
            </w:r>
            <w:r>
              <w:rPr>
                <w:rFonts w:ascii="Arial" w:cs="Arial" w:eastAsia="Arial" w:hAnsi="Arial"/>
                <w:sz w:val="18"/>
                <w:szCs w:val="18"/>
                <w:color w:val="auto"/>
                <w:highlight w:val="white"/>
              </w:rPr>
              <w:t>)</w:t>
            </w:r>
            <w:r>
              <w:rPr>
                <w:rFonts w:ascii="Arial" w:cs="Arial" w:eastAsia="Arial" w:hAnsi="Arial"/>
                <w:sz w:val="18"/>
                <w:szCs w:val="18"/>
                <w:color w:val="auto"/>
              </w:rPr>
              <w:t>% $</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(98,084 )</w:t>
            </w:r>
          </w:p>
        </w:tc>
        <w:tc>
          <w:tcPr>
            <w:tcW w:w="28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0"/>
        </w:trPr>
        <w:tc>
          <w:tcPr>
            <w:tcW w:w="3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-1968500</wp:posOffset>
            </wp:positionV>
            <wp:extent cx="7132320" cy="4883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4883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-1318260</wp:posOffset>
            </wp:positionV>
            <wp:extent cx="7132320" cy="3251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251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-667385</wp:posOffset>
            </wp:positionV>
            <wp:extent cx="713232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3422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320" w:firstLine="509"/>
        <w:spacing w:after="0" w:line="307" w:lineRule="auto"/>
        <w:rPr>
          <w:sz w:val="20"/>
          <w:szCs w:val="20"/>
          <w:color w:val="auto"/>
        </w:rPr>
      </w:pPr>
      <w:r>
        <w:rPr>
          <w:rFonts w:ascii="Arial" w:cs="Arial" w:eastAsia="Arial" w:hAnsi="Arial"/>
          <w:sz w:val="17"/>
          <w:szCs w:val="17"/>
          <w:color w:val="auto"/>
        </w:rPr>
        <w:t>For the year ended December 31, 2022 no license fees were recognized. For year ended December 31, 2021, we recognized license fees of $139.7 million, derived from the Incyte and KKC license agreements. The KKC license agreement was terminated in September 2021.</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year ended December 31, 2022, our total research and development expenses increased by $30.3 million or 34 %, to $118.5 million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$88.2 million for the prior year due to increases in clinical trial activities expenses of $19.0 million, employee related expenses of $9.5 million, professional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of $1.5 million, and other expenses of $0.3 million. The increase in clinical activities expenses was due to increased study activities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axatilimab of $27.1 million, revumenib of $9.7 million, and an increase in license fees of $5.5 million, which were offset by the collaboration cost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reimbursement of $22.2 million and a reduction in the entinostat program of $1.1 million. The increase in employee-related expense is primarily due to</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salary and benefits of $7.9 million and increase in stock-based compensation of $1.6 million due to increase in headcount. The increase in other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$0.3 million is primarily due to travel and entertainment.</w:t>
      </w:r>
    </w:p>
    <w:p>
      <w:pPr>
        <w:spacing w:after="0" w:line="210"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We expect research and development expenses to fluctuate from quarter to quarter depending on the timing of clinical trial activities, clinical manufacturing, and other development activities.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3"/>
          </w:tcPr>
          <w:p>
            <w:pPr>
              <w:jc w:val="center"/>
              <w:ind w:left="179"/>
              <w:spacing w:after="0"/>
              <w:rPr>
                <w:sz w:val="20"/>
                <w:szCs w:val="20"/>
                <w:color w:val="auto"/>
              </w:rPr>
            </w:pPr>
            <w:r>
              <w:rPr>
                <w:rFonts w:ascii="Arial" w:cs="Arial" w:eastAsia="Arial" w:hAnsi="Arial"/>
                <w:sz w:val="14"/>
                <w:szCs w:val="14"/>
                <w:b w:val="1"/>
                <w:bCs w:val="1"/>
                <w:color w:val="auto"/>
                <w:w w:val="87"/>
              </w:rPr>
              <w:t>Increase</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179"/>
              <w:spacing w:after="0"/>
              <w:rPr>
                <w:sz w:val="20"/>
                <w:szCs w:val="20"/>
                <w:color w:val="auto"/>
              </w:rPr>
            </w:pPr>
            <w:r>
              <w:rPr>
                <w:rFonts w:ascii="Arial" w:cs="Arial" w:eastAsia="Arial" w:hAnsi="Arial"/>
                <w:sz w:val="14"/>
                <w:szCs w:val="14"/>
                <w:b w:val="1"/>
                <w:bCs w:val="1"/>
                <w:color w:val="auto"/>
                <w:w w:val="92"/>
              </w:rPr>
              <w:t>(Decrease)</w:t>
            </w:r>
          </w:p>
        </w:tc>
        <w:tc>
          <w:tcPr>
            <w:tcW w:w="54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External research and development expenses</w:t>
            </w:r>
          </w:p>
        </w:tc>
        <w:tc>
          <w:tcPr>
            <w:tcW w:w="1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89,788</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68,468</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21,320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10"/>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28,711</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19,780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8,931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41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3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118,499</w:t>
            </w:r>
          </w:p>
        </w:tc>
        <w:tc>
          <w:tcPr>
            <w:tcW w:w="26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88,248</w:t>
            </w:r>
          </w:p>
        </w:tc>
        <w:tc>
          <w:tcPr>
            <w:tcW w:w="24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30,251</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340" w:type="dxa"/>
            <w:vAlign w:val="bottom"/>
            <w:vMerge w:val="restart"/>
          </w:tcPr>
          <w:p>
            <w:pPr>
              <w:jc w:val="right"/>
              <w:ind w:right="210"/>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-1001395</wp:posOffset>
            </wp:positionV>
            <wp:extent cx="641350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13500" cy="16256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-675640</wp:posOffset>
            </wp:positionV>
            <wp:extent cx="641350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1350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688" w:right="239" w:bottom="1440" w:gutter="0" w:footer="0" w:header="0"/>
        </w:sectPr>
      </w:pPr>
    </w:p>
    <w:bookmarkStart w:id="66" w:name="page67"/>
    <w:bookmarkEnd w:id="66"/>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80" w:firstLine="509"/>
        <w:spacing w:after="0" w:line="275" w:lineRule="auto"/>
        <w:rPr>
          <w:sz w:val="20"/>
          <w:szCs w:val="20"/>
          <w:color w:val="auto"/>
        </w:rPr>
      </w:pPr>
      <w:r>
        <w:rPr>
          <w:rFonts w:ascii="Arial" w:cs="Arial" w:eastAsia="Arial" w:hAnsi="Arial"/>
          <w:sz w:val="17"/>
          <w:szCs w:val="17"/>
          <w:color w:val="2E2E2E"/>
        </w:rPr>
        <w:t>For the year ended December 31, 2022, our total general and administrative expenses increased by $8.0 million</w:t>
      </w:r>
      <w:r>
        <w:rPr>
          <w:rFonts w:ascii="Arial" w:cs="Arial" w:eastAsia="Arial" w:hAnsi="Arial"/>
          <w:sz w:val="17"/>
          <w:szCs w:val="17"/>
          <w:color w:val="000000"/>
        </w:rPr>
        <w:t>, or 32 %, to $33.3 million, from</w:t>
      </w:r>
      <w:r>
        <w:rPr>
          <w:rFonts w:ascii="Arial" w:cs="Arial" w:eastAsia="Arial" w:hAnsi="Arial"/>
          <w:sz w:val="17"/>
          <w:szCs w:val="17"/>
          <w:color w:val="2E2E2E"/>
        </w:rPr>
        <w:t xml:space="preserve"> </w:t>
      </w:r>
      <w:r>
        <w:rPr>
          <w:rFonts w:ascii="Arial" w:cs="Arial" w:eastAsia="Arial" w:hAnsi="Arial"/>
          <w:sz w:val="17"/>
          <w:szCs w:val="17"/>
          <w:color w:val="000000"/>
        </w:rPr>
        <w:t>$25.2 million for the prior year. The increase in general and administrative expenses was primarily due to increased employee-related expenses of $5.3 million, professional fees of $1.4 million and other expenses of $1.3 million. The increase in employee-related expenses is due to an increase of $4.3 million for salary and benefits due to increased headcount and stock compensation expense of $1.0 million. The increase in other expense is due to an increase of $1.1 million for travel and entertainment and $0.2 million for rent and utilities.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11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For the year ended December 31, 2022, interest income, increased by $5.5 million from the prior year. This increase was primarily due to higher interest rates on our investments.</w:t>
      </w:r>
    </w:p>
    <w:p>
      <w:pPr>
        <w:spacing w:after="0" w:line="62"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Interest expense consists primarily of interest expense on our term loan, operational and capital leases. The increase is primarily due to our amended term loan and loan payoff during the third quarter of 2022. For additional information on the loan payoff, please refer to Note 14, Loan Payable, to our consolidated financial statements.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17"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Other (expense) income decreased by $0.5 million from the prior year. This decrease was primarily due to the change in fair value of the derivative liability recorded as of the Incyte Collaboration Agreement.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As of December 31, 2022, we had cash, cash equivalents and short-term and long-term investments totaling $481.3 million. Since our inception, our operations have been primarily financed by net proceeds from our IPO, and follow-on stock offerings, our term loan, sale of convertible preferred stock and convertible debt securities and proceeds from our license agreements. We believe that our cash, cash equivalents and short-term investments as of December 31, 2022, will fund our projected operating expenses and capital expenditure requirements for at least the next 12 months. In addition to our existing cash, cash equivalents, short-term and long-term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In February 2020, we entered into a loan and security agreement, with Hercules Capital, Inc., or Hercules, as amended in December 2021, which we refer to as the Amended Loan Agreement. We terminated the Amended Loan Agreement in September 2022. On September 23, 2022, we made a prepayment of $21.5 million to satisfy in full all of our principal and interest obligations and related fees under the Amended Loan Agreement. The payoff amount paid by us in connection with the termination of the Amended Loan Agreement was pursuant to a payoff letter with Hercules and included payment of (a) $1.0 million as an end-of term fee and (b) $0.4 million as a pre-payment fee. Hercules released all security interests held on our assets.</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additional details on our Amended Loan Agreement, see Note 14 to our consolidated financial statements in this Annual Report.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460" w:firstLine="509"/>
        <w:spacing w:after="0" w:line="263" w:lineRule="auto"/>
        <w:rPr>
          <w:sz w:val="20"/>
          <w:szCs w:val="20"/>
          <w:color w:val="auto"/>
        </w:rPr>
      </w:pPr>
      <w:r>
        <w:rPr>
          <w:rFonts w:ascii="Arial" w:cs="Arial" w:eastAsia="Arial" w:hAnsi="Arial"/>
          <w:sz w:val="18"/>
          <w:szCs w:val="18"/>
          <w:color w:val="auto"/>
        </w:rPr>
        <w:t>We believe that our available cash, cash equivalents, short-term and long-term investments are sufficient to fund existing and planned cash requirements. Our primary uses of capital are, and we expect will continue to be, compensation and related expenses, third-party clinical research and development services, clinical costs, legal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ind w:right="220"/>
        <w:spacing w:after="0" w:line="277" w:lineRule="auto"/>
        <w:rPr>
          <w:sz w:val="20"/>
          <w:szCs w:val="20"/>
          <w:color w:val="auto"/>
        </w:rPr>
      </w:pPr>
      <w:r>
        <w:rPr>
          <w:rFonts w:ascii="Arial" w:cs="Arial" w:eastAsia="Arial" w:hAnsi="Arial"/>
          <w:sz w:val="18"/>
          <w:szCs w:val="18"/>
          <w:color w:val="auto"/>
        </w:rPr>
        <w:t>other regulatory expenses and general overhead costs. We have based our estimates on assumptions that may prove to be incorrect, and we could use our capital resources sooner than we currently expect.</w:t>
      </w:r>
    </w:p>
    <w:p>
      <w:pPr>
        <w:spacing w:after="0" w:line="169"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75"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16" w:lineRule="exact"/>
        <w:rPr>
          <w:rFonts w:ascii="Arial" w:cs="Arial" w:eastAsia="Arial" w:hAnsi="Arial"/>
          <w:sz w:val="18"/>
          <w:szCs w:val="18"/>
          <w:color w:val="auto"/>
        </w:rPr>
      </w:pPr>
    </w:p>
    <w:p>
      <w:pPr>
        <w:ind w:left="1020" w:right="300" w:hanging="503"/>
        <w:spacing w:after="0" w:line="307"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9" w:lineRule="exact"/>
        <w:rPr>
          <w:rFonts w:ascii="Arial" w:cs="Arial" w:eastAsia="Arial" w:hAnsi="Arial"/>
          <w:sz w:val="17"/>
          <w:szCs w:val="17"/>
          <w:color w:val="auto"/>
        </w:rPr>
      </w:pPr>
    </w:p>
    <w:p>
      <w:pPr>
        <w:jc w:val="both"/>
        <w:ind w:left="1020" w:right="260" w:hanging="503"/>
        <w:spacing w:after="0" w:line="26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4"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16"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28" w:lineRule="exact"/>
        <w:rPr>
          <w:rFonts w:ascii="Arial" w:cs="Arial" w:eastAsia="Arial" w:hAnsi="Arial"/>
          <w:sz w:val="17"/>
          <w:szCs w:val="17"/>
          <w:color w:val="auto"/>
        </w:rPr>
      </w:pPr>
    </w:p>
    <w:p>
      <w:pPr>
        <w:ind w:left="1020" w:right="12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product candidate receives regulatory approval and we determine to commercialize it ourselves;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interruption of key clinical trial activities, such as clinical trial site monitoring;</w:t>
      </w:r>
    </w:p>
    <w:p>
      <w:pPr>
        <w:spacing w:after="0" w:line="116"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disruption to our supply chain and operations, and associated delays in the manufacturing and supply of our products, which would adversely impact our ability to continue our clinical trial operations;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grow our company.</w:t>
      </w:r>
    </w:p>
    <w:p>
      <w:pPr>
        <w:spacing w:after="0" w:line="248"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w:t>
      </w:r>
    </w:p>
    <w:p>
      <w:pPr>
        <w:spacing w:after="0" w:line="191" w:lineRule="exact"/>
        <w:rPr>
          <w:sz w:val="20"/>
          <w:szCs w:val="20"/>
          <w:color w:val="auto"/>
        </w:rPr>
      </w:pPr>
    </w:p>
    <w:p>
      <w:pPr>
        <w:ind w:right="380" w:firstLine="509"/>
        <w:spacing w:after="0" w:line="341" w:lineRule="auto"/>
        <w:rPr>
          <w:sz w:val="20"/>
          <w:szCs w:val="20"/>
          <w:color w:val="auto"/>
        </w:rPr>
      </w:pPr>
      <w:r>
        <w:rPr>
          <w:rFonts w:ascii="Arial" w:cs="Arial" w:eastAsia="Arial" w:hAnsi="Arial"/>
          <w:sz w:val="16"/>
          <w:szCs w:val="16"/>
          <w:color w:val="auto"/>
        </w:rPr>
        <w:t>Our material cash requirements include the following contractual obligations as of December 31, 2022, and the effects that such obligations are expected to have on our liquidity and cash flows in future periods. For additional information, see our consolidated financial statements.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8" w:name="page69"/>
    <w:bookmarkEnd w:id="68"/>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77"/>
              <w:spacing w:after="0"/>
              <w:rPr>
                <w:sz w:val="20"/>
                <w:szCs w:val="20"/>
                <w:color w:val="auto"/>
              </w:rPr>
            </w:pPr>
            <w:r>
              <w:rPr>
                <w:rFonts w:ascii="Arial" w:cs="Arial" w:eastAsia="Arial" w:hAnsi="Arial"/>
                <w:sz w:val="14"/>
                <w:szCs w:val="14"/>
                <w:b w:val="1"/>
                <w:bCs w:val="1"/>
                <w:color w:val="auto"/>
                <w:w w:val="94"/>
              </w:rPr>
              <w:t>Less than</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77"/>
              <w:spacing w:after="0"/>
              <w:rPr>
                <w:sz w:val="20"/>
                <w:szCs w:val="20"/>
                <w:color w:val="auto"/>
              </w:rPr>
            </w:pPr>
            <w:r>
              <w:rPr>
                <w:rFonts w:ascii="Arial" w:cs="Arial" w:eastAsia="Arial" w:hAnsi="Arial"/>
                <w:sz w:val="14"/>
                <w:szCs w:val="14"/>
                <w:b w:val="1"/>
                <w:bCs w:val="1"/>
                <w:color w:val="auto"/>
              </w:rPr>
              <w:t>1 to 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77"/>
              <w:spacing w:after="0"/>
              <w:rPr>
                <w:sz w:val="20"/>
                <w:szCs w:val="20"/>
                <w:color w:val="auto"/>
              </w:rPr>
            </w:pPr>
            <w:r>
              <w:rPr>
                <w:rFonts w:ascii="Arial" w:cs="Arial" w:eastAsia="Arial" w:hAnsi="Arial"/>
                <w:sz w:val="14"/>
                <w:szCs w:val="14"/>
                <w:b w:val="1"/>
                <w:bCs w:val="1"/>
                <w:color w:val="auto"/>
              </w:rPr>
              <w:t>3 to 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4"/>
                <w:szCs w:val="14"/>
                <w:color w:val="auto"/>
              </w:rPr>
            </w:pPr>
          </w:p>
        </w:tc>
      </w:tr>
      <w:tr>
        <w:trPr>
          <w:trHeight w:val="185"/>
        </w:trPr>
        <w:tc>
          <w:tcPr>
            <w:tcW w:w="35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5 Years</w:t>
            </w:r>
          </w:p>
        </w:tc>
        <w:tc>
          <w:tcPr>
            <w:tcW w:w="100" w:type="dxa"/>
            <w:vAlign w:val="bottom"/>
          </w:tcPr>
          <w:p>
            <w:pPr>
              <w:spacing w:after="0"/>
              <w:rPr>
                <w:sz w:val="16"/>
                <w:szCs w:val="16"/>
                <w:color w:val="auto"/>
              </w:rPr>
            </w:pPr>
          </w:p>
        </w:tc>
      </w:tr>
      <w:tr>
        <w:trPr>
          <w:trHeight w:val="236"/>
        </w:trPr>
        <w:tc>
          <w:tcPr>
            <w:tcW w:w="3580" w:type="dxa"/>
            <w:vAlign w:val="bottom"/>
            <w:shd w:val="clear" w:color="auto" w:fill="CFF0FC"/>
          </w:tcPr>
          <w:p>
            <w:pPr>
              <w:spacing w:after="0" w:line="236" w:lineRule="exact"/>
              <w:rPr>
                <w:sz w:val="20"/>
                <w:szCs w:val="20"/>
                <w:color w:val="auto"/>
              </w:rPr>
            </w:pPr>
            <w:r>
              <w:rPr>
                <w:rFonts w:ascii="Arial" w:cs="Arial" w:eastAsia="Arial" w:hAnsi="Arial"/>
                <w:sz w:val="18"/>
                <w:szCs w:val="18"/>
                <w:color w:val="auto"/>
              </w:rPr>
              <w:t xml:space="preserve">Operating leases for office space </w:t>
            </w:r>
            <w:r>
              <w:rPr>
                <w:rFonts w:ascii="Arial" w:cs="Arial" w:eastAsia="Arial" w:hAnsi="Arial"/>
                <w:sz w:val="24"/>
                <w:szCs w:val="24"/>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r>
      <w:tr>
        <w:trPr>
          <w:trHeight w:val="243"/>
        </w:trPr>
        <w:tc>
          <w:tcPr>
            <w:tcW w:w="3580" w:type="dxa"/>
            <w:vAlign w:val="bottom"/>
          </w:tcPr>
          <w:p>
            <w:pPr>
              <w:spacing w:after="0" w:line="243" w:lineRule="exact"/>
              <w:rPr>
                <w:sz w:val="20"/>
                <w:szCs w:val="20"/>
                <w:color w:val="auto"/>
              </w:rPr>
            </w:pPr>
            <w:r>
              <w:rPr>
                <w:rFonts w:ascii="Arial" w:cs="Arial" w:eastAsia="Arial" w:hAnsi="Arial"/>
                <w:sz w:val="18"/>
                <w:szCs w:val="18"/>
                <w:color w:val="auto"/>
              </w:rPr>
              <w:t xml:space="preserve">Capital lease for office equipment </w:t>
            </w:r>
            <w:r>
              <w:rPr>
                <w:rFonts w:ascii="Arial" w:cs="Arial" w:eastAsia="Arial" w:hAnsi="Arial"/>
                <w:sz w:val="24"/>
                <w:szCs w:val="24"/>
                <w:color w:val="auto"/>
                <w:vertAlign w:val="superscript"/>
              </w:rPr>
              <w:t>(2)</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70"/>
        </w:trPr>
        <w:tc>
          <w:tcPr>
            <w:tcW w:w="358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3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2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-24765</wp:posOffset>
            </wp:positionV>
            <wp:extent cx="596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-7620</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-24765</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-24765</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left="520" w:hanging="512"/>
        <w:spacing w:after="0" w:line="230" w:lineRule="auto"/>
        <w:tabs>
          <w:tab w:leader="none" w:pos="520" w:val="left"/>
        </w:tabs>
        <w:numPr>
          <w:ilvl w:val="0"/>
          <w:numId w:val="39"/>
        </w:numPr>
        <w:rPr>
          <w:rFonts w:ascii="Arial" w:cs="Arial" w:eastAsia="Arial" w:hAnsi="Arial"/>
          <w:sz w:val="24"/>
          <w:szCs w:val="24"/>
          <w:color w:val="auto"/>
          <w:vertAlign w:val="superscript"/>
        </w:rPr>
      </w:pPr>
      <w:r>
        <w:rPr>
          <w:rFonts w:ascii="Arial" w:cs="Arial" w:eastAsia="Arial" w:hAnsi="Arial"/>
          <w:sz w:val="18"/>
          <w:szCs w:val="18"/>
          <w:color w:val="auto"/>
        </w:rPr>
        <w:t>In August 2021, we signed a 36-month extension of the lease for the office space in Waltham, Massachusetts. In August 2022, we signed a 36-month extension of the lease for the office space in New York, New York. The minimum lease payments above do not include any related common area maintenance charges or real estate taxes.</w:t>
      </w:r>
    </w:p>
    <w:p>
      <w:pPr>
        <w:spacing w:after="0" w:line="26" w:lineRule="exact"/>
        <w:rPr>
          <w:rFonts w:ascii="Arial" w:cs="Arial" w:eastAsia="Arial" w:hAnsi="Arial"/>
          <w:sz w:val="24"/>
          <w:szCs w:val="24"/>
          <w:color w:val="auto"/>
          <w:vertAlign w:val="superscript"/>
        </w:rPr>
      </w:pPr>
    </w:p>
    <w:p>
      <w:pPr>
        <w:ind w:left="520" w:right="340" w:hanging="512"/>
        <w:spacing w:after="0" w:line="221" w:lineRule="auto"/>
        <w:tabs>
          <w:tab w:leader="none" w:pos="520" w:val="left"/>
        </w:tabs>
        <w:numPr>
          <w:ilvl w:val="0"/>
          <w:numId w:val="39"/>
        </w:numPr>
        <w:rPr>
          <w:rFonts w:ascii="Arial" w:cs="Arial" w:eastAsia="Arial" w:hAnsi="Arial"/>
          <w:sz w:val="24"/>
          <w:szCs w:val="24"/>
          <w:color w:val="auto"/>
          <w:vertAlign w:val="superscript"/>
        </w:rPr>
      </w:pPr>
      <w:r>
        <w:rPr>
          <w:rFonts w:ascii="Arial" w:cs="Arial" w:eastAsia="Arial" w:hAnsi="Arial"/>
          <w:sz w:val="18"/>
          <w:szCs w:val="18"/>
          <w:color w:val="auto"/>
        </w:rPr>
        <w:t>In January 2022, we entered into two four-year non-cancelable leases for office equipment, which are accounted for as capital leases. The leased assets are included in property and equipment, net.</w:t>
      </w:r>
    </w:p>
    <w:p>
      <w:pPr>
        <w:spacing w:after="0" w:line="203"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We have incurred losses and cumulative negative cash flows from operations since our inception, excluding year ending December 31, 2022. As of December 31, 2022, we had an accumulated deficit of $693.0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Offering Program</w:t>
      </w:r>
    </w:p>
    <w:p>
      <w:pPr>
        <w:spacing w:after="0" w:line="121"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In March 2021, we entered into a sales agreement with Cowen and Company, LLC, or Cowen, under which we may issue and sell shares of our common stock having aggregate sales proceeds of up to $75.0 million from time to time through Cowen, acting as agent, in a series of one or more at-the-market equity offerings, or the 2021 ATM Program. Cowen is not required to sell any specific amount but acts as our sales agent using commercially reasonable efforts consistent with its normal trading and sales practices. Shares sold pursuant to the sales agreement will be sold pursuant to a shelf registration statement on Form S-3 ASR (Registration No. 333-254661), which became automatically effective upon filing on March 24, 2021. Our common stock will be sold at prevailing market prices at the time of the sale; and as a result, prices may vary. As of December 31, 2022, we sold 1,111,111 shares of common stock under the 2021 ATM Program for net proceeds of approximately $19.4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flows: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18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(133,675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29,131</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(71,260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(186,188 )</w:t>
            </w: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(40,873 )</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(142,530 )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8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172,254</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118,464</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304,424</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1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(147,609 )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106,722</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90,634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40" w:type="dxa"/>
            <w:vAlign w:val="bottom"/>
            <w:vMerge w:val="restart"/>
          </w:tcPr>
          <w:p>
            <w:pPr>
              <w:jc w:val="right"/>
              <w:ind w:right="970"/>
              <w:spacing w:after="0"/>
              <w:rPr>
                <w:sz w:val="20"/>
                <w:szCs w:val="20"/>
                <w:color w:val="auto"/>
              </w:rPr>
            </w:pPr>
            <w:r>
              <w:rPr>
                <w:rFonts w:ascii="Arial" w:cs="Arial" w:eastAsia="Arial" w:hAnsi="Arial"/>
                <w:sz w:val="18"/>
                <w:szCs w:val="18"/>
                <w:color w:val="auto"/>
              </w:rPr>
              <w:t>65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436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-684530</wp:posOffset>
            </wp:positionV>
            <wp:extent cx="6858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-684530</wp:posOffset>
            </wp:positionV>
            <wp:extent cx="5969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-684530</wp:posOffset>
            </wp:positionV>
            <wp:extent cx="5969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ind w:left="520"/>
        <w:spacing w:after="0"/>
        <w:rPr>
          <w:sz w:val="20"/>
          <w:szCs w:val="20"/>
          <w:color w:val="auto"/>
        </w:rPr>
      </w:pPr>
      <w:r>
        <w:rPr>
          <w:rFonts w:ascii="Arial" w:cs="Arial" w:eastAsia="Arial" w:hAnsi="Arial"/>
          <w:sz w:val="18"/>
          <w:szCs w:val="18"/>
          <w:b w:val="1"/>
          <w:bCs w:val="1"/>
          <w:i w:val="1"/>
          <w:iCs w:val="1"/>
          <w:color w:val="auto"/>
        </w:rPr>
        <w:t>Net Cash (Used in) Provided by Operating Activities</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Net cash used in operating activities for the year ended December 31, 2022, was $133.7 million and primarily consisted of our net loss of $149.3 million adjusted for non-cash items including stock-based compensation of $16.0 million, non-cash operating lease expense of $0.4 million, an investment increase of $3.4 million, a net increase in operating assets and liabitiies of $1.7 million, and an increase in non-cash interest expense associated with the term loan of $1.1 million. The significant items in the increase in operating assets and liabilities include an increase in accrued expenses and other liabilities of $9.4 million, an increase in collaboration receivable of $3.5 million, partially offset by a decrease in prepaid expenses and other assets of $3.0 million, and a decrease in accounts payable of $1.3 million.</w:t>
      </w:r>
    </w:p>
    <w:p>
      <w:pPr>
        <w:spacing w:after="0" w:line="83"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Net cash provided by operating activities for the year ended December 31, 2021 was $29.1 million and primarily consisted of our net income of $24.9 million adjusted for non-cash items including stock-based compensation of $13.3 million, non-cash operating lease expense of $0.4 million, an investment amortization of $0.6 million, a decrease in non-cash interest expense associated with the term loan of $0.2 million, a decrease of the derivative liability associated with the Incyte Collaboration Agreement of $0.4 million, and a net decrease in operating assets and liabilities of $9.6 million. The significant items in the decrease in operating assets and liabilities include a decrease in prepaid expenses and other assets of $1.4 million, an increase in accounts payable of $2.1 million, and a decrease in deferred revenue of $13.1 million partially offset by an increase in accrued expenses and other liabilities of $2.8 million.</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Net cash used in investing activities for the year ended December 31, 2022, was $186.2 million and was primarily due to the purchase of $495.3 million of available-for-sale marketable securities partially offset by $308.9 million in proceeds from the maturities of available-for-sale marketable securities.</w:t>
      </w:r>
    </w:p>
    <w:p>
      <w:pPr>
        <w:spacing w:after="0" w:line="75"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Net cash used in investing activities for the year ended December 31, 2021, was $40.9 million and was primarily due to the purchase of $294.7 million of available-for-sale marketable securities partially offset by $254.0 million in proceeds from the maturities of available-for-sale marketable securities.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2022, was $172.3 million and was primarily due to proceeds of $162.0 million from issuance of common stock, $19.4 million of proceeds from an at-the-market offering, and $11.9 million of proceeds from stock option exercises and ESPP purchases, partially offset by payment of the term loan of $21.0 million.</w:t>
      </w:r>
    </w:p>
    <w:p>
      <w:pPr>
        <w:spacing w:after="0" w:line="75"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2021, was $118.5 million and was primarily due proceeds of $24.8 million from sales of common stock to Incyte Agreement, proceeds of $81.2 million from sale of common stock in a follow-on offering, $6.7 million of proceeds from stock option exercises and ESPP purchases, $5.1 million of proceeds from our ATM Program and, $0.6 million of proceeds from the Incyte Collaboration Agreement allocated to the derivate liability in connection with the side letter.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9"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121"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December 31, 2022, we had federal and state tax net operating loss carryforwards of approximately $99.6 million and $42.8 million, respectively. We have generated federal NOLs of $77.5 million that have an indefinite carryforward period. The remaining $22.1 million of federal NOLs and the state NOLs will begin to expire at various dates starting in 2026. At December 31, 2022, we had available income tax credits of approximately $8.9 million, with $5.7 million attributable to Federal R&amp;D credits and $3.2 million attributable to state R&amp;D credits, which are available to reduce future income taxes, if any. These income tax credits began to expire in 2022.</w:t>
      </w:r>
    </w:p>
    <w:p>
      <w:pPr>
        <w:spacing w:after="0" w:line="19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Utilization of the net operating losses and credits may be subject to a substantial annual limitation due to ownership change limitations provided by the Internal Revenue Code of 1986, as amended. The annual limitation may result in the expiration of our net operating losses and credits before we can use them. We have recorded a valuation allowance on all of our deferred tax assets, including our deferred tax assets related to our net operating loss and research and development tax credit carryforwards.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December 31, 2022, we had cash, cash equivalents and short-term and long-term investments of $481.3 million, consisting of overnight investments, interest-bearing money market funds and highly rated federal bonds and short and long-term investments including commercial paper, highly rated corporate bonds and treasuries.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interest income, we receive from our marketable securities without significantly increasing risk. We have established guidelines regarding approved investments and maturities of investments, which are designed to maintain safety and liquidity. Due to the relative short-term maturities of our cash equivalents and the low risk profile of our short and long-term investments, an immediate 100 basis point change in interest rates would not have a material effect on the fair market value of our cash equivalents and short and long-term investments.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71"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We do not believe that inflation and changing prices had a significant impact on our results of operations for any periods presented herein.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in this Annual Report on Form 10-K beginning on page F-1.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our Disclosure Controls and Procedures</w:t>
      </w:r>
    </w:p>
    <w:p>
      <w:pPr>
        <w:spacing w:after="0" w:line="121" w:lineRule="exact"/>
        <w:rPr>
          <w:sz w:val="20"/>
          <w:szCs w:val="20"/>
          <w:color w:val="auto"/>
        </w:rPr>
      </w:pPr>
    </w:p>
    <w:p>
      <w:pPr>
        <w:ind w:right="120" w:firstLine="509"/>
        <w:spacing w:after="0" w:line="286"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evaluated, the effectiveness of our disclosure controls and procedures as of December 31, 2022.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evaluation of our disclosure controls and procedures as of December 31, 2022, our principle executive officer and principal financial officer concluded that, as of such date, our disclosure controls and procedures were effective at the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Rules 13a-15(f) and 15d-15(f) promulgated under the Exchange Act as a process designed by, or under the supervision of, the company’s principal executive and principal financial officers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4" w:lineRule="exact"/>
        <w:rPr>
          <w:sz w:val="20"/>
          <w:szCs w:val="20"/>
          <w:color w:val="auto"/>
        </w:rPr>
      </w:pPr>
    </w:p>
    <w:p>
      <w:pPr>
        <w:ind w:right="360" w:firstLine="509"/>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2022. In making this assessment, management used the criteria set forth by the Committee of Sponsoring organizations of the Treadway Commission (COSO) in Internal Control – Integrated Framework (2013). Based on that assessment, our management concluded that, as of December 31, 2022, our internal control over financial reporting was effective.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Deloitte &amp; Touche LLP, the independent registered public accounting firm that audited the consolidated financial statements included in this Annual Report on Form 10-K, has issued an attestation report on the effectiveness of internal control over financial reporting as of December 31, 2022, included herein.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jc w:val="both"/>
        <w:ind w:firstLine="509"/>
        <w:spacing w:after="0" w:line="32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December 31, 2022 that has materially affected, or is reasonably likely to materially affect, our internal control over financial reporting.</w:t>
      </w:r>
    </w:p>
    <w:p>
      <w:pPr>
        <w:spacing w:after="0" w:line="135" w:lineRule="exact"/>
        <w:rPr>
          <w:sz w:val="20"/>
          <w:szCs w:val="20"/>
          <w:color w:val="auto"/>
        </w:rPr>
      </w:pPr>
    </w:p>
    <w:p>
      <w:pPr>
        <w:ind w:right="5060"/>
        <w:spacing w:after="0" w:line="504"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stockholders and the Board of Directors of Syndax Pharmaceuticals,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Syndax Pharmaceuticals, Inc. and subsidiaries (the “Company”)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28, 2023, expressed an unqualified opinion on those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inadequate because of changes in conditions, or that the degree of compliance with the policies or procedures may deteriorate.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74" w:name="page75"/>
    <w:bookmarkEnd w:id="74"/>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Certain information required by Part III is omitted from this Annual Report because we will file with the SEC a definitive proxy statement pursuant to Regulation 14A, or the 2023 Proxy Statement, no later than 120 days after the end of our fiscal year, and certain information included therein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sections titled “Information About Our Board of Directors,” “Executive Officers” and “The Board of Directors and Its Committees” and “Delinquent Section 16(a) Reports,” if applicable, in our 2023 Proxy Statement.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sections titled “Executive Compensation” and “Director Compensation” in our 2023 Proxy Statement.</w:t>
      </w:r>
    </w:p>
    <w:p>
      <w:pPr>
        <w:spacing w:after="0" w:line="6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Information regarding our Code of Business Conduct and Ethics, or the Code of Conduct, required by this item will be contained in our 2023 Proxy Statement under the caption “The Board of Directors and Its Committees – Code of Business Conduct and Ethics,” and is hereby incorporated by reference. If we make any substantive amendments to the Code of Conduct or grants any waiver from a provision of the Code of Conduct to any executive officer or director, we will promptly disclose the nature of the amendment or waiver on its website. The full text of our Code of Conduct is available at the investors section of our website at www.syndax.com. The reference to our website address does not constitute incorporation by reference of the information contained at or available through our website, and you should not consider it to be a part of this Annual Report.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“Security Ownership of Certain Beneficial Owners and Management and Related Stockholder Matters” in our 2023 Proxy Statement.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60" w:firstLine="509"/>
        <w:spacing w:after="0" w:line="307"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sections titled “The Board of Directors and Its Committees – Board Independence” and “Certain Relationships and Related Party Transactions” in our 2023 Proxy Statement.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160" w:firstLine="509"/>
        <w:spacing w:after="0" w:line="307"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sections titled “Independent Registered Public Accounting Firm Fees” and “Pre-Approval Policies and Procedures” contained in Proposal 2 in our 2023 Proxy Statement.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6"/>
          </w:tcPr>
          <w:p>
            <w:pPr>
              <w:ind w:left="580"/>
              <w:spacing w:after="0"/>
              <w:rPr>
                <w:sz w:val="20"/>
                <w:szCs w:val="20"/>
                <w:color w:val="auto"/>
              </w:rPr>
            </w:pPr>
            <w:r>
              <w:rPr>
                <w:rFonts w:ascii="Arial" w:cs="Arial" w:eastAsia="Arial" w:hAnsi="Arial"/>
                <w:sz w:val="18"/>
                <w:szCs w:val="18"/>
                <w:b w:val="1"/>
                <w:bCs w:val="1"/>
                <w:color w:val="auto"/>
              </w:rPr>
              <w:t>PART IV</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046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 Financial Statements and Schedules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60" w:type="dxa"/>
            <w:vAlign w:val="bottom"/>
            <w:gridSpan w:val="10"/>
          </w:tcPr>
          <w:p>
            <w:pPr>
              <w:spacing w:after="0"/>
              <w:rPr>
                <w:sz w:val="20"/>
                <w:szCs w:val="20"/>
                <w:color w:val="auto"/>
              </w:rPr>
            </w:pPr>
            <w:r>
              <w:rPr>
                <w:rFonts w:ascii="Arial" w:cs="Arial" w:eastAsia="Arial" w:hAnsi="Arial"/>
                <w:sz w:val="18"/>
                <w:szCs w:val="18"/>
                <w:color w:val="auto"/>
              </w:rPr>
              <w:t>(a)(1) Financial Statements.</w:t>
            </w:r>
          </w:p>
        </w:tc>
        <w:tc>
          <w:tcPr>
            <w:tcW w:w="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Pages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tcBorders>
              <w:bottom w:val="single" w:sz="8" w:color="0000FF"/>
            </w:tcBorders>
            <w:gridSpan w:val="2"/>
          </w:tcPr>
          <w:p>
            <w:pPr>
              <w:spacing w:after="0" w:line="176" w:lineRule="exact"/>
              <w:rPr>
                <w:sz w:val="20"/>
                <w:szCs w:val="20"/>
                <w:color w:val="auto"/>
              </w:rPr>
            </w:pPr>
            <w:r>
              <w:rPr>
                <w:rFonts w:ascii="Arial" w:cs="Arial" w:eastAsia="Arial" w:hAnsi="Arial"/>
                <w:sz w:val="18"/>
                <w:szCs w:val="18"/>
                <w:color w:val="0000FF"/>
                <w:w w:val="91"/>
              </w:rPr>
              <w:t>Report of Independent Registered Public Accounting Firm</w:t>
            </w:r>
          </w:p>
        </w:tc>
        <w:tc>
          <w:tcPr>
            <w:tcW w:w="6220" w:type="dxa"/>
            <w:vAlign w:val="bottom"/>
            <w:gridSpan w:val="7"/>
          </w:tcPr>
          <w:p>
            <w:pPr>
              <w:spacing w:after="0"/>
              <w:rPr>
                <w:sz w:val="15"/>
                <w:szCs w:val="15"/>
                <w:color w:val="auto"/>
              </w:rPr>
            </w:pPr>
          </w:p>
        </w:tc>
        <w:tc>
          <w:tcPr>
            <w:tcW w:w="780" w:type="dxa"/>
            <w:vAlign w:val="bottom"/>
          </w:tcPr>
          <w:p>
            <w:pPr>
              <w:ind w:left="20"/>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9"/>
          </w:tcPr>
          <w:p>
            <w:pPr>
              <w:spacing w:after="0"/>
              <w:rPr>
                <w:sz w:val="20"/>
                <w:szCs w:val="20"/>
                <w:color w:val="auto"/>
              </w:rPr>
            </w:pPr>
            <w:r>
              <w:rPr>
                <w:rFonts w:ascii="Arial" w:cs="Arial" w:eastAsia="Arial" w:hAnsi="Arial"/>
                <w:sz w:val="18"/>
                <w:szCs w:val="18"/>
                <w:color w:val="0000FF"/>
              </w:rPr>
              <w:t>Consolidated Balance Sheets as of December 31, 2022 and 2021</w:t>
            </w:r>
          </w:p>
        </w:tc>
        <w:tc>
          <w:tcPr>
            <w:tcW w:w="780" w:type="dxa"/>
            <w:vAlign w:val="bottom"/>
          </w:tcPr>
          <w:p>
            <w:pPr>
              <w:ind w:lef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Consolidated Statements of Operations for the Years Ended December 31, 2022, 2021 and 2020</w:t>
            </w:r>
          </w:p>
        </w:tc>
        <w:tc>
          <w:tcPr>
            <w:tcW w:w="20" w:type="dxa"/>
            <w:vAlign w:val="bottom"/>
            <w:tcBorders>
              <w:bottom w:val="single" w:sz="8" w:color="0000EE"/>
            </w:tcBorders>
          </w:tcPr>
          <w:p>
            <w:pPr>
              <w:spacing w:after="0"/>
              <w:rPr>
                <w:sz w:val="18"/>
                <w:szCs w:val="18"/>
                <w:color w:val="auto"/>
              </w:rPr>
            </w:pPr>
          </w:p>
        </w:tc>
        <w:tc>
          <w:tcPr>
            <w:tcW w:w="3520" w:type="dxa"/>
            <w:vAlign w:val="bottom"/>
            <w:gridSpan w:val="4"/>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9"/>
          </w:tcPr>
          <w:p>
            <w:pPr>
              <w:spacing w:after="0"/>
              <w:rPr>
                <w:sz w:val="20"/>
                <w:szCs w:val="20"/>
                <w:color w:val="auto"/>
              </w:rPr>
            </w:pPr>
            <w:r>
              <w:rPr>
                <w:rFonts w:ascii="Arial" w:cs="Arial" w:eastAsia="Arial" w:hAnsi="Arial"/>
                <w:sz w:val="18"/>
                <w:szCs w:val="18"/>
                <w:color w:val="0000FF"/>
              </w:rPr>
              <w:t>Consolidated Statements of Comprehensive (Loss) Income for the Years Ended December 31, 2022, 2021 and 2020</w:t>
            </w:r>
          </w:p>
        </w:tc>
        <w:tc>
          <w:tcPr>
            <w:tcW w:w="780" w:type="dxa"/>
            <w:vAlign w:val="bottom"/>
          </w:tcPr>
          <w:p>
            <w:pPr>
              <w:ind w:lef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w w:val="97"/>
              </w:rPr>
              <w:t>Consolidated Statements of Stockholders’ Equity for the Years Ended December 31, 2022, 2021 and 2020</w:t>
            </w:r>
          </w:p>
        </w:tc>
        <w:tc>
          <w:tcPr>
            <w:tcW w:w="212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9"/>
              </w:rPr>
              <w:t>Consolidated Statements of Cash Flows for the Years Ended December 31, 2022, 2021 and 2020</w:t>
            </w:r>
          </w:p>
        </w:tc>
        <w:tc>
          <w:tcPr>
            <w:tcW w:w="660" w:type="dxa"/>
            <w:vAlign w:val="bottom"/>
            <w:tcBorders>
              <w:top w:val="single" w:sz="8" w:color="0000FF"/>
            </w:tcBorders>
          </w:tcPr>
          <w:p>
            <w:pPr>
              <w:spacing w:after="0"/>
              <w:rPr>
                <w:sz w:val="18"/>
                <w:szCs w:val="18"/>
                <w:color w:val="auto"/>
              </w:rPr>
            </w:pPr>
          </w:p>
        </w:tc>
        <w:tc>
          <w:tcPr>
            <w:tcW w:w="2820" w:type="dxa"/>
            <w:vAlign w:val="bottom"/>
            <w:gridSpan w:val="2"/>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9"/>
          </w:tcPr>
          <w:p>
            <w:pPr>
              <w:spacing w:after="0"/>
              <w:rPr>
                <w:sz w:val="20"/>
                <w:szCs w:val="20"/>
                <w:color w:val="auto"/>
              </w:rPr>
            </w:pPr>
            <w:r>
              <w:rPr>
                <w:rFonts w:ascii="Arial" w:cs="Arial" w:eastAsia="Arial" w:hAnsi="Arial"/>
                <w:sz w:val="18"/>
                <w:szCs w:val="18"/>
                <w:color w:val="0000FF"/>
              </w:rPr>
              <w:t>Notes to Consolidated Financial Statements</w:t>
            </w:r>
          </w:p>
        </w:tc>
        <w:tc>
          <w:tcPr>
            <w:tcW w:w="780" w:type="dxa"/>
            <w:vAlign w:val="bottom"/>
          </w:tcPr>
          <w:p>
            <w:pPr>
              <w:ind w:left="2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Consolidated Financial Statements or Notes thereto.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120" w:type="dxa"/>
            <w:vAlign w:val="bottom"/>
            <w:gridSpan w:val="15"/>
            <w:vMerge w:val="restart"/>
          </w:tcPr>
          <w:p>
            <w:pPr>
              <w:ind w:left="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120" w:type="dxa"/>
            <w:vAlign w:val="bottom"/>
            <w:tcBorders>
              <w:bottom w:val="single" w:sz="8" w:color="auto"/>
            </w:tcBorders>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240" w:type="dxa"/>
            <w:vAlign w:val="bottom"/>
          </w:tcPr>
          <w:p>
            <w:pPr>
              <w:ind w:left="1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14"/>
          </w:tcPr>
          <w:p>
            <w:pPr>
              <w:spacing w:after="0"/>
              <w:rPr>
                <w:rFonts w:ascii="Arial" w:cs="Arial" w:eastAsia="Arial" w:hAnsi="Arial"/>
                <w:sz w:val="18"/>
                <w:szCs w:val="18"/>
                <w:color w:val="0000FF"/>
                <w:w w:val="91"/>
              </w:rPr>
            </w:pPr>
            <w:hyperlink r:id="rId116">
              <w:r>
                <w:rPr>
                  <w:rFonts w:ascii="Arial" w:cs="Arial" w:eastAsia="Arial" w:hAnsi="Arial"/>
                  <w:sz w:val="18"/>
                  <w:szCs w:val="18"/>
                  <w:color w:val="0000FF"/>
                  <w:w w:val="91"/>
                </w:rPr>
                <w:t>Amended and Restated Certificate of Incorporation of the Company (incorporated herein by reference to Exhibit 3.1 to the Company’s</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80" w:type="dxa"/>
            <w:vAlign w:val="bottom"/>
            <w:tcBorders>
              <w:bottom w:val="single" w:sz="8" w:color="0000FF"/>
            </w:tcBorders>
            <w:gridSpan w:val="6"/>
          </w:tcPr>
          <w:p>
            <w:pPr>
              <w:spacing w:after="0" w:line="195"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Current Report on Form 8-K (File No. 001-37708), as filed with the SEC on March 8, 2016).</w:t>
              </w:r>
            </w:hyperlink>
          </w:p>
        </w:tc>
        <w:tc>
          <w:tcPr>
            <w:tcW w:w="31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2"/>
          </w:tcPr>
          <w:p>
            <w:pPr>
              <w:spacing w:after="0"/>
              <w:rPr>
                <w:rFonts w:ascii="Arial" w:cs="Arial" w:eastAsia="Arial" w:hAnsi="Arial"/>
                <w:sz w:val="18"/>
                <w:szCs w:val="18"/>
                <w:color w:val="0000FF"/>
                <w:w w:val="90"/>
              </w:rPr>
            </w:pPr>
            <w:hyperlink r:id="rId117">
              <w:r>
                <w:rPr>
                  <w:rFonts w:ascii="Arial" w:cs="Arial" w:eastAsia="Arial" w:hAnsi="Arial"/>
                  <w:sz w:val="18"/>
                  <w:szCs w:val="18"/>
                  <w:color w:val="0000FF"/>
                  <w:w w:val="90"/>
                </w:rPr>
                <w:t>Amended and Restated Bylaws of the Company (incorporated herein by reference to Exhibit 3.2 to the Company’s Current Report on</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8"/>
          </w:tcPr>
          <w:p>
            <w:pPr>
              <w:spacing w:after="0" w:line="195" w:lineRule="exact"/>
              <w:rPr>
                <w:rFonts w:ascii="Arial" w:cs="Arial" w:eastAsia="Arial" w:hAnsi="Arial"/>
                <w:sz w:val="18"/>
                <w:szCs w:val="18"/>
                <w:color w:val="0000FF"/>
              </w:rPr>
            </w:pPr>
            <w:hyperlink r:id="rId117">
              <w:r>
                <w:rPr>
                  <w:rFonts w:ascii="Arial" w:cs="Arial" w:eastAsia="Arial" w:hAnsi="Arial"/>
                  <w:sz w:val="18"/>
                  <w:szCs w:val="18"/>
                  <w:color w:val="0000FF"/>
                </w:rPr>
                <w:t>Form 8-K (File No. 001-37708), as filed with the SEC on March 8,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2"/>
          </w:tcPr>
          <w:p>
            <w:pPr>
              <w:spacing w:after="0"/>
              <w:rPr>
                <w:rFonts w:ascii="Arial" w:cs="Arial" w:eastAsia="Arial" w:hAnsi="Arial"/>
                <w:sz w:val="18"/>
                <w:szCs w:val="18"/>
                <w:color w:val="0000FF"/>
                <w:w w:val="91"/>
              </w:rPr>
            </w:pPr>
            <w:hyperlink r:id="rId118">
              <w:r>
                <w:rPr>
                  <w:rFonts w:ascii="Arial" w:cs="Arial" w:eastAsia="Arial" w:hAnsi="Arial"/>
                  <w:sz w:val="18"/>
                  <w:szCs w:val="18"/>
                  <w:color w:val="0000FF"/>
                  <w:w w:val="91"/>
                </w:rPr>
                <w:t>Specimen Common Stock Certificate of the Company (incorporated herein by reference to Exhibit 4.1 to the Company’s Registration</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8"/>
          </w:tcPr>
          <w:p>
            <w:pPr>
              <w:spacing w:after="0" w:line="195" w:lineRule="exact"/>
              <w:rPr>
                <w:rFonts w:ascii="Arial" w:cs="Arial" w:eastAsia="Arial" w:hAnsi="Arial"/>
                <w:sz w:val="18"/>
                <w:szCs w:val="18"/>
                <w:color w:val="0000FF"/>
              </w:rPr>
            </w:pPr>
            <w:hyperlink r:id="rId118">
              <w:r>
                <w:rPr>
                  <w:rFonts w:ascii="Arial" w:cs="Arial" w:eastAsia="Arial" w:hAnsi="Arial"/>
                  <w:sz w:val="18"/>
                  <w:szCs w:val="18"/>
                  <w:color w:val="0000FF"/>
                </w:rPr>
                <w:t>Statement on Form S-1/A (File No. 333-208861), as filed with the SEC on February 20,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74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16"/>
          </w:tcPr>
          <w:p>
            <w:pPr>
              <w:spacing w:after="0"/>
              <w:rPr>
                <w:rFonts w:ascii="Arial" w:cs="Arial" w:eastAsia="Arial" w:hAnsi="Arial"/>
                <w:sz w:val="18"/>
                <w:szCs w:val="18"/>
                <w:color w:val="0000FF"/>
                <w:w w:val="88"/>
              </w:rPr>
            </w:pPr>
            <w:hyperlink r:id="rId119">
              <w:r>
                <w:rPr>
                  <w:rFonts w:ascii="Arial" w:cs="Arial" w:eastAsia="Arial" w:hAnsi="Arial"/>
                  <w:sz w:val="18"/>
                  <w:szCs w:val="18"/>
                  <w:color w:val="0000FF"/>
                  <w:w w:val="88"/>
                </w:rPr>
                <w:t>Form of Pre-Funded Warrant issued pursuant to the securities purchase agreement between the Company and Certain Purchasers, dated</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13"/>
          </w:tcPr>
          <w:p>
            <w:pPr>
              <w:spacing w:after="0" w:line="195"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December 16, 2021 (incorporated by reference to Exhibit 4.1 to the Company’s Current Report on Form 8-K (File No. 001-37708), as</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8"/>
          </w:tcPr>
          <w:p>
            <w:pPr>
              <w:spacing w:after="0" w:line="195" w:lineRule="exact"/>
              <w:rPr>
                <w:rFonts w:ascii="Arial" w:cs="Arial" w:eastAsia="Arial" w:hAnsi="Arial"/>
                <w:sz w:val="18"/>
                <w:szCs w:val="18"/>
                <w:color w:val="0000FF"/>
              </w:rPr>
            </w:pPr>
            <w:hyperlink r:id="rId119">
              <w:r>
                <w:rPr>
                  <w:rFonts w:ascii="Arial" w:cs="Arial" w:eastAsia="Arial" w:hAnsi="Arial"/>
                  <w:sz w:val="18"/>
                  <w:szCs w:val="18"/>
                  <w:color w:val="0000FF"/>
                </w:rPr>
                <w:t>filed with the SEC on December 17,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8"/>
          </w:tcPr>
          <w:p>
            <w:pPr>
              <w:spacing w:after="0"/>
              <w:rPr>
                <w:rFonts w:ascii="Arial" w:cs="Arial" w:eastAsia="Arial" w:hAnsi="Arial"/>
                <w:sz w:val="18"/>
                <w:szCs w:val="18"/>
                <w:color w:val="0000FF"/>
                <w:w w:val="94"/>
              </w:rPr>
            </w:pPr>
            <w:hyperlink r:id="rId120">
              <w:r>
                <w:rPr>
                  <w:rFonts w:ascii="Arial" w:cs="Arial" w:eastAsia="Arial" w:hAnsi="Arial"/>
                  <w:sz w:val="18"/>
                  <w:szCs w:val="18"/>
                  <w:color w:val="0000FF"/>
                  <w:w w:val="94"/>
                </w:rPr>
                <w:t>Description of Capital Stock (incorporated by reference to Exhibit 4.5 to the Company’s Annual Report on Form 10-K (File No. 001-</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top w:val="single" w:sz="8" w:color="0000FF"/>
            </w:tcBorders>
            <w:gridSpan w:val="11"/>
          </w:tcPr>
          <w:p>
            <w:pPr>
              <w:spacing w:after="0" w:line="195" w:lineRule="exact"/>
              <w:rPr>
                <w:rFonts w:ascii="Arial" w:cs="Arial" w:eastAsia="Arial" w:hAnsi="Arial"/>
                <w:sz w:val="18"/>
                <w:szCs w:val="18"/>
                <w:color w:val="0000FF"/>
              </w:rPr>
            </w:pPr>
            <w:hyperlink r:id="rId120">
              <w:r>
                <w:rPr>
                  <w:rFonts w:ascii="Arial" w:cs="Arial" w:eastAsia="Arial" w:hAnsi="Arial"/>
                  <w:sz w:val="18"/>
                  <w:szCs w:val="18"/>
                  <w:color w:val="0000FF"/>
                </w:rPr>
                <w:t>37708)</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as filed with the SEC on March 5, 2020).</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15"/>
          </w:tcPr>
          <w:p>
            <w:pPr>
              <w:spacing w:after="0"/>
              <w:rPr>
                <w:rFonts w:ascii="Arial" w:cs="Arial" w:eastAsia="Arial" w:hAnsi="Arial"/>
                <w:sz w:val="18"/>
                <w:szCs w:val="18"/>
                <w:color w:val="0000FF"/>
                <w:w w:val="90"/>
              </w:rPr>
            </w:pPr>
            <w:hyperlink r:id="rId121">
              <w:r>
                <w:rPr>
                  <w:rFonts w:ascii="Arial" w:cs="Arial" w:eastAsia="Arial" w:hAnsi="Arial"/>
                  <w:sz w:val="18"/>
                  <w:szCs w:val="18"/>
                  <w:color w:val="0000FF"/>
                  <w:w w:val="90"/>
                </w:rPr>
                <w:t>2007 Stock Plan (incorporated herein by reference to Exhibit 10.3 to the Company’s Registration Statement on Form S-1 (File No. 333-</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8"/>
          </w:tcPr>
          <w:p>
            <w:pPr>
              <w:spacing w:after="0" w:line="195" w:lineRule="exact"/>
              <w:rPr>
                <w:rFonts w:ascii="Arial" w:cs="Arial" w:eastAsia="Arial" w:hAnsi="Arial"/>
                <w:sz w:val="18"/>
                <w:szCs w:val="18"/>
                <w:color w:val="0000FF"/>
              </w:rPr>
            </w:pPr>
            <w:hyperlink r:id="rId121">
              <w:r>
                <w:rPr>
                  <w:rFonts w:ascii="Arial" w:cs="Arial" w:eastAsia="Arial" w:hAnsi="Arial"/>
                  <w:sz w:val="18"/>
                  <w:szCs w:val="18"/>
                  <w:color w:val="0000FF"/>
                </w:rPr>
                <w:t>208861)</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as filed with the SEC on January 4,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tcBorders>
              <w:right w:val="single" w:sz="8" w:color="0000EE"/>
            </w:tcBorders>
            <w:gridSpan w:val="3"/>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tcBorders>
              <w:bottom w:val="single" w:sz="8" w:color="0000FF"/>
            </w:tcBorders>
            <w:gridSpan w:val="9"/>
          </w:tcPr>
          <w:p>
            <w:pPr>
              <w:spacing w:after="0"/>
              <w:rPr>
                <w:rFonts w:ascii="Arial" w:cs="Arial" w:eastAsia="Arial" w:hAnsi="Arial"/>
                <w:sz w:val="18"/>
                <w:szCs w:val="18"/>
                <w:color w:val="0000FF"/>
                <w:w w:val="90"/>
              </w:rPr>
            </w:pPr>
            <w:hyperlink r:id="rId122">
              <w:r>
                <w:rPr>
                  <w:rFonts w:ascii="Arial" w:cs="Arial" w:eastAsia="Arial" w:hAnsi="Arial"/>
                  <w:sz w:val="18"/>
                  <w:szCs w:val="18"/>
                  <w:color w:val="0000FF"/>
                  <w:w w:val="90"/>
                </w:rPr>
                <w:t>2007 Stock Plan Amendment, dated as of March 8, 2013 (incorporated herein by reference to Exhibit 10.4 to the Company’s</w:t>
              </w:r>
            </w:hyperlink>
          </w:p>
        </w:tc>
        <w:tc>
          <w:tcPr>
            <w:tcW w:w="8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8"/>
          </w:tcPr>
          <w:p>
            <w:pPr>
              <w:spacing w:after="0" w:line="195" w:lineRule="exact"/>
              <w:rPr>
                <w:rFonts w:ascii="Arial" w:cs="Arial" w:eastAsia="Arial" w:hAnsi="Arial"/>
                <w:sz w:val="18"/>
                <w:szCs w:val="18"/>
                <w:color w:val="0000FF"/>
              </w:rPr>
            </w:pPr>
            <w:hyperlink r:id="rId122">
              <w:r>
                <w:rPr>
                  <w:rFonts w:ascii="Arial" w:cs="Arial" w:eastAsia="Arial" w:hAnsi="Arial"/>
                  <w:sz w:val="18"/>
                  <w:szCs w:val="18"/>
                  <w:color w:val="0000FF"/>
                </w:rPr>
                <w:t>Registration Statement on Form S-1 (File No. 333-208861), as filed with the SEC on January 4,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80" w:type="dxa"/>
            <w:vAlign w:val="bottom"/>
            <w:tcBorders>
              <w:right w:val="single" w:sz="8" w:color="0000FF"/>
            </w:tcBorders>
            <w:gridSpan w:val="5"/>
            <w:shd w:val="clear" w:color="auto" w:fill="0000FF"/>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tcBorders>
              <w:bottom w:val="single" w:sz="8" w:color="0000FF"/>
            </w:tcBorders>
            <w:gridSpan w:val="17"/>
          </w:tcPr>
          <w:p>
            <w:pPr>
              <w:spacing w:after="0"/>
              <w:rPr>
                <w:rFonts w:ascii="Arial" w:cs="Arial" w:eastAsia="Arial" w:hAnsi="Arial"/>
                <w:sz w:val="18"/>
                <w:szCs w:val="18"/>
                <w:color w:val="0000FF"/>
                <w:w w:val="90"/>
              </w:rPr>
            </w:pPr>
            <w:hyperlink r:id="rId123">
              <w:r>
                <w:rPr>
                  <w:rFonts w:ascii="Arial" w:cs="Arial" w:eastAsia="Arial" w:hAnsi="Arial"/>
                  <w:sz w:val="18"/>
                  <w:szCs w:val="18"/>
                  <w:color w:val="0000FF"/>
                  <w:w w:val="90"/>
                </w:rPr>
                <w:t>2007 Stock Plan Amendment, dated as of July 10, 2013 (incorporated herein by reference to Exhibit 10.5 to the Company’s Registration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8"/>
          </w:tcPr>
          <w:p>
            <w:pPr>
              <w:spacing w:after="0" w:line="195" w:lineRule="exact"/>
              <w:rPr>
                <w:rFonts w:ascii="Arial" w:cs="Arial" w:eastAsia="Arial" w:hAnsi="Arial"/>
                <w:sz w:val="18"/>
                <w:szCs w:val="18"/>
                <w:color w:val="0000FF"/>
              </w:rPr>
            </w:pPr>
            <w:hyperlink r:id="rId123">
              <w:r>
                <w:rPr>
                  <w:rFonts w:ascii="Arial" w:cs="Arial" w:eastAsia="Arial" w:hAnsi="Arial"/>
                  <w:sz w:val="18"/>
                  <w:szCs w:val="18"/>
                  <w:color w:val="0000FF"/>
                </w:rPr>
                <w:t>Statement on Form S-1 (File No. 333-208861), as filed with the SEC on January 4,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80" w:type="dxa"/>
            <w:vAlign w:val="bottom"/>
            <w:tcBorders>
              <w:right w:val="single" w:sz="8" w:color="0000EE"/>
            </w:tcBorders>
            <w:gridSpan w:val="5"/>
            <w:shd w:val="clear" w:color="auto" w:fill="0000FF"/>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240" w:type="dxa"/>
            <w:vAlign w:val="bottom"/>
          </w:tcPr>
          <w:p>
            <w:pPr>
              <w:ind w:left="1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60" w:type="dxa"/>
            <w:vAlign w:val="bottom"/>
            <w:tcBorders>
              <w:bottom w:val="single" w:sz="8" w:color="0000FF"/>
            </w:tcBorders>
            <w:gridSpan w:val="10"/>
          </w:tcPr>
          <w:p>
            <w:pPr>
              <w:spacing w:after="0"/>
              <w:rPr>
                <w:rFonts w:ascii="Arial" w:cs="Arial" w:eastAsia="Arial" w:hAnsi="Arial"/>
                <w:sz w:val="18"/>
                <w:szCs w:val="18"/>
                <w:color w:val="0000FF"/>
                <w:w w:val="90"/>
              </w:rPr>
            </w:pPr>
            <w:hyperlink r:id="rId124">
              <w:r>
                <w:rPr>
                  <w:rFonts w:ascii="Arial" w:cs="Arial" w:eastAsia="Arial" w:hAnsi="Arial"/>
                  <w:sz w:val="18"/>
                  <w:szCs w:val="18"/>
                  <w:color w:val="0000FF"/>
                  <w:w w:val="90"/>
                </w:rPr>
                <w:t>2007 Stock Plan Amendment, dated as of January 23, 2014 (incorporated herein by reference to Exhibit 10.6 to the Company’s</w:t>
              </w:r>
            </w:hyperlink>
          </w:p>
        </w:tc>
        <w:tc>
          <w:tcPr>
            <w:tcW w:w="7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8"/>
          </w:tcPr>
          <w:p>
            <w:pPr>
              <w:spacing w:after="0" w:line="195" w:lineRule="exact"/>
              <w:rPr>
                <w:rFonts w:ascii="Arial" w:cs="Arial" w:eastAsia="Arial" w:hAnsi="Arial"/>
                <w:sz w:val="18"/>
                <w:szCs w:val="18"/>
                <w:color w:val="0000FF"/>
              </w:rPr>
            </w:pPr>
            <w:hyperlink r:id="rId124">
              <w:r>
                <w:rPr>
                  <w:rFonts w:ascii="Arial" w:cs="Arial" w:eastAsia="Arial" w:hAnsi="Arial"/>
                  <w:sz w:val="18"/>
                  <w:szCs w:val="18"/>
                  <w:color w:val="0000FF"/>
                </w:rPr>
                <w:t>Registration Statement on Form S-1 (File No. 333-208861), as filed with the SEC on January 4, 2016).</w:t>
              </w:r>
            </w:hyperlink>
          </w:p>
        </w:tc>
        <w:tc>
          <w:tcPr>
            <w:tcW w:w="0" w:type="dxa"/>
            <w:vAlign w:val="bottom"/>
          </w:tcPr>
          <w:p>
            <w:pPr>
              <w:spacing w:after="0"/>
              <w:rPr>
                <w:sz w:val="1"/>
                <w:szCs w:val="1"/>
                <w:color w:val="auto"/>
              </w:rPr>
            </w:pPr>
          </w:p>
        </w:tc>
      </w:tr>
      <w:tr>
        <w:trPr>
          <w:trHeight w:val="614"/>
        </w:trPr>
        <w:tc>
          <w:tcPr>
            <w:tcW w:w="12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5340" w:type="dxa"/>
            <w:vAlign w:val="bottom"/>
            <w:tcBorders>
              <w:top w:val="single" w:sz="8" w:color="0000FF"/>
            </w:tcBorders>
            <w:gridSpan w:val="4"/>
          </w:tcPr>
          <w:p>
            <w:pPr>
              <w:jc w:val="right"/>
              <w:ind w:right="928"/>
              <w:spacing w:after="0"/>
              <w:rPr>
                <w:sz w:val="20"/>
                <w:szCs w:val="20"/>
                <w:color w:val="auto"/>
              </w:rPr>
            </w:pPr>
            <w:r>
              <w:rPr>
                <w:rFonts w:ascii="Arial" w:cs="Arial" w:eastAsia="Arial" w:hAnsi="Arial"/>
                <w:sz w:val="18"/>
                <w:szCs w:val="18"/>
                <w:color w:val="auto"/>
              </w:rPr>
              <w:t>72</w:t>
            </w:r>
          </w:p>
        </w:tc>
        <w:tc>
          <w:tcPr>
            <w:tcW w:w="1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320" w:type="dxa"/>
            <w:vAlign w:val="bottom"/>
            <w:gridSpan w:val="27"/>
            <w:vMerge w:val="restart"/>
          </w:tcPr>
          <w:p>
            <w:pPr>
              <w:ind w:left="10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6320" w:type="dxa"/>
            <w:vAlign w:val="bottom"/>
            <w:tcBorders>
              <w:bottom w:val="single" w:sz="8" w:color="auto"/>
            </w:tcBorders>
            <w:gridSpan w:val="2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240" w:type="dxa"/>
            <w:vAlign w:val="bottom"/>
          </w:tcPr>
          <w:p>
            <w:pPr>
              <w:ind w:left="1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tcBorders>
              <w:bottom w:val="single" w:sz="8" w:color="0000FF"/>
            </w:tcBorders>
            <w:gridSpan w:val="18"/>
          </w:tcPr>
          <w:p>
            <w:pPr>
              <w:spacing w:after="0"/>
              <w:rPr>
                <w:rFonts w:ascii="Arial" w:cs="Arial" w:eastAsia="Arial" w:hAnsi="Arial"/>
                <w:sz w:val="18"/>
                <w:szCs w:val="18"/>
                <w:color w:val="0000FF"/>
                <w:w w:val="90"/>
              </w:rPr>
            </w:pPr>
            <w:hyperlink r:id="rId127">
              <w:r>
                <w:rPr>
                  <w:rFonts w:ascii="Arial" w:cs="Arial" w:eastAsia="Arial" w:hAnsi="Arial"/>
                  <w:sz w:val="18"/>
                  <w:szCs w:val="18"/>
                  <w:color w:val="0000FF"/>
                  <w:w w:val="90"/>
                </w:rPr>
                <w:t>2007 Stock Plan Amendment, dated as of December 17, 2014 (incorporated herein by reference to Exhibit 10.7 to the Company’s</w:t>
              </w:r>
            </w:hyperlink>
          </w:p>
        </w:tc>
        <w:tc>
          <w:tcPr>
            <w:tcW w:w="5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8"/>
          </w:tcPr>
          <w:p>
            <w:pPr>
              <w:spacing w:after="0" w:line="195" w:lineRule="exact"/>
              <w:rPr>
                <w:rFonts w:ascii="Arial" w:cs="Arial" w:eastAsia="Arial" w:hAnsi="Arial"/>
                <w:sz w:val="18"/>
                <w:szCs w:val="18"/>
                <w:color w:val="0000FF"/>
              </w:rPr>
            </w:pPr>
            <w:hyperlink r:id="rId127">
              <w:r>
                <w:rPr>
                  <w:rFonts w:ascii="Arial" w:cs="Arial" w:eastAsia="Arial" w:hAnsi="Arial"/>
                  <w:sz w:val="18"/>
                  <w:szCs w:val="18"/>
                  <w:color w:val="0000FF"/>
                </w:rPr>
                <w:t>Registration Statement on Form S-1 (File No. 333-208861), as filed with the SEC on January 4,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28"/>
          </w:tcPr>
          <w:p>
            <w:pPr>
              <w:spacing w:after="0"/>
              <w:rPr>
                <w:rFonts w:ascii="Arial" w:cs="Arial" w:eastAsia="Arial" w:hAnsi="Arial"/>
                <w:sz w:val="18"/>
                <w:szCs w:val="18"/>
                <w:color w:val="0000FF"/>
                <w:w w:val="90"/>
              </w:rPr>
            </w:pPr>
            <w:hyperlink r:id="rId128">
              <w:r>
                <w:rPr>
                  <w:rFonts w:ascii="Arial" w:cs="Arial" w:eastAsia="Arial" w:hAnsi="Arial"/>
                  <w:sz w:val="18"/>
                  <w:szCs w:val="18"/>
                  <w:color w:val="0000FF"/>
                  <w:w w:val="90"/>
                </w:rPr>
                <w:t>2007 Stock Plan Amendment, dated as of May 28, 2015 (incorporated herein by reference to Exhibit 10.8 to the Company’s Registration</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8"/>
          </w:tcPr>
          <w:p>
            <w:pPr>
              <w:spacing w:after="0" w:line="195" w:lineRule="exact"/>
              <w:rPr>
                <w:rFonts w:ascii="Arial" w:cs="Arial" w:eastAsia="Arial" w:hAnsi="Arial"/>
                <w:sz w:val="18"/>
                <w:szCs w:val="18"/>
                <w:color w:val="0000FF"/>
              </w:rPr>
            </w:pPr>
            <w:hyperlink r:id="rId128">
              <w:r>
                <w:rPr>
                  <w:rFonts w:ascii="Arial" w:cs="Arial" w:eastAsia="Arial" w:hAnsi="Arial"/>
                  <w:sz w:val="18"/>
                  <w:szCs w:val="18"/>
                  <w:color w:val="0000FF"/>
                </w:rPr>
                <w:t>Statement on Form S-1 (File No. 333-208861), as filed with the SEC on January 4,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tcBorders>
              <w:bottom w:val="single" w:sz="8" w:color="0000FF"/>
            </w:tcBorders>
            <w:gridSpan w:val="16"/>
          </w:tcPr>
          <w:p>
            <w:pPr>
              <w:spacing w:after="0"/>
              <w:rPr>
                <w:rFonts w:ascii="Arial" w:cs="Arial" w:eastAsia="Arial" w:hAnsi="Arial"/>
                <w:sz w:val="18"/>
                <w:szCs w:val="18"/>
                <w:color w:val="0000FF"/>
                <w:w w:val="90"/>
              </w:rPr>
            </w:pPr>
            <w:hyperlink r:id="rId129">
              <w:r>
                <w:rPr>
                  <w:rFonts w:ascii="Arial" w:cs="Arial" w:eastAsia="Arial" w:hAnsi="Arial"/>
                  <w:sz w:val="18"/>
                  <w:szCs w:val="18"/>
                  <w:color w:val="0000FF"/>
                  <w:w w:val="90"/>
                </w:rPr>
                <w:t>2007 Stock Plan Amendment, dated as of August 20, 2015 (incorporated herein by reference to Exhibit 10.9 to the Company’s</w:t>
              </w:r>
            </w:hyperlink>
          </w:p>
        </w:tc>
        <w:tc>
          <w:tcPr>
            <w:tcW w:w="7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8"/>
          </w:tcPr>
          <w:p>
            <w:pPr>
              <w:spacing w:after="0" w:line="195" w:lineRule="exact"/>
              <w:rPr>
                <w:rFonts w:ascii="Arial" w:cs="Arial" w:eastAsia="Arial" w:hAnsi="Arial"/>
                <w:sz w:val="18"/>
                <w:szCs w:val="18"/>
                <w:color w:val="0000FF"/>
              </w:rPr>
            </w:pPr>
            <w:hyperlink r:id="rId129">
              <w:r>
                <w:rPr>
                  <w:rFonts w:ascii="Arial" w:cs="Arial" w:eastAsia="Arial" w:hAnsi="Arial"/>
                  <w:sz w:val="18"/>
                  <w:szCs w:val="18"/>
                  <w:color w:val="0000FF"/>
                </w:rPr>
                <w:t>Registration Statement on Form S-1 (File No. 333-208861), as filed with the SEC on January 4,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26"/>
          </w:tcPr>
          <w:p>
            <w:pPr>
              <w:spacing w:after="0"/>
              <w:rPr>
                <w:rFonts w:ascii="Arial" w:cs="Arial" w:eastAsia="Arial" w:hAnsi="Arial"/>
                <w:sz w:val="18"/>
                <w:szCs w:val="18"/>
                <w:color w:val="0000FF"/>
                <w:w w:val="91"/>
              </w:rPr>
            </w:pPr>
            <w:hyperlink r:id="rId130">
              <w:r>
                <w:rPr>
                  <w:rFonts w:ascii="Arial" w:cs="Arial" w:eastAsia="Arial" w:hAnsi="Arial"/>
                  <w:sz w:val="18"/>
                  <w:szCs w:val="18"/>
                  <w:color w:val="0000FF"/>
                  <w:w w:val="91"/>
                </w:rPr>
                <w:t>Form of Incentive Stock Option Agreement under 2007 Stock Plan (incorporated herein by reference to Exhibit 10.10 to the Company’s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8"/>
          </w:tcPr>
          <w:p>
            <w:pPr>
              <w:spacing w:after="0" w:line="195" w:lineRule="exact"/>
              <w:rPr>
                <w:rFonts w:ascii="Arial" w:cs="Arial" w:eastAsia="Arial" w:hAnsi="Arial"/>
                <w:sz w:val="18"/>
                <w:szCs w:val="18"/>
                <w:color w:val="0000FF"/>
              </w:rPr>
            </w:pPr>
            <w:hyperlink r:id="rId130">
              <w:r>
                <w:rPr>
                  <w:rFonts w:ascii="Arial" w:cs="Arial" w:eastAsia="Arial" w:hAnsi="Arial"/>
                  <w:sz w:val="18"/>
                  <w:szCs w:val="18"/>
                  <w:color w:val="0000FF"/>
                </w:rPr>
                <w:t>Registration Statement on Form S-1 (File No. 333-208861), as filed with the SEC on January 4,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tcBorders>
              <w:bottom w:val="single" w:sz="8" w:color="0000FF"/>
            </w:tcBorders>
            <w:gridSpan w:val="17"/>
          </w:tcPr>
          <w:p>
            <w:pPr>
              <w:spacing w:after="0"/>
              <w:rPr>
                <w:rFonts w:ascii="Arial" w:cs="Arial" w:eastAsia="Arial" w:hAnsi="Arial"/>
                <w:sz w:val="18"/>
                <w:szCs w:val="18"/>
                <w:color w:val="0000FF"/>
                <w:w w:val="91"/>
              </w:rPr>
            </w:pPr>
            <w:hyperlink r:id="rId131">
              <w:r>
                <w:rPr>
                  <w:rFonts w:ascii="Arial" w:cs="Arial" w:eastAsia="Arial" w:hAnsi="Arial"/>
                  <w:sz w:val="18"/>
                  <w:szCs w:val="18"/>
                  <w:color w:val="0000FF"/>
                  <w:w w:val="91"/>
                </w:rPr>
                <w:t>Form of Non-Statutory Stock Option Agreement under 2007 Stock Plan (incorporated herein by reference to Exhibit 10.11 to the</w:t>
              </w:r>
            </w:hyperlink>
          </w:p>
        </w:tc>
        <w:tc>
          <w:tcPr>
            <w:tcW w:w="5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60" w:type="dxa"/>
            <w:vAlign w:val="bottom"/>
            <w:tcBorders>
              <w:bottom w:val="single" w:sz="8" w:color="0000FF"/>
            </w:tcBorders>
            <w:gridSpan w:val="10"/>
          </w:tcPr>
          <w:p>
            <w:pPr>
              <w:spacing w:after="0" w:line="195"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Company’s Registration Statement on Form S-1 (File No. 333-208861), as filed with the SEC on January 4, 2016).</w:t>
              </w:r>
            </w:hyperlink>
          </w:p>
        </w:tc>
        <w:tc>
          <w:tcPr>
            <w:tcW w:w="20" w:type="dxa"/>
            <w:vAlign w:val="bottom"/>
            <w:tcBorders>
              <w:bottom w:val="single" w:sz="8" w:color="0000EE"/>
            </w:tcBorders>
          </w:tcPr>
          <w:p>
            <w:pPr>
              <w:spacing w:after="0"/>
              <w:rPr>
                <w:sz w:val="17"/>
                <w:szCs w:val="17"/>
                <w:color w:val="auto"/>
              </w:rPr>
            </w:pPr>
          </w:p>
        </w:tc>
        <w:tc>
          <w:tcPr>
            <w:tcW w:w="15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24"/>
          </w:tcPr>
          <w:p>
            <w:pPr>
              <w:spacing w:after="0"/>
              <w:rPr>
                <w:rFonts w:ascii="Arial" w:cs="Arial" w:eastAsia="Arial" w:hAnsi="Arial"/>
                <w:sz w:val="18"/>
                <w:szCs w:val="18"/>
                <w:color w:val="0000FF"/>
                <w:w w:val="90"/>
              </w:rPr>
            </w:pPr>
            <w:hyperlink r:id="rId132">
              <w:r>
                <w:rPr>
                  <w:rFonts w:ascii="Arial" w:cs="Arial" w:eastAsia="Arial" w:hAnsi="Arial"/>
                  <w:sz w:val="18"/>
                  <w:szCs w:val="18"/>
                  <w:color w:val="0000FF"/>
                  <w:w w:val="90"/>
                </w:rPr>
                <w:t>2015 Omnibus Incentive Plan (incorporated herein by reference to Exhibit 10.12 to the Company’s Registration Statement on Form S-8</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8"/>
          </w:tcPr>
          <w:p>
            <w:pPr>
              <w:spacing w:after="0" w:line="195" w:lineRule="exact"/>
              <w:rPr>
                <w:rFonts w:ascii="Arial" w:cs="Arial" w:eastAsia="Arial" w:hAnsi="Arial"/>
                <w:sz w:val="18"/>
                <w:szCs w:val="18"/>
                <w:color w:val="0000FF"/>
              </w:rPr>
            </w:pPr>
            <w:hyperlink r:id="rId132">
              <w:r>
                <w:rPr>
                  <w:rFonts w:ascii="Arial" w:cs="Arial" w:eastAsia="Arial" w:hAnsi="Arial"/>
                  <w:sz w:val="18"/>
                  <w:szCs w:val="18"/>
                  <w:color w:val="0000FF"/>
                </w:rPr>
                <w:t>(File No. 333-210412), as filed with the SEC on March 25,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23"/>
          </w:tcPr>
          <w:p>
            <w:pPr>
              <w:spacing w:after="0"/>
              <w:rPr>
                <w:rFonts w:ascii="Arial" w:cs="Arial" w:eastAsia="Arial" w:hAnsi="Arial"/>
                <w:sz w:val="18"/>
                <w:szCs w:val="18"/>
                <w:color w:val="0000FF"/>
                <w:w w:val="91"/>
              </w:rPr>
            </w:pPr>
            <w:hyperlink r:id="rId133">
              <w:r>
                <w:rPr>
                  <w:rFonts w:ascii="Arial" w:cs="Arial" w:eastAsia="Arial" w:hAnsi="Arial"/>
                  <w:sz w:val="18"/>
                  <w:szCs w:val="18"/>
                  <w:color w:val="0000FF"/>
                  <w:w w:val="91"/>
                </w:rPr>
                <w:t>Form of Incentive Stock Option Agreement under 2015 Omnibus Incentive Plan (incorporated herein by reference to Exhibit 10.13 to</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20" w:type="dxa"/>
            <w:vAlign w:val="bottom"/>
            <w:tcBorders>
              <w:bottom w:val="single" w:sz="8" w:color="0000FF"/>
            </w:tcBorders>
            <w:gridSpan w:val="12"/>
          </w:tcPr>
          <w:p>
            <w:pPr>
              <w:spacing w:after="0" w:line="195"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the Company’s Registration Statement on Form S-1 (File No. 333-208861), as filed with the SEC on January 4, 2016).</w:t>
              </w:r>
            </w:hyperlink>
          </w:p>
        </w:tc>
        <w:tc>
          <w:tcPr>
            <w:tcW w:w="20" w:type="dxa"/>
            <w:vAlign w:val="bottom"/>
            <w:tcBorders>
              <w:bottom w:val="single" w:sz="8" w:color="0000EE"/>
            </w:tcBorders>
          </w:tcPr>
          <w:p>
            <w:pPr>
              <w:spacing w:after="0"/>
              <w:rPr>
                <w:sz w:val="17"/>
                <w:szCs w:val="17"/>
                <w:color w:val="auto"/>
              </w:rPr>
            </w:pPr>
          </w:p>
        </w:tc>
        <w:tc>
          <w:tcPr>
            <w:tcW w:w="13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28"/>
          </w:tcPr>
          <w:p>
            <w:pPr>
              <w:spacing w:after="0"/>
              <w:rPr>
                <w:rFonts w:ascii="Arial" w:cs="Arial" w:eastAsia="Arial" w:hAnsi="Arial"/>
                <w:sz w:val="18"/>
                <w:szCs w:val="18"/>
                <w:color w:val="0000FF"/>
                <w:w w:val="92"/>
              </w:rPr>
            </w:pPr>
            <w:hyperlink r:id="rId134">
              <w:r>
                <w:rPr>
                  <w:rFonts w:ascii="Arial" w:cs="Arial" w:eastAsia="Arial" w:hAnsi="Arial"/>
                  <w:sz w:val="18"/>
                  <w:szCs w:val="18"/>
                  <w:color w:val="0000FF"/>
                  <w:w w:val="92"/>
                </w:rPr>
                <w:t>Form of Non-Qualified Option Agreement under 2015 Omnibus Incentive Plan (incorporated herein by reference to Exhibit 10.14 to the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60" w:type="dxa"/>
            <w:vAlign w:val="bottom"/>
            <w:tcBorders>
              <w:bottom w:val="single" w:sz="8" w:color="0000FF"/>
            </w:tcBorders>
            <w:gridSpan w:val="10"/>
          </w:tcPr>
          <w:p>
            <w:pPr>
              <w:spacing w:after="0" w:line="195"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Company’s Registration Statement on Form S-1 (File No. 333-208861), as filed with the SEC on January 4, 2016).</w:t>
              </w:r>
            </w:hyperlink>
          </w:p>
        </w:tc>
        <w:tc>
          <w:tcPr>
            <w:tcW w:w="20" w:type="dxa"/>
            <w:vAlign w:val="bottom"/>
            <w:tcBorders>
              <w:bottom w:val="single" w:sz="8" w:color="0000EE"/>
            </w:tcBorders>
          </w:tcPr>
          <w:p>
            <w:pPr>
              <w:spacing w:after="0"/>
              <w:rPr>
                <w:sz w:val="17"/>
                <w:szCs w:val="17"/>
                <w:color w:val="auto"/>
              </w:rPr>
            </w:pPr>
          </w:p>
        </w:tc>
        <w:tc>
          <w:tcPr>
            <w:tcW w:w="15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25"/>
          </w:tcPr>
          <w:p>
            <w:pPr>
              <w:spacing w:after="0"/>
              <w:rPr>
                <w:rFonts w:ascii="Arial" w:cs="Arial" w:eastAsia="Arial" w:hAnsi="Arial"/>
                <w:sz w:val="18"/>
                <w:szCs w:val="18"/>
                <w:color w:val="0000FF"/>
                <w:w w:val="91"/>
              </w:rPr>
            </w:pPr>
            <w:hyperlink r:id="rId135">
              <w:r>
                <w:rPr>
                  <w:rFonts w:ascii="Arial" w:cs="Arial" w:eastAsia="Arial" w:hAnsi="Arial"/>
                  <w:sz w:val="18"/>
                  <w:szCs w:val="18"/>
                  <w:color w:val="0000FF"/>
                  <w:w w:val="91"/>
                </w:rPr>
                <w:t>Form of Stock Unit Agreement under 2015 Omnibus Incentive Plan (incorporated herein by reference to Exhibit 10.1 to the Company’s</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60" w:type="dxa"/>
            <w:vAlign w:val="bottom"/>
            <w:tcBorders>
              <w:bottom w:val="single" w:sz="8" w:color="0000FF"/>
            </w:tcBorders>
            <w:gridSpan w:val="7"/>
          </w:tcPr>
          <w:p>
            <w:pPr>
              <w:spacing w:after="0" w:line="195"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Quarterly Report on Form 10-Q (File No. 001-37708), as filed with the SEC on August 6, 2020).</w:t>
              </w:r>
            </w:hyperlink>
          </w:p>
        </w:tc>
        <w:tc>
          <w:tcPr>
            <w:tcW w:w="20" w:type="dxa"/>
            <w:vAlign w:val="bottom"/>
            <w:tcBorders>
              <w:bottom w:val="single" w:sz="8" w:color="0000EE"/>
            </w:tcBorders>
          </w:tcPr>
          <w:p>
            <w:pPr>
              <w:spacing w:after="0"/>
              <w:rPr>
                <w:sz w:val="17"/>
                <w:szCs w:val="17"/>
                <w:color w:val="auto"/>
              </w:rPr>
            </w:pPr>
          </w:p>
        </w:tc>
        <w:tc>
          <w:tcPr>
            <w:tcW w:w="28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22"/>
          </w:tcPr>
          <w:p>
            <w:pPr>
              <w:spacing w:after="0"/>
              <w:rPr>
                <w:rFonts w:ascii="Arial" w:cs="Arial" w:eastAsia="Arial" w:hAnsi="Arial"/>
                <w:sz w:val="18"/>
                <w:szCs w:val="18"/>
                <w:color w:val="0000FF"/>
                <w:w w:val="91"/>
              </w:rPr>
            </w:pPr>
            <w:hyperlink r:id="rId136">
              <w:r>
                <w:rPr>
                  <w:rFonts w:ascii="Arial" w:cs="Arial" w:eastAsia="Arial" w:hAnsi="Arial"/>
                  <w:sz w:val="18"/>
                  <w:szCs w:val="18"/>
                  <w:color w:val="0000FF"/>
                  <w:w w:val="91"/>
                </w:rPr>
                <w:t>Form of Deferred Settlement Stock Unit Agreement under 2015 Omnibus Incentive Plan (incorporated herein by reference to Exhibit</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8"/>
          </w:tcPr>
          <w:p>
            <w:pPr>
              <w:spacing w:after="0" w:line="195" w:lineRule="exact"/>
              <w:rPr>
                <w:rFonts w:ascii="Arial" w:cs="Arial" w:eastAsia="Arial" w:hAnsi="Arial"/>
                <w:sz w:val="18"/>
                <w:szCs w:val="18"/>
                <w:color w:val="0000FF"/>
              </w:rPr>
            </w:pPr>
            <w:hyperlink r:id="rId136">
              <w:r>
                <w:rPr>
                  <w:rFonts w:ascii="Arial" w:cs="Arial" w:eastAsia="Arial" w:hAnsi="Arial"/>
                  <w:sz w:val="18"/>
                  <w:szCs w:val="18"/>
                  <w:color w:val="0000FF"/>
                </w:rPr>
                <w:t>10.</w:t>
              </w:r>
              <w:r>
                <w:rPr>
                  <w:rFonts w:ascii="Arial" w:cs="Arial" w:eastAsia="Arial" w:hAnsi="Arial"/>
                  <w:sz w:val="18"/>
                  <w:szCs w:val="18"/>
                  <w:u w:val="single" w:color="auto"/>
                  <w:color w:val="0000FF"/>
                </w:rPr>
                <w:t>14</w:t>
              </w:r>
              <w:r>
                <w:rPr>
                  <w:rFonts w:ascii="Arial" w:cs="Arial" w:eastAsia="Arial" w:hAnsi="Arial"/>
                  <w:sz w:val="18"/>
                  <w:szCs w:val="18"/>
                  <w:color w:val="0000FF"/>
                </w:rPr>
                <w:t xml:space="preserve"> to the Company’s Annual Report on Form 10-K (file No. 001-37708), as filed with the SEC on March 12,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840" w:type="dxa"/>
            <w:vAlign w:val="bottom"/>
            <w:tcBorders>
              <w:right w:val="single" w:sz="8" w:color="0000EE"/>
            </w:tcBorders>
            <w:gridSpan w:val="9"/>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0000FF"/>
            </w:tcBorders>
            <w:gridSpan w:val="20"/>
          </w:tcPr>
          <w:p>
            <w:pPr>
              <w:spacing w:after="0"/>
              <w:rPr>
                <w:rFonts w:ascii="Arial" w:cs="Arial" w:eastAsia="Arial" w:hAnsi="Arial"/>
                <w:sz w:val="18"/>
                <w:szCs w:val="18"/>
                <w:color w:val="0000FF"/>
                <w:w w:val="90"/>
              </w:rPr>
            </w:pPr>
            <w:hyperlink r:id="rId137">
              <w:r>
                <w:rPr>
                  <w:rFonts w:ascii="Arial" w:cs="Arial" w:eastAsia="Arial" w:hAnsi="Arial"/>
                  <w:sz w:val="18"/>
                  <w:szCs w:val="18"/>
                  <w:color w:val="0000FF"/>
                  <w:w w:val="90"/>
                </w:rPr>
                <w:t>2015 Employee Stock Purchase Plan (incorporated herein by reference to Exhibit 4.16 to the Company’s Registration Statement on</w:t>
              </w:r>
            </w:hyperlink>
          </w:p>
        </w:tc>
        <w:tc>
          <w:tcPr>
            <w:tcW w:w="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tcBorders>
              <w:bottom w:val="single" w:sz="8" w:color="0000FF"/>
            </w:tcBorders>
            <w:gridSpan w:val="3"/>
          </w:tcPr>
          <w:p>
            <w:pPr>
              <w:spacing w:after="0" w:line="195"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Form S-8 (File No. 333-210412), as filed with the SEC on March 25, 2016).</w:t>
              </w:r>
            </w:hyperlink>
          </w:p>
        </w:tc>
        <w:tc>
          <w:tcPr>
            <w:tcW w:w="20" w:type="dxa"/>
            <w:vAlign w:val="bottom"/>
            <w:tcBorders>
              <w:bottom w:val="single" w:sz="8" w:color="0000EE"/>
            </w:tcBorders>
          </w:tcPr>
          <w:p>
            <w:pPr>
              <w:spacing w:after="0"/>
              <w:rPr>
                <w:sz w:val="17"/>
                <w:szCs w:val="17"/>
                <w:color w:val="auto"/>
              </w:rPr>
            </w:pPr>
          </w:p>
        </w:tc>
        <w:tc>
          <w:tcPr>
            <w:tcW w:w="43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tcBorders>
              <w:bottom w:val="single" w:sz="8" w:color="0000FF"/>
            </w:tcBorders>
            <w:gridSpan w:val="27"/>
          </w:tcPr>
          <w:p>
            <w:pPr>
              <w:spacing w:after="0"/>
              <w:rPr>
                <w:rFonts w:ascii="Arial" w:cs="Arial" w:eastAsia="Arial" w:hAnsi="Arial"/>
                <w:sz w:val="18"/>
                <w:szCs w:val="18"/>
                <w:color w:val="0000FF"/>
                <w:w w:val="90"/>
              </w:rPr>
            </w:pPr>
            <w:hyperlink r:id="rId138">
              <w:r>
                <w:rPr>
                  <w:rFonts w:ascii="Arial" w:cs="Arial" w:eastAsia="Arial" w:hAnsi="Arial"/>
                  <w:sz w:val="18"/>
                  <w:szCs w:val="18"/>
                  <w:color w:val="0000FF"/>
                  <w:w w:val="90"/>
                </w:rPr>
                <w:t>Syndax Pharmaceuticals, Inc. 2023 Inducement Plan (incorporated herein by reference to Exhibit 10.1 to the Company’s Current Report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8"/>
          </w:tcPr>
          <w:p>
            <w:pPr>
              <w:spacing w:after="0" w:line="195" w:lineRule="exact"/>
              <w:rPr>
                <w:rFonts w:ascii="Arial" w:cs="Arial" w:eastAsia="Arial" w:hAnsi="Arial"/>
                <w:sz w:val="18"/>
                <w:szCs w:val="18"/>
                <w:color w:val="0000FF"/>
              </w:rPr>
            </w:pPr>
            <w:hyperlink r:id="rId138">
              <w:r>
                <w:rPr>
                  <w:rFonts w:ascii="Arial" w:cs="Arial" w:eastAsia="Arial" w:hAnsi="Arial"/>
                  <w:sz w:val="18"/>
                  <w:szCs w:val="18"/>
                  <w:color w:val="0000FF"/>
                </w:rPr>
                <w:t>on Form 8-K (File No. 001-37708), as filed with the SEC on February 8,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gridSpan w:val="3"/>
            <w:shd w:val="clear" w:color="auto" w:fill="0000FF"/>
          </w:tcPr>
          <w:p>
            <w:pPr>
              <w:spacing w:after="0" w:line="20" w:lineRule="exact"/>
              <w:rPr>
                <w:sz w:val="1"/>
                <w:szCs w:val="1"/>
                <w:color w:val="auto"/>
              </w:rPr>
            </w:pPr>
          </w:p>
        </w:tc>
        <w:tc>
          <w:tcPr>
            <w:tcW w:w="3380" w:type="dxa"/>
            <w:vAlign w:val="bottom"/>
            <w:gridSpan w:val="10"/>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FF"/>
            </w:tcBorders>
            <w:gridSpan w:val="21"/>
          </w:tcPr>
          <w:p>
            <w:pPr>
              <w:spacing w:after="0"/>
              <w:rPr>
                <w:rFonts w:ascii="Arial" w:cs="Arial" w:eastAsia="Arial" w:hAnsi="Arial"/>
                <w:sz w:val="18"/>
                <w:szCs w:val="18"/>
                <w:color w:val="0000FF"/>
                <w:w w:val="90"/>
              </w:rPr>
            </w:pPr>
            <w:hyperlink r:id="rId139">
              <w:r>
                <w:rPr>
                  <w:rFonts w:ascii="Arial" w:cs="Arial" w:eastAsia="Arial" w:hAnsi="Arial"/>
                  <w:sz w:val="18"/>
                  <w:szCs w:val="18"/>
                  <w:color w:val="0000FF"/>
                  <w:w w:val="90"/>
                </w:rPr>
                <w:t>Form of Option Agreement pursuant to the Syndax Pharmaceuticals, Inc. 2023 Inducement Plan (incorporated herein by reference to</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8"/>
          </w:tcPr>
          <w:p>
            <w:pPr>
              <w:spacing w:after="0" w:line="195" w:lineRule="exact"/>
              <w:rPr>
                <w:rFonts w:ascii="Arial" w:cs="Arial" w:eastAsia="Arial" w:hAnsi="Arial"/>
                <w:sz w:val="18"/>
                <w:szCs w:val="18"/>
                <w:color w:val="0000FF"/>
                <w:w w:val="99"/>
              </w:rPr>
            </w:pPr>
            <w:hyperlink r:id="rId139">
              <w:r>
                <w:rPr>
                  <w:rFonts w:ascii="Arial" w:cs="Arial" w:eastAsia="Arial" w:hAnsi="Arial"/>
                  <w:sz w:val="18"/>
                  <w:szCs w:val="18"/>
                  <w:color w:val="0000FF"/>
                  <w:w w:val="99"/>
                </w:rPr>
                <w:t>Exhibit 10.2 to the Company’s Current Report on Form 8-K (File No. 001-37708), as filed with the SEC on February 8,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360" w:type="dxa"/>
            <w:vAlign w:val="bottom"/>
            <w:tcBorders>
              <w:right w:val="single" w:sz="8" w:color="0000EE"/>
            </w:tcBorders>
            <w:gridSpan w:val="13"/>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FF"/>
            </w:tcBorders>
            <w:gridSpan w:val="21"/>
          </w:tcPr>
          <w:p>
            <w:pPr>
              <w:spacing w:after="0"/>
              <w:rPr>
                <w:rFonts w:ascii="Arial" w:cs="Arial" w:eastAsia="Arial" w:hAnsi="Arial"/>
                <w:sz w:val="18"/>
                <w:szCs w:val="18"/>
                <w:color w:val="0000FF"/>
                <w:w w:val="90"/>
              </w:rPr>
            </w:pPr>
            <w:hyperlink r:id="rId140">
              <w:r>
                <w:rPr>
                  <w:rFonts w:ascii="Arial" w:cs="Arial" w:eastAsia="Arial" w:hAnsi="Arial"/>
                  <w:sz w:val="18"/>
                  <w:szCs w:val="18"/>
                  <w:color w:val="0000FF"/>
                  <w:w w:val="90"/>
                </w:rPr>
                <w:t>Amended and Restated Executive Employment Agreement by and between the Company and Briggs W. Morrison, M.D., dated as of</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8"/>
          </w:tcPr>
          <w:p>
            <w:pPr>
              <w:spacing w:after="0" w:line="195" w:lineRule="exact"/>
              <w:rPr>
                <w:rFonts w:ascii="Arial" w:cs="Arial" w:eastAsia="Arial" w:hAnsi="Arial"/>
                <w:sz w:val="18"/>
                <w:szCs w:val="18"/>
                <w:color w:val="0000FF"/>
                <w:w w:val="95"/>
              </w:rPr>
            </w:pPr>
            <w:hyperlink r:id="rId140">
              <w:r>
                <w:rPr>
                  <w:rFonts w:ascii="Arial" w:cs="Arial" w:eastAsia="Arial" w:hAnsi="Arial"/>
                  <w:sz w:val="18"/>
                  <w:szCs w:val="18"/>
                  <w:color w:val="0000FF"/>
                  <w:w w:val="95"/>
                </w:rPr>
                <w:t>February 2, 2022 (incorporated herein by reference to Exhibit 10.16 to the Company's Annual Report on Form 10-K (File No. 001-</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top w:val="single" w:sz="8" w:color="0000FF"/>
            </w:tcBorders>
            <w:gridSpan w:val="19"/>
          </w:tcPr>
          <w:p>
            <w:pPr>
              <w:spacing w:after="0" w:line="195" w:lineRule="exact"/>
              <w:rPr>
                <w:rFonts w:ascii="Arial" w:cs="Arial" w:eastAsia="Arial" w:hAnsi="Arial"/>
                <w:sz w:val="18"/>
                <w:szCs w:val="18"/>
                <w:color w:val="0000FF"/>
              </w:rPr>
            </w:pPr>
            <w:hyperlink r:id="rId140">
              <w:r>
                <w:rPr>
                  <w:rFonts w:ascii="Arial" w:cs="Arial" w:eastAsia="Arial" w:hAnsi="Arial"/>
                  <w:sz w:val="18"/>
                  <w:szCs w:val="18"/>
                  <w:color w:val="0000FF"/>
                </w:rPr>
                <w:t>37708)</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as filed with the SEC on March 1, 2022).</w:t>
              </w:r>
            </w:hyperlink>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60" w:type="dxa"/>
            <w:vAlign w:val="bottom"/>
            <w:gridSpan w:val="2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26"/>
          </w:tcPr>
          <w:p>
            <w:pPr>
              <w:spacing w:after="0"/>
              <w:rPr>
                <w:rFonts w:ascii="Arial" w:cs="Arial" w:eastAsia="Arial" w:hAnsi="Arial"/>
                <w:sz w:val="18"/>
                <w:szCs w:val="18"/>
                <w:color w:val="0000FF"/>
                <w:w w:val="90"/>
              </w:rPr>
            </w:pPr>
            <w:hyperlink r:id="rId141">
              <w:r>
                <w:rPr>
                  <w:rFonts w:ascii="Arial" w:cs="Arial" w:eastAsia="Arial" w:hAnsi="Arial"/>
                  <w:sz w:val="18"/>
                  <w:szCs w:val="18"/>
                  <w:color w:val="0000FF"/>
                  <w:w w:val="90"/>
                </w:rPr>
                <w:t>Amended and Restated Executive Employment Agreement by and between the Company and Michael A. Metzger, dated as of February</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bottom w:val="single" w:sz="8" w:color="0000EE"/>
            </w:tcBorders>
            <w:gridSpan w:val="2"/>
          </w:tcPr>
          <w:p>
            <w:pPr>
              <w:spacing w:after="0" w:line="195"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2, 2022 (incorporated herein by reference to Exhibit 10.17 to the</w:t>
              </w:r>
            </w:hyperlink>
          </w:p>
        </w:tc>
        <w:tc>
          <w:tcPr>
            <w:tcW w:w="51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1240" w:type="dxa"/>
            <w:vAlign w:val="bottom"/>
          </w:tcPr>
          <w:p>
            <w:pPr>
              <w:spacing w:after="0"/>
              <w:rPr>
                <w:sz w:val="24"/>
                <w:szCs w:val="24"/>
                <w:color w:val="auto"/>
              </w:rPr>
            </w:pPr>
          </w:p>
        </w:tc>
        <w:tc>
          <w:tcPr>
            <w:tcW w:w="4900" w:type="dxa"/>
            <w:vAlign w:val="bottom"/>
            <w:gridSpan w:val="4"/>
          </w:tcPr>
          <w:p>
            <w:pPr>
              <w:jc w:val="right"/>
              <w:ind w:right="348"/>
              <w:spacing w:after="0"/>
              <w:rPr>
                <w:sz w:val="20"/>
                <w:szCs w:val="20"/>
                <w:color w:val="auto"/>
              </w:rPr>
            </w:pPr>
            <w:r>
              <w:rPr>
                <w:rFonts w:ascii="Arial" w:cs="Arial" w:eastAsia="Arial" w:hAnsi="Arial"/>
                <w:sz w:val="18"/>
                <w:szCs w:val="18"/>
                <w:color w:val="auto"/>
              </w:rPr>
              <w:t>73</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120" w:type="dxa"/>
            <w:vAlign w:val="bottom"/>
            <w:gridSpan w:val="23"/>
            <w:vMerge w:val="restart"/>
          </w:tcPr>
          <w:p>
            <w:pPr>
              <w:ind w:left="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612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tcBorders>
              <w:bottom w:val="single" w:sz="8" w:color="0000FF"/>
            </w:tcBorders>
            <w:gridSpan w:val="12"/>
          </w:tcPr>
          <w:p>
            <w:pPr>
              <w:spacing w:after="0"/>
              <w:rPr>
                <w:rFonts w:ascii="Arial" w:cs="Arial" w:eastAsia="Arial" w:hAnsi="Arial"/>
                <w:sz w:val="18"/>
                <w:szCs w:val="18"/>
                <w:color w:val="0000FF"/>
                <w:w w:val="91"/>
              </w:rPr>
            </w:pPr>
            <w:hyperlink r:id="rId141">
              <w:r>
                <w:rPr>
                  <w:rFonts w:ascii="Arial" w:cs="Arial" w:eastAsia="Arial" w:hAnsi="Arial"/>
                  <w:sz w:val="18"/>
                  <w:szCs w:val="18"/>
                  <w:color w:val="0000FF"/>
                  <w:w w:val="91"/>
                </w:rPr>
                <w:t>Company's Annual Report on Form 10-K (File No. 001-37708), as filed with the SEC on March 1, 2022).</w:t>
              </w:r>
            </w:hyperlink>
          </w:p>
        </w:tc>
        <w:tc>
          <w:tcPr>
            <w:tcW w:w="22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20" w:type="dxa"/>
            <w:vAlign w:val="bottom"/>
            <w:tcBorders>
              <w:bottom w:val="single" w:sz="8" w:color="0000FF"/>
            </w:tcBorders>
            <w:gridSpan w:val="13"/>
          </w:tcPr>
          <w:p>
            <w:pPr>
              <w:spacing w:after="0"/>
              <w:rPr>
                <w:rFonts w:ascii="Arial" w:cs="Arial" w:eastAsia="Arial" w:hAnsi="Arial"/>
                <w:sz w:val="18"/>
                <w:szCs w:val="18"/>
                <w:color w:val="0000FF"/>
                <w:w w:val="90"/>
              </w:rPr>
            </w:pPr>
            <w:hyperlink r:id="rId144">
              <w:r>
                <w:rPr>
                  <w:rFonts w:ascii="Arial" w:cs="Arial" w:eastAsia="Arial" w:hAnsi="Arial"/>
                  <w:sz w:val="18"/>
                  <w:szCs w:val="18"/>
                  <w:color w:val="0000FF"/>
                  <w:w w:val="90"/>
                </w:rPr>
                <w:t>Executive Employment Agreement by and between the Company and Catherine Madigan, M.D., dated as of March 1, 2022</w:t>
              </w:r>
            </w:hyperlink>
          </w:p>
        </w:tc>
        <w:tc>
          <w:tcPr>
            <w:tcW w:w="9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6"/>
          </w:tcPr>
          <w:p>
            <w:pPr>
              <w:spacing w:after="0" w:line="195" w:lineRule="exact"/>
              <w:rPr>
                <w:rFonts w:ascii="Arial" w:cs="Arial" w:eastAsia="Arial" w:hAnsi="Arial"/>
                <w:sz w:val="18"/>
                <w:szCs w:val="18"/>
                <w:color w:val="0000FF"/>
                <w:w w:val="91"/>
              </w:rPr>
            </w:pPr>
            <w:hyperlink r:id="rId144">
              <w:r>
                <w:rPr>
                  <w:rFonts w:ascii="Arial" w:cs="Arial" w:eastAsia="Arial" w:hAnsi="Arial"/>
                  <w:sz w:val="18"/>
                  <w:szCs w:val="18"/>
                  <w:color w:val="0000FF"/>
                  <w:w w:val="91"/>
                </w:rPr>
                <w:t>(incorporated herein by reference to Exhibit 10.1 to the Company’s Quarterly Report on Form 10-Q (File No. 001-37708), as filed with</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Borders>
              <w:bottom w:val="single" w:sz="8" w:color="0000FF"/>
            </w:tcBorders>
            <w:gridSpan w:val="5"/>
          </w:tcPr>
          <w:p>
            <w:pPr>
              <w:spacing w:after="0" w:line="195" w:lineRule="exact"/>
              <w:rPr>
                <w:rFonts w:ascii="Arial" w:cs="Arial" w:eastAsia="Arial" w:hAnsi="Arial"/>
                <w:sz w:val="18"/>
                <w:szCs w:val="18"/>
                <w:color w:val="0000FF"/>
                <w:w w:val="89"/>
              </w:rPr>
            </w:pPr>
            <w:hyperlink r:id="rId144">
              <w:r>
                <w:rPr>
                  <w:rFonts w:ascii="Arial" w:cs="Arial" w:eastAsia="Arial" w:hAnsi="Arial"/>
                  <w:sz w:val="18"/>
                  <w:szCs w:val="18"/>
                  <w:color w:val="0000FF"/>
                  <w:w w:val="89"/>
                </w:rPr>
                <w:t>the SEC on May 9, 2022).</w:t>
              </w:r>
            </w:hyperlink>
          </w:p>
        </w:tc>
        <w:tc>
          <w:tcPr>
            <w:tcW w:w="20" w:type="dxa"/>
            <w:vAlign w:val="bottom"/>
            <w:tcBorders>
              <w:bottom w:val="single" w:sz="8" w:color="0000EE"/>
            </w:tcBorders>
          </w:tcPr>
          <w:p>
            <w:pPr>
              <w:spacing w:after="0"/>
              <w:rPr>
                <w:sz w:val="17"/>
                <w:szCs w:val="17"/>
                <w:color w:val="auto"/>
              </w:rPr>
            </w:pPr>
          </w:p>
        </w:tc>
        <w:tc>
          <w:tcPr>
            <w:tcW w:w="79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20" w:type="dxa"/>
            <w:vAlign w:val="bottom"/>
            <w:tcBorders>
              <w:bottom w:val="single" w:sz="8" w:color="0000FF"/>
            </w:tcBorders>
            <w:gridSpan w:val="14"/>
          </w:tcPr>
          <w:p>
            <w:pPr>
              <w:spacing w:after="0"/>
              <w:rPr>
                <w:rFonts w:ascii="Arial" w:cs="Arial" w:eastAsia="Arial" w:hAnsi="Arial"/>
                <w:sz w:val="18"/>
                <w:szCs w:val="18"/>
                <w:color w:val="0000FF"/>
                <w:w w:val="90"/>
              </w:rPr>
            </w:pPr>
            <w:hyperlink r:id="rId145">
              <w:r>
                <w:rPr>
                  <w:rFonts w:ascii="Arial" w:cs="Arial" w:eastAsia="Arial" w:hAnsi="Arial"/>
                  <w:sz w:val="18"/>
                  <w:szCs w:val="18"/>
                  <w:color w:val="0000FF"/>
                  <w:w w:val="90"/>
                </w:rPr>
                <w:t>Executive Employment Agreement by and between the Company and Anjali Ganguli, Ph.D., dated as of September 30, 2021</w:t>
              </w:r>
            </w:hyperlink>
          </w:p>
        </w:tc>
        <w:tc>
          <w:tcPr>
            <w:tcW w:w="8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6"/>
          </w:tcPr>
          <w:p>
            <w:pPr>
              <w:spacing w:after="0" w:line="195"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(incorporated herein by reference to Exhibit 10.2 to the Company’s Quarterly Report on Form 10-Q (File No. 001-37708), as filed with</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Borders>
              <w:bottom w:val="single" w:sz="8" w:color="0000FF"/>
            </w:tcBorders>
            <w:gridSpan w:val="5"/>
          </w:tcPr>
          <w:p>
            <w:pPr>
              <w:spacing w:after="0" w:line="195" w:lineRule="exact"/>
              <w:rPr>
                <w:rFonts w:ascii="Arial" w:cs="Arial" w:eastAsia="Arial" w:hAnsi="Arial"/>
                <w:sz w:val="18"/>
                <w:szCs w:val="18"/>
                <w:color w:val="0000FF"/>
                <w:w w:val="89"/>
              </w:rPr>
            </w:pPr>
            <w:hyperlink r:id="rId145">
              <w:r>
                <w:rPr>
                  <w:rFonts w:ascii="Arial" w:cs="Arial" w:eastAsia="Arial" w:hAnsi="Arial"/>
                  <w:sz w:val="18"/>
                  <w:szCs w:val="18"/>
                  <w:color w:val="0000FF"/>
                  <w:w w:val="89"/>
                </w:rPr>
                <w:t>the SEC on May 9, 2022).</w:t>
              </w:r>
            </w:hyperlink>
          </w:p>
        </w:tc>
        <w:tc>
          <w:tcPr>
            <w:tcW w:w="20" w:type="dxa"/>
            <w:vAlign w:val="bottom"/>
            <w:tcBorders>
              <w:bottom w:val="single" w:sz="8" w:color="0000EE"/>
            </w:tcBorders>
          </w:tcPr>
          <w:p>
            <w:pPr>
              <w:spacing w:after="0"/>
              <w:rPr>
                <w:sz w:val="17"/>
                <w:szCs w:val="17"/>
                <w:color w:val="auto"/>
              </w:rPr>
            </w:pPr>
          </w:p>
        </w:tc>
        <w:tc>
          <w:tcPr>
            <w:tcW w:w="79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FF"/>
            </w:tcBorders>
            <w:gridSpan w:val="30"/>
          </w:tcPr>
          <w:p>
            <w:pPr>
              <w:spacing w:after="0"/>
              <w:rPr>
                <w:rFonts w:ascii="Arial" w:cs="Arial" w:eastAsia="Arial" w:hAnsi="Arial"/>
                <w:sz w:val="18"/>
                <w:szCs w:val="18"/>
                <w:color w:val="0000FF"/>
                <w:w w:val="90"/>
              </w:rPr>
            </w:pPr>
            <w:hyperlink r:id="rId146">
              <w:r>
                <w:rPr>
                  <w:rFonts w:ascii="Arial" w:cs="Arial" w:eastAsia="Arial" w:hAnsi="Arial"/>
                  <w:sz w:val="18"/>
                  <w:szCs w:val="18"/>
                  <w:color w:val="0000FF"/>
                  <w:w w:val="90"/>
                </w:rPr>
                <w:t>Executive Employment Agreement by and between the Company and Keith A. Goldan, dated as of June 8, 2022 (incorporated herein by</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27"/>
          </w:tcPr>
          <w:p>
            <w:pPr>
              <w:spacing w:after="0" w:line="195" w:lineRule="exact"/>
              <w:rPr>
                <w:rFonts w:ascii="Arial" w:cs="Arial" w:eastAsia="Arial" w:hAnsi="Arial"/>
                <w:sz w:val="18"/>
                <w:szCs w:val="18"/>
                <w:color w:val="0000FF"/>
                <w:w w:val="91"/>
              </w:rPr>
            </w:pPr>
            <w:hyperlink r:id="rId146">
              <w:r>
                <w:rPr>
                  <w:rFonts w:ascii="Arial" w:cs="Arial" w:eastAsia="Arial" w:hAnsi="Arial"/>
                  <w:sz w:val="18"/>
                  <w:szCs w:val="18"/>
                  <w:color w:val="0000FF"/>
                  <w:w w:val="91"/>
                </w:rPr>
                <w:t>reference to Exhibit 10.1 to the Company’s Current Report on Form 8-K (File No. 001-37708), as filed with the SEC on June 13, 2022).</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92"/>
        </w:trPr>
        <w:tc>
          <w:tcPr>
            <w:tcW w:w="1240" w:type="dxa"/>
            <w:vAlign w:val="bottom"/>
          </w:tcPr>
          <w:p>
            <w:pPr>
              <w:ind w:left="14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tcBorders>
              <w:bottom w:val="single" w:sz="8" w:color="0000FF"/>
            </w:tcBorders>
            <w:gridSpan w:val="20"/>
          </w:tcPr>
          <w:p>
            <w:pPr>
              <w:spacing w:after="0"/>
              <w:rPr>
                <w:rFonts w:ascii="Arial" w:cs="Arial" w:eastAsia="Arial" w:hAnsi="Arial"/>
                <w:sz w:val="18"/>
                <w:szCs w:val="18"/>
                <w:color w:val="0000FF"/>
                <w:w w:val="90"/>
              </w:rPr>
            </w:pPr>
            <w:hyperlink r:id="rId147">
              <w:r>
                <w:rPr>
                  <w:rFonts w:ascii="Arial" w:cs="Arial" w:eastAsia="Arial" w:hAnsi="Arial"/>
                  <w:sz w:val="18"/>
                  <w:szCs w:val="18"/>
                  <w:color w:val="0000FF"/>
                  <w:w w:val="90"/>
                </w:rPr>
                <w:t>Executive Employment Agreement by and between the Company and Steve M. Sabus, dated as of December 1, 2022 (incorporated</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19"/>
          </w:tcPr>
          <w:p>
            <w:pPr>
              <w:spacing w:after="0" w:line="195" w:lineRule="exact"/>
              <w:rPr>
                <w:rFonts w:ascii="Arial" w:cs="Arial" w:eastAsia="Arial" w:hAnsi="Arial"/>
                <w:sz w:val="18"/>
                <w:szCs w:val="18"/>
                <w:color w:val="0000FF"/>
                <w:w w:val="92"/>
              </w:rPr>
            </w:pPr>
            <w:hyperlink r:id="rId147">
              <w:r>
                <w:rPr>
                  <w:rFonts w:ascii="Arial" w:cs="Arial" w:eastAsia="Arial" w:hAnsi="Arial"/>
                  <w:sz w:val="18"/>
                  <w:szCs w:val="18"/>
                  <w:color w:val="0000FF"/>
                  <w:w w:val="92"/>
                </w:rPr>
                <w:t>herein by reference to Exhibit 10.1 to the Company’s Current Report on Form 8-K (File No. 001-37708), as filed with the SEC on</w:t>
              </w:r>
            </w:hyperlink>
          </w:p>
        </w:tc>
        <w:tc>
          <w:tcPr>
            <w:tcW w:w="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FF"/>
            </w:tcBorders>
            <w:gridSpan w:val="3"/>
          </w:tcPr>
          <w:p>
            <w:pPr>
              <w:spacing w:after="0" w:line="195" w:lineRule="exact"/>
              <w:rPr>
                <w:rFonts w:ascii="Arial" w:cs="Arial" w:eastAsia="Arial" w:hAnsi="Arial"/>
                <w:sz w:val="18"/>
                <w:szCs w:val="18"/>
                <w:color w:val="0000FF"/>
                <w:w w:val="87"/>
              </w:rPr>
            </w:pPr>
            <w:hyperlink r:id="rId147">
              <w:r>
                <w:rPr>
                  <w:rFonts w:ascii="Arial" w:cs="Arial" w:eastAsia="Arial" w:hAnsi="Arial"/>
                  <w:sz w:val="18"/>
                  <w:szCs w:val="18"/>
                  <w:color w:val="0000FF"/>
                  <w:w w:val="87"/>
                </w:rPr>
                <w:t>December 5, 2022).</w:t>
              </w:r>
            </w:hyperlink>
          </w:p>
        </w:tc>
        <w:tc>
          <w:tcPr>
            <w:tcW w:w="20" w:type="dxa"/>
            <w:vAlign w:val="bottom"/>
            <w:tcBorders>
              <w:bottom w:val="single" w:sz="8" w:color="0000EE"/>
            </w:tcBorders>
          </w:tcPr>
          <w:p>
            <w:pPr>
              <w:spacing w:after="0"/>
              <w:rPr>
                <w:sz w:val="17"/>
                <w:szCs w:val="17"/>
                <w:color w:val="auto"/>
              </w:rPr>
            </w:pPr>
          </w:p>
        </w:tc>
        <w:tc>
          <w:tcPr>
            <w:tcW w:w="84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1240" w:type="dxa"/>
            <w:vAlign w:val="bottom"/>
          </w:tcPr>
          <w:p>
            <w:pPr>
              <w:ind w:left="14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0"/>
          </w:tcPr>
          <w:p>
            <w:pPr>
              <w:spacing w:after="0"/>
              <w:rPr>
                <w:sz w:val="20"/>
                <w:szCs w:val="20"/>
                <w:color w:val="auto"/>
              </w:rPr>
            </w:pPr>
            <w:r>
              <w:rPr>
                <w:rFonts w:ascii="Arial" w:cs="Arial" w:eastAsia="Arial" w:hAnsi="Arial"/>
                <w:sz w:val="18"/>
                <w:szCs w:val="18"/>
                <w:color w:val="0000FF"/>
              </w:rPr>
              <w:t>Non-employee Director Compensation Policy, as amended, dated as of February 2, 2023.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gridSpan w:val="5"/>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tcBorders>
              <w:bottom w:val="single" w:sz="8" w:color="0000FF"/>
            </w:tcBorders>
            <w:gridSpan w:val="15"/>
          </w:tcPr>
          <w:p>
            <w:pPr>
              <w:spacing w:after="0"/>
              <w:rPr>
                <w:rFonts w:ascii="Arial" w:cs="Arial" w:eastAsia="Arial" w:hAnsi="Arial"/>
                <w:sz w:val="18"/>
                <w:szCs w:val="18"/>
                <w:color w:val="0000FF"/>
                <w:w w:val="91"/>
              </w:rPr>
            </w:pPr>
            <w:hyperlink r:id="rId148">
              <w:r>
                <w:rPr>
                  <w:rFonts w:ascii="Arial" w:cs="Arial" w:eastAsia="Arial" w:hAnsi="Arial"/>
                  <w:sz w:val="18"/>
                  <w:szCs w:val="18"/>
                  <w:color w:val="0000FF"/>
                  <w:w w:val="91"/>
                </w:rPr>
                <w:t>Form of Indemnification Agreement by and between the company and each of its directors and officers (incorporated herein by</w:t>
              </w:r>
            </w:hyperlink>
          </w:p>
        </w:tc>
        <w:tc>
          <w:tcPr>
            <w:tcW w:w="6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bottom w:val="single" w:sz="8" w:color="0000FF"/>
            </w:tcBorders>
            <w:gridSpan w:val="18"/>
          </w:tcPr>
          <w:p>
            <w:pPr>
              <w:spacing w:after="0" w:line="195"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reference to Exhibit 10.21 to the Company’s Registration Statement on Form S-1 (File No. 333-208861), as filed with the SEC on</w:t>
              </w:r>
            </w:hyperlink>
          </w:p>
        </w:tc>
        <w:tc>
          <w:tcPr>
            <w:tcW w:w="4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0000FF"/>
            </w:tcBorders>
          </w:tcPr>
          <w:p>
            <w:pPr>
              <w:spacing w:after="0" w:line="195" w:lineRule="exact"/>
              <w:rPr>
                <w:rFonts w:ascii="Arial" w:cs="Arial" w:eastAsia="Arial" w:hAnsi="Arial"/>
                <w:sz w:val="18"/>
                <w:szCs w:val="18"/>
                <w:color w:val="0000FF"/>
                <w:w w:val="87"/>
              </w:rPr>
            </w:pPr>
            <w:hyperlink r:id="rId148">
              <w:r>
                <w:rPr>
                  <w:rFonts w:ascii="Arial" w:cs="Arial" w:eastAsia="Arial" w:hAnsi="Arial"/>
                  <w:sz w:val="18"/>
                  <w:szCs w:val="18"/>
                  <w:color w:val="0000FF"/>
                  <w:w w:val="87"/>
                </w:rPr>
                <w:t>January 4, 2016).</w:t>
              </w:r>
            </w:hyperlink>
          </w:p>
        </w:tc>
        <w:tc>
          <w:tcPr>
            <w:tcW w:w="20" w:type="dxa"/>
            <w:vAlign w:val="bottom"/>
            <w:tcBorders>
              <w:bottom w:val="single" w:sz="8" w:color="0000EE"/>
            </w:tcBorders>
          </w:tcPr>
          <w:p>
            <w:pPr>
              <w:spacing w:after="0"/>
              <w:rPr>
                <w:sz w:val="17"/>
                <w:szCs w:val="17"/>
                <w:color w:val="auto"/>
              </w:rPr>
            </w:pPr>
          </w:p>
        </w:tc>
        <w:tc>
          <w:tcPr>
            <w:tcW w:w="86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23"/>
          </w:tcPr>
          <w:p>
            <w:pPr>
              <w:spacing w:after="0"/>
              <w:rPr>
                <w:rFonts w:ascii="Arial" w:cs="Arial" w:eastAsia="Arial" w:hAnsi="Arial"/>
                <w:sz w:val="18"/>
                <w:szCs w:val="18"/>
                <w:color w:val="0000FF"/>
                <w:w w:val="90"/>
              </w:rPr>
            </w:pPr>
            <w:hyperlink r:id="rId149">
              <w:r>
                <w:rPr>
                  <w:rFonts w:ascii="Arial" w:cs="Arial" w:eastAsia="Arial" w:hAnsi="Arial"/>
                  <w:sz w:val="18"/>
                  <w:szCs w:val="18"/>
                  <w:color w:val="0000FF"/>
                  <w:w w:val="90"/>
                </w:rPr>
                <w:t>License, Development and Commercialization Agreement by and between the company and Bayer Schering Pharma AG, dated as of</w:t>
              </w:r>
            </w:hyperlink>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March 26, 2007 (incorporated herein by reference to Exhibit 10.22 to the Company’s Registration Statement on Form S-1 (File No. 333-</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top w:val="single" w:sz="8" w:color="0000FF"/>
            </w:tcBorders>
            <w:gridSpan w:val="28"/>
          </w:tcPr>
          <w:p>
            <w:pPr>
              <w:spacing w:after="0" w:line="195" w:lineRule="exact"/>
              <w:rPr>
                <w:rFonts w:ascii="Arial" w:cs="Arial" w:eastAsia="Arial" w:hAnsi="Arial"/>
                <w:sz w:val="18"/>
                <w:szCs w:val="18"/>
                <w:color w:val="0000FF"/>
              </w:rPr>
            </w:pPr>
            <w:hyperlink r:id="rId149">
              <w:r>
                <w:rPr>
                  <w:rFonts w:ascii="Arial" w:cs="Arial" w:eastAsia="Arial" w:hAnsi="Arial"/>
                  <w:sz w:val="18"/>
                  <w:szCs w:val="18"/>
                  <w:color w:val="0000FF"/>
                </w:rPr>
                <w:t>208861)</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as filed with the SEC on January 4, 2016).</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tcBorders>
              <w:right w:val="single" w:sz="8" w:color="0000EE"/>
            </w:tcBorders>
            <w:gridSpan w:val="7"/>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tcBorders>
              <w:bottom w:val="single" w:sz="8" w:color="0000FF"/>
            </w:tcBorders>
            <w:gridSpan w:val="29"/>
          </w:tcPr>
          <w:p>
            <w:pPr>
              <w:spacing w:after="0"/>
              <w:rPr>
                <w:rFonts w:ascii="Arial" w:cs="Arial" w:eastAsia="Arial" w:hAnsi="Arial"/>
                <w:sz w:val="18"/>
                <w:szCs w:val="18"/>
                <w:color w:val="0000FF"/>
                <w:w w:val="90"/>
              </w:rPr>
            </w:pPr>
            <w:hyperlink r:id="rId150">
              <w:r>
                <w:rPr>
                  <w:rFonts w:ascii="Arial" w:cs="Arial" w:eastAsia="Arial" w:hAnsi="Arial"/>
                  <w:sz w:val="18"/>
                  <w:szCs w:val="18"/>
                  <w:color w:val="0000FF"/>
                  <w:w w:val="90"/>
                </w:rPr>
                <w:t>First Amendment to the License, Development and Commercialization Agreement by and between the company and Bayer Pharma AG,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25"/>
          </w:tcPr>
          <w:p>
            <w:pPr>
              <w:spacing w:after="0" w:line="195" w:lineRule="exact"/>
              <w:rPr>
                <w:rFonts w:ascii="Arial" w:cs="Arial" w:eastAsia="Arial" w:hAnsi="Arial"/>
                <w:sz w:val="18"/>
                <w:szCs w:val="18"/>
                <w:color w:val="0000FF"/>
                <w:w w:val="90"/>
              </w:rPr>
            </w:pPr>
            <w:hyperlink r:id="rId150">
              <w:r>
                <w:rPr>
                  <w:rFonts w:ascii="Arial" w:cs="Arial" w:eastAsia="Arial" w:hAnsi="Arial"/>
                  <w:sz w:val="18"/>
                  <w:szCs w:val="18"/>
                  <w:color w:val="0000FF"/>
                  <w:w w:val="90"/>
                </w:rPr>
                <w:t>dated as of October 13, 2012 (incorporated herein by reference to Exhibit 10.23 to the Company’s Registration Statement on Form S-1</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rPr>
            </w:pPr>
            <w:hyperlink r:id="rId150">
              <w:r>
                <w:rPr>
                  <w:rFonts w:ascii="Arial" w:cs="Arial" w:eastAsia="Arial" w:hAnsi="Arial"/>
                  <w:sz w:val="18"/>
                  <w:szCs w:val="18"/>
                  <w:color w:val="0000FF"/>
                </w:rPr>
                <w:t>(File No. 333-208861), as filed with the SEC on January 4,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Borders>
              <w:right w:val="single" w:sz="8" w:color="0000EE"/>
            </w:tcBorders>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24"/>
          </w:tcPr>
          <w:p>
            <w:pPr>
              <w:spacing w:after="0"/>
              <w:rPr>
                <w:rFonts w:ascii="Arial" w:cs="Arial" w:eastAsia="Arial" w:hAnsi="Arial"/>
                <w:sz w:val="18"/>
                <w:szCs w:val="18"/>
                <w:color w:val="0000FF"/>
                <w:w w:val="90"/>
              </w:rPr>
            </w:pPr>
            <w:hyperlink r:id="rId151">
              <w:r>
                <w:rPr>
                  <w:rFonts w:ascii="Arial" w:cs="Arial" w:eastAsia="Arial" w:hAnsi="Arial"/>
                  <w:sz w:val="18"/>
                  <w:szCs w:val="18"/>
                  <w:color w:val="0000FF"/>
                  <w:w w:val="90"/>
                </w:rPr>
                <w:t>Second Amendment to the License, Development and Commercialization Agreement by and between the company and Bayer Pharma</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6"/>
          </w:tcPr>
          <w:p>
            <w:pPr>
              <w:spacing w:after="0" w:line="195" w:lineRule="exact"/>
              <w:rPr>
                <w:rFonts w:ascii="Arial" w:cs="Arial" w:eastAsia="Arial" w:hAnsi="Arial"/>
                <w:sz w:val="18"/>
                <w:szCs w:val="18"/>
                <w:color w:val="0000FF"/>
                <w:w w:val="90"/>
              </w:rPr>
            </w:pPr>
            <w:hyperlink r:id="rId151">
              <w:r>
                <w:rPr>
                  <w:rFonts w:ascii="Arial" w:cs="Arial" w:eastAsia="Arial" w:hAnsi="Arial"/>
                  <w:sz w:val="18"/>
                  <w:szCs w:val="18"/>
                  <w:color w:val="0000FF"/>
                  <w:w w:val="90"/>
                </w:rPr>
                <w:t>AG, dated as of February 1, 2013 (incorporated herein by reference to Exhibit 10.24 to the Company’s Registration Statement on Form</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rPr>
            </w:pPr>
            <w:hyperlink r:id="rId151">
              <w:r>
                <w:rPr>
                  <w:rFonts w:ascii="Arial" w:cs="Arial" w:eastAsia="Arial" w:hAnsi="Arial"/>
                  <w:sz w:val="18"/>
                  <w:szCs w:val="18"/>
                  <w:color w:val="0000FF"/>
                </w:rPr>
                <w:t>S-1 (File No. 333-208861), as filed with the SEC on January 4,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FF"/>
            </w:tcBorders>
            <w:gridSpan w:val="22"/>
          </w:tcPr>
          <w:p>
            <w:pPr>
              <w:spacing w:after="0"/>
              <w:rPr>
                <w:rFonts w:ascii="Arial" w:cs="Arial" w:eastAsia="Arial" w:hAnsi="Arial"/>
                <w:sz w:val="18"/>
                <w:szCs w:val="18"/>
                <w:color w:val="0000FF"/>
                <w:w w:val="90"/>
              </w:rPr>
            </w:pPr>
            <w:hyperlink r:id="rId152">
              <w:r>
                <w:rPr>
                  <w:rFonts w:ascii="Arial" w:cs="Arial" w:eastAsia="Arial" w:hAnsi="Arial"/>
                  <w:sz w:val="18"/>
                  <w:szCs w:val="18"/>
                  <w:color w:val="0000FF"/>
                  <w:w w:val="90"/>
                </w:rPr>
                <w:t>Third Amendment to the License, Development and Commercialization Agreement by and between the company and Bayer Pharma</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AG, dated as of October 9, 2013 (incorporated herein by reference to Exhibit 10.25 to the Company’s Registration Statement on Form S-</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29"/>
          </w:tcPr>
          <w:p>
            <w:pPr>
              <w:spacing w:after="0" w:line="195" w:lineRule="exact"/>
              <w:rPr>
                <w:rFonts w:ascii="Arial" w:cs="Arial" w:eastAsia="Arial" w:hAnsi="Arial"/>
                <w:sz w:val="18"/>
                <w:szCs w:val="18"/>
                <w:color w:val="0000FF"/>
              </w:rPr>
            </w:pPr>
            <w:hyperlink r:id="rId152">
              <w:r>
                <w:rPr>
                  <w:rFonts w:ascii="Arial" w:cs="Arial" w:eastAsia="Arial" w:hAnsi="Arial"/>
                  <w:sz w:val="18"/>
                  <w:szCs w:val="18"/>
                  <w:color w:val="0000FF"/>
                </w:rPr>
                <w:t>1 (File 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tcBorders>
              <w:right w:val="single" w:sz="8" w:color="0000EE"/>
            </w:tcBorders>
            <w:gridSpan w:val="9"/>
            <w:shd w:val="clear" w:color="auto" w:fill="0000FF"/>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tcBorders>
              <w:bottom w:val="single" w:sz="8" w:color="0000FF"/>
            </w:tcBorders>
            <w:gridSpan w:val="16"/>
          </w:tcPr>
          <w:p>
            <w:pPr>
              <w:spacing w:after="0"/>
              <w:rPr>
                <w:rFonts w:ascii="Arial" w:cs="Arial" w:eastAsia="Arial" w:hAnsi="Arial"/>
                <w:sz w:val="18"/>
                <w:szCs w:val="18"/>
                <w:color w:val="0000FF"/>
                <w:w w:val="89"/>
              </w:rPr>
            </w:pPr>
            <w:hyperlink r:id="rId153">
              <w:r>
                <w:rPr>
                  <w:rFonts w:ascii="Arial" w:cs="Arial" w:eastAsia="Arial" w:hAnsi="Arial"/>
                  <w:sz w:val="18"/>
                  <w:szCs w:val="18"/>
                  <w:color w:val="0000FF"/>
                  <w:w w:val="89"/>
                </w:rPr>
                <w:t>Letter Agreement by and between the company and Bayer Pharma AG, dated as of September 18, 2014 (incorporated herein by</w:t>
              </w:r>
            </w:hyperlink>
          </w:p>
        </w:tc>
        <w:tc>
          <w:tcPr>
            <w:tcW w:w="6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bottom w:val="single" w:sz="8" w:color="0000FF"/>
            </w:tcBorders>
            <w:gridSpan w:val="18"/>
          </w:tcPr>
          <w:p>
            <w:pPr>
              <w:spacing w:after="0" w:line="195"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reference to Exhibit 10.26 to the Company’s Registration Statement on Form S-1 (File No. 333-208861), as filed with the SEC on</w:t>
              </w:r>
            </w:hyperlink>
          </w:p>
        </w:tc>
        <w:tc>
          <w:tcPr>
            <w:tcW w:w="4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0000FF"/>
            </w:tcBorders>
          </w:tcPr>
          <w:p>
            <w:pPr>
              <w:spacing w:after="0" w:line="195" w:lineRule="exact"/>
              <w:rPr>
                <w:rFonts w:ascii="Arial" w:cs="Arial" w:eastAsia="Arial" w:hAnsi="Arial"/>
                <w:sz w:val="18"/>
                <w:szCs w:val="18"/>
                <w:color w:val="0000FF"/>
                <w:w w:val="87"/>
              </w:rPr>
            </w:pPr>
            <w:hyperlink r:id="rId153">
              <w:r>
                <w:rPr>
                  <w:rFonts w:ascii="Arial" w:cs="Arial" w:eastAsia="Arial" w:hAnsi="Arial"/>
                  <w:sz w:val="18"/>
                  <w:szCs w:val="18"/>
                  <w:color w:val="0000FF"/>
                  <w:w w:val="87"/>
                </w:rPr>
                <w:t>January 4, 2016).</w:t>
              </w:r>
            </w:hyperlink>
          </w:p>
        </w:tc>
        <w:tc>
          <w:tcPr>
            <w:tcW w:w="20" w:type="dxa"/>
            <w:vAlign w:val="bottom"/>
            <w:tcBorders>
              <w:bottom w:val="single" w:sz="8" w:color="0000EE"/>
            </w:tcBorders>
          </w:tcPr>
          <w:p>
            <w:pPr>
              <w:spacing w:after="0"/>
              <w:rPr>
                <w:sz w:val="17"/>
                <w:szCs w:val="17"/>
                <w:color w:val="auto"/>
              </w:rPr>
            </w:pPr>
          </w:p>
        </w:tc>
        <w:tc>
          <w:tcPr>
            <w:tcW w:w="86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26"/>
          </w:tcPr>
          <w:p>
            <w:pPr>
              <w:spacing w:after="0"/>
              <w:rPr>
                <w:rFonts w:ascii="Arial" w:cs="Arial" w:eastAsia="Arial" w:hAnsi="Arial"/>
                <w:sz w:val="18"/>
                <w:szCs w:val="18"/>
                <w:color w:val="0000FF"/>
                <w:w w:val="90"/>
              </w:rPr>
            </w:pPr>
            <w:hyperlink r:id="rId154">
              <w:r>
                <w:rPr>
                  <w:rFonts w:ascii="Arial" w:cs="Arial" w:eastAsia="Arial" w:hAnsi="Arial"/>
                  <w:sz w:val="18"/>
                  <w:szCs w:val="18"/>
                  <w:color w:val="0000FF"/>
                  <w:w w:val="90"/>
                </w:rPr>
                <w:t>License Agreement by and between the Company and UCB Biopharma Sprl, dated as of July 1, 2016 (incorporated herein by reference</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0"/>
          </w:tcPr>
          <w:p>
            <w:pPr>
              <w:spacing w:after="0" w:line="195" w:lineRule="exact"/>
              <w:rPr>
                <w:rFonts w:ascii="Arial" w:cs="Arial" w:eastAsia="Arial" w:hAnsi="Arial"/>
                <w:sz w:val="18"/>
                <w:szCs w:val="18"/>
                <w:color w:val="0000FF"/>
                <w:w w:val="97"/>
              </w:rPr>
            </w:pPr>
            <w:hyperlink r:id="rId154">
              <w:r>
                <w:rPr>
                  <w:rFonts w:ascii="Arial" w:cs="Arial" w:eastAsia="Arial" w:hAnsi="Arial"/>
                  <w:sz w:val="18"/>
                  <w:szCs w:val="18"/>
                  <w:color w:val="0000FF"/>
                  <w:w w:val="97"/>
                </w:rPr>
                <w:t>to Exhibit 10.1 to the Company’s Current Report on Form 8-K (File No. 001- 37708), as filed with the SEC on October 7, 2016).</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20" w:type="dxa"/>
            <w:vAlign w:val="bottom"/>
            <w:gridSpan w:val="14"/>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0000FF"/>
            </w:tcBorders>
            <w:gridSpan w:val="21"/>
          </w:tcPr>
          <w:p>
            <w:pPr>
              <w:spacing w:after="0"/>
              <w:rPr>
                <w:rFonts w:ascii="Arial" w:cs="Arial" w:eastAsia="Arial" w:hAnsi="Arial"/>
                <w:sz w:val="18"/>
                <w:szCs w:val="18"/>
                <w:color w:val="0000FF"/>
                <w:w w:val="90"/>
              </w:rPr>
            </w:pPr>
            <w:hyperlink r:id="rId155">
              <w:r>
                <w:rPr>
                  <w:rFonts w:ascii="Arial" w:cs="Arial" w:eastAsia="Arial" w:hAnsi="Arial"/>
                  <w:sz w:val="18"/>
                  <w:szCs w:val="18"/>
                  <w:color w:val="0000FF"/>
                  <w:w w:val="90"/>
                </w:rPr>
                <w:t>Side Agreement by and between the Company and UCB Biopharma Sprl, dated March 8, 2017 (incorporated herein by reference to</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20" w:type="dxa"/>
            <w:vAlign w:val="bottom"/>
            <w:tcBorders>
              <w:bottom w:val="single" w:sz="8" w:color="0000FF"/>
            </w:tcBorders>
            <w:gridSpan w:val="14"/>
          </w:tcPr>
          <w:p>
            <w:pPr>
              <w:spacing w:after="0" w:line="195"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Exhibit 10.4 to the Company’s Quarterly Report on Form 10-Q (File No. 001-37708), as filed with the SEC on May 9, 2017).</w:t>
              </w:r>
            </w:hyperlink>
          </w:p>
        </w:tc>
        <w:tc>
          <w:tcPr>
            <w:tcW w:w="8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614"/>
        </w:trPr>
        <w:tc>
          <w:tcPr>
            <w:tcW w:w="1240" w:type="dxa"/>
            <w:vAlign w:val="bottom"/>
          </w:tcPr>
          <w:p>
            <w:pPr>
              <w:spacing w:after="0"/>
              <w:rPr>
                <w:sz w:val="24"/>
                <w:szCs w:val="24"/>
                <w:color w:val="auto"/>
              </w:rPr>
            </w:pPr>
          </w:p>
        </w:tc>
        <w:tc>
          <w:tcPr>
            <w:tcW w:w="4900" w:type="dxa"/>
            <w:vAlign w:val="bottom"/>
            <w:gridSpan w:val="10"/>
          </w:tcPr>
          <w:p>
            <w:pPr>
              <w:jc w:val="right"/>
              <w:ind w:right="348"/>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500" w:type="dxa"/>
            <w:vAlign w:val="bottom"/>
            <w:gridSpan w:val="16"/>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240" w:type="dxa"/>
            <w:vAlign w:val="bottom"/>
          </w:tcPr>
          <w:p>
            <w:pPr>
              <w:ind w:left="14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tcBorders>
              <w:bottom w:val="single" w:sz="8" w:color="0000FF"/>
            </w:tcBorders>
            <w:gridSpan w:val="16"/>
          </w:tcPr>
          <w:p>
            <w:pPr>
              <w:spacing w:after="0"/>
              <w:rPr>
                <w:rFonts w:ascii="Arial" w:cs="Arial" w:eastAsia="Arial" w:hAnsi="Arial"/>
                <w:sz w:val="18"/>
                <w:szCs w:val="18"/>
                <w:color w:val="0000FF"/>
                <w:w w:val="90"/>
              </w:rPr>
            </w:pPr>
            <w:hyperlink r:id="rId158">
              <w:r>
                <w:rPr>
                  <w:rFonts w:ascii="Arial" w:cs="Arial" w:eastAsia="Arial" w:hAnsi="Arial"/>
                  <w:sz w:val="18"/>
                  <w:szCs w:val="18"/>
                  <w:color w:val="0000FF"/>
                  <w:w w:val="90"/>
                </w:rPr>
                <w:t>Amendment No. 1 to License Agreement by and between the Company and UCB Biopharma Sprl, dated as of July 9, 2019</w:t>
              </w:r>
            </w:hyperlink>
          </w:p>
        </w:tc>
        <w:tc>
          <w:tcPr>
            <w:tcW w:w="9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5"/>
          </w:tcPr>
          <w:p>
            <w:pPr>
              <w:spacing w:after="0" w:line="195"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(incorporated herein by reference to Exhibit 10.2 to the Company’s Quarterly Report on Form 10-Q (File No. 001-37708), as filed with</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8"/>
          </w:tcPr>
          <w:p>
            <w:pPr>
              <w:spacing w:after="0" w:line="195" w:lineRule="exact"/>
              <w:rPr>
                <w:rFonts w:ascii="Arial" w:cs="Arial" w:eastAsia="Arial" w:hAnsi="Arial"/>
                <w:sz w:val="18"/>
                <w:szCs w:val="18"/>
                <w:color w:val="0000FF"/>
              </w:rPr>
            </w:pPr>
            <w:hyperlink r:id="rId158">
              <w:r>
                <w:rPr>
                  <w:rFonts w:ascii="Arial" w:cs="Arial" w:eastAsia="Arial" w:hAnsi="Arial"/>
                  <w:sz w:val="18"/>
                  <w:szCs w:val="18"/>
                  <w:color w:val="0000FF"/>
                </w:rPr>
                <w:t>the SEC on November 7, 2019).</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tcBorders>
              <w:bottom w:val="single" w:sz="8" w:color="0000FF"/>
            </w:tcBorders>
            <w:gridSpan w:val="18"/>
          </w:tcPr>
          <w:p>
            <w:pPr>
              <w:spacing w:after="0"/>
              <w:rPr>
                <w:rFonts w:ascii="Arial" w:cs="Arial" w:eastAsia="Arial" w:hAnsi="Arial"/>
                <w:sz w:val="18"/>
                <w:szCs w:val="18"/>
                <w:color w:val="0000FF"/>
                <w:w w:val="89"/>
              </w:rPr>
            </w:pPr>
            <w:hyperlink r:id="rId159">
              <w:r>
                <w:rPr>
                  <w:rFonts w:ascii="Arial" w:cs="Arial" w:eastAsia="Arial" w:hAnsi="Arial"/>
                  <w:sz w:val="18"/>
                  <w:szCs w:val="18"/>
                  <w:color w:val="0000FF"/>
                  <w:w w:val="89"/>
                </w:rPr>
                <w:t>Mutual Release and Settlement Agreement by and between the Company and UCB Biopharma SRL, dated as of June 6, 2022</w:t>
              </w:r>
            </w:hyperlink>
          </w:p>
        </w:tc>
        <w:tc>
          <w:tcPr>
            <w:tcW w:w="8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5"/>
          </w:tcPr>
          <w:p>
            <w:pPr>
              <w:spacing w:after="0" w:line="195"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(incorporated herein by reference to Exhibit 10.1 to the Company’s Quarterly Report on Form 10-Q (File No. 001-37708), as filed with</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28"/>
          </w:tcPr>
          <w:p>
            <w:pPr>
              <w:spacing w:after="0" w:line="195" w:lineRule="exact"/>
              <w:rPr>
                <w:rFonts w:ascii="Arial" w:cs="Arial" w:eastAsia="Arial" w:hAnsi="Arial"/>
                <w:sz w:val="18"/>
                <w:szCs w:val="18"/>
                <w:color w:val="0000FF"/>
              </w:rPr>
            </w:pPr>
            <w:hyperlink r:id="rId159">
              <w:r>
                <w:rPr>
                  <w:rFonts w:ascii="Arial" w:cs="Arial" w:eastAsia="Arial" w:hAnsi="Arial"/>
                  <w:sz w:val="18"/>
                  <w:szCs w:val="18"/>
                  <w:color w:val="0000FF"/>
                </w:rPr>
                <w:t>the SEC on August 8,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26"/>
          </w:tcPr>
          <w:p>
            <w:pPr>
              <w:spacing w:after="0"/>
              <w:rPr>
                <w:rFonts w:ascii="Arial" w:cs="Arial" w:eastAsia="Arial" w:hAnsi="Arial"/>
                <w:sz w:val="18"/>
                <w:szCs w:val="18"/>
                <w:color w:val="0000FF"/>
                <w:w w:val="89"/>
              </w:rPr>
            </w:pPr>
            <w:hyperlink r:id="rId160">
              <w:r>
                <w:rPr>
                  <w:rFonts w:ascii="Arial" w:cs="Arial" w:eastAsia="Arial" w:hAnsi="Arial"/>
                  <w:sz w:val="18"/>
                  <w:szCs w:val="18"/>
                  <w:color w:val="0000FF"/>
                  <w:w w:val="89"/>
                </w:rPr>
                <w:t>License Agreement by and between the Company and Vitae Pharmaceuticals, Inc., dated as of October 13, 2017 (incorporated herein by</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bottom w:val="single" w:sz="8" w:color="0000FF"/>
            </w:tcBorders>
            <w:gridSpan w:val="22"/>
          </w:tcPr>
          <w:p>
            <w:pPr>
              <w:spacing w:after="0" w:line="195" w:lineRule="exact"/>
              <w:rPr>
                <w:rFonts w:ascii="Arial" w:cs="Arial" w:eastAsia="Arial" w:hAnsi="Arial"/>
                <w:sz w:val="18"/>
                <w:szCs w:val="18"/>
                <w:color w:val="0000FF"/>
                <w:w w:val="92"/>
              </w:rPr>
            </w:pPr>
            <w:hyperlink r:id="rId160">
              <w:r>
                <w:rPr>
                  <w:rFonts w:ascii="Arial" w:cs="Arial" w:eastAsia="Arial" w:hAnsi="Arial"/>
                  <w:sz w:val="18"/>
                  <w:szCs w:val="18"/>
                  <w:color w:val="0000FF"/>
                  <w:w w:val="92"/>
                </w:rPr>
                <w:t>reference to Exhibit 10.47 to the Company’s Annual Report on Form 10-K (File No. 001-37708), as filed with the SEC on March 8,</w:t>
              </w:r>
            </w:hyperlink>
          </w:p>
        </w:tc>
        <w:tc>
          <w:tcPr>
            <w:tcW w:w="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20" w:type="dxa"/>
            <w:vAlign w:val="bottom"/>
            <w:gridSpan w:val="3"/>
          </w:tcPr>
          <w:p>
            <w:pPr>
              <w:ind w:left="120"/>
              <w:spacing w:after="0" w:line="195" w:lineRule="exact"/>
              <w:rPr>
                <w:rFonts w:ascii="Arial" w:cs="Arial" w:eastAsia="Arial" w:hAnsi="Arial"/>
                <w:sz w:val="18"/>
                <w:szCs w:val="18"/>
                <w:color w:val="0000FF"/>
                <w:w w:val="90"/>
              </w:rPr>
            </w:pPr>
            <w:hyperlink r:id="rId160">
              <w:r>
                <w:rPr>
                  <w:rFonts w:ascii="Arial" w:cs="Arial" w:eastAsia="Arial" w:hAnsi="Arial"/>
                  <w:sz w:val="18"/>
                  <w:szCs w:val="18"/>
                  <w:color w:val="0000FF"/>
                  <w:w w:val="90"/>
                </w:rPr>
                <w:t>2018).</w:t>
              </w:r>
            </w:hyperlink>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23"/>
          </w:tcPr>
          <w:p>
            <w:pPr>
              <w:spacing w:after="0"/>
              <w:rPr>
                <w:rFonts w:ascii="Arial" w:cs="Arial" w:eastAsia="Arial" w:hAnsi="Arial"/>
                <w:sz w:val="18"/>
                <w:szCs w:val="18"/>
                <w:color w:val="0000FF"/>
                <w:w w:val="89"/>
              </w:rPr>
            </w:pPr>
            <w:hyperlink r:id="rId161">
              <w:r>
                <w:rPr>
                  <w:rFonts w:ascii="Arial" w:cs="Arial" w:eastAsia="Arial" w:hAnsi="Arial"/>
                  <w:sz w:val="18"/>
                  <w:szCs w:val="18"/>
                  <w:color w:val="0000FF"/>
                  <w:w w:val="89"/>
                </w:rPr>
                <w:t>Amendment No. 1 to License Agreement by and between the Company and Vitae Pharmaceuticals, Inc., dated as of January 25, 2019</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5"/>
          </w:tcPr>
          <w:p>
            <w:pPr>
              <w:spacing w:after="0" w:line="195" w:lineRule="exact"/>
              <w:rPr>
                <w:rFonts w:ascii="Arial" w:cs="Arial" w:eastAsia="Arial" w:hAnsi="Arial"/>
                <w:sz w:val="18"/>
                <w:szCs w:val="18"/>
                <w:color w:val="0000FF"/>
                <w:w w:val="91"/>
              </w:rPr>
            </w:pPr>
            <w:hyperlink r:id="rId161">
              <w:r>
                <w:rPr>
                  <w:rFonts w:ascii="Arial" w:cs="Arial" w:eastAsia="Arial" w:hAnsi="Arial"/>
                  <w:sz w:val="18"/>
                  <w:szCs w:val="18"/>
                  <w:color w:val="0000FF"/>
                  <w:w w:val="91"/>
                </w:rPr>
                <w:t>(incorporated herein by reference to Exhibit 10.1 to the Company’s Quarterly Report on Form 10-Q (File No. 001-37708), as filed with</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Borders>
              <w:bottom w:val="single" w:sz="8" w:color="0000FF"/>
            </w:tcBorders>
            <w:gridSpan w:val="3"/>
          </w:tcPr>
          <w:p>
            <w:pPr>
              <w:spacing w:after="0" w:line="195" w:lineRule="exact"/>
              <w:rPr>
                <w:rFonts w:ascii="Arial" w:cs="Arial" w:eastAsia="Arial" w:hAnsi="Arial"/>
                <w:sz w:val="18"/>
                <w:szCs w:val="18"/>
                <w:color w:val="0000FF"/>
                <w:w w:val="89"/>
              </w:rPr>
            </w:pPr>
            <w:hyperlink r:id="rId161">
              <w:r>
                <w:rPr>
                  <w:rFonts w:ascii="Arial" w:cs="Arial" w:eastAsia="Arial" w:hAnsi="Arial"/>
                  <w:sz w:val="18"/>
                  <w:szCs w:val="18"/>
                  <w:color w:val="0000FF"/>
                  <w:w w:val="89"/>
                </w:rPr>
                <w:t>the SEC on May 8, 2019).</w:t>
              </w:r>
            </w:hyperlink>
          </w:p>
        </w:tc>
        <w:tc>
          <w:tcPr>
            <w:tcW w:w="20" w:type="dxa"/>
            <w:vAlign w:val="bottom"/>
            <w:tcBorders>
              <w:bottom w:val="single" w:sz="8" w:color="0000EE"/>
            </w:tcBorders>
          </w:tcPr>
          <w:p>
            <w:pPr>
              <w:spacing w:after="0"/>
              <w:rPr>
                <w:sz w:val="17"/>
                <w:szCs w:val="17"/>
                <w:color w:val="auto"/>
              </w:rPr>
            </w:pPr>
          </w:p>
        </w:tc>
        <w:tc>
          <w:tcPr>
            <w:tcW w:w="79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20" w:type="dxa"/>
            <w:vAlign w:val="bottom"/>
            <w:tcBorders>
              <w:bottom w:val="single" w:sz="8" w:color="0000FF"/>
            </w:tcBorders>
            <w:gridSpan w:val="17"/>
          </w:tcPr>
          <w:p>
            <w:pPr>
              <w:spacing w:after="0"/>
              <w:rPr>
                <w:rFonts w:ascii="Arial" w:cs="Arial" w:eastAsia="Arial" w:hAnsi="Arial"/>
                <w:sz w:val="18"/>
                <w:szCs w:val="18"/>
                <w:color w:val="0000FF"/>
                <w:w w:val="90"/>
              </w:rPr>
            </w:pPr>
            <w:hyperlink r:id="rId162">
              <w:r>
                <w:rPr>
                  <w:rFonts w:ascii="Arial" w:cs="Arial" w:eastAsia="Arial" w:hAnsi="Arial"/>
                  <w:sz w:val="18"/>
                  <w:szCs w:val="18"/>
                  <w:color w:val="0000FF"/>
                  <w:w w:val="90"/>
                </w:rPr>
                <w:t>Collaboration and License Agreement by and between the Company and Incyte Corporation, dated as of September 24, 2021</w:t>
              </w:r>
            </w:hyperlink>
          </w:p>
        </w:tc>
        <w:tc>
          <w:tcPr>
            <w:tcW w:w="8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5"/>
          </w:tcPr>
          <w:p>
            <w:pPr>
              <w:spacing w:after="0" w:line="195"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(incorporated herein by reference to Exhibit 10.1 to the Company’s Quarterly Report on Form 10-Q (File No. 001-37708), as filed with</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Borders>
              <w:bottom w:val="single" w:sz="8" w:color="0000FF"/>
            </w:tcBorders>
            <w:gridSpan w:val="9"/>
          </w:tcPr>
          <w:p>
            <w:pPr>
              <w:spacing w:after="0" w:line="195" w:lineRule="exact"/>
              <w:rPr>
                <w:rFonts w:ascii="Arial" w:cs="Arial" w:eastAsia="Arial" w:hAnsi="Arial"/>
                <w:sz w:val="18"/>
                <w:szCs w:val="18"/>
                <w:color w:val="0000FF"/>
                <w:w w:val="89"/>
              </w:rPr>
            </w:pPr>
            <w:hyperlink r:id="rId162">
              <w:r>
                <w:rPr>
                  <w:rFonts w:ascii="Arial" w:cs="Arial" w:eastAsia="Arial" w:hAnsi="Arial"/>
                  <w:sz w:val="18"/>
                  <w:szCs w:val="18"/>
                  <w:color w:val="0000FF"/>
                  <w:w w:val="89"/>
                </w:rPr>
                <w:t>the SEC on November 15, 2021).</w:t>
              </w:r>
            </w:hyperlink>
          </w:p>
        </w:tc>
        <w:tc>
          <w:tcPr>
            <w:tcW w:w="20" w:type="dxa"/>
            <w:vAlign w:val="bottom"/>
            <w:tcBorders>
              <w:bottom w:val="single" w:sz="8" w:color="0000EE"/>
            </w:tcBorders>
          </w:tcPr>
          <w:p>
            <w:pPr>
              <w:spacing w:after="0"/>
              <w:rPr>
                <w:sz w:val="17"/>
                <w:szCs w:val="17"/>
                <w:color w:val="auto"/>
              </w:rPr>
            </w:pPr>
          </w:p>
        </w:tc>
        <w:tc>
          <w:tcPr>
            <w:tcW w:w="74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0000FF"/>
            </w:tcBorders>
            <w:gridSpan w:val="21"/>
          </w:tcPr>
          <w:p>
            <w:pPr>
              <w:spacing w:after="0"/>
              <w:rPr>
                <w:rFonts w:ascii="Arial" w:cs="Arial" w:eastAsia="Arial" w:hAnsi="Arial"/>
                <w:sz w:val="18"/>
                <w:szCs w:val="18"/>
                <w:color w:val="0000FF"/>
                <w:w w:val="89"/>
              </w:rPr>
            </w:pPr>
            <w:hyperlink r:id="rId163">
              <w:r>
                <w:rPr>
                  <w:rFonts w:ascii="Arial" w:cs="Arial" w:eastAsia="Arial" w:hAnsi="Arial"/>
                  <w:sz w:val="18"/>
                  <w:szCs w:val="18"/>
                  <w:color w:val="0000FF"/>
                  <w:w w:val="89"/>
                </w:rPr>
                <w:t>Purchase Agreement by and between the Company and Incyte Corporation, dated as of September 24, 2021 (incorporated herein by</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24"/>
          </w:tcPr>
          <w:p>
            <w:pPr>
              <w:spacing w:after="0" w:line="195"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reference to Exhibit 10.2 to the Company’s Quarterly Report on Form 10-Q (File No. 001-37708), as filed with the SEC on November</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80" w:type="dxa"/>
            <w:vAlign w:val="bottom"/>
            <w:gridSpan w:val="4"/>
          </w:tcPr>
          <w:p>
            <w:pPr>
              <w:ind w:left="120"/>
              <w:spacing w:after="0" w:line="195" w:lineRule="exact"/>
              <w:rPr>
                <w:rFonts w:ascii="Arial" w:cs="Arial" w:eastAsia="Arial" w:hAnsi="Arial"/>
                <w:sz w:val="18"/>
                <w:szCs w:val="18"/>
                <w:color w:val="0000FF"/>
                <w:w w:val="88"/>
              </w:rPr>
            </w:pPr>
            <w:hyperlink r:id="rId163">
              <w:r>
                <w:rPr>
                  <w:rFonts w:ascii="Arial" w:cs="Arial" w:eastAsia="Arial" w:hAnsi="Arial"/>
                  <w:sz w:val="18"/>
                  <w:szCs w:val="18"/>
                  <w:color w:val="0000FF"/>
                  <w:w w:val="88"/>
                </w:rPr>
                <w:t>15, 2021).</w:t>
              </w:r>
            </w:hyperlink>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Subsidiaries of the Registrant.</w:t>
            </w:r>
          </w:p>
        </w:tc>
        <w:tc>
          <w:tcPr>
            <w:tcW w:w="20" w:type="dxa"/>
            <w:vAlign w:val="bottom"/>
            <w:tcBorders>
              <w:bottom w:val="single" w:sz="8" w:color="0000EE"/>
            </w:tcBorders>
          </w:tcPr>
          <w:p>
            <w:pPr>
              <w:spacing w:after="0"/>
              <w:rPr>
                <w:sz w:val="24"/>
                <w:szCs w:val="24"/>
                <w:color w:val="auto"/>
              </w:rPr>
            </w:pPr>
          </w:p>
        </w:tc>
        <w:tc>
          <w:tcPr>
            <w:tcW w:w="76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40" w:type="dxa"/>
            <w:vAlign w:val="bottom"/>
          </w:tcPr>
          <w:p>
            <w:pPr>
              <w:ind w:left="1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8"/>
          </w:tcPr>
          <w:p>
            <w:pPr>
              <w:spacing w:after="0"/>
              <w:rPr>
                <w:sz w:val="20"/>
                <w:szCs w:val="20"/>
                <w:color w:val="auto"/>
              </w:rPr>
            </w:pPr>
            <w:r>
              <w:rPr>
                <w:rFonts w:ascii="Arial" w:cs="Arial" w:eastAsia="Arial" w:hAnsi="Arial"/>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40" w:type="dxa"/>
            <w:vAlign w:val="bottom"/>
          </w:tcPr>
          <w:p>
            <w:pPr>
              <w:ind w:left="1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Power of Attorney (included on the signature page to this report).</w:t>
            </w:r>
          </w:p>
        </w:tc>
        <w:tc>
          <w:tcPr>
            <w:tcW w:w="20" w:type="dxa"/>
            <w:vAlign w:val="bottom"/>
            <w:tcBorders>
              <w:bottom w:val="single" w:sz="8" w:color="0000EE"/>
            </w:tcBorders>
          </w:tcPr>
          <w:p>
            <w:pPr>
              <w:spacing w:after="0"/>
              <w:rPr>
                <w:sz w:val="24"/>
                <w:szCs w:val="24"/>
                <w:color w:val="auto"/>
              </w:rPr>
            </w:pPr>
          </w:p>
        </w:tc>
        <w:tc>
          <w:tcPr>
            <w:tcW w:w="51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40" w:type="dxa"/>
            <w:vAlign w:val="bottom"/>
          </w:tcPr>
          <w:p>
            <w:pPr>
              <w:ind w:left="1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1"/>
              </w:rPr>
              <w:t>Certification of the Principal Executive Officer pursuant to Rule 13a-14(a) or 15d-14(a) of the Securities Exchange Act of 1934.</w:t>
            </w:r>
          </w:p>
        </w:tc>
        <w:tc>
          <w:tcPr>
            <w:tcW w:w="6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40" w:type="dxa"/>
            <w:vAlign w:val="bottom"/>
          </w:tcPr>
          <w:p>
            <w:pPr>
              <w:ind w:left="1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2"/>
              </w:rPr>
              <w:t>Certification of the Principal Financial Officer and Principal Accounting Officer pursuant to Rule 13a-14(a) or 15d-14(a) of the</w:t>
            </w:r>
          </w:p>
        </w:tc>
        <w:tc>
          <w:tcPr>
            <w:tcW w:w="6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bottom w:val="single" w:sz="8" w:color="0000FF"/>
            </w:tcBorders>
            <w:gridSpan w:val="10"/>
          </w:tcPr>
          <w:p>
            <w:pPr>
              <w:spacing w:after="0" w:line="195" w:lineRule="exact"/>
              <w:rPr>
                <w:sz w:val="20"/>
                <w:szCs w:val="20"/>
                <w:color w:val="auto"/>
              </w:rPr>
            </w:pPr>
            <w:r>
              <w:rPr>
                <w:rFonts w:ascii="Arial" w:cs="Arial" w:eastAsia="Arial" w:hAnsi="Arial"/>
                <w:sz w:val="18"/>
                <w:szCs w:val="18"/>
                <w:color w:val="0000FF"/>
                <w:w w:val="90"/>
              </w:rPr>
              <w:t>Securities Exchange Act of 1934.</w:t>
            </w:r>
          </w:p>
        </w:tc>
        <w:tc>
          <w:tcPr>
            <w:tcW w:w="20" w:type="dxa"/>
            <w:vAlign w:val="bottom"/>
            <w:tcBorders>
              <w:bottom w:val="single" w:sz="8" w:color="0000EE"/>
            </w:tcBorders>
          </w:tcPr>
          <w:p>
            <w:pPr>
              <w:spacing w:after="0"/>
              <w:rPr>
                <w:sz w:val="17"/>
                <w:szCs w:val="17"/>
                <w:color w:val="auto"/>
              </w:rPr>
            </w:pPr>
          </w:p>
        </w:tc>
        <w:tc>
          <w:tcPr>
            <w:tcW w:w="74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40" w:type="dxa"/>
            <w:vAlign w:val="bottom"/>
          </w:tcPr>
          <w:p>
            <w:pPr>
              <w:ind w:left="1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8"/>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pursuant to Rule 13a-14(b) or 15d-14(b) of the Exchange Act</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0" w:type="dxa"/>
            <w:vAlign w:val="bottom"/>
            <w:tcBorders>
              <w:top w:val="single" w:sz="8" w:color="0000FF"/>
              <w:bottom w:val="single" w:sz="8" w:color="0000FF"/>
            </w:tcBorders>
            <w:gridSpan w:val="15"/>
          </w:tcPr>
          <w:p>
            <w:pPr>
              <w:spacing w:after="0" w:line="195" w:lineRule="exact"/>
              <w:rPr>
                <w:sz w:val="20"/>
                <w:szCs w:val="20"/>
                <w:color w:val="auto"/>
              </w:rPr>
            </w:pPr>
            <w:r>
              <w:rPr>
                <w:rFonts w:ascii="Arial" w:cs="Arial" w:eastAsia="Arial" w:hAnsi="Arial"/>
                <w:sz w:val="18"/>
                <w:szCs w:val="18"/>
                <w:color w:val="0000FF"/>
                <w:w w:val="89"/>
              </w:rPr>
              <w:t>and 18 U.S.C. Section 1350, as adopted pursuant to Section 906 of the Sarbanes-Oxley Act of 2002.</w:t>
            </w:r>
          </w:p>
        </w:tc>
        <w:tc>
          <w:tcPr>
            <w:tcW w:w="2640" w:type="dxa"/>
            <w:vAlign w:val="bottom"/>
            <w:tcBorders>
              <w:top w:val="single" w:sz="8" w:color="0000FF"/>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ind w:left="14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8"/>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91"/>
        </w:trPr>
        <w:tc>
          <w:tcPr>
            <w:tcW w:w="1240" w:type="dxa"/>
            <w:vAlign w:val="bottom"/>
          </w:tcPr>
          <w:p>
            <w:pPr>
              <w:ind w:left="14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1"/>
        </w:trPr>
        <w:tc>
          <w:tcPr>
            <w:tcW w:w="1240" w:type="dxa"/>
            <w:vAlign w:val="bottom"/>
          </w:tcPr>
          <w:p>
            <w:pPr>
              <w:ind w:left="14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1240" w:type="dxa"/>
            <w:vAlign w:val="bottom"/>
          </w:tcPr>
          <w:p>
            <w:pPr>
              <w:ind w:left="14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240" w:type="dxa"/>
            <w:vAlign w:val="bottom"/>
          </w:tcPr>
          <w:p>
            <w:pPr>
              <w:ind w:left="14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1"/>
        </w:trPr>
        <w:tc>
          <w:tcPr>
            <w:tcW w:w="1240" w:type="dxa"/>
            <w:vAlign w:val="bottom"/>
          </w:tcPr>
          <w:p>
            <w:pPr>
              <w:ind w:left="14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41" w:lineRule="exact"/>
        <w:rPr>
          <w:sz w:val="20"/>
          <w:szCs w:val="20"/>
          <w:color w:val="auto"/>
        </w:rPr>
      </w:pPr>
    </w:p>
    <w:p>
      <w:pPr>
        <w:ind w:right="3340" w:firstLine="129"/>
        <w:spacing w:after="0" w:line="352" w:lineRule="auto"/>
        <w:rPr>
          <w:sz w:val="20"/>
          <w:szCs w:val="20"/>
          <w:color w:val="auto"/>
        </w:rPr>
      </w:pPr>
      <w:r>
        <w:rPr>
          <w:rFonts w:ascii="Arial" w:cs="Arial" w:eastAsia="Arial" w:hAnsi="Arial"/>
          <w:sz w:val="18"/>
          <w:szCs w:val="18"/>
          <w:color w:val="auto"/>
        </w:rPr>
        <w:t>104 Cover Page Interactive Data File (formatted as Inline XBRL and contained in Exhibit 101) * 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8497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1849755" cy="8255"/>
                    </a:xfrm>
                    <a:prstGeom prst="rect">
                      <a:avLst/>
                    </a:prstGeom>
                    <a:noFill/>
                  </pic:spPr>
                </pic:pic>
              </a:graphicData>
            </a:graphic>
          </wp:anchor>
        </w:drawing>
      </w:r>
    </w:p>
    <w:p>
      <w:pPr>
        <w:ind w:right="180" w:firstLine="8"/>
        <w:spacing w:after="0" w:line="264" w:lineRule="auto"/>
        <w:tabs>
          <w:tab w:leader="none" w:pos="146" w:val="left"/>
        </w:tabs>
        <w:numPr>
          <w:ilvl w:val="0"/>
          <w:numId w:val="41"/>
        </w:numPr>
        <w:rPr>
          <w:rFonts w:ascii="Arial" w:cs="Arial" w:eastAsia="Arial" w:hAnsi="Arial"/>
          <w:sz w:val="17"/>
          <w:szCs w:val="17"/>
          <w:color w:val="auto"/>
        </w:rPr>
      </w:pPr>
      <w:r>
        <w:rPr>
          <w:rFonts w:ascii="Arial" w:cs="Arial" w:eastAsia="Arial" w:hAnsi="Arial"/>
          <w:sz w:val="17"/>
          <w:szCs w:val="17"/>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Confidential treatment has been granted for certain portions of this exhibit. These portions have been omitted and filed separately with the SEC.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Pursuant to the requirements of Section 13 of 15(d) of the Securities Exchange Act of 1934, the registrant has duly caused this report to be signed on its behalf by the undersigned, thereunto duly authorized.</w:t>
      </w:r>
    </w:p>
    <w:p>
      <w:pPr>
        <w:spacing w:after="0" w:line="219"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SYNDAX PHARMACEUTICALS, INC.</w:t>
      </w: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6320" w:val="left"/>
          <w:tab w:leader="none" w:pos="6740" w:val="left"/>
          <w:tab w:leader="none" w:pos="708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tab/>
        <w:t>/s/</w:t>
      </w:r>
      <w:r>
        <w:rPr>
          <w:sz w:val="20"/>
          <w:szCs w:val="20"/>
          <w:color w:val="auto"/>
        </w:rPr>
        <w:tab/>
      </w:r>
      <w:r>
        <w:rPr>
          <w:rFonts w:ascii="Arial" w:cs="Arial" w:eastAsia="Arial" w:hAnsi="Arial"/>
          <w:sz w:val="17"/>
          <w:szCs w:val="17"/>
          <w:color w:val="auto"/>
        </w:rPr>
        <w:t>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151765</wp:posOffset>
            </wp:positionV>
            <wp:extent cx="28600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23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A. Metzger</w:t>
      </w:r>
    </w:p>
    <w:p>
      <w:pPr>
        <w:spacing w:after="0" w:line="200" w:lineRule="exact"/>
        <w:rPr>
          <w:sz w:val="20"/>
          <w:szCs w:val="20"/>
          <w:color w:val="auto"/>
        </w:rPr>
      </w:pPr>
    </w:p>
    <w:p>
      <w:pPr>
        <w:spacing w:after="0" w:line="267"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Each person whose individual signature appears below hereby authorizes and appoints Michael A. Metzger and Luke J. Albrecht,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8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40" w:type="dxa"/>
            <w:vAlign w:val="bottom"/>
          </w:tcPr>
          <w:p>
            <w:pPr>
              <w:spacing w:after="0"/>
              <w:rPr>
                <w:sz w:val="16"/>
                <w:szCs w:val="16"/>
                <w:color w:val="auto"/>
              </w:rPr>
            </w:pPr>
          </w:p>
        </w:tc>
        <w:tc>
          <w:tcPr>
            <w:tcW w:w="3920" w:type="dxa"/>
            <w:vAlign w:val="bottom"/>
            <w:tcBorders>
              <w:bottom w:val="single" w:sz="8" w:color="auto"/>
            </w:tcBorders>
          </w:tcPr>
          <w:p>
            <w:pPr>
              <w:jc w:val="right"/>
              <w:ind w:right="1672"/>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24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30"/>
        </w:trPr>
        <w:tc>
          <w:tcPr>
            <w:tcW w:w="4840" w:type="dxa"/>
            <w:vAlign w:val="bottom"/>
          </w:tcPr>
          <w:p>
            <w:pPr>
              <w:jc w:val="center"/>
              <w:spacing w:after="0"/>
              <w:rPr>
                <w:sz w:val="20"/>
                <w:szCs w:val="20"/>
                <w:color w:val="auto"/>
              </w:rPr>
            </w:pPr>
            <w:r>
              <w:rPr>
                <w:rFonts w:ascii="Arial" w:cs="Arial" w:eastAsia="Arial" w:hAnsi="Arial"/>
                <w:sz w:val="18"/>
                <w:szCs w:val="18"/>
                <w:color w:val="auto"/>
                <w:w w:val="93"/>
              </w:rPr>
              <w:t>/s/ Michael A. Metzger</w:t>
            </w:r>
          </w:p>
        </w:tc>
        <w:tc>
          <w:tcPr>
            <w:tcW w:w="1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c>
          <w:tcPr>
            <w:tcW w:w="100" w:type="dxa"/>
            <w:vAlign w:val="bottom"/>
          </w:tcPr>
          <w:p>
            <w:pPr>
              <w:spacing w:after="0"/>
              <w:rPr>
                <w:sz w:val="24"/>
                <w:szCs w:val="24"/>
                <w:color w:val="auto"/>
              </w:rPr>
            </w:pPr>
          </w:p>
        </w:tc>
        <w:tc>
          <w:tcPr>
            <w:tcW w:w="2240" w:type="dxa"/>
            <w:vAlign w:val="bottom"/>
          </w:tcPr>
          <w:p>
            <w:pPr>
              <w:ind w:left="460"/>
              <w:spacing w:after="0"/>
              <w:rPr>
                <w:sz w:val="20"/>
                <w:szCs w:val="20"/>
                <w:color w:val="auto"/>
              </w:rPr>
            </w:pPr>
            <w:r>
              <w:rPr>
                <w:rFonts w:ascii="Arial" w:cs="Arial" w:eastAsia="Arial" w:hAnsi="Arial"/>
                <w:sz w:val="18"/>
                <w:szCs w:val="18"/>
                <w:color w:val="auto"/>
              </w:rPr>
              <w:t>February 28, 2023</w:t>
            </w:r>
          </w:p>
        </w:tc>
        <w:tc>
          <w:tcPr>
            <w:tcW w:w="0" w:type="dxa"/>
            <w:vAlign w:val="bottom"/>
          </w:tcPr>
          <w:p>
            <w:pPr>
              <w:spacing w:after="0"/>
              <w:rPr>
                <w:sz w:val="1"/>
                <w:szCs w:val="1"/>
                <w:color w:val="auto"/>
              </w:rPr>
            </w:pPr>
          </w:p>
        </w:tc>
      </w:tr>
      <w:tr>
        <w:trPr>
          <w:trHeight w:val="28"/>
        </w:trPr>
        <w:tc>
          <w:tcPr>
            <w:tcW w:w="4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840" w:type="dxa"/>
            <w:vAlign w:val="bottom"/>
          </w:tcPr>
          <w:p>
            <w:pPr>
              <w:jc w:val="center"/>
              <w:spacing w:after="0"/>
              <w:rPr>
                <w:sz w:val="20"/>
                <w:szCs w:val="20"/>
                <w:color w:val="auto"/>
              </w:rPr>
            </w:pPr>
            <w:r>
              <w:rPr>
                <w:rFonts w:ascii="Arial" w:cs="Arial" w:eastAsia="Arial" w:hAnsi="Arial"/>
                <w:sz w:val="18"/>
                <w:szCs w:val="18"/>
                <w:color w:val="auto"/>
                <w:w w:val="94"/>
              </w:rPr>
              <w:t>Michael A. Metzger</w:t>
            </w:r>
          </w:p>
        </w:tc>
        <w:tc>
          <w:tcPr>
            <w:tcW w:w="140" w:type="dxa"/>
            <w:vAlign w:val="bottom"/>
          </w:tcPr>
          <w:p>
            <w:pPr>
              <w:spacing w:after="0"/>
              <w:rPr>
                <w:sz w:val="19"/>
                <w:szCs w:val="19"/>
                <w:color w:val="auto"/>
              </w:rPr>
            </w:pPr>
          </w:p>
        </w:tc>
        <w:tc>
          <w:tcPr>
            <w:tcW w:w="3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4840" w:type="dxa"/>
            <w:vAlign w:val="bottom"/>
          </w:tcPr>
          <w:p>
            <w:pPr>
              <w:jc w:val="center"/>
              <w:spacing w:after="0"/>
              <w:rPr>
                <w:sz w:val="20"/>
                <w:szCs w:val="20"/>
                <w:color w:val="auto"/>
              </w:rPr>
            </w:pPr>
            <w:r>
              <w:rPr>
                <w:rFonts w:ascii="Arial" w:cs="Arial" w:eastAsia="Arial" w:hAnsi="Arial"/>
                <w:sz w:val="18"/>
                <w:szCs w:val="18"/>
                <w:color w:val="auto"/>
                <w:w w:val="92"/>
              </w:rPr>
              <w:t>/s/ Keith Goldan</w:t>
            </w:r>
          </w:p>
        </w:tc>
        <w:tc>
          <w:tcPr>
            <w:tcW w:w="1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100" w:type="dxa"/>
            <w:vAlign w:val="bottom"/>
          </w:tcPr>
          <w:p>
            <w:pPr>
              <w:spacing w:after="0"/>
              <w:rPr>
                <w:sz w:val="24"/>
                <w:szCs w:val="24"/>
                <w:color w:val="auto"/>
              </w:rPr>
            </w:pPr>
          </w:p>
        </w:tc>
        <w:tc>
          <w:tcPr>
            <w:tcW w:w="2240" w:type="dxa"/>
            <w:vAlign w:val="bottom"/>
          </w:tcPr>
          <w:p>
            <w:pPr>
              <w:ind w:left="460"/>
              <w:spacing w:after="0"/>
              <w:rPr>
                <w:sz w:val="20"/>
                <w:szCs w:val="20"/>
                <w:color w:val="auto"/>
              </w:rPr>
            </w:pPr>
            <w:r>
              <w:rPr>
                <w:rFonts w:ascii="Arial" w:cs="Arial" w:eastAsia="Arial" w:hAnsi="Arial"/>
                <w:sz w:val="18"/>
                <w:szCs w:val="18"/>
                <w:color w:val="auto"/>
              </w:rPr>
              <w:t>February 28, 2023</w:t>
            </w:r>
          </w:p>
        </w:tc>
        <w:tc>
          <w:tcPr>
            <w:tcW w:w="0" w:type="dxa"/>
            <w:vAlign w:val="bottom"/>
          </w:tcPr>
          <w:p>
            <w:pPr>
              <w:spacing w:after="0"/>
              <w:rPr>
                <w:sz w:val="1"/>
                <w:szCs w:val="1"/>
                <w:color w:val="auto"/>
              </w:rPr>
            </w:pPr>
          </w:p>
        </w:tc>
      </w:tr>
      <w:tr>
        <w:trPr>
          <w:trHeight w:val="28"/>
        </w:trPr>
        <w:tc>
          <w:tcPr>
            <w:tcW w:w="4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840" w:type="dxa"/>
            <w:vAlign w:val="bottom"/>
          </w:tcPr>
          <w:p>
            <w:pPr>
              <w:jc w:val="center"/>
              <w:spacing w:after="0"/>
              <w:rPr>
                <w:sz w:val="20"/>
                <w:szCs w:val="20"/>
                <w:color w:val="auto"/>
              </w:rPr>
            </w:pPr>
            <w:r>
              <w:rPr>
                <w:rFonts w:ascii="Arial" w:cs="Arial" w:eastAsia="Arial" w:hAnsi="Arial"/>
                <w:sz w:val="18"/>
                <w:szCs w:val="18"/>
                <w:color w:val="auto"/>
                <w:w w:val="94"/>
              </w:rPr>
              <w:t>Keith Goldan</w:t>
            </w:r>
          </w:p>
        </w:tc>
        <w:tc>
          <w:tcPr>
            <w:tcW w:w="140" w:type="dxa"/>
            <w:vAlign w:val="bottom"/>
          </w:tcPr>
          <w:p>
            <w:pPr>
              <w:spacing w:after="0"/>
              <w:rPr>
                <w:sz w:val="19"/>
                <w:szCs w:val="19"/>
                <w:color w:val="auto"/>
              </w:rPr>
            </w:pPr>
          </w:p>
        </w:tc>
        <w:tc>
          <w:tcPr>
            <w:tcW w:w="3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Dennis G. Podlesak</w:t>
            </w:r>
          </w:p>
        </w:tc>
        <w:tc>
          <w:tcPr>
            <w:tcW w:w="1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100" w:type="dxa"/>
            <w:vAlign w:val="bottom"/>
          </w:tcPr>
          <w:p>
            <w:pPr>
              <w:spacing w:after="0"/>
              <w:rPr>
                <w:sz w:val="24"/>
                <w:szCs w:val="24"/>
                <w:color w:val="auto"/>
              </w:rPr>
            </w:pPr>
          </w:p>
        </w:tc>
        <w:tc>
          <w:tcPr>
            <w:tcW w:w="2240" w:type="dxa"/>
            <w:vAlign w:val="bottom"/>
          </w:tcPr>
          <w:p>
            <w:pPr>
              <w:ind w:left="460"/>
              <w:spacing w:after="0"/>
              <w:rPr>
                <w:sz w:val="20"/>
                <w:szCs w:val="20"/>
                <w:color w:val="auto"/>
              </w:rPr>
            </w:pPr>
            <w:r>
              <w:rPr>
                <w:rFonts w:ascii="Arial" w:cs="Arial" w:eastAsia="Arial" w:hAnsi="Arial"/>
                <w:sz w:val="18"/>
                <w:szCs w:val="18"/>
                <w:color w:val="auto"/>
              </w:rPr>
              <w:t>February 28, 2023</w:t>
            </w:r>
          </w:p>
        </w:tc>
        <w:tc>
          <w:tcPr>
            <w:tcW w:w="0" w:type="dxa"/>
            <w:vAlign w:val="bottom"/>
          </w:tcPr>
          <w:p>
            <w:pPr>
              <w:spacing w:after="0"/>
              <w:rPr>
                <w:sz w:val="1"/>
                <w:szCs w:val="1"/>
                <w:color w:val="auto"/>
              </w:rPr>
            </w:pPr>
          </w:p>
        </w:tc>
      </w:tr>
      <w:tr>
        <w:trPr>
          <w:trHeight w:val="230"/>
        </w:trPr>
        <w:tc>
          <w:tcPr>
            <w:tcW w:w="4840" w:type="dxa"/>
            <w:vAlign w:val="bottom"/>
          </w:tcPr>
          <w:p>
            <w:pPr>
              <w:jc w:val="center"/>
              <w:spacing w:after="0"/>
              <w:rPr>
                <w:sz w:val="20"/>
                <w:szCs w:val="20"/>
                <w:color w:val="auto"/>
              </w:rPr>
            </w:pPr>
            <w:r>
              <w:rPr>
                <w:rFonts w:ascii="Arial" w:cs="Arial" w:eastAsia="Arial" w:hAnsi="Arial"/>
                <w:sz w:val="18"/>
                <w:szCs w:val="18"/>
                <w:color w:val="auto"/>
                <w:w w:val="89"/>
              </w:rPr>
              <w:t>Dennis G. Podlesak</w:t>
            </w:r>
          </w:p>
        </w:tc>
        <w:tc>
          <w:tcPr>
            <w:tcW w:w="1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Martin H. Huber, M.D.</w:t>
            </w:r>
          </w:p>
        </w:tc>
        <w:tc>
          <w:tcPr>
            <w:tcW w:w="1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ind w:left="460"/>
              <w:spacing w:after="0"/>
              <w:rPr>
                <w:sz w:val="20"/>
                <w:szCs w:val="20"/>
                <w:color w:val="auto"/>
              </w:rPr>
            </w:pPr>
            <w:r>
              <w:rPr>
                <w:rFonts w:ascii="Arial" w:cs="Arial" w:eastAsia="Arial" w:hAnsi="Arial"/>
                <w:sz w:val="18"/>
                <w:szCs w:val="18"/>
                <w:color w:val="auto"/>
              </w:rPr>
              <w:t>February 28, 2023</w:t>
            </w:r>
          </w:p>
        </w:tc>
        <w:tc>
          <w:tcPr>
            <w:tcW w:w="0" w:type="dxa"/>
            <w:vAlign w:val="bottom"/>
          </w:tcPr>
          <w:p>
            <w:pPr>
              <w:spacing w:after="0"/>
              <w:rPr>
                <w:sz w:val="1"/>
                <w:szCs w:val="1"/>
                <w:color w:val="auto"/>
              </w:rPr>
            </w:pPr>
          </w:p>
        </w:tc>
      </w:tr>
      <w:tr>
        <w:trPr>
          <w:trHeight w:val="230"/>
        </w:trPr>
        <w:tc>
          <w:tcPr>
            <w:tcW w:w="4840" w:type="dxa"/>
            <w:vAlign w:val="bottom"/>
          </w:tcPr>
          <w:p>
            <w:pPr>
              <w:jc w:val="center"/>
              <w:spacing w:after="0"/>
              <w:rPr>
                <w:sz w:val="20"/>
                <w:szCs w:val="20"/>
                <w:color w:val="auto"/>
              </w:rPr>
            </w:pPr>
            <w:r>
              <w:rPr>
                <w:rFonts w:ascii="Arial" w:cs="Arial" w:eastAsia="Arial" w:hAnsi="Arial"/>
                <w:sz w:val="18"/>
                <w:szCs w:val="18"/>
                <w:color w:val="auto"/>
                <w:w w:val="94"/>
              </w:rPr>
              <w:t>Martin H. Huber, M.D.</w:t>
            </w:r>
          </w:p>
        </w:tc>
        <w:tc>
          <w:tcPr>
            <w:tcW w:w="1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Jennifer Jarrett</w:t>
            </w:r>
          </w:p>
        </w:tc>
        <w:tc>
          <w:tcPr>
            <w:tcW w:w="1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ind w:left="460"/>
              <w:spacing w:after="0"/>
              <w:rPr>
                <w:sz w:val="20"/>
                <w:szCs w:val="20"/>
                <w:color w:val="auto"/>
              </w:rPr>
            </w:pPr>
            <w:r>
              <w:rPr>
                <w:rFonts w:ascii="Arial" w:cs="Arial" w:eastAsia="Arial" w:hAnsi="Arial"/>
                <w:sz w:val="18"/>
                <w:szCs w:val="18"/>
                <w:color w:val="auto"/>
              </w:rPr>
              <w:t>February 28, 2023</w:t>
            </w:r>
          </w:p>
        </w:tc>
        <w:tc>
          <w:tcPr>
            <w:tcW w:w="0" w:type="dxa"/>
            <w:vAlign w:val="bottom"/>
          </w:tcPr>
          <w:p>
            <w:pPr>
              <w:spacing w:after="0"/>
              <w:rPr>
                <w:sz w:val="1"/>
                <w:szCs w:val="1"/>
                <w:color w:val="auto"/>
              </w:rPr>
            </w:pPr>
          </w:p>
        </w:tc>
      </w:tr>
      <w:tr>
        <w:trPr>
          <w:trHeight w:val="230"/>
        </w:trPr>
        <w:tc>
          <w:tcPr>
            <w:tcW w:w="4840" w:type="dxa"/>
            <w:vAlign w:val="bottom"/>
          </w:tcPr>
          <w:p>
            <w:pPr>
              <w:jc w:val="center"/>
              <w:spacing w:after="0"/>
              <w:rPr>
                <w:sz w:val="20"/>
                <w:szCs w:val="20"/>
                <w:color w:val="auto"/>
              </w:rPr>
            </w:pPr>
            <w:r>
              <w:rPr>
                <w:rFonts w:ascii="Arial" w:cs="Arial" w:eastAsia="Arial" w:hAnsi="Arial"/>
                <w:sz w:val="18"/>
                <w:szCs w:val="18"/>
                <w:color w:val="auto"/>
                <w:w w:val="88"/>
              </w:rPr>
              <w:t>Jennifer Jarrett</w:t>
            </w:r>
          </w:p>
        </w:tc>
        <w:tc>
          <w:tcPr>
            <w:tcW w:w="1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Keith A. Katkin</w:t>
            </w:r>
          </w:p>
        </w:tc>
        <w:tc>
          <w:tcPr>
            <w:tcW w:w="1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ind w:left="460"/>
              <w:spacing w:after="0"/>
              <w:rPr>
                <w:sz w:val="20"/>
                <w:szCs w:val="20"/>
                <w:color w:val="auto"/>
              </w:rPr>
            </w:pPr>
            <w:r>
              <w:rPr>
                <w:rFonts w:ascii="Arial" w:cs="Arial" w:eastAsia="Arial" w:hAnsi="Arial"/>
                <w:sz w:val="18"/>
                <w:szCs w:val="18"/>
                <w:color w:val="auto"/>
              </w:rPr>
              <w:t>February 28, 2023</w:t>
            </w:r>
          </w:p>
        </w:tc>
        <w:tc>
          <w:tcPr>
            <w:tcW w:w="0" w:type="dxa"/>
            <w:vAlign w:val="bottom"/>
          </w:tcPr>
          <w:p>
            <w:pPr>
              <w:spacing w:after="0"/>
              <w:rPr>
                <w:sz w:val="1"/>
                <w:szCs w:val="1"/>
                <w:color w:val="auto"/>
              </w:rPr>
            </w:pPr>
          </w:p>
        </w:tc>
      </w:tr>
      <w:tr>
        <w:trPr>
          <w:trHeight w:val="230"/>
        </w:trPr>
        <w:tc>
          <w:tcPr>
            <w:tcW w:w="4840" w:type="dxa"/>
            <w:vAlign w:val="bottom"/>
          </w:tcPr>
          <w:p>
            <w:pPr>
              <w:jc w:val="center"/>
              <w:spacing w:after="0"/>
              <w:rPr>
                <w:sz w:val="20"/>
                <w:szCs w:val="20"/>
                <w:color w:val="auto"/>
              </w:rPr>
            </w:pPr>
            <w:r>
              <w:rPr>
                <w:rFonts w:ascii="Arial" w:cs="Arial" w:eastAsia="Arial" w:hAnsi="Arial"/>
                <w:sz w:val="18"/>
                <w:szCs w:val="18"/>
                <w:color w:val="auto"/>
                <w:w w:val="96"/>
              </w:rPr>
              <w:t>Keith A. Katkin</w:t>
            </w:r>
          </w:p>
        </w:tc>
        <w:tc>
          <w:tcPr>
            <w:tcW w:w="1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Pierre Legault</w:t>
            </w:r>
          </w:p>
        </w:tc>
        <w:tc>
          <w:tcPr>
            <w:tcW w:w="1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ind w:left="460"/>
              <w:spacing w:after="0"/>
              <w:rPr>
                <w:sz w:val="20"/>
                <w:szCs w:val="20"/>
                <w:color w:val="auto"/>
              </w:rPr>
            </w:pPr>
            <w:r>
              <w:rPr>
                <w:rFonts w:ascii="Arial" w:cs="Arial" w:eastAsia="Arial" w:hAnsi="Arial"/>
                <w:sz w:val="18"/>
                <w:szCs w:val="18"/>
                <w:color w:val="auto"/>
              </w:rPr>
              <w:t>February 28, 2023</w:t>
            </w:r>
          </w:p>
        </w:tc>
        <w:tc>
          <w:tcPr>
            <w:tcW w:w="0" w:type="dxa"/>
            <w:vAlign w:val="bottom"/>
          </w:tcPr>
          <w:p>
            <w:pPr>
              <w:spacing w:after="0"/>
              <w:rPr>
                <w:sz w:val="1"/>
                <w:szCs w:val="1"/>
                <w:color w:val="auto"/>
              </w:rPr>
            </w:pPr>
          </w:p>
        </w:tc>
      </w:tr>
      <w:tr>
        <w:trPr>
          <w:trHeight w:val="230"/>
        </w:trPr>
        <w:tc>
          <w:tcPr>
            <w:tcW w:w="4840" w:type="dxa"/>
            <w:vAlign w:val="bottom"/>
          </w:tcPr>
          <w:p>
            <w:pPr>
              <w:jc w:val="center"/>
              <w:spacing w:after="0"/>
              <w:rPr>
                <w:sz w:val="20"/>
                <w:szCs w:val="20"/>
                <w:color w:val="auto"/>
              </w:rPr>
            </w:pPr>
            <w:r>
              <w:rPr>
                <w:rFonts w:ascii="Arial" w:cs="Arial" w:eastAsia="Arial" w:hAnsi="Arial"/>
                <w:sz w:val="18"/>
                <w:szCs w:val="18"/>
                <w:color w:val="auto"/>
                <w:w w:val="90"/>
              </w:rPr>
              <w:t>Pierre Legault</w:t>
            </w:r>
          </w:p>
        </w:tc>
        <w:tc>
          <w:tcPr>
            <w:tcW w:w="1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William Meury</w:t>
            </w:r>
          </w:p>
        </w:tc>
        <w:tc>
          <w:tcPr>
            <w:tcW w:w="14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ind w:left="460"/>
              <w:spacing w:after="0"/>
              <w:rPr>
                <w:sz w:val="20"/>
                <w:szCs w:val="20"/>
                <w:color w:val="auto"/>
              </w:rPr>
            </w:pPr>
            <w:r>
              <w:rPr>
                <w:rFonts w:ascii="Arial" w:cs="Arial" w:eastAsia="Arial" w:hAnsi="Arial"/>
                <w:sz w:val="18"/>
                <w:szCs w:val="18"/>
                <w:color w:val="auto"/>
              </w:rPr>
              <w:t>February 28, 2023</w:t>
            </w:r>
          </w:p>
        </w:tc>
        <w:tc>
          <w:tcPr>
            <w:tcW w:w="0" w:type="dxa"/>
            <w:vAlign w:val="bottom"/>
          </w:tcPr>
          <w:p>
            <w:pPr>
              <w:spacing w:after="0"/>
              <w:rPr>
                <w:sz w:val="1"/>
                <w:szCs w:val="1"/>
                <w:color w:val="auto"/>
              </w:rPr>
            </w:pPr>
          </w:p>
        </w:tc>
      </w:tr>
      <w:tr>
        <w:trPr>
          <w:trHeight w:val="230"/>
        </w:trPr>
        <w:tc>
          <w:tcPr>
            <w:tcW w:w="4840" w:type="dxa"/>
            <w:vAlign w:val="bottom"/>
          </w:tcPr>
          <w:p>
            <w:pPr>
              <w:jc w:val="center"/>
              <w:spacing w:after="0"/>
              <w:rPr>
                <w:sz w:val="20"/>
                <w:szCs w:val="20"/>
                <w:color w:val="auto"/>
              </w:rPr>
            </w:pPr>
            <w:r>
              <w:rPr>
                <w:rFonts w:ascii="Arial" w:cs="Arial" w:eastAsia="Arial" w:hAnsi="Arial"/>
                <w:sz w:val="18"/>
                <w:szCs w:val="18"/>
                <w:color w:val="auto"/>
                <w:w w:val="97"/>
              </w:rPr>
              <w:t>William Meury</w:t>
            </w:r>
          </w:p>
        </w:tc>
        <w:tc>
          <w:tcPr>
            <w:tcW w:w="1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Briggs W. Morrison, MD.</w:t>
            </w:r>
          </w:p>
        </w:tc>
        <w:tc>
          <w:tcPr>
            <w:tcW w:w="140" w:type="dxa"/>
            <w:vAlign w:val="bottom"/>
          </w:tcPr>
          <w:p>
            <w:pPr>
              <w:spacing w:after="0"/>
              <w:rPr>
                <w:sz w:val="24"/>
                <w:szCs w:val="24"/>
                <w:color w:val="auto"/>
              </w:rPr>
            </w:pPr>
          </w:p>
        </w:tc>
        <w:tc>
          <w:tcPr>
            <w:tcW w:w="3920" w:type="dxa"/>
            <w:vAlign w:val="bottom"/>
          </w:tcPr>
          <w:p>
            <w:pPr>
              <w:jc w:val="right"/>
              <w:ind w:right="792"/>
              <w:spacing w:after="0"/>
              <w:rPr>
                <w:sz w:val="20"/>
                <w:szCs w:val="20"/>
                <w:color w:val="auto"/>
              </w:rPr>
            </w:pPr>
            <w:r>
              <w:rPr>
                <w:rFonts w:ascii="Arial" w:cs="Arial" w:eastAsia="Arial" w:hAnsi="Arial"/>
                <w:sz w:val="18"/>
                <w:szCs w:val="18"/>
                <w:color w:val="auto"/>
              </w:rPr>
              <w:t>President, Head of Research &amp;</w:t>
            </w:r>
          </w:p>
        </w:tc>
        <w:tc>
          <w:tcPr>
            <w:tcW w:w="100" w:type="dxa"/>
            <w:vAlign w:val="bottom"/>
          </w:tcPr>
          <w:p>
            <w:pPr>
              <w:spacing w:after="0"/>
              <w:rPr>
                <w:sz w:val="24"/>
                <w:szCs w:val="24"/>
                <w:color w:val="auto"/>
              </w:rPr>
            </w:pPr>
          </w:p>
        </w:tc>
        <w:tc>
          <w:tcPr>
            <w:tcW w:w="2240" w:type="dxa"/>
            <w:vAlign w:val="bottom"/>
          </w:tcPr>
          <w:p>
            <w:pPr>
              <w:ind w:left="460"/>
              <w:spacing w:after="0"/>
              <w:rPr>
                <w:sz w:val="20"/>
                <w:szCs w:val="20"/>
                <w:color w:val="auto"/>
              </w:rPr>
            </w:pPr>
            <w:r>
              <w:rPr>
                <w:rFonts w:ascii="Arial" w:cs="Arial" w:eastAsia="Arial" w:hAnsi="Arial"/>
                <w:sz w:val="18"/>
                <w:szCs w:val="18"/>
                <w:color w:val="auto"/>
              </w:rPr>
              <w:t>February 28, 2023</w:t>
            </w: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4"/>
                <w:szCs w:val="24"/>
                <w:color w:val="auto"/>
              </w:rPr>
            </w:pPr>
          </w:p>
        </w:tc>
        <w:tc>
          <w:tcPr>
            <w:tcW w:w="4060" w:type="dxa"/>
            <w:vAlign w:val="bottom"/>
            <w:gridSpan w:val="2"/>
          </w:tcPr>
          <w:p>
            <w:pPr>
              <w:jc w:val="right"/>
              <w:ind w:right="309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80" w:name="page81"/>
    <w:bookmarkEnd w:id="80"/>
    <w:p>
      <w:pPr>
        <w:jc w:val="right"/>
        <w:ind w:right="2379"/>
        <w:spacing w:after="0"/>
        <w:rPr>
          <w:sz w:val="20"/>
          <w:szCs w:val="20"/>
          <w:color w:val="auto"/>
        </w:rPr>
      </w:pPr>
      <w:r>
        <w:rPr>
          <w:rFonts w:ascii="Arial" w:cs="Arial" w:eastAsia="Arial" w:hAnsi="Arial"/>
          <w:sz w:val="18"/>
          <w:szCs w:val="18"/>
          <w:color w:val="auto"/>
        </w:rPr>
        <w:t>Development,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wp:posOffset>
            </wp:positionV>
            <wp:extent cx="30740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Briggs W. Morrison, MD.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22" w:right="1440" w:bottom="1440" w:gutter="0" w:footer="0" w:header="0"/>
        </w:sectPr>
      </w:pPr>
    </w:p>
    <w:bookmarkStart w:id="81" w:name="page82"/>
    <w:bookmarkEnd w:id="81"/>
    <w:p>
      <w:pPr>
        <w:jc w:val="center"/>
        <w:ind w:right="4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Pages</w:t>
            </w:r>
          </w:p>
        </w:tc>
      </w:tr>
      <w:tr>
        <w:trPr>
          <w:trHeight w:val="175"/>
        </w:trPr>
        <w:tc>
          <w:tcPr>
            <w:tcW w:w="20" w:type="dxa"/>
            <w:vAlign w:val="bottom"/>
          </w:tcPr>
          <w:p>
            <w:pPr>
              <w:spacing w:after="0"/>
              <w:rPr>
                <w:sz w:val="15"/>
                <w:szCs w:val="15"/>
                <w:color w:val="auto"/>
              </w:rPr>
            </w:pPr>
          </w:p>
        </w:tc>
        <w:tc>
          <w:tcPr>
            <w:tcW w:w="5440" w:type="dxa"/>
            <w:vAlign w:val="bottom"/>
            <w:tcBorders>
              <w:bottom w:val="single" w:sz="8" w:color="0000FF"/>
            </w:tcBorders>
            <w:gridSpan w:val="3"/>
          </w:tcPr>
          <w:p>
            <w:pPr>
              <w:spacing w:after="0" w:line="176" w:lineRule="exact"/>
              <w:rPr>
                <w:sz w:val="20"/>
                <w:szCs w:val="20"/>
                <w:color w:val="auto"/>
              </w:rPr>
            </w:pPr>
            <w:r>
              <w:rPr>
                <w:rFonts w:ascii="Arial" w:cs="Arial" w:eastAsia="Arial" w:hAnsi="Arial"/>
                <w:sz w:val="18"/>
                <w:szCs w:val="18"/>
                <w:color w:val="0000FF"/>
                <w:w w:val="92"/>
              </w:rPr>
              <w:t>Report of Independent Registered Public Accounting Firm (PCAOB ID 34)</w:t>
            </w:r>
          </w:p>
        </w:tc>
        <w:tc>
          <w:tcPr>
            <w:tcW w:w="5000" w:type="dxa"/>
            <w:vAlign w:val="bottom"/>
            <w:gridSpan w:val="6"/>
          </w:tcPr>
          <w:p>
            <w:pPr>
              <w:spacing w:after="0"/>
              <w:rPr>
                <w:sz w:val="15"/>
                <w:szCs w:val="15"/>
                <w:color w:val="auto"/>
              </w:rPr>
            </w:pPr>
          </w:p>
        </w:tc>
        <w:tc>
          <w:tcPr>
            <w:tcW w:w="780" w:type="dxa"/>
            <w:vAlign w:val="bottom"/>
          </w:tcPr>
          <w:p>
            <w:pPr>
              <w:ind w:left="20"/>
              <w:spacing w:after="0" w:line="176" w:lineRule="exact"/>
              <w:rPr>
                <w:sz w:val="20"/>
                <w:szCs w:val="20"/>
                <w:color w:val="auto"/>
              </w:rPr>
            </w:pPr>
            <w:r>
              <w:rPr>
                <w:rFonts w:ascii="Arial" w:cs="Arial" w:eastAsia="Arial" w:hAnsi="Arial"/>
                <w:sz w:val="18"/>
                <w:szCs w:val="18"/>
                <w:color w:val="auto"/>
              </w:rPr>
              <w:t>F-2</w:t>
            </w:r>
          </w:p>
        </w:tc>
      </w:tr>
      <w:tr>
        <w:trPr>
          <w:trHeight w:val="209"/>
        </w:trPr>
        <w:tc>
          <w:tcPr>
            <w:tcW w:w="20" w:type="dxa"/>
            <w:vAlign w:val="bottom"/>
          </w:tcPr>
          <w:p>
            <w:pPr>
              <w:spacing w:after="0"/>
              <w:rPr>
                <w:sz w:val="18"/>
                <w:szCs w:val="18"/>
                <w:color w:val="auto"/>
              </w:rPr>
            </w:pPr>
          </w:p>
        </w:tc>
        <w:tc>
          <w:tcPr>
            <w:tcW w:w="10440" w:type="dxa"/>
            <w:vAlign w:val="bottom"/>
            <w:gridSpan w:val="9"/>
          </w:tcPr>
          <w:p>
            <w:pPr>
              <w:spacing w:after="0"/>
              <w:rPr>
                <w:sz w:val="20"/>
                <w:szCs w:val="20"/>
                <w:color w:val="auto"/>
              </w:rPr>
            </w:pPr>
            <w:r>
              <w:rPr>
                <w:rFonts w:ascii="Arial" w:cs="Arial" w:eastAsia="Arial" w:hAnsi="Arial"/>
                <w:sz w:val="18"/>
                <w:szCs w:val="18"/>
                <w:color w:val="0000FF"/>
              </w:rPr>
              <w:t>Consolidated Balance Sheets as of December 31, 2022 and 2021</w:t>
            </w:r>
          </w:p>
        </w:tc>
        <w:tc>
          <w:tcPr>
            <w:tcW w:w="780" w:type="dxa"/>
            <w:vAlign w:val="bottom"/>
          </w:tcPr>
          <w:p>
            <w:pPr>
              <w:ind w:left="20"/>
              <w:spacing w:after="0"/>
              <w:rPr>
                <w:sz w:val="20"/>
                <w:szCs w:val="20"/>
                <w:color w:val="auto"/>
              </w:rPr>
            </w:pPr>
            <w:r>
              <w:rPr>
                <w:rFonts w:ascii="Arial" w:cs="Arial" w:eastAsia="Arial" w:hAnsi="Arial"/>
                <w:sz w:val="18"/>
                <w:szCs w:val="18"/>
                <w:color w:val="auto"/>
              </w:rPr>
              <w:t>F-4</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Consolidated Statements of Operations for the Years Ended December 31, 2022, 2021 and 2020</w:t>
            </w:r>
          </w:p>
        </w:tc>
        <w:tc>
          <w:tcPr>
            <w:tcW w:w="20" w:type="dxa"/>
            <w:vAlign w:val="bottom"/>
            <w:tcBorders>
              <w:bottom w:val="single" w:sz="8" w:color="0000EE"/>
            </w:tcBorders>
          </w:tcPr>
          <w:p>
            <w:pPr>
              <w:spacing w:after="0"/>
              <w:rPr>
                <w:sz w:val="18"/>
                <w:szCs w:val="18"/>
                <w:color w:val="auto"/>
              </w:rPr>
            </w:pPr>
          </w:p>
        </w:tc>
        <w:tc>
          <w:tcPr>
            <w:tcW w:w="3520" w:type="dxa"/>
            <w:vAlign w:val="bottom"/>
            <w:gridSpan w:val="4"/>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F-5</w:t>
            </w:r>
          </w:p>
        </w:tc>
      </w:tr>
      <w:tr>
        <w:trPr>
          <w:trHeight w:val="209"/>
        </w:trPr>
        <w:tc>
          <w:tcPr>
            <w:tcW w:w="20" w:type="dxa"/>
            <w:vAlign w:val="bottom"/>
          </w:tcPr>
          <w:p>
            <w:pPr>
              <w:spacing w:after="0"/>
              <w:rPr>
                <w:sz w:val="18"/>
                <w:szCs w:val="18"/>
                <w:color w:val="auto"/>
              </w:rPr>
            </w:pPr>
          </w:p>
        </w:tc>
        <w:tc>
          <w:tcPr>
            <w:tcW w:w="10440" w:type="dxa"/>
            <w:vAlign w:val="bottom"/>
            <w:gridSpan w:val="9"/>
          </w:tcPr>
          <w:p>
            <w:pPr>
              <w:spacing w:after="0"/>
              <w:rPr>
                <w:sz w:val="20"/>
                <w:szCs w:val="20"/>
                <w:color w:val="auto"/>
              </w:rPr>
            </w:pPr>
            <w:r>
              <w:rPr>
                <w:rFonts w:ascii="Arial" w:cs="Arial" w:eastAsia="Arial" w:hAnsi="Arial"/>
                <w:sz w:val="18"/>
                <w:szCs w:val="18"/>
                <w:color w:val="0000FF"/>
              </w:rPr>
              <w:t>Consolidated Statements of Comprehensive (Loss) Income for the Years Ended December 31, 2022, 2021 and 2020</w:t>
            </w:r>
          </w:p>
        </w:tc>
        <w:tc>
          <w:tcPr>
            <w:tcW w:w="780" w:type="dxa"/>
            <w:vAlign w:val="bottom"/>
          </w:tcPr>
          <w:p>
            <w:pPr>
              <w:ind w:left="20"/>
              <w:spacing w:after="0"/>
              <w:rPr>
                <w:sz w:val="20"/>
                <w:szCs w:val="20"/>
                <w:color w:val="auto"/>
              </w:rPr>
            </w:pPr>
            <w:r>
              <w:rPr>
                <w:rFonts w:ascii="Arial" w:cs="Arial" w:eastAsia="Arial" w:hAnsi="Arial"/>
                <w:sz w:val="18"/>
                <w:szCs w:val="18"/>
                <w:color w:val="auto"/>
              </w:rPr>
              <w:t>F-6</w:t>
            </w:r>
          </w:p>
        </w:tc>
      </w:tr>
      <w:tr>
        <w:trPr>
          <w:trHeight w:val="209"/>
        </w:trPr>
        <w:tc>
          <w:tcPr>
            <w:tcW w:w="20" w:type="dxa"/>
            <w:vAlign w:val="bottom"/>
          </w:tcPr>
          <w:p>
            <w:pPr>
              <w:spacing w:after="0"/>
              <w:rPr>
                <w:sz w:val="18"/>
                <w:szCs w:val="18"/>
                <w:color w:val="auto"/>
              </w:rPr>
            </w:pPr>
          </w:p>
        </w:tc>
        <w:tc>
          <w:tcPr>
            <w:tcW w:w="83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w w:val="97"/>
              </w:rPr>
              <w:t>Consolidated Statements of Stockholders’ Equity for the Years Ended December 31, 2022, 2021 and 2020</w:t>
            </w:r>
          </w:p>
        </w:tc>
        <w:tc>
          <w:tcPr>
            <w:tcW w:w="212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F-7</w:t>
            </w:r>
          </w:p>
        </w:tc>
      </w:tr>
      <w:tr>
        <w:trPr>
          <w:trHeight w:val="209"/>
        </w:trPr>
        <w:tc>
          <w:tcPr>
            <w:tcW w:w="20" w:type="dxa"/>
            <w:vAlign w:val="bottom"/>
          </w:tcPr>
          <w:p>
            <w:pPr>
              <w:spacing w:after="0"/>
              <w:rPr>
                <w:sz w:val="18"/>
                <w:szCs w:val="18"/>
                <w:color w:val="auto"/>
              </w:rPr>
            </w:pPr>
          </w:p>
        </w:tc>
        <w:tc>
          <w:tcPr>
            <w:tcW w:w="696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9"/>
              </w:rPr>
              <w:t>Consolidated Statements of Cash Flows for the Years Ended December 31, 2022, 2021 and 2020</w:t>
            </w:r>
          </w:p>
        </w:tc>
        <w:tc>
          <w:tcPr>
            <w:tcW w:w="660" w:type="dxa"/>
            <w:vAlign w:val="bottom"/>
            <w:tcBorders>
              <w:top w:val="single" w:sz="8" w:color="0000FF"/>
            </w:tcBorders>
          </w:tcPr>
          <w:p>
            <w:pPr>
              <w:spacing w:after="0"/>
              <w:rPr>
                <w:sz w:val="18"/>
                <w:szCs w:val="18"/>
                <w:color w:val="auto"/>
              </w:rPr>
            </w:pPr>
          </w:p>
        </w:tc>
        <w:tc>
          <w:tcPr>
            <w:tcW w:w="2820" w:type="dxa"/>
            <w:vAlign w:val="bottom"/>
            <w:gridSpan w:val="2"/>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F-8</w:t>
            </w:r>
          </w:p>
        </w:tc>
      </w:tr>
      <w:tr>
        <w:trPr>
          <w:trHeight w:val="209"/>
        </w:trPr>
        <w:tc>
          <w:tcPr>
            <w:tcW w:w="20" w:type="dxa"/>
            <w:vAlign w:val="bottom"/>
          </w:tcPr>
          <w:p>
            <w:pPr>
              <w:spacing w:after="0"/>
              <w:rPr>
                <w:sz w:val="18"/>
                <w:szCs w:val="18"/>
                <w:color w:val="auto"/>
              </w:rPr>
            </w:pPr>
          </w:p>
        </w:tc>
        <w:tc>
          <w:tcPr>
            <w:tcW w:w="10440" w:type="dxa"/>
            <w:vAlign w:val="bottom"/>
            <w:gridSpan w:val="9"/>
          </w:tcPr>
          <w:p>
            <w:pPr>
              <w:spacing w:after="0"/>
              <w:rPr>
                <w:sz w:val="20"/>
                <w:szCs w:val="20"/>
                <w:color w:val="auto"/>
              </w:rPr>
            </w:pPr>
            <w:r>
              <w:rPr>
                <w:rFonts w:ascii="Arial" w:cs="Arial" w:eastAsia="Arial" w:hAnsi="Arial"/>
                <w:sz w:val="18"/>
                <w:szCs w:val="18"/>
                <w:color w:val="0000FF"/>
              </w:rPr>
              <w:t>Notes to Consolidated Financial Statements</w:t>
            </w:r>
          </w:p>
        </w:tc>
        <w:tc>
          <w:tcPr>
            <w:tcW w:w="780" w:type="dxa"/>
            <w:vAlign w:val="bottom"/>
          </w:tcPr>
          <w:p>
            <w:pPr>
              <w:ind w:left="20"/>
              <w:spacing w:after="0"/>
              <w:rPr>
                <w:sz w:val="20"/>
                <w:szCs w:val="20"/>
                <w:color w:val="auto"/>
              </w:rPr>
            </w:pPr>
            <w:r>
              <w:rPr>
                <w:rFonts w:ascii="Arial" w:cs="Arial" w:eastAsia="Arial" w:hAnsi="Arial"/>
                <w:sz w:val="18"/>
                <w:szCs w:val="18"/>
                <w:color w:val="auto"/>
              </w:rPr>
              <w:t>F-10</w:t>
            </w:r>
          </w:p>
        </w:tc>
      </w:tr>
      <w:tr>
        <w:trPr>
          <w:trHeight w:val="897"/>
        </w:trPr>
        <w:tc>
          <w:tcPr>
            <w:tcW w:w="2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0" w:type="dxa"/>
            <w:vAlign w:val="bottom"/>
            <w:gridSpan w:val="6"/>
          </w:tcPr>
          <w:p>
            <w:pPr>
              <w:ind w:left="40"/>
              <w:spacing w:after="0"/>
              <w:rPr>
                <w:sz w:val="20"/>
                <w:szCs w:val="20"/>
                <w:color w:val="auto"/>
              </w:rPr>
            </w:pPr>
            <w:r>
              <w:rPr>
                <w:rFonts w:ascii="Arial" w:cs="Arial" w:eastAsia="Arial" w:hAnsi="Arial"/>
                <w:sz w:val="18"/>
                <w:szCs w:val="18"/>
                <w:color w:val="auto"/>
              </w:rPr>
              <w:t>F-1</w:t>
            </w:r>
          </w:p>
        </w:tc>
        <w:tc>
          <w:tcPr>
            <w:tcW w:w="7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Syndax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Syndax Pharmaceuticals, Inc. and subsidiaries (the "Company") as of December 31, 2022 and 2021, the related consolidated statements of operations, comprehensive (loss) income,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2023, expressed an unqualified opinion on the Company's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and Accrued Clinical Costs— Refer to Notes 3 and 11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As disclosed in Notes 3 and 11 to the financial statements, the Company expenses research and development costs as incurred, which include costs relating to clinical trial and clinical study activities. Expenses related to clinical trials and studies are based on estimates of the services received and efforts expended pursuant to contracts with each of the Contract Research Organizations ("CROs"). Tracking the progress of the clinical study and trial</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9" w:right="379" w:bottom="1440" w:gutter="0" w:footer="0" w:header="0"/>
        </w:sectPr>
      </w:pPr>
    </w:p>
    <w:bookmarkStart w:id="83" w:name="page84"/>
    <w:bookmarkEnd w:id="83"/>
    <w:p>
      <w:pPr>
        <w:ind w:right="100"/>
        <w:spacing w:after="0" w:line="277" w:lineRule="auto"/>
        <w:rPr>
          <w:sz w:val="20"/>
          <w:szCs w:val="20"/>
          <w:color w:val="auto"/>
        </w:rPr>
      </w:pPr>
      <w:r>
        <w:rPr>
          <w:rFonts w:ascii="Arial" w:cs="Arial" w:eastAsia="Arial" w:hAnsi="Arial"/>
          <w:sz w:val="18"/>
          <w:szCs w:val="18"/>
          <w:color w:val="auto"/>
        </w:rPr>
        <w:t>activities, including payments made by the Company and by the CROs, allows the Company to record the appropriate expense, prepayments, and accruals under the terms of the agreements.</w:t>
      </w:r>
    </w:p>
    <w:p>
      <w:pPr>
        <w:spacing w:after="0" w:line="16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identified the estimates for research and development expenses and clinical costs as a critical audit matter due to the (i) the significant judgment by management in determining the prepaid or accrued costs and (ii) high degree of auditor judgment and subjectivity and effort in performing procedures and evaluating audit evidence for these accrued or prepaid costs and the factors related to progress towards or the estimated current stage of completion of the research and development activities or studies, invoicing to date under the contracts, and communications from the research institution, or other companies, of any actual costs incurred during the period that have not yet been invoiced.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prepaid and accrued clinical costs included the following, among others:</w:t>
      </w:r>
    </w:p>
    <w:p>
      <w:pPr>
        <w:spacing w:after="0" w:line="225" w:lineRule="exact"/>
        <w:rPr>
          <w:sz w:val="20"/>
          <w:szCs w:val="20"/>
          <w:color w:val="auto"/>
        </w:rPr>
      </w:pPr>
    </w:p>
    <w:p>
      <w:pPr>
        <w:ind w:left="760" w:right="120" w:hanging="378"/>
        <w:spacing w:after="0" w:line="307" w:lineRule="auto"/>
        <w:tabs>
          <w:tab w:leader="none" w:pos="7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tested the effectiveness of internal controls over the prepaid and accrued clinic costs calculations, including management's controls over the assessment and estimation of the costs incurred for significant research and development activities performed by third parties.</w:t>
      </w:r>
    </w:p>
    <w:p>
      <w:pPr>
        <w:spacing w:after="0" w:line="147" w:lineRule="exact"/>
        <w:rPr>
          <w:rFonts w:ascii="Arial" w:cs="Arial" w:eastAsia="Arial" w:hAnsi="Arial"/>
          <w:sz w:val="17"/>
          <w:szCs w:val="17"/>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 sample, we tested the prepaid and accrued clinic costs by:</w:t>
      </w:r>
    </w:p>
    <w:p>
      <w:pPr>
        <w:spacing w:after="0" w:line="225" w:lineRule="exact"/>
        <w:rPr>
          <w:sz w:val="20"/>
          <w:szCs w:val="20"/>
          <w:color w:val="auto"/>
        </w:rPr>
      </w:pPr>
    </w:p>
    <w:p>
      <w:pPr>
        <w:jc w:val="both"/>
        <w:ind w:left="1500" w:right="20" w:hanging="369"/>
        <w:spacing w:after="0" w:line="263" w:lineRule="auto"/>
        <w:tabs>
          <w:tab w:leader="none" w:pos="1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testing the completeness and accuracy of inputs through inspection of the terms of contracts, statements of work, and communications between the Company and CROs and testing of actual amounts invoiced and paid under the contracts and comparing such information to the amounts used in management's estimates.</w:t>
      </w:r>
    </w:p>
    <w:p>
      <w:pPr>
        <w:spacing w:after="0" w:line="182" w:lineRule="exact"/>
        <w:rPr>
          <w:rFonts w:ascii="Arial" w:cs="Arial" w:eastAsia="Arial" w:hAnsi="Arial"/>
          <w:sz w:val="18"/>
          <w:szCs w:val="18"/>
          <w:color w:val="auto"/>
        </w:rPr>
      </w:pPr>
    </w:p>
    <w:p>
      <w:pPr>
        <w:ind w:left="1500" w:right="160" w:hanging="369"/>
        <w:spacing w:after="0" w:line="256" w:lineRule="auto"/>
        <w:tabs>
          <w:tab w:leader="none" w:pos="1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evaluating the reasonableness of the assumptions used in developing the estimates (including the progress towards completion of specific tasks and the associated cost incurred for services the Company has not yet been invoiced or otherwise notified of the actual cost a period end) through inquiries of Company personnel responsible for overseeing the research and development activities to understand progress of the activities, inspection of correspondence between the Company and these organizations, and retrospective reviews.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84" w:name="page85"/>
    <w:bookmarkEnd w:id="84"/>
    <w:p>
      <w:pPr>
        <w:jc w:val="center"/>
        <w:ind w:right="4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7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74,356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221,965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7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401,446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217,971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Short-term deposits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8,595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7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Collaboration receivable, net</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2"/>
        </w:trPr>
        <w:tc>
          <w:tcPr>
            <w:tcW w:w="580" w:type="dxa"/>
            <w:vAlign w:val="bottom"/>
          </w:tcPr>
          <w:p>
            <w:pPr>
              <w:spacing w:after="0"/>
              <w:rPr>
                <w:sz w:val="21"/>
                <w:szCs w:val="21"/>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489,786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448,396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Long-term investments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Right-of-use asset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497,236</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449,657</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225"/>
        </w:trPr>
        <w:tc>
          <w:tcPr>
            <w:tcW w:w="58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7"/>
        </w:trPr>
        <w:tc>
          <w:tcPr>
            <w:tcW w:w="580" w:type="dxa"/>
            <w:vAlign w:val="bottom"/>
          </w:tcPr>
          <w:p>
            <w:pPr>
              <w:spacing w:after="0"/>
              <w:rPr>
                <w:sz w:val="21"/>
                <w:szCs w:val="21"/>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4,350</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5,669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7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24,276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Current portion of right-of-use liability</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7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Current portion of capital lease</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Derivative liability</w:t>
            </w:r>
          </w:p>
        </w:tc>
        <w:tc>
          <w:tcPr>
            <w:tcW w:w="30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29,065</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20,683</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Long-term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7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Right-of-use liability, less current portion</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Capital lease, less current portion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7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Term loan, less current portion</w:t>
            </w: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4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long-term liabilities</w:t>
            </w: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20,606</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29,787</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41,289</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15"/>
        </w:trPr>
        <w:tc>
          <w:tcPr>
            <w:tcW w:w="58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Preferred stock, $0.001 par value, 10,000,000 shares authorized;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7440" w:type="dxa"/>
            <w:vAlign w:val="bottom"/>
          </w:tcPr>
          <w:p>
            <w:pPr>
              <w:ind w:left="320"/>
              <w:spacing w:after="0"/>
              <w:rPr>
                <w:sz w:val="20"/>
                <w:szCs w:val="20"/>
                <w:color w:val="auto"/>
              </w:rPr>
            </w:pPr>
            <w:r>
              <w:rPr>
                <w:rFonts w:ascii="Arial" w:cs="Arial" w:eastAsia="Arial" w:hAnsi="Arial"/>
                <w:sz w:val="18"/>
                <w:szCs w:val="18"/>
                <w:color w:val="auto"/>
              </w:rPr>
              <w:t>0 shares outstanding at December 31, 2022 and December 31, 2021</w:t>
            </w:r>
          </w:p>
        </w:tc>
        <w:tc>
          <w:tcPr>
            <w:tcW w:w="30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r>
      <w:tr>
        <w:trPr>
          <w:trHeight w:val="222"/>
        </w:trPr>
        <w:tc>
          <w:tcPr>
            <w:tcW w:w="580" w:type="dxa"/>
            <w:vAlign w:val="bottom"/>
          </w:tcPr>
          <w:p>
            <w:pPr>
              <w:spacing w:after="0"/>
              <w:rPr>
                <w:sz w:val="19"/>
                <w:szCs w:val="19"/>
                <w:color w:val="auto"/>
              </w:rPr>
            </w:pPr>
          </w:p>
        </w:tc>
        <w:tc>
          <w:tcPr>
            <w:tcW w:w="7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Common stock, $0.0001 par value, 100,000,000 shares authorized;</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74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68,111,385 and 54,983,105 shares outstanding at December 31, 2022</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44"/>
        </w:trPr>
        <w:tc>
          <w:tcPr>
            <w:tcW w:w="580" w:type="dxa"/>
            <w:vAlign w:val="bottom"/>
          </w:tcPr>
          <w:p>
            <w:pPr>
              <w:spacing w:after="0"/>
              <w:rPr>
                <w:sz w:val="21"/>
                <w:szCs w:val="21"/>
                <w:color w:val="auto"/>
              </w:rPr>
            </w:pPr>
          </w:p>
        </w:tc>
        <w:tc>
          <w:tcPr>
            <w:tcW w:w="74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and December 31, 2021, respectively</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1,161,288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7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(806 )</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(693,040 )</w:t>
            </w:r>
          </w:p>
        </w:tc>
        <w:tc>
          <w:tcPr>
            <w:tcW w:w="2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(543,702 )</w:t>
            </w: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467,449</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408,368</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497,236</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449,657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3"/>
        </w:trPr>
        <w:tc>
          <w:tcPr>
            <w:tcW w:w="580" w:type="dxa"/>
            <w:vAlign w:val="bottom"/>
          </w:tcPr>
          <w:p>
            <w:pPr>
              <w:spacing w:after="0"/>
              <w:rPr>
                <w:sz w:val="21"/>
                <w:szCs w:val="21"/>
                <w:color w:val="auto"/>
              </w:rPr>
            </w:pPr>
          </w:p>
        </w:tc>
        <w:tc>
          <w:tcPr>
            <w:tcW w:w="8960" w:type="dxa"/>
            <w:vAlign w:val="bottom"/>
            <w:gridSpan w:val="4"/>
          </w:tcPr>
          <w:p>
            <w:pPr>
              <w:ind w:left="18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431"/>
        </w:trPr>
        <w:tc>
          <w:tcPr>
            <w:tcW w:w="580" w:type="dxa"/>
            <w:vAlign w:val="bottom"/>
          </w:tcPr>
          <w:p>
            <w:pPr>
              <w:spacing w:after="0"/>
              <w:rPr>
                <w:sz w:val="24"/>
                <w:szCs w:val="24"/>
                <w:color w:val="auto"/>
              </w:rPr>
            </w:pPr>
          </w:p>
        </w:tc>
        <w:tc>
          <w:tcPr>
            <w:tcW w:w="7440" w:type="dxa"/>
            <w:vAlign w:val="bottom"/>
          </w:tcPr>
          <w:p>
            <w:pPr>
              <w:ind w:left="4920"/>
              <w:spacing w:after="0"/>
              <w:rPr>
                <w:sz w:val="20"/>
                <w:szCs w:val="20"/>
                <w:color w:val="auto"/>
              </w:rPr>
            </w:pPr>
            <w:r>
              <w:rPr>
                <w:rFonts w:ascii="Arial" w:cs="Arial" w:eastAsia="Arial" w:hAnsi="Arial"/>
                <w:sz w:val="18"/>
                <w:szCs w:val="18"/>
                <w:color w:val="auto"/>
              </w:rPr>
              <w:t>F-4</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74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-4588510</wp:posOffset>
            </wp:positionV>
            <wp:extent cx="890270" cy="179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890270" cy="1797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-3321685</wp:posOffset>
            </wp:positionV>
            <wp:extent cx="5969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-3321685</wp:posOffset>
            </wp:positionV>
            <wp:extent cx="59690"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-2696210</wp:posOffset>
            </wp:positionV>
            <wp:extent cx="5969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-2696210</wp:posOffset>
            </wp:positionV>
            <wp:extent cx="5969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-2371090</wp:posOffset>
            </wp:positionV>
            <wp:extent cx="59690"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-2371090</wp:posOffset>
            </wp:positionV>
            <wp:extent cx="59690"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-709930</wp:posOffset>
            </wp:positionV>
            <wp:extent cx="5969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-709930</wp:posOffset>
            </wp:positionV>
            <wp:extent cx="5969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5" w:name="page86"/>
    <w:bookmarkEnd w:id="85"/>
    <w:p>
      <w:pPr>
        <w:ind w:left="34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160" w:type="dxa"/>
            <w:vAlign w:val="bottom"/>
          </w:tcPr>
          <w:p>
            <w:pPr>
              <w:ind w:left="180"/>
              <w:spacing w:after="0"/>
              <w:rPr>
                <w:sz w:val="20"/>
                <w:szCs w:val="20"/>
                <w:color w:val="auto"/>
              </w:rPr>
            </w:pPr>
            <w:r>
              <w:rPr>
                <w:rFonts w:ascii="Arial" w:cs="Arial" w:eastAsia="Arial" w:hAnsi="Arial"/>
                <w:sz w:val="18"/>
                <w:szCs w:val="18"/>
                <w:color w:val="auto"/>
              </w:rPr>
              <w:t>License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7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139,709</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0"/>
                <w:szCs w:val="20"/>
                <w:color w:val="auto"/>
              </w:rPr>
            </w:pPr>
          </w:p>
        </w:tc>
      </w:tr>
      <w:tr>
        <w:trPr>
          <w:trHeight w:val="236"/>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139,709</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16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118,499</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88,248</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50,435</w:t>
            </w:r>
          </w:p>
        </w:tc>
        <w:tc>
          <w:tcPr>
            <w:tcW w:w="100" w:type="dxa"/>
            <w:vAlign w:val="bottom"/>
            <w:shd w:val="clear" w:color="auto" w:fill="CFF0FC"/>
          </w:tcPr>
          <w:p>
            <w:pPr>
              <w:spacing w:after="0"/>
              <w:rPr>
                <w:sz w:val="21"/>
                <w:szCs w:val="21"/>
                <w:color w:val="auto"/>
              </w:rPr>
            </w:pPr>
          </w:p>
        </w:tc>
      </w:tr>
      <w:tr>
        <w:trPr>
          <w:trHeight w:val="236"/>
        </w:trPr>
        <w:tc>
          <w:tcPr>
            <w:tcW w:w="61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33,258</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22,505</w:t>
            </w:r>
          </w:p>
        </w:tc>
        <w:tc>
          <w:tcPr>
            <w:tcW w:w="100" w:type="dxa"/>
            <w:vAlign w:val="bottom"/>
          </w:tcPr>
          <w:p>
            <w:pPr>
              <w:spacing w:after="0"/>
              <w:rPr>
                <w:sz w:val="20"/>
                <w:szCs w:val="20"/>
                <w:color w:val="auto"/>
              </w:rPr>
            </w:pPr>
          </w:p>
        </w:tc>
      </w:tr>
      <w:tr>
        <w:trPr>
          <w:trHeight w:val="236"/>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151,757</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113,489</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16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(151,757 )</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(71,423 )</w:t>
            </w:r>
          </w:p>
        </w:tc>
      </w:tr>
      <w:tr>
        <w:trPr>
          <w:trHeight w:val="24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(3,137 )</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(1,899 )</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(2,357 )</w:t>
            </w:r>
          </w:p>
        </w:tc>
      </w:tr>
      <w:tr>
        <w:trPr>
          <w:trHeight w:val="249"/>
        </w:trPr>
        <w:tc>
          <w:tcPr>
            <w:tcW w:w="6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5,872</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FF0FC"/>
          </w:tcPr>
          <w:p>
            <w:pPr>
              <w:spacing w:after="0"/>
              <w:rPr>
                <w:sz w:val="21"/>
                <w:szCs w:val="21"/>
                <w:color w:val="auto"/>
              </w:rPr>
            </w:pPr>
          </w:p>
        </w:tc>
      </w:tr>
      <w:tr>
        <w:trPr>
          <w:trHeight w:val="236"/>
        </w:trPr>
        <w:tc>
          <w:tcPr>
            <w:tcW w:w="6160" w:type="dxa"/>
            <w:vAlign w:val="bottom"/>
          </w:tcPr>
          <w:p>
            <w:pPr>
              <w:ind w:left="180"/>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(316 )</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(219 )</w:t>
            </w:r>
          </w:p>
        </w:tc>
      </w:tr>
      <w:tr>
        <w:trPr>
          <w:trHeight w:val="236"/>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2,419</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6160" w:type="dxa"/>
            <w:vAlign w:val="bottom"/>
          </w:tcPr>
          <w:p>
            <w:pPr>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70"/>
              <w:spacing w:after="0"/>
              <w:rPr>
                <w:sz w:val="20"/>
                <w:szCs w:val="20"/>
                <w:color w:val="auto"/>
              </w:rPr>
            </w:pPr>
            <w:r>
              <w:rPr>
                <w:rFonts w:ascii="Arial" w:cs="Arial" w:eastAsia="Arial" w:hAnsi="Arial"/>
                <w:sz w:val="18"/>
                <w:szCs w:val="18"/>
                <w:color w:val="auto"/>
              </w:rPr>
              <w:t>(149,338 ) $</w:t>
            </w:r>
          </w:p>
        </w:tc>
        <w:tc>
          <w:tcPr>
            <w:tcW w:w="960" w:type="dxa"/>
            <w:vAlign w:val="bottom"/>
          </w:tcPr>
          <w:p>
            <w:pPr>
              <w:jc w:val="right"/>
              <w:spacing w:after="0"/>
              <w:rPr>
                <w:sz w:val="20"/>
                <w:szCs w:val="20"/>
                <w:color w:val="auto"/>
              </w:rPr>
            </w:pPr>
            <w:r>
              <w:rPr>
                <w:rFonts w:ascii="Arial" w:cs="Arial" w:eastAsia="Arial" w:hAnsi="Arial"/>
                <w:sz w:val="18"/>
                <w:szCs w:val="18"/>
                <w:color w:val="auto"/>
              </w:rPr>
              <w:t>24,926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(73,158 )</w:t>
            </w:r>
          </w:p>
        </w:tc>
      </w:tr>
      <w:tr>
        <w:trPr>
          <w:trHeight w:val="20"/>
        </w:trPr>
        <w:tc>
          <w:tcPr>
            <w:tcW w:w="6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 attributable to common stockholders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(149,338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24,926</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(77,064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6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160" w:type="dxa"/>
            <w:vAlign w:val="bottom"/>
          </w:tcPr>
          <w:p>
            <w:pPr>
              <w:spacing w:after="0"/>
              <w:rPr>
                <w:sz w:val="20"/>
                <w:szCs w:val="20"/>
                <w:color w:val="auto"/>
              </w:rPr>
            </w:pPr>
            <w:r>
              <w:rPr>
                <w:rFonts w:ascii="Arial" w:cs="Arial" w:eastAsia="Arial" w:hAnsi="Arial"/>
                <w:sz w:val="18"/>
                <w:szCs w:val="18"/>
                <w:color w:val="auto"/>
              </w:rPr>
              <w:t>Basic (loss) earnings per share attributable to common stockholders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70"/>
              <w:spacing w:after="0"/>
              <w:rPr>
                <w:sz w:val="20"/>
                <w:szCs w:val="20"/>
                <w:color w:val="auto"/>
              </w:rPr>
            </w:pPr>
            <w:r>
              <w:rPr>
                <w:rFonts w:ascii="Arial" w:cs="Arial" w:eastAsia="Arial" w:hAnsi="Arial"/>
                <w:sz w:val="18"/>
                <w:szCs w:val="18"/>
                <w:color w:val="auto"/>
              </w:rPr>
              <w:t>(2.46 ) $</w:t>
            </w:r>
          </w:p>
        </w:tc>
        <w:tc>
          <w:tcPr>
            <w:tcW w:w="96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(1.87 )</w:t>
            </w:r>
          </w:p>
        </w:tc>
      </w:tr>
      <w:tr>
        <w:trPr>
          <w:trHeight w:val="24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Diluted (loss) earnings per share attributable to common stockholders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(2.46 ) $</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(1.87 )</w:t>
            </w:r>
          </w:p>
        </w:tc>
      </w:tr>
      <w:tr>
        <w:trPr>
          <w:trHeight w:val="243"/>
        </w:trPr>
        <w:tc>
          <w:tcPr>
            <w:tcW w:w="6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used in calculating:</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160" w:type="dxa"/>
            <w:vAlign w:val="bottom"/>
          </w:tcPr>
          <w:p>
            <w:pPr>
              <w:spacing w:after="0"/>
              <w:rPr>
                <w:sz w:val="20"/>
                <w:szCs w:val="20"/>
                <w:color w:val="auto"/>
              </w:rPr>
            </w:pPr>
            <w:r>
              <w:rPr>
                <w:rFonts w:ascii="Arial" w:cs="Arial" w:eastAsia="Arial" w:hAnsi="Arial"/>
                <w:sz w:val="18"/>
                <w:szCs w:val="18"/>
                <w:color w:val="auto"/>
              </w:rPr>
              <w:t>Basic (loss) earnings per share attributable to common stockholders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60,760,906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52,064,809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41,308,242</w:t>
            </w:r>
          </w:p>
        </w:tc>
        <w:tc>
          <w:tcPr>
            <w:tcW w:w="100" w:type="dxa"/>
            <w:vAlign w:val="bottom"/>
          </w:tcPr>
          <w:p>
            <w:pPr>
              <w:spacing w:after="0"/>
              <w:rPr>
                <w:sz w:val="20"/>
                <w:szCs w:val="20"/>
                <w:color w:val="auto"/>
              </w:rPr>
            </w:pPr>
          </w:p>
        </w:tc>
      </w:tr>
      <w:tr>
        <w:trPr>
          <w:trHeight w:val="24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Diluted (loss) earnings per share attributable to common stockholders</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60,760,906</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53,622,904</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41,308,242</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4688205</wp:posOffset>
            </wp:positionH>
            <wp:positionV relativeFrom="paragraph">
              <wp:posOffset>-3176270</wp:posOffset>
            </wp:positionV>
            <wp:extent cx="6858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-3176270</wp:posOffset>
            </wp:positionV>
            <wp:extent cx="59690"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-3176270</wp:posOffset>
            </wp:positionV>
            <wp:extent cx="59690" cy="16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4688205</wp:posOffset>
            </wp:positionH>
            <wp:positionV relativeFrom="paragraph">
              <wp:posOffset>-2542540</wp:posOffset>
            </wp:positionV>
            <wp:extent cx="68580" cy="162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-2542540</wp:posOffset>
            </wp:positionV>
            <wp:extent cx="59690"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-2542540</wp:posOffset>
            </wp:positionV>
            <wp:extent cx="5969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4688205</wp:posOffset>
            </wp:positionH>
            <wp:positionV relativeFrom="paragraph">
              <wp:posOffset>-1600835</wp:posOffset>
            </wp:positionV>
            <wp:extent cx="6858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-1600835</wp:posOffset>
            </wp:positionV>
            <wp:extent cx="5969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-1600835</wp:posOffset>
            </wp:positionV>
            <wp:extent cx="5969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4688205</wp:posOffset>
            </wp:positionH>
            <wp:positionV relativeFrom="paragraph">
              <wp:posOffset>-1257935</wp:posOffset>
            </wp:positionV>
            <wp:extent cx="172085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1720850" cy="179705"/>
                    </a:xfrm>
                    <a:prstGeom prst="rect">
                      <a:avLst/>
                    </a:prstGeom>
                    <a:noFill/>
                  </pic:spPr>
                </pic:pic>
              </a:graphicData>
            </a:graphic>
          </wp:anchor>
        </w:drawing>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64" w:right="899" w:bottom="1440" w:gutter="0" w:footer="0" w:header="0"/>
        </w:sectPr>
      </w:pPr>
    </w:p>
    <w:bookmarkStart w:id="86" w:name="page87"/>
    <w:bookmarkEnd w:id="86"/>
    <w:p>
      <w:pPr>
        <w:ind w:left="34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(149,338</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6660" w:type="dxa"/>
            <w:vAlign w:val="bottom"/>
          </w:tcPr>
          <w:p>
            <w:pPr>
              <w:spacing w:after="0"/>
              <w:rPr>
                <w:sz w:val="20"/>
                <w:szCs w:val="20"/>
                <w:color w:val="auto"/>
              </w:rPr>
            </w:pPr>
            <w:r>
              <w:rPr>
                <w:rFonts w:ascii="Arial" w:cs="Arial" w:eastAsia="Arial" w:hAnsi="Arial"/>
                <w:sz w:val="18"/>
                <w:szCs w:val="18"/>
                <w:color w:val="auto"/>
              </w:rPr>
              <w:t>Other comprehensive (loss) gain:</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Unrealized (loss) gains on marketable securities, net of tax</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(851 )</w:t>
            </w: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6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6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(150,189 )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24,975</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(73,162 )</w:t>
            </w:r>
          </w:p>
        </w:tc>
      </w:tr>
      <w:tr>
        <w:trPr>
          <w:trHeight w:val="20"/>
        </w:trPr>
        <w:tc>
          <w:tcPr>
            <w:tcW w:w="6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4876800</wp:posOffset>
            </wp:positionH>
            <wp:positionV relativeFrom="paragraph">
              <wp:posOffset>-187960</wp:posOffset>
            </wp:positionV>
            <wp:extent cx="6858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-187960</wp:posOffset>
            </wp:positionV>
            <wp:extent cx="5969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-187960</wp:posOffset>
            </wp:positionV>
            <wp:extent cx="5969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580" w:right="899" w:bottom="1440" w:gutter="0" w:footer="0" w:header="0"/>
        </w:sectPr>
      </w:pPr>
    </w:p>
    <w:bookmarkStart w:id="87" w:name="page88"/>
    <w:bookmarkEnd w:id="87"/>
    <w:p>
      <w:pPr>
        <w:ind w:left="3460"/>
        <w:spacing w:after="0"/>
        <w:rPr>
          <w:sz w:val="20"/>
          <w:szCs w:val="20"/>
          <w:color w:val="auto"/>
        </w:rPr>
      </w:pPr>
      <w:r>
        <w:rPr>
          <w:rFonts w:ascii="Arial" w:cs="Arial" w:eastAsia="Arial" w:hAnsi="Arial"/>
          <w:sz w:val="18"/>
          <w:szCs w:val="18"/>
          <w:b w:val="1"/>
          <w:bCs w:val="1"/>
          <w:color w:val="auto"/>
        </w:rPr>
        <w:t>SYNDAX PHARMACEUTICALS, INC.</w:t>
      </w:r>
    </w:p>
    <w:p>
      <w:pPr>
        <w:spacing w:after="0" w:line="63"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00" w:type="dxa"/>
            <w:vAlign w:val="bottom"/>
          </w:tcPr>
          <w:p>
            <w:pPr>
              <w:spacing w:after="0"/>
              <w:rPr>
                <w:sz w:val="10"/>
                <w:szCs w:val="10"/>
                <w:color w:val="auto"/>
              </w:rPr>
            </w:pPr>
          </w:p>
        </w:tc>
        <w:tc>
          <w:tcPr>
            <w:tcW w:w="1280" w:type="dxa"/>
            <w:vAlign w:val="bottom"/>
            <w:gridSpan w:val="3"/>
            <w:vMerge w:val="restart"/>
          </w:tcPr>
          <w:p>
            <w:pPr>
              <w:jc w:val="center"/>
              <w:ind w:left="482"/>
              <w:spacing w:after="0"/>
              <w:rPr>
                <w:sz w:val="20"/>
                <w:szCs w:val="20"/>
                <w:color w:val="auto"/>
              </w:rPr>
            </w:pPr>
            <w:r>
              <w:rPr>
                <w:rFonts w:ascii="Arial" w:cs="Arial" w:eastAsia="Arial" w:hAnsi="Arial"/>
                <w:sz w:val="11"/>
                <w:szCs w:val="11"/>
                <w:b w:val="1"/>
                <w:bCs w:val="1"/>
                <w:color w:val="auto"/>
                <w:w w:val="86"/>
              </w:rPr>
              <w:t>Common Stock</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09" w:lineRule="exact"/>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21"/>
        </w:trPr>
        <w:tc>
          <w:tcPr>
            <w:tcW w:w="4400" w:type="dxa"/>
            <w:vAlign w:val="bottom"/>
          </w:tcPr>
          <w:p>
            <w:pPr>
              <w:spacing w:after="0"/>
              <w:rPr>
                <w:sz w:val="10"/>
                <w:szCs w:val="10"/>
                <w:color w:val="auto"/>
              </w:rPr>
            </w:pPr>
          </w:p>
        </w:tc>
        <w:tc>
          <w:tcPr>
            <w:tcW w:w="1100" w:type="dxa"/>
            <w:vAlign w:val="bottom"/>
            <w:gridSpan w:val="2"/>
          </w:tcPr>
          <w:p>
            <w:pPr>
              <w:jc w:val="center"/>
              <w:ind w:left="662"/>
              <w:spacing w:after="0" w:line="122" w:lineRule="exact"/>
              <w:rPr>
                <w:sz w:val="20"/>
                <w:szCs w:val="20"/>
                <w:color w:val="auto"/>
              </w:rPr>
            </w:pPr>
            <w:r>
              <w:rPr>
                <w:rFonts w:ascii="Arial" w:cs="Arial" w:eastAsia="Arial" w:hAnsi="Arial"/>
                <w:sz w:val="11"/>
                <w:szCs w:val="11"/>
                <w:b w:val="1"/>
                <w:bCs w:val="1"/>
                <w:color w:val="auto"/>
                <w:w w:val="85"/>
              </w:rPr>
              <w:t>$0.0001</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Additional</w:t>
            </w:r>
          </w:p>
        </w:tc>
        <w:tc>
          <w:tcPr>
            <w:tcW w:w="8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Comprehensiv</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80" w:type="dxa"/>
            <w:vAlign w:val="bottom"/>
            <w:tcBorders>
              <w:bottom w:val="single" w:sz="8" w:color="auto"/>
            </w:tcBorders>
            <w:gridSpan w:val="3"/>
          </w:tcPr>
          <w:p>
            <w:pPr>
              <w:jc w:val="center"/>
              <w:ind w:left="482"/>
              <w:spacing w:after="0"/>
              <w:rPr>
                <w:sz w:val="20"/>
                <w:szCs w:val="20"/>
                <w:color w:val="auto"/>
              </w:rPr>
            </w:pPr>
            <w:r>
              <w:rPr>
                <w:rFonts w:ascii="Arial" w:cs="Arial" w:eastAsia="Arial" w:hAnsi="Arial"/>
                <w:sz w:val="11"/>
                <w:szCs w:val="11"/>
                <w:b w:val="1"/>
                <w:bCs w:val="1"/>
                <w:color w:val="auto"/>
                <w:w w:val="91"/>
              </w:rPr>
              <w:t>Par Value</w:t>
            </w: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12"/>
                <w:szCs w:val="12"/>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71"/>
              </w:rPr>
              <w:t>e</w:t>
            </w:r>
          </w:p>
        </w:tc>
        <w:tc>
          <w:tcPr>
            <w:tcW w:w="80" w:type="dxa"/>
            <w:vAlign w:val="bottom"/>
          </w:tcPr>
          <w:p>
            <w:pPr>
              <w:spacing w:after="0"/>
              <w:rPr>
                <w:sz w:val="12"/>
                <w:szCs w:val="12"/>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1"/>
                <w:szCs w:val="11"/>
                <w:b w:val="1"/>
                <w:bCs w:val="1"/>
                <w:color w:val="auto"/>
                <w:w w:val="89"/>
              </w:rPr>
              <w:t>Accumulated</w:t>
            </w: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38"/>
        </w:trPr>
        <w:tc>
          <w:tcPr>
            <w:tcW w:w="4400" w:type="dxa"/>
            <w:vAlign w:val="bottom"/>
          </w:tcPr>
          <w:p>
            <w:pPr>
              <w:spacing w:after="0"/>
              <w:rPr>
                <w:sz w:val="11"/>
                <w:szCs w:val="11"/>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1"/>
                <w:szCs w:val="11"/>
                <w:b w:val="1"/>
                <w:bCs w:val="1"/>
                <w:color w:val="auto"/>
                <w:w w:val="86"/>
              </w:rPr>
              <w:t>Amount</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1"/>
                <w:szCs w:val="11"/>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8"/>
              </w:rPr>
              <w:t>(Loss) Income</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02"/>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22"/>
              <w:spacing w:after="0"/>
              <w:rPr>
                <w:sz w:val="20"/>
                <w:szCs w:val="20"/>
                <w:color w:val="auto"/>
              </w:rPr>
            </w:pPr>
            <w:r>
              <w:rPr>
                <w:rFonts w:ascii="Arial" w:cs="Arial" w:eastAsia="Arial" w:hAnsi="Arial"/>
                <w:sz w:val="11"/>
                <w:szCs w:val="11"/>
                <w:b w:val="1"/>
                <w:bCs w:val="1"/>
                <w:color w:val="auto"/>
                <w:w w:val="92"/>
              </w:rPr>
              <w:t>(Deficit)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Balance—January 1, 2020</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27,140,484</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300" w:type="dxa"/>
            <w:vAlign w:val="bottom"/>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527,067</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4"/>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(495,470 ) $</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31,600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Proceeds from direct offering, net of $93 offering expenses</w:t>
            </w:r>
          </w:p>
        </w:tc>
        <w:tc>
          <w:tcPr>
            <w:tcW w:w="940" w:type="dxa"/>
            <w:vAlign w:val="bottom"/>
          </w:tcPr>
          <w:p>
            <w:pPr>
              <w:jc w:val="right"/>
              <w:spacing w:after="0"/>
              <w:rPr>
                <w:sz w:val="20"/>
                <w:szCs w:val="20"/>
                <w:color w:val="auto"/>
              </w:rPr>
            </w:pPr>
            <w:r>
              <w:rPr>
                <w:rFonts w:ascii="Arial" w:cs="Arial" w:eastAsia="Arial" w:hAnsi="Arial"/>
                <w:sz w:val="12"/>
                <w:szCs w:val="12"/>
                <w:color w:val="auto"/>
              </w:rPr>
              <w:t>3,036,719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24,201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24,201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Proceeds from pre-funded common stock warrant from</w:t>
            </w: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ind w:left="100"/>
              <w:spacing w:after="0"/>
              <w:rPr>
                <w:sz w:val="20"/>
                <w:szCs w:val="20"/>
                <w:color w:val="auto"/>
              </w:rPr>
            </w:pPr>
            <w:r>
              <w:rPr>
                <w:rFonts w:ascii="Arial" w:cs="Arial" w:eastAsia="Arial" w:hAnsi="Arial"/>
                <w:sz w:val="12"/>
                <w:szCs w:val="12"/>
                <w:color w:val="auto"/>
              </w:rPr>
              <w:t>direct offering, net of $41 offering expenses</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10,665</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10,665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Proceeds from direct offering, net of $7,132 offering expenses</w:t>
            </w:r>
          </w:p>
        </w:tc>
        <w:tc>
          <w:tcPr>
            <w:tcW w:w="940" w:type="dxa"/>
            <w:vAlign w:val="bottom"/>
          </w:tcPr>
          <w:p>
            <w:pPr>
              <w:jc w:val="right"/>
              <w:spacing w:after="0"/>
              <w:rPr>
                <w:sz w:val="20"/>
                <w:szCs w:val="20"/>
                <w:color w:val="auto"/>
              </w:rPr>
            </w:pPr>
            <w:r>
              <w:rPr>
                <w:rFonts w:ascii="Arial" w:cs="Arial" w:eastAsia="Arial" w:hAnsi="Arial"/>
                <w:sz w:val="12"/>
                <w:szCs w:val="12"/>
                <w:color w:val="auto"/>
              </w:rPr>
              <w:t>6,388,889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107,867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107,868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Proceeds from direct offering, net of $8,770 offering 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6,250,000</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134,980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134,981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Deemed dividend from repricing Series 1 and 2 warrants</w:t>
            </w: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3,906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3,906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Repricing Series 1 and 2 warrants</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(3,906 )</w:t>
            </w: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(3,906 )</w:t>
            </w: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Stock purchase under ESPP</w:t>
            </w:r>
          </w:p>
        </w:tc>
        <w:tc>
          <w:tcPr>
            <w:tcW w:w="940" w:type="dxa"/>
            <w:vAlign w:val="bottom"/>
          </w:tcPr>
          <w:p>
            <w:pPr>
              <w:jc w:val="right"/>
              <w:spacing w:after="0"/>
              <w:rPr>
                <w:sz w:val="20"/>
                <w:szCs w:val="20"/>
                <w:color w:val="auto"/>
              </w:rPr>
            </w:pPr>
            <w:r>
              <w:rPr>
                <w:rFonts w:ascii="Arial" w:cs="Arial" w:eastAsia="Arial" w:hAnsi="Arial"/>
                <w:sz w:val="12"/>
                <w:szCs w:val="12"/>
                <w:color w:val="auto"/>
              </w:rPr>
              <w:t>33,706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Pre-funded warrant exercise</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2,280,318</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9,057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9,057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Unrealized loss on short-term investments</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(4 )</w:t>
            </w:r>
          </w:p>
        </w:tc>
        <w:tc>
          <w:tcPr>
            <w:tcW w:w="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(4 )</w:t>
            </w: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Exercise of Series 1 and Series 2 warrants</w:t>
            </w:r>
          </w:p>
        </w:tc>
        <w:tc>
          <w:tcPr>
            <w:tcW w:w="940" w:type="dxa"/>
            <w:vAlign w:val="bottom"/>
          </w:tcPr>
          <w:p>
            <w:pPr>
              <w:jc w:val="right"/>
              <w:spacing w:after="0"/>
              <w:rPr>
                <w:sz w:val="20"/>
                <w:szCs w:val="20"/>
                <w:color w:val="auto"/>
              </w:rPr>
            </w:pPr>
            <w:r>
              <w:rPr>
                <w:rFonts w:ascii="Arial" w:cs="Arial" w:eastAsia="Arial" w:hAnsi="Arial"/>
                <w:sz w:val="12"/>
                <w:szCs w:val="12"/>
                <w:color w:val="auto"/>
              </w:rPr>
              <w:t>1,995,941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Employee withholdings ESPP</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Proceeds from exercise of stock options</w:t>
            </w:r>
          </w:p>
        </w:tc>
        <w:tc>
          <w:tcPr>
            <w:tcW w:w="940" w:type="dxa"/>
            <w:vAlign w:val="bottom"/>
          </w:tcPr>
          <w:p>
            <w:pPr>
              <w:jc w:val="right"/>
              <w:spacing w:after="0"/>
              <w:rPr>
                <w:sz w:val="20"/>
                <w:szCs w:val="20"/>
                <w:color w:val="auto"/>
              </w:rPr>
            </w:pPr>
            <w:r>
              <w:rPr>
                <w:rFonts w:ascii="Arial" w:cs="Arial" w:eastAsia="Arial" w:hAnsi="Arial"/>
                <w:sz w:val="12"/>
                <w:szCs w:val="12"/>
                <w:color w:val="auto"/>
              </w:rPr>
              <w:t>755,166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6,633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6,633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(73,158 )</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(73,158 )</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00" w:type="dxa"/>
            <w:vAlign w:val="bottom"/>
          </w:tcPr>
          <w:p>
            <w:pPr>
              <w:spacing w:after="0"/>
              <w:rPr>
                <w:sz w:val="20"/>
                <w:szCs w:val="20"/>
                <w:color w:val="auto"/>
              </w:rPr>
            </w:pPr>
            <w:r>
              <w:rPr>
                <w:rFonts w:ascii="Arial" w:cs="Arial" w:eastAsia="Arial" w:hAnsi="Arial"/>
                <w:sz w:val="12"/>
                <w:szCs w:val="12"/>
                <w:color w:val="auto"/>
              </w:rPr>
              <w:t>Balance—December 31, 2020</w:t>
            </w:r>
          </w:p>
        </w:tc>
        <w:tc>
          <w:tcPr>
            <w:tcW w:w="940" w:type="dxa"/>
            <w:vAlign w:val="bottom"/>
          </w:tcPr>
          <w:p>
            <w:pPr>
              <w:jc w:val="right"/>
              <w:spacing w:after="0"/>
              <w:rPr>
                <w:sz w:val="20"/>
                <w:szCs w:val="20"/>
                <w:color w:val="auto"/>
              </w:rPr>
            </w:pPr>
            <w:r>
              <w:rPr>
                <w:rFonts w:ascii="Arial" w:cs="Arial" w:eastAsia="Arial" w:hAnsi="Arial"/>
                <w:sz w:val="12"/>
                <w:szCs w:val="12"/>
                <w:color w:val="auto"/>
              </w:rPr>
              <w:t>47,881,223</w:t>
            </w:r>
          </w:p>
        </w:tc>
        <w:tc>
          <w:tcPr>
            <w:tcW w:w="160" w:type="dxa"/>
            <w:vAlign w:val="bottom"/>
          </w:tcPr>
          <w:p>
            <w:pPr>
              <w:spacing w:after="0"/>
              <w:rPr>
                <w:sz w:val="13"/>
                <w:szCs w:val="13"/>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w:t>
            </w:r>
          </w:p>
        </w:tc>
        <w:tc>
          <w:tcPr>
            <w:tcW w:w="140" w:type="dxa"/>
            <w:vAlign w:val="bottom"/>
          </w:tcPr>
          <w:p>
            <w:pPr>
              <w:spacing w:after="0"/>
              <w:rPr>
                <w:sz w:val="13"/>
                <w:szCs w:val="13"/>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820,815</w:t>
            </w:r>
          </w:p>
        </w:tc>
        <w:tc>
          <w:tcPr>
            <w:tcW w:w="100" w:type="dxa"/>
            <w:vAlign w:val="bottom"/>
          </w:tcPr>
          <w:p>
            <w:pPr>
              <w:spacing w:after="0"/>
              <w:rPr>
                <w:sz w:val="13"/>
                <w:szCs w:val="13"/>
                <w:color w:val="auto"/>
              </w:rPr>
            </w:pPr>
          </w:p>
        </w:tc>
        <w:tc>
          <w:tcPr>
            <w:tcW w:w="160" w:type="dxa"/>
            <w:vAlign w:val="bottom"/>
          </w:tcPr>
          <w:p>
            <w:pPr>
              <w:jc w:val="right"/>
              <w:ind w:right="24"/>
              <w:spacing w:after="0"/>
              <w:rPr>
                <w:sz w:val="20"/>
                <w:szCs w:val="20"/>
                <w:color w:val="auto"/>
              </w:rPr>
            </w:pPr>
            <w:r>
              <w:rPr>
                <w:rFonts w:ascii="Arial" w:cs="Arial" w:eastAsia="Arial" w:hAnsi="Arial"/>
                <w:sz w:val="12"/>
                <w:szCs w:val="12"/>
                <w:color w:val="auto"/>
                <w:w w:val="89"/>
              </w:rPr>
              <w:t>$</w:t>
            </w: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(4 ) $</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(568,628 ) $</w:t>
            </w:r>
          </w:p>
        </w:tc>
        <w:tc>
          <w:tcPr>
            <w:tcW w:w="740" w:type="dxa"/>
            <w:vAlign w:val="bottom"/>
          </w:tcPr>
          <w:p>
            <w:pPr>
              <w:jc w:val="right"/>
              <w:spacing w:after="0"/>
              <w:rPr>
                <w:sz w:val="20"/>
                <w:szCs w:val="20"/>
                <w:color w:val="auto"/>
              </w:rPr>
            </w:pPr>
            <w:r>
              <w:rPr>
                <w:rFonts w:ascii="Arial" w:cs="Arial" w:eastAsia="Arial" w:hAnsi="Arial"/>
                <w:sz w:val="12"/>
                <w:szCs w:val="12"/>
                <w:color w:val="auto"/>
              </w:rPr>
              <w:t>252,188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Proceeds from at-the-market offering, net of $159</w:t>
            </w: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ind w:left="100"/>
              <w:spacing w:after="0"/>
              <w:rPr>
                <w:sz w:val="20"/>
                <w:szCs w:val="20"/>
                <w:color w:val="auto"/>
              </w:rPr>
            </w:pPr>
            <w:r>
              <w:rPr>
                <w:rFonts w:ascii="Arial" w:cs="Arial" w:eastAsia="Arial" w:hAnsi="Arial"/>
                <w:sz w:val="12"/>
                <w:szCs w:val="12"/>
                <w:color w:val="auto"/>
              </w:rPr>
              <w:t>offering 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277,629</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5,131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5,131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Proceeds from direct offering, net of $5,332 offering expenses</w:t>
            </w:r>
          </w:p>
        </w:tc>
        <w:tc>
          <w:tcPr>
            <w:tcW w:w="940" w:type="dxa"/>
            <w:vAlign w:val="bottom"/>
          </w:tcPr>
          <w:p>
            <w:pPr>
              <w:jc w:val="right"/>
              <w:spacing w:after="0"/>
              <w:rPr>
                <w:sz w:val="20"/>
                <w:szCs w:val="20"/>
                <w:color w:val="auto"/>
              </w:rPr>
            </w:pPr>
            <w:r>
              <w:rPr>
                <w:rFonts w:ascii="Arial" w:cs="Arial" w:eastAsia="Arial" w:hAnsi="Arial"/>
                <w:sz w:val="12"/>
                <w:szCs w:val="12"/>
                <w:color w:val="auto"/>
              </w:rPr>
              <w:t>3,802,144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81,205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81,206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Stock purchase under ESPP</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26,878</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Pre-funded warrant exercise</w:t>
            </w:r>
          </w:p>
        </w:tc>
        <w:tc>
          <w:tcPr>
            <w:tcW w:w="940" w:type="dxa"/>
            <w:vAlign w:val="bottom"/>
          </w:tcPr>
          <w:p>
            <w:pPr>
              <w:jc w:val="right"/>
              <w:spacing w:after="0"/>
              <w:rPr>
                <w:sz w:val="20"/>
                <w:szCs w:val="20"/>
                <w:color w:val="auto"/>
              </w:rPr>
            </w:pPr>
            <w:r>
              <w:rPr>
                <w:rFonts w:ascii="Arial" w:cs="Arial" w:eastAsia="Arial" w:hAnsi="Arial"/>
                <w:sz w:val="12"/>
                <w:szCs w:val="12"/>
                <w:color w:val="auto"/>
              </w:rPr>
              <w:t>725,784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Proceeds from Incyte Share Purchase Agreement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1,421,523</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24,848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13,317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13,317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Unrealized gain on short-term investments</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Vesting of RSU</w:t>
            </w:r>
          </w:p>
        </w:tc>
        <w:tc>
          <w:tcPr>
            <w:tcW w:w="940" w:type="dxa"/>
            <w:vAlign w:val="bottom"/>
          </w:tcPr>
          <w:p>
            <w:pPr>
              <w:jc w:val="right"/>
              <w:spacing w:after="0"/>
              <w:rPr>
                <w:sz w:val="20"/>
                <w:szCs w:val="20"/>
                <w:color w:val="auto"/>
              </w:rPr>
            </w:pPr>
            <w:r>
              <w:rPr>
                <w:rFonts w:ascii="Arial" w:cs="Arial" w:eastAsia="Arial" w:hAnsi="Arial"/>
                <w:sz w:val="12"/>
                <w:szCs w:val="12"/>
                <w:color w:val="auto"/>
              </w:rPr>
              <w:t>5,500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Employee withholdings ESPP</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Proceeds from exercise of stock options</w:t>
            </w:r>
          </w:p>
        </w:tc>
        <w:tc>
          <w:tcPr>
            <w:tcW w:w="940" w:type="dxa"/>
            <w:vAlign w:val="bottom"/>
          </w:tcPr>
          <w:p>
            <w:pPr>
              <w:jc w:val="right"/>
              <w:spacing w:after="0"/>
              <w:rPr>
                <w:sz w:val="20"/>
                <w:szCs w:val="20"/>
                <w:color w:val="auto"/>
              </w:rPr>
            </w:pPr>
            <w:r>
              <w:rPr>
                <w:rFonts w:ascii="Arial" w:cs="Arial" w:eastAsia="Arial" w:hAnsi="Arial"/>
                <w:sz w:val="12"/>
                <w:szCs w:val="12"/>
                <w:color w:val="auto"/>
              </w:rPr>
              <w:t>842,424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6,336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6,336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Net income</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24,926</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24,926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20"/>
                <w:szCs w:val="20"/>
                <w:color w:val="auto"/>
              </w:rPr>
            </w:pPr>
            <w:r>
              <w:rPr>
                <w:rFonts w:ascii="Arial" w:cs="Arial" w:eastAsia="Arial" w:hAnsi="Arial"/>
                <w:sz w:val="12"/>
                <w:szCs w:val="12"/>
                <w:color w:val="auto"/>
              </w:rPr>
              <w:t>Balance—December 31, 2021</w:t>
            </w:r>
          </w:p>
        </w:tc>
        <w:tc>
          <w:tcPr>
            <w:tcW w:w="940" w:type="dxa"/>
            <w:vAlign w:val="bottom"/>
          </w:tcPr>
          <w:p>
            <w:pPr>
              <w:jc w:val="right"/>
              <w:spacing w:after="0"/>
              <w:rPr>
                <w:sz w:val="20"/>
                <w:szCs w:val="20"/>
                <w:color w:val="auto"/>
              </w:rPr>
            </w:pPr>
            <w:r>
              <w:rPr>
                <w:rFonts w:ascii="Arial" w:cs="Arial" w:eastAsia="Arial" w:hAnsi="Arial"/>
                <w:sz w:val="12"/>
                <w:szCs w:val="12"/>
                <w:color w:val="auto"/>
              </w:rPr>
              <w:t>54,983,105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w:t>
            </w:r>
          </w:p>
        </w:tc>
        <w:tc>
          <w:tcPr>
            <w:tcW w:w="30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952,019</w:t>
            </w:r>
          </w:p>
        </w:tc>
        <w:tc>
          <w:tcPr>
            <w:tcW w:w="100" w:type="dxa"/>
            <w:vAlign w:val="bottom"/>
          </w:tcPr>
          <w:p>
            <w:pPr>
              <w:spacing w:after="0"/>
              <w:rPr>
                <w:sz w:val="13"/>
                <w:szCs w:val="13"/>
                <w:color w:val="auto"/>
              </w:rPr>
            </w:pPr>
          </w:p>
        </w:tc>
        <w:tc>
          <w:tcPr>
            <w:tcW w:w="160" w:type="dxa"/>
            <w:vAlign w:val="bottom"/>
          </w:tcPr>
          <w:p>
            <w:pPr>
              <w:jc w:val="right"/>
              <w:ind w:right="24"/>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45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(543,702 ) $</w:t>
            </w:r>
          </w:p>
        </w:tc>
        <w:tc>
          <w:tcPr>
            <w:tcW w:w="740" w:type="dxa"/>
            <w:vAlign w:val="bottom"/>
          </w:tcPr>
          <w:p>
            <w:pPr>
              <w:jc w:val="right"/>
              <w:spacing w:after="0"/>
              <w:rPr>
                <w:sz w:val="20"/>
                <w:szCs w:val="20"/>
                <w:color w:val="auto"/>
              </w:rPr>
            </w:pPr>
            <w:r>
              <w:rPr>
                <w:rFonts w:ascii="Arial" w:cs="Arial" w:eastAsia="Arial" w:hAnsi="Arial"/>
                <w:sz w:val="12"/>
                <w:szCs w:val="12"/>
                <w:color w:val="auto"/>
              </w:rPr>
              <w:t>408,368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Proceeds from at-the-market offering, net of $600</w:t>
            </w: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ind w:left="100"/>
              <w:spacing w:after="0"/>
              <w:rPr>
                <w:sz w:val="20"/>
                <w:szCs w:val="20"/>
                <w:color w:val="auto"/>
              </w:rPr>
            </w:pPr>
            <w:r>
              <w:rPr>
                <w:rFonts w:ascii="Arial" w:cs="Arial" w:eastAsia="Arial" w:hAnsi="Arial"/>
                <w:sz w:val="12"/>
                <w:szCs w:val="12"/>
                <w:color w:val="auto"/>
              </w:rPr>
              <w:t>offering 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1,111,111</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19,425</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19,425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Proceeds from direct offering, net of $10,535 offering expenses</w:t>
            </w:r>
          </w:p>
        </w:tc>
        <w:tc>
          <w:tcPr>
            <w:tcW w:w="940" w:type="dxa"/>
            <w:vAlign w:val="bottom"/>
          </w:tcPr>
          <w:p>
            <w:pPr>
              <w:jc w:val="right"/>
              <w:spacing w:after="0"/>
              <w:rPr>
                <w:sz w:val="20"/>
                <w:szCs w:val="20"/>
                <w:color w:val="auto"/>
              </w:rPr>
            </w:pPr>
            <w:r>
              <w:rPr>
                <w:rFonts w:ascii="Arial" w:cs="Arial" w:eastAsia="Arial" w:hAnsi="Arial"/>
                <w:sz w:val="12"/>
                <w:szCs w:val="12"/>
                <w:color w:val="auto"/>
              </w:rPr>
              <w:t>7,840,909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161,965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161,966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Stock purchase under ESPP</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28,999</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Pre-funded warrant cashless exercise</w:t>
            </w:r>
          </w:p>
        </w:tc>
        <w:tc>
          <w:tcPr>
            <w:tcW w:w="940" w:type="dxa"/>
            <w:vAlign w:val="bottom"/>
          </w:tcPr>
          <w:p>
            <w:pPr>
              <w:jc w:val="right"/>
              <w:spacing w:after="0"/>
              <w:rPr>
                <w:sz w:val="20"/>
                <w:szCs w:val="20"/>
                <w:color w:val="auto"/>
              </w:rPr>
            </w:pPr>
            <w:r>
              <w:rPr>
                <w:rFonts w:ascii="Arial" w:cs="Arial" w:eastAsia="Arial" w:hAnsi="Arial"/>
                <w:sz w:val="12"/>
                <w:szCs w:val="12"/>
                <w:color w:val="auto"/>
              </w:rPr>
              <w:t>2,832,151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16,019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Unrealized loss on investments</w:t>
            </w: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(851 )</w:t>
            </w:r>
          </w:p>
        </w:tc>
        <w:tc>
          <w:tcPr>
            <w:tcW w:w="80" w:type="dxa"/>
            <w:vAlign w:val="bottom"/>
          </w:tcPr>
          <w:p>
            <w:pPr>
              <w:spacing w:after="0"/>
              <w:rPr>
                <w:sz w:val="13"/>
                <w:szCs w:val="13"/>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(851 )</w:t>
            </w: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Vesting of RSU</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38,749</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Employee withholdings ESPP</w:t>
            </w: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401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Proceeds from exercise 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1,276,361</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11,459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2"/>
                <w:szCs w:val="12"/>
                <w:color w:val="auto"/>
              </w:rPr>
              <w:t>Net loss</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(149,338 )</w:t>
            </w:r>
          </w:p>
        </w:tc>
        <w:tc>
          <w:tcPr>
            <w:tcW w:w="8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(149,338 )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00" w:type="dxa"/>
            <w:vAlign w:val="bottom"/>
            <w:shd w:val="clear" w:color="auto" w:fill="CFF0FC"/>
          </w:tcPr>
          <w:p>
            <w:pPr>
              <w:spacing w:after="0"/>
              <w:rPr>
                <w:sz w:val="20"/>
                <w:szCs w:val="20"/>
                <w:color w:val="auto"/>
              </w:rPr>
            </w:pPr>
            <w:r>
              <w:rPr>
                <w:rFonts w:ascii="Arial" w:cs="Arial" w:eastAsia="Arial" w:hAnsi="Arial"/>
                <w:sz w:val="12"/>
                <w:szCs w:val="12"/>
                <w:color w:val="auto"/>
              </w:rPr>
              <w:t>Balance—December 31, 2022</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68,111,385</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2"/>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1,161,288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24"/>
              <w:spacing w:after="0"/>
              <w:rPr>
                <w:sz w:val="20"/>
                <w:szCs w:val="20"/>
                <w:color w:val="auto"/>
              </w:rPr>
            </w:pPr>
            <w:r>
              <w:rPr>
                <w:rFonts w:ascii="Arial" w:cs="Arial" w:eastAsia="Arial" w:hAnsi="Arial"/>
                <w:sz w:val="12"/>
                <w:szCs w:val="12"/>
                <w:color w:val="auto"/>
                <w:w w:val="89"/>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(806 ) $</w:t>
            </w: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(693,040 ) $</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467,449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-2687955</wp:posOffset>
            </wp:positionV>
            <wp:extent cx="68580" cy="1111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-2687955</wp:posOffset>
            </wp:positionV>
            <wp:extent cx="68580" cy="1111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-2687955</wp:posOffset>
            </wp:positionV>
            <wp:extent cx="68580" cy="1111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-2687955</wp:posOffset>
            </wp:positionV>
            <wp:extent cx="59690" cy="1111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4">
                      <a:extLst>
                        <a:ext uri="{28A0092B-C50C-407E-A947-70E740481C1C}"/>
                      </a:extLst>
                    </a:blip>
                    <a:srcRect/>
                    <a:stretch>
                      <a:fillRect/>
                    </a:stretch>
                  </pic:blipFill>
                  <pic:spPr bwMode="auto">
                    <a:xfrm>
                      <a:off x="0" y="0"/>
                      <a:ext cx="59690" cy="111125"/>
                    </a:xfrm>
                    <a:prstGeom prst="rect">
                      <a:avLst/>
                    </a:prstGeom>
                    <a:noFill/>
                  </pic:spPr>
                </pic:pic>
              </a:graphicData>
            </a:graphic>
          </wp:anchor>
        </w:drawing>
        <w:drawing>
          <wp:anchor simplePos="0" relativeHeight="251657728" behindDoc="1" locked="0" layoutInCell="0" allowOverlap="1">
            <wp:simplePos x="0" y="0"/>
            <wp:positionH relativeFrom="column">
              <wp:posOffset>5767070</wp:posOffset>
            </wp:positionH>
            <wp:positionV relativeFrom="paragraph">
              <wp:posOffset>-2687955</wp:posOffset>
            </wp:positionV>
            <wp:extent cx="59690" cy="1111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5">
                      <a:extLst>
                        <a:ext uri="{28A0092B-C50C-407E-A947-70E740481C1C}"/>
                      </a:extLst>
                    </a:blip>
                    <a:srcRect/>
                    <a:stretch>
                      <a:fillRect/>
                    </a:stretch>
                  </pic:blipFill>
                  <pic:spPr bwMode="auto">
                    <a:xfrm>
                      <a:off x="0" y="0"/>
                      <a:ext cx="59690" cy="11112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-2687955</wp:posOffset>
            </wp:positionV>
            <wp:extent cx="59690" cy="1111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6">
                      <a:extLst>
                        <a:ext uri="{28A0092B-C50C-407E-A947-70E740481C1C}"/>
                      </a:extLst>
                    </a:blip>
                    <a:srcRect/>
                    <a:stretch>
                      <a:fillRect/>
                    </a:stretch>
                  </pic:blipFill>
                  <pic:spPr bwMode="auto">
                    <a:xfrm>
                      <a:off x="0" y="0"/>
                      <a:ext cx="59690" cy="111125"/>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-1360805</wp:posOffset>
            </wp:positionV>
            <wp:extent cx="68580" cy="1111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-1360805</wp:posOffset>
            </wp:positionV>
            <wp:extent cx="68580" cy="1111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-1360805</wp:posOffset>
            </wp:positionV>
            <wp:extent cx="68580" cy="1111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-1360805</wp:posOffset>
            </wp:positionV>
            <wp:extent cx="59690" cy="1111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0">
                      <a:extLst>
                        <a:ext uri="{28A0092B-C50C-407E-A947-70E740481C1C}"/>
                      </a:extLst>
                    </a:blip>
                    <a:srcRect/>
                    <a:stretch>
                      <a:fillRect/>
                    </a:stretch>
                  </pic:blipFill>
                  <pic:spPr bwMode="auto">
                    <a:xfrm>
                      <a:off x="0" y="0"/>
                      <a:ext cx="59690" cy="111125"/>
                    </a:xfrm>
                    <a:prstGeom prst="rect">
                      <a:avLst/>
                    </a:prstGeom>
                    <a:noFill/>
                  </pic:spPr>
                </pic:pic>
              </a:graphicData>
            </a:graphic>
          </wp:anchor>
        </w:drawing>
        <w:drawing>
          <wp:anchor simplePos="0" relativeHeight="251657728" behindDoc="1" locked="0" layoutInCell="0" allowOverlap="1">
            <wp:simplePos x="0" y="0"/>
            <wp:positionH relativeFrom="column">
              <wp:posOffset>5767070</wp:posOffset>
            </wp:positionH>
            <wp:positionV relativeFrom="paragraph">
              <wp:posOffset>-1360805</wp:posOffset>
            </wp:positionV>
            <wp:extent cx="59690" cy="1111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1">
                      <a:extLst>
                        <a:ext uri="{28A0092B-C50C-407E-A947-70E740481C1C}"/>
                      </a:extLst>
                    </a:blip>
                    <a:srcRect/>
                    <a:stretch>
                      <a:fillRect/>
                    </a:stretch>
                  </pic:blipFill>
                  <pic:spPr bwMode="auto">
                    <a:xfrm>
                      <a:off x="0" y="0"/>
                      <a:ext cx="59690" cy="11112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-1360805</wp:posOffset>
            </wp:positionV>
            <wp:extent cx="59690" cy="1111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2">
                      <a:extLst>
                        <a:ext uri="{28A0092B-C50C-407E-A947-70E740481C1C}"/>
                      </a:extLst>
                    </a:blip>
                    <a:srcRect/>
                    <a:stretch>
                      <a:fillRect/>
                    </a:stretch>
                  </pic:blipFill>
                  <pic:spPr bwMode="auto">
                    <a:xfrm>
                      <a:off x="0" y="0"/>
                      <a:ext cx="59690" cy="111125"/>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-24765</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-7620</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5767070</wp:posOffset>
            </wp:positionH>
            <wp:positionV relativeFrom="paragraph">
              <wp:posOffset>-24765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5767070</wp:posOffset>
            </wp:positionH>
            <wp:positionV relativeFrom="paragraph">
              <wp:posOffset>-7620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-24765</wp:posOffset>
            </wp:positionV>
            <wp:extent cx="59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-7620</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64" w:right="899" w:bottom="1440" w:gutter="0" w:footer="0" w:header="0"/>
        </w:sectPr>
      </w:pPr>
    </w:p>
    <w:bookmarkStart w:id="88" w:name="page89"/>
    <w:bookmarkEnd w:id="88"/>
    <w:p>
      <w:pPr>
        <w:ind w:left="404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(In thousands)</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124"/>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82"/>
        </w:trPr>
        <w:tc>
          <w:tcPr>
            <w:tcW w:w="63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300" w:type="dxa"/>
            <w:vAlign w:val="bottom"/>
          </w:tcPr>
          <w:p>
            <w:pPr>
              <w:ind w:left="180"/>
              <w:spacing w:after="0"/>
              <w:rPr>
                <w:sz w:val="20"/>
                <w:szCs w:val="20"/>
                <w:color w:val="auto"/>
              </w:rPr>
            </w:pPr>
            <w:r>
              <w:rPr>
                <w:rFonts w:ascii="Arial" w:cs="Arial" w:eastAsia="Arial" w:hAnsi="Arial"/>
                <w:sz w:val="15"/>
                <w:szCs w:val="15"/>
                <w:color w:val="auto"/>
              </w:rPr>
              <w:t>Net (loss) income</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(149,338 )</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24,926</w:t>
            </w:r>
          </w:p>
        </w:tc>
        <w:tc>
          <w:tcPr>
            <w:tcW w:w="24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(73,158 )</w:t>
            </w:r>
          </w:p>
        </w:tc>
      </w:tr>
      <w:tr>
        <w:trPr>
          <w:trHeight w:val="162"/>
        </w:trPr>
        <w:tc>
          <w:tcPr>
            <w:tcW w:w="6300" w:type="dxa"/>
            <w:vAlign w:val="bottom"/>
            <w:shd w:val="clear" w:color="auto" w:fill="CFF0FC"/>
          </w:tcPr>
          <w:p>
            <w:pPr>
              <w:ind w:left="180"/>
              <w:spacing w:after="0" w:line="162" w:lineRule="exact"/>
              <w:rPr>
                <w:sz w:val="20"/>
                <w:szCs w:val="20"/>
                <w:color w:val="auto"/>
              </w:rPr>
            </w:pPr>
            <w:r>
              <w:rPr>
                <w:rFonts w:ascii="Arial" w:cs="Arial" w:eastAsia="Arial" w:hAnsi="Arial"/>
                <w:sz w:val="15"/>
                <w:szCs w:val="15"/>
                <w:color w:val="auto"/>
              </w:rPr>
              <w:t>Adjustments to reconcile net loss to net cash provided (used in) provided by</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300" w:type="dxa"/>
            <w:vAlign w:val="bottom"/>
            <w:shd w:val="clear" w:color="auto" w:fill="CFF0FC"/>
          </w:tcPr>
          <w:p>
            <w:pPr>
              <w:ind w:left="300"/>
              <w:spacing w:after="0"/>
              <w:rPr>
                <w:sz w:val="20"/>
                <w:szCs w:val="20"/>
                <w:color w:val="auto"/>
              </w:rPr>
            </w:pPr>
            <w:r>
              <w:rPr>
                <w:rFonts w:ascii="Arial" w:cs="Arial" w:eastAsia="Arial" w:hAnsi="Arial"/>
                <w:sz w:val="15"/>
                <w:szCs w:val="15"/>
                <w:color w:val="auto"/>
              </w:rPr>
              <w:t>operating activities:</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300" w:type="dxa"/>
            <w:vAlign w:val="bottom"/>
          </w:tcPr>
          <w:p>
            <w:pPr>
              <w:ind w:left="360"/>
              <w:spacing w:after="0"/>
              <w:rPr>
                <w:sz w:val="20"/>
                <w:szCs w:val="20"/>
                <w:color w:val="auto"/>
              </w:rPr>
            </w:pPr>
            <w:r>
              <w:rPr>
                <w:rFonts w:ascii="Arial" w:cs="Arial" w:eastAsia="Arial" w:hAnsi="Arial"/>
                <w:sz w:val="15"/>
                <w:szCs w:val="15"/>
                <w:color w:val="auto"/>
              </w:rPr>
              <w:t>Depreciation</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89</w:t>
            </w:r>
          </w:p>
        </w:tc>
        <w:tc>
          <w:tcPr>
            <w:tcW w:w="100" w:type="dxa"/>
            <w:vAlign w:val="bottom"/>
          </w:tcPr>
          <w:p>
            <w:pPr>
              <w:spacing w:after="0"/>
              <w:rPr>
                <w:sz w:val="16"/>
                <w:szCs w:val="16"/>
                <w:color w:val="auto"/>
              </w:rPr>
            </w:pPr>
          </w:p>
        </w:tc>
      </w:tr>
      <w:tr>
        <w:trPr>
          <w:trHeight w:val="189"/>
        </w:trPr>
        <w:tc>
          <w:tcPr>
            <w:tcW w:w="6300" w:type="dxa"/>
            <w:vAlign w:val="bottom"/>
            <w:shd w:val="clear" w:color="auto" w:fill="CFF0FC"/>
          </w:tcPr>
          <w:p>
            <w:pPr>
              <w:ind w:left="400"/>
              <w:spacing w:after="0"/>
              <w:rPr>
                <w:sz w:val="20"/>
                <w:szCs w:val="20"/>
                <w:color w:val="auto"/>
              </w:rPr>
            </w:pPr>
            <w:r>
              <w:rPr>
                <w:rFonts w:ascii="Arial" w:cs="Arial" w:eastAsia="Arial" w:hAnsi="Arial"/>
                <w:sz w:val="15"/>
                <w:szCs w:val="15"/>
                <w:color w:val="auto"/>
              </w:rPr>
              <w:t>(Accretion) and Amortization of investments</w:t>
            </w:r>
          </w:p>
        </w:tc>
        <w:tc>
          <w:tcPr>
            <w:tcW w:w="2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(3,382 )</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644</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(130 )</w:t>
            </w:r>
          </w:p>
        </w:tc>
      </w:tr>
      <w:tr>
        <w:trPr>
          <w:trHeight w:val="189"/>
        </w:trPr>
        <w:tc>
          <w:tcPr>
            <w:tcW w:w="6300" w:type="dxa"/>
            <w:vAlign w:val="bottom"/>
          </w:tcPr>
          <w:p>
            <w:pPr>
              <w:ind w:left="360"/>
              <w:spacing w:after="0"/>
              <w:rPr>
                <w:sz w:val="20"/>
                <w:szCs w:val="20"/>
                <w:color w:val="auto"/>
              </w:rPr>
            </w:pPr>
            <w:r>
              <w:rPr>
                <w:rFonts w:ascii="Arial" w:cs="Arial" w:eastAsia="Arial" w:hAnsi="Arial"/>
                <w:sz w:val="15"/>
                <w:szCs w:val="15"/>
                <w:color w:val="auto"/>
              </w:rPr>
              <w:t>Non-cash operating lease expense</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421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413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426</w:t>
            </w:r>
          </w:p>
        </w:tc>
        <w:tc>
          <w:tcPr>
            <w:tcW w:w="100" w:type="dxa"/>
            <w:vAlign w:val="bottom"/>
          </w:tcPr>
          <w:p>
            <w:pPr>
              <w:spacing w:after="0"/>
              <w:rPr>
                <w:sz w:val="16"/>
                <w:szCs w:val="16"/>
                <w:color w:val="auto"/>
              </w:rPr>
            </w:pPr>
          </w:p>
        </w:tc>
      </w:tr>
      <w:tr>
        <w:trPr>
          <w:trHeight w:val="189"/>
        </w:trPr>
        <w:tc>
          <w:tcPr>
            <w:tcW w:w="6300" w:type="dxa"/>
            <w:vAlign w:val="bottom"/>
            <w:shd w:val="clear" w:color="auto" w:fill="CFF0FC"/>
          </w:tcPr>
          <w:p>
            <w:pPr>
              <w:ind w:left="360"/>
              <w:spacing w:after="0"/>
              <w:rPr>
                <w:sz w:val="20"/>
                <w:szCs w:val="20"/>
                <w:color w:val="auto"/>
              </w:rPr>
            </w:pPr>
            <w:r>
              <w:rPr>
                <w:rFonts w:ascii="Arial" w:cs="Arial" w:eastAsia="Arial" w:hAnsi="Arial"/>
                <w:sz w:val="15"/>
                <w:szCs w:val="15"/>
                <w:color w:val="auto"/>
              </w:rPr>
              <w:t>Non-cash interest expense</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1,103</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(225 )</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389</w:t>
            </w:r>
          </w:p>
        </w:tc>
        <w:tc>
          <w:tcPr>
            <w:tcW w:w="100" w:type="dxa"/>
            <w:vAlign w:val="bottom"/>
            <w:shd w:val="clear" w:color="auto" w:fill="CFF0FC"/>
          </w:tcPr>
          <w:p>
            <w:pPr>
              <w:spacing w:after="0"/>
              <w:rPr>
                <w:sz w:val="16"/>
                <w:szCs w:val="16"/>
                <w:color w:val="auto"/>
              </w:rPr>
            </w:pPr>
          </w:p>
        </w:tc>
      </w:tr>
      <w:tr>
        <w:trPr>
          <w:trHeight w:val="189"/>
        </w:trPr>
        <w:tc>
          <w:tcPr>
            <w:tcW w:w="6300" w:type="dxa"/>
            <w:vAlign w:val="bottom"/>
          </w:tcPr>
          <w:p>
            <w:pPr>
              <w:ind w:left="360"/>
              <w:spacing w:after="0"/>
              <w:rPr>
                <w:sz w:val="20"/>
                <w:szCs w:val="20"/>
                <w:color w:val="auto"/>
              </w:rPr>
            </w:pPr>
            <w:r>
              <w:rPr>
                <w:rFonts w:ascii="Arial" w:cs="Arial" w:eastAsia="Arial" w:hAnsi="Arial"/>
                <w:sz w:val="15"/>
                <w:szCs w:val="15"/>
                <w:color w:val="auto"/>
              </w:rPr>
              <w:t>Changes in fair value of derivative liability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(187 )</w:t>
            </w:r>
          </w:p>
        </w:tc>
        <w:tc>
          <w:tcPr>
            <w:tcW w:w="2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(389 )</w:t>
            </w:r>
          </w:p>
        </w:tc>
        <w:tc>
          <w:tcPr>
            <w:tcW w:w="2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300" w:type="dxa"/>
            <w:vAlign w:val="bottom"/>
            <w:shd w:val="clear" w:color="auto" w:fill="CFF0FC"/>
          </w:tcPr>
          <w:p>
            <w:pPr>
              <w:ind w:left="360"/>
              <w:spacing w:after="0"/>
              <w:rPr>
                <w:sz w:val="20"/>
                <w:szCs w:val="20"/>
                <w:color w:val="auto"/>
              </w:rPr>
            </w:pPr>
            <w:r>
              <w:rPr>
                <w:rFonts w:ascii="Arial" w:cs="Arial" w:eastAsia="Arial" w:hAnsi="Arial"/>
                <w:sz w:val="15"/>
                <w:szCs w:val="15"/>
                <w:color w:val="auto"/>
              </w:rPr>
              <w:t>Stock-based compensation</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16,019</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13,317</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9,057</w:t>
            </w:r>
          </w:p>
        </w:tc>
        <w:tc>
          <w:tcPr>
            <w:tcW w:w="100" w:type="dxa"/>
            <w:vAlign w:val="bottom"/>
            <w:shd w:val="clear" w:color="auto" w:fill="CFF0FC"/>
          </w:tcPr>
          <w:p>
            <w:pPr>
              <w:spacing w:after="0"/>
              <w:rPr>
                <w:sz w:val="16"/>
                <w:szCs w:val="16"/>
                <w:color w:val="auto"/>
              </w:rPr>
            </w:pPr>
          </w:p>
        </w:tc>
      </w:tr>
      <w:tr>
        <w:trPr>
          <w:trHeight w:val="189"/>
        </w:trPr>
        <w:tc>
          <w:tcPr>
            <w:tcW w:w="6300" w:type="dxa"/>
            <w:vAlign w:val="bottom"/>
          </w:tcPr>
          <w:p>
            <w:pPr>
              <w:ind w:left="360"/>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(1 )</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r>
      <w:tr>
        <w:trPr>
          <w:trHeight w:val="189"/>
        </w:trPr>
        <w:tc>
          <w:tcPr>
            <w:tcW w:w="630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300" w:type="dxa"/>
            <w:vAlign w:val="bottom"/>
          </w:tcPr>
          <w:p>
            <w:pPr>
              <w:ind w:left="540"/>
              <w:spacing w:after="0"/>
              <w:rPr>
                <w:sz w:val="20"/>
                <w:szCs w:val="20"/>
                <w:color w:val="auto"/>
              </w:rPr>
            </w:pPr>
            <w:r>
              <w:rPr>
                <w:rFonts w:ascii="Arial" w:cs="Arial" w:eastAsia="Arial" w:hAnsi="Arial"/>
                <w:sz w:val="15"/>
                <w:szCs w:val="15"/>
                <w:color w:val="auto"/>
              </w:rPr>
              <w:t>Prepaid expenses and other assets</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(2,972 )</w:t>
            </w:r>
          </w:p>
        </w:tc>
        <w:tc>
          <w:tcPr>
            <w:tcW w:w="2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(1,394 )</w:t>
            </w:r>
          </w:p>
        </w:tc>
        <w:tc>
          <w:tcPr>
            <w:tcW w:w="2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(4,314 )</w:t>
            </w:r>
          </w:p>
        </w:tc>
      </w:tr>
      <w:tr>
        <w:trPr>
          <w:trHeight w:val="189"/>
        </w:trPr>
        <w:tc>
          <w:tcPr>
            <w:tcW w:w="6300" w:type="dxa"/>
            <w:vAlign w:val="bottom"/>
            <w:shd w:val="clear" w:color="auto" w:fill="CFF0FC"/>
          </w:tcPr>
          <w:p>
            <w:pPr>
              <w:ind w:left="540"/>
              <w:spacing w:after="0"/>
              <w:rPr>
                <w:sz w:val="20"/>
                <w:szCs w:val="20"/>
                <w:color w:val="auto"/>
              </w:rPr>
            </w:pPr>
            <w:r>
              <w:rPr>
                <w:rFonts w:ascii="Arial" w:cs="Arial" w:eastAsia="Arial" w:hAnsi="Arial"/>
                <w:sz w:val="15"/>
                <w:szCs w:val="15"/>
                <w:color w:val="auto"/>
              </w:rPr>
              <w:t>Collaboration receivable, net</w:t>
            </w:r>
          </w:p>
        </w:tc>
        <w:tc>
          <w:tcPr>
            <w:tcW w:w="2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(3,474 )</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300" w:type="dxa"/>
            <w:vAlign w:val="bottom"/>
          </w:tcPr>
          <w:p>
            <w:pPr>
              <w:ind w:left="540"/>
              <w:spacing w:after="0"/>
              <w:rPr>
                <w:sz w:val="20"/>
                <w:szCs w:val="20"/>
                <w:color w:val="auto"/>
              </w:rPr>
            </w:pPr>
            <w:r>
              <w:rPr>
                <w:rFonts w:ascii="Arial" w:cs="Arial" w:eastAsia="Arial" w:hAnsi="Arial"/>
                <w:sz w:val="15"/>
                <w:szCs w:val="15"/>
                <w:color w:val="auto"/>
              </w:rPr>
              <w:t>Accounts payable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(1,319 )</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2,161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(2,670 )</w:t>
            </w:r>
          </w:p>
        </w:tc>
      </w:tr>
      <w:tr>
        <w:trPr>
          <w:trHeight w:val="189"/>
        </w:trPr>
        <w:tc>
          <w:tcPr>
            <w:tcW w:w="6300" w:type="dxa"/>
            <w:vAlign w:val="bottom"/>
            <w:shd w:val="clear" w:color="auto" w:fill="CFF0FC"/>
          </w:tcPr>
          <w:p>
            <w:pPr>
              <w:ind w:left="540"/>
              <w:spacing w:after="0"/>
              <w:rPr>
                <w:sz w:val="20"/>
                <w:szCs w:val="20"/>
                <w:color w:val="auto"/>
              </w:rPr>
            </w:pPr>
            <w:r>
              <w:rPr>
                <w:rFonts w:ascii="Arial" w:cs="Arial" w:eastAsia="Arial" w:hAnsi="Arial"/>
                <w:sz w:val="15"/>
                <w:szCs w:val="15"/>
                <w:color w:val="auto"/>
              </w:rPr>
              <w:t>Deferred revenue</w:t>
            </w:r>
          </w:p>
        </w:tc>
        <w:tc>
          <w:tcPr>
            <w:tcW w:w="2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(13,133 )</w:t>
            </w: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(1,517 )</w:t>
            </w:r>
          </w:p>
        </w:tc>
      </w:tr>
      <w:tr>
        <w:trPr>
          <w:trHeight w:val="189"/>
        </w:trPr>
        <w:tc>
          <w:tcPr>
            <w:tcW w:w="6300" w:type="dxa"/>
            <w:vAlign w:val="bottom"/>
          </w:tcPr>
          <w:p>
            <w:pPr>
              <w:ind w:left="540"/>
              <w:spacing w:after="0"/>
              <w:rPr>
                <w:sz w:val="20"/>
                <w:szCs w:val="20"/>
                <w:color w:val="auto"/>
              </w:rPr>
            </w:pPr>
            <w:r>
              <w:rPr>
                <w:rFonts w:ascii="Arial" w:cs="Arial" w:eastAsia="Arial" w:hAnsi="Arial"/>
                <w:sz w:val="15"/>
                <w:szCs w:val="15"/>
                <w:color w:val="auto"/>
              </w:rPr>
              <w:t>Accrued expenses and other liabilities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9,421</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2,769</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567</w:t>
            </w:r>
          </w:p>
        </w:tc>
        <w:tc>
          <w:tcPr>
            <w:tcW w:w="100" w:type="dxa"/>
            <w:vAlign w:val="bottom"/>
          </w:tcPr>
          <w:p>
            <w:pPr>
              <w:spacing w:after="0"/>
              <w:rPr>
                <w:sz w:val="16"/>
                <w:szCs w:val="16"/>
                <w:color w:val="auto"/>
              </w:rPr>
            </w:pPr>
          </w:p>
        </w:tc>
      </w:tr>
      <w:tr>
        <w:trPr>
          <w:trHeight w:val="182"/>
        </w:trPr>
        <w:tc>
          <w:tcPr>
            <w:tcW w:w="6300" w:type="dxa"/>
            <w:vAlign w:val="bottom"/>
            <w:shd w:val="clear" w:color="auto" w:fill="CFF0FC"/>
          </w:tcPr>
          <w:p>
            <w:pPr>
              <w:ind w:left="540"/>
              <w:spacing w:after="0"/>
              <w:rPr>
                <w:sz w:val="20"/>
                <w:szCs w:val="20"/>
                <w:color w:val="auto"/>
              </w:rPr>
            </w:pPr>
            <w:r>
              <w:rPr>
                <w:rFonts w:ascii="Arial" w:cs="Arial" w:eastAsia="Arial" w:hAnsi="Arial"/>
                <w:sz w:val="15"/>
                <w:szCs w:val="15"/>
                <w:color w:val="auto"/>
              </w:rPr>
              <w:t>Net cash (used in) provided by operating activities</w:t>
            </w:r>
          </w:p>
        </w:tc>
        <w:tc>
          <w:tcPr>
            <w:tcW w:w="2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(133,675 )</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29,131</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(71,260 )</w:t>
            </w:r>
          </w:p>
        </w:tc>
      </w:tr>
      <w:tr>
        <w:trPr>
          <w:trHeight w:val="182"/>
        </w:trPr>
        <w:tc>
          <w:tcPr>
            <w:tcW w:w="6300" w:type="dxa"/>
            <w:vAlign w:val="bottom"/>
            <w:tcBorders>
              <w:top w:val="single" w:sz="8" w:color="CFF0FC"/>
            </w:tcBorders>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6300" w:type="dxa"/>
            <w:vAlign w:val="bottom"/>
            <w:shd w:val="clear" w:color="auto" w:fill="CFF0FC"/>
          </w:tcPr>
          <w:p>
            <w:pPr>
              <w:ind w:left="180"/>
              <w:spacing w:after="0"/>
              <w:rPr>
                <w:sz w:val="20"/>
                <w:szCs w:val="20"/>
                <w:color w:val="auto"/>
              </w:rPr>
            </w:pPr>
            <w:r>
              <w:rPr>
                <w:rFonts w:ascii="Arial" w:cs="Arial" w:eastAsia="Arial" w:hAnsi="Arial"/>
                <w:sz w:val="15"/>
                <w:szCs w:val="15"/>
                <w:color w:val="auto"/>
              </w:rPr>
              <w:t>Purchases of property and equipment</w:t>
            </w:r>
          </w:p>
        </w:tc>
        <w:tc>
          <w:tcPr>
            <w:tcW w:w="2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(129 )</w:t>
            </w: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300" w:type="dxa"/>
            <w:vAlign w:val="bottom"/>
          </w:tcPr>
          <w:p>
            <w:pPr>
              <w:ind w:left="180"/>
              <w:spacing w:after="0"/>
              <w:rPr>
                <w:sz w:val="20"/>
                <w:szCs w:val="20"/>
                <w:color w:val="auto"/>
              </w:rPr>
            </w:pPr>
            <w:r>
              <w:rPr>
                <w:rFonts w:ascii="Arial" w:cs="Arial" w:eastAsia="Arial" w:hAnsi="Arial"/>
                <w:sz w:val="15"/>
                <w:szCs w:val="15"/>
                <w:color w:val="auto"/>
              </w:rPr>
              <w:t>Proceeds from sales of equipment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225</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300" w:type="dxa"/>
            <w:vAlign w:val="bottom"/>
            <w:shd w:val="clear" w:color="auto" w:fill="CFF0FC"/>
          </w:tcPr>
          <w:p>
            <w:pPr>
              <w:ind w:left="180"/>
              <w:spacing w:after="0"/>
              <w:rPr>
                <w:sz w:val="20"/>
                <w:szCs w:val="20"/>
                <w:color w:val="auto"/>
              </w:rPr>
            </w:pPr>
            <w:r>
              <w:rPr>
                <w:rFonts w:ascii="Arial" w:cs="Arial" w:eastAsia="Arial" w:hAnsi="Arial"/>
                <w:sz w:val="15"/>
                <w:szCs w:val="15"/>
                <w:color w:val="auto"/>
              </w:rPr>
              <w:t>Purchases of short and long-term investments</w:t>
            </w:r>
          </w:p>
        </w:tc>
        <w:tc>
          <w:tcPr>
            <w:tcW w:w="2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(495,346 )</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(294,719 )</w:t>
            </w: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(278,937 )</w:t>
            </w:r>
          </w:p>
        </w:tc>
      </w:tr>
      <w:tr>
        <w:trPr>
          <w:trHeight w:val="189"/>
        </w:trPr>
        <w:tc>
          <w:tcPr>
            <w:tcW w:w="6300" w:type="dxa"/>
            <w:vAlign w:val="bottom"/>
          </w:tcPr>
          <w:p>
            <w:pPr>
              <w:ind w:left="180"/>
              <w:spacing w:after="0"/>
              <w:rPr>
                <w:sz w:val="20"/>
                <w:szCs w:val="20"/>
                <w:color w:val="auto"/>
              </w:rPr>
            </w:pPr>
            <w:r>
              <w:rPr>
                <w:rFonts w:ascii="Arial" w:cs="Arial" w:eastAsia="Arial" w:hAnsi="Arial"/>
                <w:sz w:val="15"/>
                <w:szCs w:val="15"/>
                <w:color w:val="auto"/>
              </w:rPr>
              <w:t>Proceeds from sales and maturities of short-term investments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308,933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253,975</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136,407</w:t>
            </w:r>
          </w:p>
        </w:tc>
        <w:tc>
          <w:tcPr>
            <w:tcW w:w="100" w:type="dxa"/>
            <w:vAlign w:val="bottom"/>
          </w:tcPr>
          <w:p>
            <w:pPr>
              <w:spacing w:after="0"/>
              <w:rPr>
                <w:sz w:val="16"/>
                <w:szCs w:val="16"/>
                <w:color w:val="auto"/>
              </w:rPr>
            </w:pPr>
          </w:p>
        </w:tc>
      </w:tr>
      <w:tr>
        <w:trPr>
          <w:trHeight w:val="182"/>
        </w:trPr>
        <w:tc>
          <w:tcPr>
            <w:tcW w:w="6300" w:type="dxa"/>
            <w:vAlign w:val="bottom"/>
            <w:shd w:val="clear" w:color="auto" w:fill="CFF0FC"/>
          </w:tcPr>
          <w:p>
            <w:pPr>
              <w:ind w:left="360"/>
              <w:spacing w:after="0"/>
              <w:rPr>
                <w:sz w:val="20"/>
                <w:szCs w:val="20"/>
                <w:color w:val="auto"/>
              </w:rPr>
            </w:pPr>
            <w:r>
              <w:rPr>
                <w:rFonts w:ascii="Arial" w:cs="Arial" w:eastAsia="Arial" w:hAnsi="Arial"/>
                <w:sz w:val="15"/>
                <w:szCs w:val="15"/>
                <w:color w:val="auto"/>
              </w:rPr>
              <w:t>Net cash used in investing activities</w:t>
            </w:r>
          </w:p>
        </w:tc>
        <w:tc>
          <w:tcPr>
            <w:tcW w:w="2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(186,188 )</w:t>
            </w: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(40,873 )</w:t>
            </w:r>
          </w:p>
        </w:tc>
        <w:tc>
          <w:tcPr>
            <w:tcW w:w="2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(142,530 )</w:t>
            </w:r>
          </w:p>
        </w:tc>
      </w:tr>
      <w:tr>
        <w:trPr>
          <w:trHeight w:val="182"/>
        </w:trPr>
        <w:tc>
          <w:tcPr>
            <w:tcW w:w="6300" w:type="dxa"/>
            <w:vAlign w:val="bottom"/>
            <w:tcBorders>
              <w:top w:val="single" w:sz="8" w:color="CFF0FC"/>
            </w:tcBorders>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62"/>
        </w:trPr>
        <w:tc>
          <w:tcPr>
            <w:tcW w:w="6300" w:type="dxa"/>
            <w:vAlign w:val="bottom"/>
            <w:shd w:val="clear" w:color="auto" w:fill="CFF0FC"/>
          </w:tcPr>
          <w:p>
            <w:pPr>
              <w:ind w:left="180"/>
              <w:spacing w:after="0" w:line="162" w:lineRule="exact"/>
              <w:rPr>
                <w:sz w:val="20"/>
                <w:szCs w:val="20"/>
                <w:color w:val="auto"/>
              </w:rPr>
            </w:pPr>
            <w:r>
              <w:rPr>
                <w:rFonts w:ascii="Arial" w:cs="Arial" w:eastAsia="Arial" w:hAnsi="Arial"/>
                <w:sz w:val="15"/>
                <w:szCs w:val="15"/>
                <w:color w:val="auto"/>
              </w:rPr>
              <w:t>Proceeds from issuance of common stock in follow on public</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300" w:type="dxa"/>
            <w:vAlign w:val="bottom"/>
            <w:shd w:val="clear" w:color="auto" w:fill="CFF0FC"/>
          </w:tcPr>
          <w:p>
            <w:pPr>
              <w:ind w:left="340"/>
              <w:spacing w:after="0"/>
              <w:rPr>
                <w:sz w:val="20"/>
                <w:szCs w:val="20"/>
                <w:color w:val="auto"/>
              </w:rPr>
            </w:pPr>
            <w:r>
              <w:rPr>
                <w:rFonts w:ascii="Arial" w:cs="Arial" w:eastAsia="Arial" w:hAnsi="Arial"/>
                <w:sz w:val="15"/>
                <w:szCs w:val="15"/>
                <w:color w:val="auto"/>
              </w:rPr>
              <w:t>offerings, net</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161,965</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81,206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242,849</w:t>
            </w:r>
          </w:p>
        </w:tc>
        <w:tc>
          <w:tcPr>
            <w:tcW w:w="100" w:type="dxa"/>
            <w:vAlign w:val="bottom"/>
            <w:shd w:val="clear" w:color="auto" w:fill="CFF0FC"/>
          </w:tcPr>
          <w:p>
            <w:pPr>
              <w:spacing w:after="0"/>
              <w:rPr>
                <w:sz w:val="16"/>
                <w:szCs w:val="16"/>
                <w:color w:val="auto"/>
              </w:rPr>
            </w:pPr>
          </w:p>
        </w:tc>
      </w:tr>
      <w:tr>
        <w:trPr>
          <w:trHeight w:val="162"/>
        </w:trPr>
        <w:tc>
          <w:tcPr>
            <w:tcW w:w="6300" w:type="dxa"/>
            <w:vAlign w:val="bottom"/>
          </w:tcPr>
          <w:p>
            <w:pPr>
              <w:ind w:left="180"/>
              <w:spacing w:after="0" w:line="162" w:lineRule="exact"/>
              <w:rPr>
                <w:sz w:val="20"/>
                <w:szCs w:val="20"/>
                <w:color w:val="auto"/>
              </w:rPr>
            </w:pPr>
            <w:r>
              <w:rPr>
                <w:rFonts w:ascii="Arial" w:cs="Arial" w:eastAsia="Arial" w:hAnsi="Arial"/>
                <w:sz w:val="15"/>
                <w:szCs w:val="15"/>
                <w:color w:val="auto"/>
              </w:rPr>
              <w:t>Proceeds from issuance of common stock in at-the-market</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300" w:type="dxa"/>
            <w:vAlign w:val="bottom"/>
          </w:tcPr>
          <w:p>
            <w:pPr>
              <w:ind w:left="340"/>
              <w:spacing w:after="0"/>
              <w:rPr>
                <w:sz w:val="20"/>
                <w:szCs w:val="20"/>
                <w:color w:val="auto"/>
              </w:rPr>
            </w:pPr>
            <w:r>
              <w:rPr>
                <w:rFonts w:ascii="Arial" w:cs="Arial" w:eastAsia="Arial" w:hAnsi="Arial"/>
                <w:sz w:val="15"/>
                <w:szCs w:val="15"/>
                <w:color w:val="auto"/>
              </w:rPr>
              <w:t>offering, net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19,425</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5,131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300" w:type="dxa"/>
            <w:vAlign w:val="bottom"/>
            <w:shd w:val="clear" w:color="auto" w:fill="CFF0FC"/>
          </w:tcPr>
          <w:p>
            <w:pPr>
              <w:ind w:left="180"/>
              <w:spacing w:after="0"/>
              <w:rPr>
                <w:sz w:val="20"/>
                <w:szCs w:val="20"/>
                <w:color w:val="auto"/>
              </w:rPr>
            </w:pPr>
            <w:r>
              <w:rPr>
                <w:rFonts w:ascii="Arial" w:cs="Arial" w:eastAsia="Arial" w:hAnsi="Arial"/>
                <w:sz w:val="15"/>
                <w:szCs w:val="15"/>
                <w:color w:val="auto"/>
                <w:w w:val="99"/>
              </w:rPr>
              <w:t>Allocation of proceeds to common stock issued under the Incyte Share Purchase Agreement</w:t>
            </w:r>
          </w:p>
        </w:tc>
        <w:tc>
          <w:tcPr>
            <w:tcW w:w="2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24,848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62"/>
        </w:trPr>
        <w:tc>
          <w:tcPr>
            <w:tcW w:w="6300" w:type="dxa"/>
            <w:vAlign w:val="bottom"/>
          </w:tcPr>
          <w:p>
            <w:pPr>
              <w:ind w:left="180"/>
              <w:spacing w:after="0" w:line="162" w:lineRule="exact"/>
              <w:rPr>
                <w:sz w:val="20"/>
                <w:szCs w:val="20"/>
                <w:color w:val="auto"/>
              </w:rPr>
            </w:pPr>
            <w:r>
              <w:rPr>
                <w:rFonts w:ascii="Arial" w:cs="Arial" w:eastAsia="Arial" w:hAnsi="Arial"/>
                <w:sz w:val="15"/>
                <w:szCs w:val="15"/>
                <w:color w:val="auto"/>
              </w:rPr>
              <w:t>Allocation of proceeds to derivative liability recorded under the Incyte Share Purchase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300" w:type="dxa"/>
            <w:vAlign w:val="bottom"/>
          </w:tcPr>
          <w:p>
            <w:pPr>
              <w:ind w:left="180"/>
              <w:spacing w:after="0"/>
              <w:rPr>
                <w:sz w:val="20"/>
                <w:szCs w:val="20"/>
                <w:color w:val="auto"/>
              </w:rPr>
            </w:pPr>
            <w:r>
              <w:rPr>
                <w:rFonts w:ascii="Arial" w:cs="Arial" w:eastAsia="Arial" w:hAnsi="Arial"/>
                <w:sz w:val="15"/>
                <w:szCs w:val="15"/>
                <w:color w:val="auto"/>
              </w:rPr>
              <w:t>Agreement</w:t>
            </w:r>
          </w:p>
        </w:tc>
        <w:tc>
          <w:tcPr>
            <w:tcW w:w="24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576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62"/>
        </w:trPr>
        <w:tc>
          <w:tcPr>
            <w:tcW w:w="6300" w:type="dxa"/>
            <w:vAlign w:val="bottom"/>
            <w:shd w:val="clear" w:color="auto" w:fill="CFF0FC"/>
          </w:tcPr>
          <w:p>
            <w:pPr>
              <w:ind w:left="180"/>
              <w:spacing w:after="0" w:line="162" w:lineRule="exact"/>
              <w:rPr>
                <w:sz w:val="20"/>
                <w:szCs w:val="20"/>
                <w:color w:val="auto"/>
              </w:rPr>
            </w:pPr>
            <w:r>
              <w:rPr>
                <w:rFonts w:ascii="Arial" w:cs="Arial" w:eastAsia="Arial" w:hAnsi="Arial"/>
                <w:sz w:val="15"/>
                <w:szCs w:val="15"/>
                <w:color w:val="auto"/>
              </w:rPr>
              <w:t>Proceeds from issuance of common stock in direct placement</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300" w:type="dxa"/>
            <w:vAlign w:val="bottom"/>
            <w:shd w:val="clear" w:color="auto" w:fill="CFF0FC"/>
          </w:tcPr>
          <w:p>
            <w:pPr>
              <w:ind w:left="340"/>
              <w:spacing w:after="0"/>
              <w:rPr>
                <w:sz w:val="20"/>
                <w:szCs w:val="20"/>
                <w:color w:val="auto"/>
              </w:rPr>
            </w:pPr>
            <w:r>
              <w:rPr>
                <w:rFonts w:ascii="Arial" w:cs="Arial" w:eastAsia="Arial" w:hAnsi="Arial"/>
                <w:sz w:val="15"/>
                <w:szCs w:val="15"/>
                <w:color w:val="auto"/>
              </w:rPr>
              <w:t>offering, net</w:t>
            </w:r>
          </w:p>
        </w:tc>
        <w:tc>
          <w:tcPr>
            <w:tcW w:w="2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34,866</w:t>
            </w:r>
          </w:p>
        </w:tc>
        <w:tc>
          <w:tcPr>
            <w:tcW w:w="100" w:type="dxa"/>
            <w:vAlign w:val="bottom"/>
            <w:shd w:val="clear" w:color="auto" w:fill="CFF0FC"/>
          </w:tcPr>
          <w:p>
            <w:pPr>
              <w:spacing w:after="0"/>
              <w:rPr>
                <w:sz w:val="16"/>
                <w:szCs w:val="16"/>
                <w:color w:val="auto"/>
              </w:rPr>
            </w:pPr>
          </w:p>
        </w:tc>
      </w:tr>
      <w:tr>
        <w:trPr>
          <w:trHeight w:val="189"/>
        </w:trPr>
        <w:tc>
          <w:tcPr>
            <w:tcW w:w="6300" w:type="dxa"/>
            <w:vAlign w:val="bottom"/>
          </w:tcPr>
          <w:p>
            <w:pPr>
              <w:ind w:left="180"/>
              <w:spacing w:after="0"/>
              <w:rPr>
                <w:sz w:val="20"/>
                <w:szCs w:val="20"/>
                <w:color w:val="auto"/>
              </w:rPr>
            </w:pPr>
            <w:r>
              <w:rPr>
                <w:rFonts w:ascii="Arial" w:cs="Arial" w:eastAsia="Arial" w:hAnsi="Arial"/>
                <w:sz w:val="15"/>
                <w:szCs w:val="15"/>
                <w:color w:val="auto"/>
              </w:rPr>
              <w:t>Payment on term loan</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(20,996 )</w:t>
            </w:r>
          </w:p>
        </w:tc>
        <w:tc>
          <w:tcPr>
            <w:tcW w:w="2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300" w:type="dxa"/>
            <w:vAlign w:val="bottom"/>
            <w:shd w:val="clear" w:color="auto" w:fill="CFF0FC"/>
          </w:tcPr>
          <w:p>
            <w:pPr>
              <w:ind w:left="180"/>
              <w:spacing w:after="0"/>
              <w:rPr>
                <w:sz w:val="20"/>
                <w:szCs w:val="20"/>
                <w:color w:val="auto"/>
              </w:rPr>
            </w:pPr>
            <w:r>
              <w:rPr>
                <w:rFonts w:ascii="Arial" w:cs="Arial" w:eastAsia="Arial" w:hAnsi="Arial"/>
                <w:sz w:val="15"/>
                <w:szCs w:val="15"/>
                <w:color w:val="auto"/>
              </w:rPr>
              <w:t>Proceeds from term loan agreement, net</w:t>
            </w:r>
          </w:p>
        </w:tc>
        <w:tc>
          <w:tcPr>
            <w:tcW w:w="2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19,730</w:t>
            </w:r>
          </w:p>
        </w:tc>
        <w:tc>
          <w:tcPr>
            <w:tcW w:w="100" w:type="dxa"/>
            <w:vAlign w:val="bottom"/>
            <w:shd w:val="clear" w:color="auto" w:fill="CFF0FC"/>
          </w:tcPr>
          <w:p>
            <w:pPr>
              <w:spacing w:after="0"/>
              <w:rPr>
                <w:sz w:val="16"/>
                <w:szCs w:val="16"/>
                <w:color w:val="auto"/>
              </w:rPr>
            </w:pPr>
          </w:p>
        </w:tc>
      </w:tr>
      <w:tr>
        <w:trPr>
          <w:trHeight w:val="189"/>
        </w:trPr>
        <w:tc>
          <w:tcPr>
            <w:tcW w:w="6300" w:type="dxa"/>
            <w:vAlign w:val="bottom"/>
          </w:tcPr>
          <w:p>
            <w:pPr>
              <w:ind w:left="180"/>
              <w:spacing w:after="0"/>
              <w:rPr>
                <w:sz w:val="20"/>
                <w:szCs w:val="20"/>
                <w:color w:val="auto"/>
              </w:rPr>
            </w:pPr>
            <w:r>
              <w:rPr>
                <w:rFonts w:ascii="Arial" w:cs="Arial" w:eastAsia="Arial" w:hAnsi="Arial"/>
                <w:sz w:val="15"/>
                <w:szCs w:val="15"/>
                <w:color w:val="auto"/>
              </w:rPr>
              <w:t>Proceeds from ESPP</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401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367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345</w:t>
            </w:r>
          </w:p>
        </w:tc>
        <w:tc>
          <w:tcPr>
            <w:tcW w:w="100" w:type="dxa"/>
            <w:vAlign w:val="bottom"/>
          </w:tcPr>
          <w:p>
            <w:pPr>
              <w:spacing w:after="0"/>
              <w:rPr>
                <w:sz w:val="16"/>
                <w:szCs w:val="16"/>
                <w:color w:val="auto"/>
              </w:rPr>
            </w:pPr>
          </w:p>
        </w:tc>
      </w:tr>
      <w:tr>
        <w:trPr>
          <w:trHeight w:val="189"/>
        </w:trPr>
        <w:tc>
          <w:tcPr>
            <w:tcW w:w="6300" w:type="dxa"/>
            <w:vAlign w:val="bottom"/>
            <w:shd w:val="clear" w:color="auto" w:fill="CFF0FC"/>
          </w:tcPr>
          <w:p>
            <w:pPr>
              <w:ind w:left="180"/>
              <w:spacing w:after="0"/>
              <w:rPr>
                <w:sz w:val="20"/>
                <w:szCs w:val="20"/>
                <w:color w:val="auto"/>
              </w:rPr>
            </w:pPr>
            <w:r>
              <w:rPr>
                <w:rFonts w:ascii="Arial" w:cs="Arial" w:eastAsia="Arial" w:hAnsi="Arial"/>
                <w:sz w:val="15"/>
                <w:szCs w:val="15"/>
                <w:color w:val="auto"/>
              </w:rPr>
              <w:t>Proceeds from stock option exercises</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11,459</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6,336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6,633</w:t>
            </w:r>
          </w:p>
        </w:tc>
        <w:tc>
          <w:tcPr>
            <w:tcW w:w="100" w:type="dxa"/>
            <w:vAlign w:val="bottom"/>
            <w:shd w:val="clear" w:color="auto" w:fill="CFF0FC"/>
          </w:tcPr>
          <w:p>
            <w:pPr>
              <w:spacing w:after="0"/>
              <w:rPr>
                <w:sz w:val="16"/>
                <w:szCs w:val="16"/>
                <w:color w:val="auto"/>
              </w:rPr>
            </w:pPr>
          </w:p>
        </w:tc>
      </w:tr>
      <w:tr>
        <w:trPr>
          <w:trHeight w:val="189"/>
        </w:trPr>
        <w:tc>
          <w:tcPr>
            <w:tcW w:w="6300" w:type="dxa"/>
            <w:vAlign w:val="bottom"/>
          </w:tcPr>
          <w:p>
            <w:pPr>
              <w:ind w:left="180"/>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r>
      <w:tr>
        <w:trPr>
          <w:trHeight w:val="182"/>
        </w:trPr>
        <w:tc>
          <w:tcPr>
            <w:tcW w:w="63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5"/>
                <w:szCs w:val="15"/>
                <w:color w:val="auto"/>
              </w:rPr>
              <w:t>Net cash provided by financing activities</w:t>
            </w: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172,254</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118,464</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304,424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55"/>
        </w:trPr>
        <w:tc>
          <w:tcPr>
            <w:tcW w:w="6300" w:type="dxa"/>
            <w:vAlign w:val="bottom"/>
          </w:tcPr>
          <w:p>
            <w:pPr>
              <w:spacing w:after="0" w:line="156" w:lineRule="exact"/>
              <w:rPr>
                <w:sz w:val="20"/>
                <w:szCs w:val="20"/>
                <w:color w:val="auto"/>
              </w:rPr>
            </w:pPr>
            <w:r>
              <w:rPr>
                <w:rFonts w:ascii="Arial" w:cs="Arial" w:eastAsia="Arial" w:hAnsi="Arial"/>
                <w:sz w:val="15"/>
                <w:szCs w:val="15"/>
                <w:color w:val="auto"/>
              </w:rPr>
              <w:t>NET (DECREASE) INCREASE IN CASH, CASH EQUIVALENTS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6300" w:type="dxa"/>
            <w:vAlign w:val="bottom"/>
          </w:tcPr>
          <w:p>
            <w:pPr>
              <w:ind w:left="120"/>
              <w:spacing w:after="0"/>
              <w:rPr>
                <w:sz w:val="20"/>
                <w:szCs w:val="20"/>
                <w:color w:val="auto"/>
              </w:rPr>
            </w:pPr>
            <w:r>
              <w:rPr>
                <w:rFonts w:ascii="Arial" w:cs="Arial" w:eastAsia="Arial" w:hAnsi="Arial"/>
                <w:sz w:val="15"/>
                <w:szCs w:val="15"/>
                <w:color w:val="auto"/>
              </w:rPr>
              <w:t>AND RESTRICTED CASH</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(147,609 )</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106,722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90,634</w:t>
            </w:r>
          </w:p>
        </w:tc>
        <w:tc>
          <w:tcPr>
            <w:tcW w:w="100" w:type="dxa"/>
            <w:vAlign w:val="bottom"/>
          </w:tcPr>
          <w:p>
            <w:pPr>
              <w:spacing w:after="0"/>
              <w:rPr>
                <w:sz w:val="16"/>
                <w:szCs w:val="16"/>
                <w:color w:val="auto"/>
              </w:rPr>
            </w:pPr>
          </w:p>
        </w:tc>
      </w:tr>
      <w:tr>
        <w:trPr>
          <w:trHeight w:val="189"/>
        </w:trPr>
        <w:tc>
          <w:tcPr>
            <w:tcW w:w="6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CASH, CASH EQUIVALENTS AND RESTRICTED CASH—beginning of year</w:t>
            </w:r>
          </w:p>
        </w:tc>
        <w:tc>
          <w:tcPr>
            <w:tcW w:w="2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222,080</w:t>
            </w:r>
          </w:p>
        </w:tc>
        <w:tc>
          <w:tcPr>
            <w:tcW w:w="2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115,358</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24,724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6300" w:type="dxa"/>
            <w:vAlign w:val="bottom"/>
          </w:tcPr>
          <w:p>
            <w:pPr>
              <w:spacing w:after="0"/>
              <w:rPr>
                <w:sz w:val="20"/>
                <w:szCs w:val="20"/>
                <w:color w:val="auto"/>
              </w:rPr>
            </w:pPr>
            <w:r>
              <w:rPr>
                <w:rFonts w:ascii="Arial" w:cs="Arial" w:eastAsia="Arial" w:hAnsi="Arial"/>
                <w:sz w:val="15"/>
                <w:szCs w:val="15"/>
                <w:color w:val="auto"/>
              </w:rPr>
              <w:t>CASH, CASH EQUIVALENTS AND RESTRICTED CASH—end of year</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74,471</w:t>
            </w:r>
          </w:p>
        </w:tc>
        <w:tc>
          <w:tcPr>
            <w:tcW w:w="280" w:type="dxa"/>
            <w:vAlign w:val="bottom"/>
          </w:tcPr>
          <w:p>
            <w:pPr>
              <w:spacing w:after="0"/>
              <w:rPr>
                <w:sz w:val="15"/>
                <w:szCs w:val="15"/>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222,080</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115,358</w:t>
            </w:r>
          </w:p>
        </w:tc>
        <w:tc>
          <w:tcPr>
            <w:tcW w:w="100" w:type="dxa"/>
            <w:vAlign w:val="bottom"/>
          </w:tcPr>
          <w:p>
            <w:pPr>
              <w:spacing w:after="0"/>
              <w:rPr>
                <w:sz w:val="15"/>
                <w:szCs w:val="15"/>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-3107690</wp:posOffset>
            </wp:positionV>
            <wp:extent cx="68580" cy="1282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-3107690</wp:posOffset>
            </wp:positionV>
            <wp:extent cx="59690" cy="1282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-3107690</wp:posOffset>
            </wp:positionV>
            <wp:extent cx="59690" cy="1282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8">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-2371090</wp:posOffset>
            </wp:positionV>
            <wp:extent cx="68580" cy="1282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-2371090</wp:posOffset>
            </wp:positionV>
            <wp:extent cx="59690" cy="1282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-2371090</wp:posOffset>
            </wp:positionV>
            <wp:extent cx="59690" cy="1282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-504825</wp:posOffset>
            </wp:positionV>
            <wp:extent cx="68580" cy="2311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-504825</wp:posOffset>
            </wp:positionV>
            <wp:extent cx="59690" cy="2311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3">
                      <a:extLst>
                        <a:ext uri="{28A0092B-C50C-407E-A947-70E740481C1C}"/>
                      </a:extLst>
                    </a:blip>
                    <a:srcRect/>
                    <a:stretch>
                      <a:fillRect/>
                    </a:stretch>
                  </pic:blipFill>
                  <pic:spPr bwMode="auto">
                    <a:xfrm>
                      <a:off x="0" y="0"/>
                      <a:ext cx="59690" cy="23114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-504825</wp:posOffset>
            </wp:positionV>
            <wp:extent cx="59690" cy="2311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4">
                      <a:extLst>
                        <a:ext uri="{28A0092B-C50C-407E-A947-70E740481C1C}"/>
                      </a:extLst>
                    </a:blip>
                    <a:srcRect/>
                    <a:stretch>
                      <a:fillRect/>
                    </a:stretch>
                  </pic:blipFill>
                  <pic:spPr bwMode="auto">
                    <a:xfrm>
                      <a:off x="0" y="0"/>
                      <a:ext cx="59690" cy="23114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-153670</wp:posOffset>
            </wp:positionV>
            <wp:extent cx="6858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-153670</wp:posOffset>
            </wp:positionV>
            <wp:extent cx="5969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-153670</wp:posOffset>
            </wp:positionV>
            <wp:extent cx="5969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7">
                      <a:extLst>
                        <a:ext uri="{28A0092B-C50C-407E-A947-70E740481C1C}"/>
                      </a:extLst>
                    </a:blip>
                    <a:srcRect/>
                    <a:stretch>
                      <a:fillRect/>
                    </a:stretch>
                  </pic:blipFill>
                  <pic:spPr bwMode="auto">
                    <a:xfrm>
                      <a:off x="0" y="0"/>
                      <a:ext cx="59690" cy="154305"/>
                    </a:xfrm>
                    <a:prstGeom prst="rect">
                      <a:avLst/>
                    </a:prstGeom>
                    <a:noFill/>
                  </pic:spPr>
                </pic:pic>
              </a:graphicData>
            </a:graphic>
          </wp:anchor>
        </w:drawing>
      </w:r>
    </w:p>
    <w:p>
      <w:pPr>
        <w:spacing w:after="0" w:line="18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following table provides a reconciliation of cash, cash equivalents, and restricted cash equivalents reported within the consolidated balance sheets that sum to the total of the amounts shown in the consolidated statements of cash flows: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center"/>
              <w:ind w:left="505"/>
              <w:spacing w:after="0"/>
              <w:rPr>
                <w:sz w:val="20"/>
                <w:szCs w:val="20"/>
                <w:color w:val="auto"/>
              </w:rPr>
            </w:pPr>
            <w:r>
              <w:rPr>
                <w:rFonts w:ascii="Arial" w:cs="Arial" w:eastAsia="Arial" w:hAnsi="Arial"/>
                <w:sz w:val="14"/>
                <w:szCs w:val="14"/>
                <w:b w:val="1"/>
                <w:bCs w:val="1"/>
                <w:color w:val="auto"/>
                <w:w w:val="92"/>
              </w:rPr>
              <w:t>Years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25"/>
              <w:spacing w:after="0"/>
              <w:rPr>
                <w:sz w:val="20"/>
                <w:szCs w:val="20"/>
                <w:color w:val="auto"/>
              </w:rPr>
            </w:pPr>
            <w:r>
              <w:rPr>
                <w:rFonts w:ascii="Arial" w:cs="Arial" w:eastAsia="Arial" w:hAnsi="Arial"/>
                <w:sz w:val="14"/>
                <w:szCs w:val="14"/>
                <w:i w:val="1"/>
                <w:iCs w:val="1"/>
                <w:color w:val="auto"/>
                <w:w w:val="91"/>
              </w:rPr>
              <w:t>(In thousands)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30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w:t>
            </w: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74,356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221,965</w:t>
            </w:r>
          </w:p>
        </w:tc>
        <w:tc>
          <w:tcPr>
            <w:tcW w:w="5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115,243</w:t>
            </w:r>
          </w:p>
        </w:tc>
        <w:tc>
          <w:tcPr>
            <w:tcW w:w="100" w:type="dxa"/>
            <w:vAlign w:val="bottom"/>
            <w:shd w:val="clear" w:color="auto" w:fill="CFF0FC"/>
          </w:tcPr>
          <w:p>
            <w:pPr>
              <w:spacing w:after="0"/>
              <w:rPr>
                <w:sz w:val="16"/>
                <w:szCs w:val="16"/>
                <w:color w:val="auto"/>
              </w:rPr>
            </w:pPr>
          </w:p>
        </w:tc>
      </w:tr>
      <w:tr>
        <w:trPr>
          <w:trHeight w:val="189"/>
        </w:trPr>
        <w:tc>
          <w:tcPr>
            <w:tcW w:w="6300" w:type="dxa"/>
            <w:vAlign w:val="bottom"/>
          </w:tcPr>
          <w:p>
            <w:pPr>
              <w:spacing w:after="0"/>
              <w:rPr>
                <w:sz w:val="20"/>
                <w:szCs w:val="20"/>
                <w:color w:val="auto"/>
              </w:rPr>
            </w:pPr>
            <w:r>
              <w:rPr>
                <w:rFonts w:ascii="Arial" w:cs="Arial" w:eastAsia="Arial" w:hAnsi="Arial"/>
                <w:sz w:val="15"/>
                <w:szCs w:val="15"/>
                <w:color w:val="auto"/>
              </w:rPr>
              <w:t>Restricted cash</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16"/>
                <w:szCs w:val="16"/>
                <w:color w:val="auto"/>
              </w:rPr>
            </w:pPr>
          </w:p>
        </w:tc>
      </w:tr>
      <w:tr>
        <w:trPr>
          <w:trHeight w:val="222"/>
        </w:trPr>
        <w:tc>
          <w:tcPr>
            <w:tcW w:w="6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Cash, cash equivalents and restricted cash</w:t>
            </w:r>
          </w:p>
        </w:tc>
        <w:tc>
          <w:tcPr>
            <w:tcW w:w="24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74,471</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222,080</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115,358</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-24765</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color w:val="auto"/>
        </w:rPr>
        <w:t>Supplemental disclosures of cash flow information (Note 17).</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16" w:right="1440" w:bottom="1440" w:gutter="0" w:footer="0" w:header="0"/>
        </w:sectPr>
      </w:pPr>
    </w:p>
    <w:bookmarkStart w:id="90" w:name="page91"/>
    <w:bookmarkEnd w:id="90"/>
    <w:p>
      <w:pPr>
        <w:jc w:val="center"/>
        <w:ind w:right="4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7" w:lineRule="exact"/>
        <w:rPr>
          <w:sz w:val="20"/>
          <w:szCs w:val="20"/>
          <w:color w:val="auto"/>
        </w:rPr>
      </w:pPr>
    </w:p>
    <w:p>
      <w:pPr>
        <w:ind w:right="160" w:firstLine="509"/>
        <w:spacing w:after="0" w:line="269" w:lineRule="auto"/>
        <w:rPr>
          <w:sz w:val="20"/>
          <w:szCs w:val="20"/>
          <w:color w:val="auto"/>
        </w:rPr>
      </w:pPr>
      <w:r>
        <w:rPr>
          <w:rFonts w:ascii="Arial" w:cs="Arial" w:eastAsia="Arial" w:hAnsi="Arial"/>
          <w:sz w:val="17"/>
          <w:szCs w:val="17"/>
          <w:color w:val="auto"/>
        </w:rPr>
        <w:t>Syndax Pharmaceuticals, Inc. (“the Company” or “Syndax”) is a clinical-stage biopharmaceutical company developing an innovative pipeline of cancer therapies. The Company's two lead product candidates are revumenib (SNDX-5613) and axatilimab (SNDX-6352). The Company is developing revumenib, a small molecule inhibitor of the menin-mixed lineage leukemia 1, or menin-MLL1, binding interaction for the treatment of KMT2A rearranged, or KMT2Ar, acute leukemias and nucleophosmin 1, or NPM1, mutant acute myeloid leukemia, or AML. The Company is also developing axatilimab, a monoclonal antibody that blocks the colony stimulating factor 1, or CSF-1 receptor, in chronic graft-versus-host disease, or cGVHD, as well as idiopathic pulmonary fibrosis, or IPF. The Company plans to continue to leverage the technical and business expertise of its management team and scientific collaborators to license, acquire and develop additional therapeutics to expand its pipeline.</w:t>
      </w:r>
    </w:p>
    <w:p>
      <w:pPr>
        <w:spacing w:after="0" w:line="178"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Since its inception, the Company has devoted its efforts principally to research and development and raising capital. The 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develop and market its product candidates, expand its oncology drug pipeline, earn revenue, obtain additional capital when needed, and ultimately, achieve profitable operations. The Company anticipates that it will be several years before any of its product candidates is approved, if ever, and the Company begins to generate revenue from sales of such product candidates. Accordingly, management expects to incur substantial losses on the ongoing development of its product candidates and does not expect to achieve positive cash flow from operations for the foreseeable future, if ever.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65"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Company’s management believes that the cash, cash equivalents and short-term investments balances as of December 31, 2022, should enable the Company to maintain its planned operations for at least 12 months from the issuance date of these financial statements. The Company’s ability to fund all of its planned operations internally beyond that date, including the completion of its ongoing and planned clinical trial activities, may be substantially dependent upon whether the Company can obtain sufficient funding on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general and administrative activities.</w:t>
      </w:r>
    </w:p>
    <w:p>
      <w:pPr>
        <w:spacing w:after="0" w:line="193"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The Company is subject to challenges and risks specific to its business and ability to execute on the strategy, as well as risks and uncertainties common to companies in the pharmaceutical industry with development and commercial operations, including, without limitation, risks and uncertainties associated with: obtaining regulatory approval of the Company’s late-stage product candidate; delays or problems in the supply of the Company’s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the Company’s intellectual property rights; complying with applicable regulatory requirements.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40" w:firstLine="509"/>
        <w:spacing w:after="0" w:line="308" w:lineRule="auto"/>
        <w:rPr>
          <w:sz w:val="20"/>
          <w:szCs w:val="20"/>
          <w:color w:val="auto"/>
        </w:rPr>
      </w:pPr>
      <w:r>
        <w:rPr>
          <w:rFonts w:ascii="Arial" w:cs="Arial" w:eastAsia="Arial" w:hAnsi="Arial"/>
          <w:sz w:val="18"/>
          <w:szCs w:val="18"/>
          <w:color w:val="auto"/>
        </w:rPr>
        <w:t>The Company has prepared the accompanying consolidated financial statements in conformity with accounting principles generally accepted in the United States of America (“U.S. GAAP”).</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Estimates</w:t>
      </w:r>
    </w:p>
    <w:p>
      <w:pPr>
        <w:spacing w:after="0" w:line="117"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52"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Cash equivalents include all highly liquid investments maturing within 90 days or less from the date of purchase. Cash equivalents include money market funds, corporate debt securities, U.S. government agency notes, and overnight deposits.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60" w:firstLine="509"/>
        <w:spacing w:after="0" w:line="307" w:lineRule="auto"/>
        <w:rPr>
          <w:sz w:val="20"/>
          <w:szCs w:val="20"/>
          <w:color w:val="auto"/>
        </w:rPr>
      </w:pPr>
      <w:r>
        <w:rPr>
          <w:rFonts w:ascii="Arial" w:cs="Arial" w:eastAsia="Arial" w:hAnsi="Arial"/>
          <w:sz w:val="17"/>
          <w:szCs w:val="17"/>
          <w:color w:val="auto"/>
        </w:rPr>
        <w:t>The Company classifies as restricted cash all cash pledged as collateral to secure long-term obligations and all cash whose use is otherwise limited by contractual provisions. Amounts are reported as non-current unless restrictions are expected to be released in the next 12 months.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firstLine="554"/>
        <w:spacing w:after="0" w:line="301" w:lineRule="auto"/>
        <w:rPr>
          <w:sz w:val="20"/>
          <w:szCs w:val="20"/>
          <w:color w:val="auto"/>
        </w:rPr>
      </w:pPr>
      <w:r>
        <w:rPr>
          <w:rFonts w:ascii="Arial" w:cs="Arial" w:eastAsia="Arial" w:hAnsi="Arial"/>
          <w:sz w:val="16"/>
          <w:szCs w:val="16"/>
          <w:color w:val="auto"/>
        </w:rPr>
        <w:t>All investments in marketable securities are classified as available-for-sale and are reported at fair value with unrealized gains and losses excluded from earnings and reported net of tax in accumulated other comprehensive income, which is a component of stockholders’ equity.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or decision-making group, in making decisions regarding resource allocation and assessing performance. The Company has one operating segment.</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Cash and cash equivalents, restricted cash, and short and long-term investments are financial instruments that potentially subject the Company to concentrations of credit risk. Substantially all of the Company’s cash, cash equivalents, and short and long-term investments were deposited in accounts at two financial institutions, and at times, such deposits may exceed federally insured limits. The Company has not experienced any losses in such accounts, and management believes that the Company is not exposed to significant credit risk due to the financial position of the depository institutions in which those deposits are held. The Company’s available-for-sale investments primarily consist of government money market funds, corporate debt securities, commercial paper, credit card asset-backed securities and overnight deposits and potentially subject the Company to concentrations of credit risk.</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7" w:right="359" w:bottom="1440" w:gutter="0" w:footer="0" w:header="0"/>
        </w:sectPr>
      </w:pPr>
    </w:p>
    <w:bookmarkStart w:id="92" w:name="page93"/>
    <w:bookmarkEnd w:id="92"/>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320" w:firstLine="509"/>
        <w:spacing w:after="0" w:line="286" w:lineRule="auto"/>
        <w:rPr>
          <w:sz w:val="20"/>
          <w:szCs w:val="20"/>
          <w:color w:val="auto"/>
        </w:rPr>
      </w:pPr>
      <w:r>
        <w:rPr>
          <w:rFonts w:ascii="Arial" w:cs="Arial" w:eastAsia="Arial" w:hAnsi="Arial"/>
          <w:sz w:val="17"/>
          <w:szCs w:val="17"/>
          <w:color w:val="auto"/>
        </w:rPr>
        <w:t>Property and equipment are recorded at cost. Depreciation is recorded using the straight-line method over the estimated useful lives of the assets (three to five years). Assets under capital leases are amortized over the shorter of their useful lives or lease term using the straight-line method. Major replacements and improvements are capitalized, while general repairs and maintenance are expensed as incurred.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To date, no such impairments have been recognized.</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Debt Issuance Cost</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Debt issuance costs consist of payments made to secure commitments under certain debt financing arrangements. These amounts are recognized as interest expense over the period of the financing arrangement using the effective interest method. If the financing arrangement is cancelled or forfeited, or if the utility of the arrangement to the Company is otherwise compromised, these costs are recognized as interest expense immediately. The Company’s consolidated financial statements present debt issuance costs related to a recognized debt liability as a direct reduction from the carrying amount of that debt liability.</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 xml:space="preserve">The Company accounts for derivative financial instruments as either equity or liabilities in accordance with FASB Accounting Standards Codification </w:t>
      </w:r>
      <w:r>
        <w:rPr>
          <w:rFonts w:ascii="Arial" w:cs="Arial" w:eastAsia="Arial" w:hAnsi="Arial"/>
          <w:sz w:val="18"/>
          <w:szCs w:val="18"/>
          <w:i w:val="1"/>
          <w:iCs w:val="1"/>
          <w:color w:val="auto"/>
        </w:rPr>
        <w:t>(ASC 815)</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w:t>
      </w:r>
      <w:r>
        <w:rPr>
          <w:rFonts w:ascii="Arial" w:cs="Arial" w:eastAsia="Arial" w:hAnsi="Arial"/>
          <w:sz w:val="18"/>
          <w:szCs w:val="18"/>
          <w:color w:val="auto"/>
        </w:rPr>
        <w:t>, based on the characteristics and provisions of each instrument. The derivative liability is recorded at fair value, which is estimated using a Black Scholes model. The liability is measured quarterly with any change in fair value being recognized in the statement of operations. We do not hold or issue derivative instruments for trading or speculative purposes.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20" w:firstLine="509"/>
        <w:spacing w:after="0" w:line="275" w:lineRule="auto"/>
        <w:rPr>
          <w:sz w:val="20"/>
          <w:szCs w:val="20"/>
          <w:color w:val="auto"/>
        </w:rPr>
      </w:pPr>
      <w:r>
        <w:rPr>
          <w:rFonts w:ascii="Arial" w:cs="Arial" w:eastAsia="Arial" w:hAnsi="Arial"/>
          <w:sz w:val="17"/>
          <w:szCs w:val="17"/>
          <w:color w:val="auto"/>
        </w:rPr>
        <w:t>The Company recognizes revenue when its customer obtains control of promised goods or services, in an amount that reflects the consideration which we expect to receive in exchange for those goods or services. The Company recognize revenue following the five – step model prescribed under FASB Accounting Standards Codification (</w:t>
      </w:r>
      <w:r>
        <w:rPr>
          <w:rFonts w:ascii="Arial" w:cs="Arial" w:eastAsia="Arial" w:hAnsi="Arial"/>
          <w:sz w:val="17"/>
          <w:szCs w:val="17"/>
          <w:i w:val="1"/>
          <w:iCs w:val="1"/>
          <w:color w:val="auto"/>
        </w:rPr>
        <w:t>ASC 606), Revenue from Contracts with Customers</w:t>
      </w:r>
      <w:r>
        <w:rPr>
          <w:rFonts w:ascii="Arial" w:cs="Arial" w:eastAsia="Arial" w:hAnsi="Arial"/>
          <w:sz w:val="17"/>
          <w:szCs w:val="17"/>
          <w:color w:val="auto"/>
        </w:rPr>
        <w:t>: (i) identify contract(s) with customer; (ii) identify the performance obligations in the contract; (iii) determine the transaction price; (iv) allocate the transaction price to the performance obligations in the contract; and (v) recognize revenue when (or as) we satisfy the performance obligations.</w:t>
      </w:r>
    </w:p>
    <w:p>
      <w:pPr>
        <w:spacing w:after="0" w:line="175"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i w:val="1"/>
          <w:iCs w:val="1"/>
          <w:u w:val="single" w:color="auto"/>
          <w:color w:val="auto"/>
        </w:rPr>
        <w:t>Licenses of Intellectual Property</w:t>
      </w:r>
      <w:r>
        <w:rPr>
          <w:rFonts w:ascii="Arial" w:cs="Arial" w:eastAsia="Arial" w:hAnsi="Arial"/>
          <w:sz w:val="17"/>
          <w:szCs w:val="17"/>
          <w:color w:val="auto"/>
        </w:rPr>
        <w:t>: Revenue from non-refundable, up-front fees allocated to the licenses related to the Company's intellectual</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are recognized as the license is transferred to the customer and the customer is able to use and benefit from the license. This generally takes place over the related know-how transfer period, or if applicable, over the term of transfer of future updates to the intellectual property.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3" w:name="page94"/>
    <w:bookmarkEnd w:id="93"/>
    <w:p>
      <w:pPr>
        <w:ind w:right="120" w:firstLine="509"/>
        <w:spacing w:after="0" w:line="290" w:lineRule="auto"/>
        <w:rPr>
          <w:sz w:val="20"/>
          <w:szCs w:val="20"/>
          <w:color w:val="auto"/>
        </w:rPr>
      </w:pPr>
      <w:r>
        <w:rPr>
          <w:rFonts w:ascii="Arial" w:cs="Arial" w:eastAsia="Arial" w:hAnsi="Arial"/>
          <w:sz w:val="16"/>
          <w:szCs w:val="16"/>
          <w:i w:val="1"/>
          <w:iCs w:val="1"/>
          <w:u w:val="single" w:color="auto"/>
          <w:color w:val="auto"/>
        </w:rPr>
        <w:t>Development Milestone Payments</w:t>
      </w:r>
      <w:r>
        <w:rPr>
          <w:rFonts w:ascii="Arial" w:cs="Arial" w:eastAsia="Arial" w:hAnsi="Arial"/>
          <w:sz w:val="16"/>
          <w:szCs w:val="16"/>
          <w:color w:val="auto"/>
        </w:rPr>
        <w:t>: The Company evaluates whether milestones are considered probable of being reached and estimates the amount</w:t>
      </w:r>
      <w:r>
        <w:rPr>
          <w:rFonts w:ascii="Arial" w:cs="Arial" w:eastAsia="Arial" w:hAnsi="Arial"/>
          <w:sz w:val="16"/>
          <w:szCs w:val="16"/>
          <w:i w:val="1"/>
          <w:iCs w:val="1"/>
          <w:color w:val="auto"/>
        </w:rPr>
        <w:t xml:space="preserve"> </w:t>
      </w:r>
      <w:r>
        <w:rPr>
          <w:rFonts w:ascii="Arial" w:cs="Arial" w:eastAsia="Arial" w:hAnsi="Arial"/>
          <w:sz w:val="16"/>
          <w:szCs w:val="16"/>
          <w:color w:val="auto"/>
        </w:rPr>
        <w:t>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fees and earnings in the period of adjustment.</w:t>
      </w:r>
    </w:p>
    <w:p>
      <w:pPr>
        <w:spacing w:after="0" w:line="163"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i w:val="1"/>
          <w:iCs w:val="1"/>
          <w:u w:val="single" w:color="auto"/>
          <w:color w:val="auto"/>
        </w:rPr>
        <w:t>Commercial Milestone Payments and Royalties</w:t>
      </w:r>
      <w:r>
        <w:rPr>
          <w:rFonts w:ascii="Arial" w:cs="Arial" w:eastAsia="Arial" w:hAnsi="Arial"/>
          <w:sz w:val="17"/>
          <w:szCs w:val="17"/>
          <w:color w:val="auto"/>
        </w:rPr>
        <w:t>: For arrangements that include sales-based royalties, including milestone payments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level of commercial sales, and the license is deemed to be the predominant item to which the royalties or commercial milestones relate, the Company will recognize revenue at the later of when the related sales occur or when the performance obligation to which some or all of the royalty has been allocated has been satisfied (or partially satisfied). To date no commercial milestone payments or royalties have been achieved.</w:t>
      </w:r>
    </w:p>
    <w:p>
      <w:pPr>
        <w:spacing w:after="0" w:line="170"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When no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fees.</w:t>
      </w:r>
    </w:p>
    <w:p>
      <w:pPr>
        <w:spacing w:after="0" w:line="183"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Deferred revenue arises from amounts received in advance of the culmination of the earnings process and is recognized as revenue in future periods as performance obligations are satisfied. Deferred revenue expected to be recognized within the next twelve months is classified as a current liability.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spacing w:after="0" w:line="191"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 xml:space="preserve">For additional information on our collaboration and license arrangements, please read </w:t>
      </w:r>
      <w:r>
        <w:rPr>
          <w:rFonts w:ascii="Arial" w:cs="Arial" w:eastAsia="Arial" w:hAnsi="Arial"/>
          <w:sz w:val="18"/>
          <w:szCs w:val="18"/>
          <w:i w:val="1"/>
          <w:iCs w:val="1"/>
          <w:color w:val="auto"/>
        </w:rPr>
        <w:t>Note 4, Collaborative Research and License Agreements</w:t>
      </w:r>
      <w:r>
        <w:rPr>
          <w:rFonts w:ascii="Arial" w:cs="Arial" w:eastAsia="Arial" w:hAnsi="Arial"/>
          <w:sz w:val="18"/>
          <w:szCs w:val="18"/>
          <w:color w:val="auto"/>
        </w:rPr>
        <w:t>, to these consolidated financial statements.</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Research and development costs are expensed as incurred. Research and development expenses include payroll and personnel expenses, consulting costs, external contract research and development expenses, and allocated overhead, including rent, equipment depreciation, and utilities. Research and development costs that are paid in advance of performance are capitalized as a prepaid expense and amortized over the service period as the services are provided. The Company expenses upfront license payments related to acquired technologies that have not yet reached technological feasibility and have no alternative future use.</w:t>
      </w:r>
    </w:p>
    <w:p>
      <w:pPr>
        <w:spacing w:after="0" w:line="191"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instances where the Company enters into cost-sharing arrangements, all research and development costs reimbursed by the collaborators are accounted for as reductions to research and development expense. During the year ended December 31, 2022, the Company has incurred external costs related to Incyte cost-sharing collaboration. During the years ended December 31,2021 and 2020, the Company incurred no external costs related to cost-sharing collaborations.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Costs</w:t>
      </w:r>
    </w:p>
    <w:p>
      <w:pPr>
        <w:spacing w:after="0" w:line="117"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Clinical study and trial costs are a component of research and development expenses. The Company expenses clinical trial activities performed by third parties based on an evaluation of the progress to completion of specific contract tasks using data such as patient enrollment, clinical site activations, or other information provided to us by our vendors. Depending on the progression of the contract and timing of invoicing and payment the research and</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4" w:name="page95"/>
    <w:bookmarkEnd w:id="94"/>
    <w:p>
      <w:pPr>
        <w:ind w:right="420"/>
        <w:spacing w:after="0" w:line="277" w:lineRule="auto"/>
        <w:rPr>
          <w:sz w:val="20"/>
          <w:szCs w:val="20"/>
          <w:color w:val="auto"/>
        </w:rPr>
      </w:pPr>
      <w:r>
        <w:rPr>
          <w:rFonts w:ascii="Arial" w:cs="Arial" w:eastAsia="Arial" w:hAnsi="Arial"/>
          <w:sz w:val="18"/>
          <w:szCs w:val="18"/>
          <w:color w:val="auto"/>
        </w:rPr>
        <w:t>development expense can be an accrued expense or a prepaid expense. Prepaid clinical study and trial costs are included in short-term deposits on the accompanying consolidated balance sheet.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The Company records deferred tax assets and liabilities for the expected future tax consequences of temporary differences between the Company’s financial statement carrying amounts and the tax bases of assets and liabilities and for loss and credit carryforwards using enacted tax rates expected to be in effect in the years in which the differences reverse. A valuation allowance is provided to reduce the net deferred tax assets to the amount that will more likely than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As permitted under Delaware law, the Company indemnifies its officers, directors, and employees for certain events or occurrences that happen by reason of the relationship with, or position held at, the Company. The Company has standard indemnification arrangements under office leases (as described in Note 5) that require it to indemnify the landlord against all costs, expenses, fines, suits, claims, demands, liabilities, and actions directly resulting from any breach, violation, or nonperformance of any covenant or condition of the Company’s lease. Through December 31, 2022,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The Company accounts for all stock option awards granted to employees and non-employees using a fair value method. Stock-based compensation is measured at the grant date fair value of the stock option grants and is recognized over the requisite service period of the awards (usually the vesting period) on a straight-line basis. For equity awards that have a performance condition, the Company recognizes compensation expense based on its assessment of the probability that the performance condition will be achieved. The Company accounts for forfeitures as they occur.</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25"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Basic earnings per share is computed by dividing undistributed net income attributable to Syndax by the weighted-average number of common shares outstanding during the period. Diluted earnings per share is computed based on the treasury method by dividing net income by the weighted-average number of common shares outstanding during the period plus potentially dilutive common equivalent shares outstanding.</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25" w:lineRule="exact"/>
        <w:rPr>
          <w:sz w:val="20"/>
          <w:szCs w:val="20"/>
          <w:color w:val="auto"/>
        </w:rPr>
      </w:pPr>
    </w:p>
    <w:p>
      <w:pPr>
        <w:ind w:right="280" w:firstLine="509"/>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accounting standard setting bodies that we adopt as of the specified effective date. Unless otherwise discussed below, we do not believe that the adoption of recently issued standards have or may have a material impact on our consolidated financial statements or disclosures.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4. Collaborative Research and License Agreements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Incyte Collaboration</w:t>
      </w:r>
    </w:p>
    <w:p>
      <w:pPr>
        <w:spacing w:after="0" w:line="121"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September 2021, the Company entered into the Incyte License and Collaboration Agreement with Incyte covering the worldwide development and commercialization of SNDX-6352 (axatilimab). Also, in September 2021 the Company entered into a share purchase agreement with Incyte, or the Incyte Share Purchase Agreement. These agreements are collectively referred to as the Incyte Agreements. Under the terms of the Incyte Agreements, Incyte will receive exclusive commercialization rights outside of the United States, subject to its royalty payment obligations set forth below. In the United States, Incyte and the Company will co-commercialize axatilimab, with the Company having the right to co-promote axatilimab with Incyte, subject to the Company’s exercise of its co-promotion option. Incyte will be responsible for leading all aspects of commercialization of axatilimab in the United States. The Company and Incyte will share equally the profits and losses from co-commercialization efforts in the United States. The Company and Incyte have agreed to co-develop axatilimab and to share development costs associated with global and U.S. – 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ex-U.S. countries. All development costs related to the collaboration will be subject to a joint development plan.</w:t>
      </w:r>
    </w:p>
    <w:p>
      <w:pPr>
        <w:spacing w:after="0" w:line="179"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Under the terms of the Incyte Agreements, Incyte paid the Company a non-refundable cash payment of $117 million. The Company is eligible to receive up to $220 million in future contingent development and regulatory milestones and up to $230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 – marketing authorization sale of a licensed product in that country, and (c) the expiration of any regulatory exclusivity for that licensed product in that country.</w:t>
      </w:r>
    </w:p>
    <w:p>
      <w:pPr>
        <w:spacing w:after="0" w:line="193" w:lineRule="exact"/>
        <w:rPr>
          <w:sz w:val="20"/>
          <w:szCs w:val="20"/>
          <w:color w:val="auto"/>
        </w:rPr>
      </w:pPr>
    </w:p>
    <w:p>
      <w:pPr>
        <w:jc w:val="both"/>
        <w:ind w:right="80" w:firstLine="509"/>
        <w:spacing w:after="0" w:line="329" w:lineRule="auto"/>
        <w:rPr>
          <w:sz w:val="20"/>
          <w:szCs w:val="20"/>
          <w:color w:val="auto"/>
        </w:rPr>
      </w:pPr>
      <w:r>
        <w:rPr>
          <w:rFonts w:ascii="Arial" w:cs="Arial" w:eastAsia="Arial" w:hAnsi="Arial"/>
          <w:sz w:val="16"/>
          <w:szCs w:val="16"/>
          <w:color w:val="auto"/>
        </w:rPr>
        <w:t>In December 2021, the Company and Incyte signed a Letter Agreement. Upon the signing of the Letter Agreement both the Incyte Agreement and Incyte Share Purchase Agreement became effective. As a result, the Company received the upfront fee of $117 million and the Company issued 1,421,523 shares of common stock for an aggregate purchase price of $35 million, or $24.62 per share, for total cash consideration $152 million.</w:t>
      </w:r>
    </w:p>
    <w:p>
      <w:pPr>
        <w:spacing w:after="0" w:line="133"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Incyte Agreement and the Incyte Share Purchase Agreement were executed on the same date and negotiated simultaneously. Management therefore concluded that the Incyte Agreements are to be combined for accounting purposes and therefore allocated the total consideration to the units of account identified. The common stock issued to Incyte was recorded at fair value of $24.8 million. Pursuant to the Letter Agreement, Incyte is permitted to terminate the Incyte Agreement, under circumstances under which the upfront payment of $117 million would be returned to Incyte and a cash settlement on the sale of the Company's common stock would be made to make the parties whole (the “Letter Agreement”). In connection with the closing of this transaction in December 2021, the Company determined that the cash settlement feature of the Letter Agreement represented an embedded derivative requiring bifurcation and separate accounting recognition at fair value. The Letter Agreement terminated in March 2022. Accordingly, the Company initially allocated $0.6 million of the total consideration received to the derivative liability, see Note 9 for further discussion of the derivative liability. As of December 31, 2022, the fair value of the derivative is zero.</w:t>
      </w:r>
    </w:p>
    <w:p>
      <w:pPr>
        <w:spacing w:after="0" w:line="178" w:lineRule="exact"/>
        <w:rPr>
          <w:sz w:val="20"/>
          <w:szCs w:val="20"/>
          <w:color w:val="auto"/>
        </w:rPr>
      </w:pPr>
    </w:p>
    <w:p>
      <w:pPr>
        <w:ind w:right="760" w:firstLine="509"/>
        <w:spacing w:after="0" w:line="277" w:lineRule="auto"/>
        <w:rPr>
          <w:sz w:val="20"/>
          <w:szCs w:val="20"/>
          <w:color w:val="auto"/>
        </w:rPr>
      </w:pPr>
      <w:r>
        <w:rPr>
          <w:rFonts w:ascii="Arial" w:cs="Arial" w:eastAsia="Arial" w:hAnsi="Arial"/>
          <w:sz w:val="18"/>
          <w:szCs w:val="18"/>
          <w:color w:val="auto"/>
        </w:rPr>
        <w:t xml:space="preserve">The Company evaluated the terms of the Incyte Agreement and determined it is within the scope of Accounting Standard Update </w:t>
      </w:r>
      <w:r>
        <w:rPr>
          <w:rFonts w:ascii="Arial" w:cs="Arial" w:eastAsia="Arial" w:hAnsi="Arial"/>
          <w:sz w:val="18"/>
          <w:szCs w:val="18"/>
          <w:i w:val="1"/>
          <w:iCs w:val="1"/>
          <w:color w:val="auto"/>
        </w:rPr>
        <w:t>2018-18,</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Arrangements (Topic 808)</w:t>
      </w:r>
      <w:r>
        <w:rPr>
          <w:rFonts w:ascii="Arial" w:cs="Arial" w:eastAsia="Arial" w:hAnsi="Arial"/>
          <w:sz w:val="18"/>
          <w:szCs w:val="18"/>
          <w:color w:val="auto"/>
        </w:rPr>
        <w:t>, and has elements that are within the scope of</w:t>
      </w:r>
      <w:r>
        <w:rPr>
          <w:rFonts w:ascii="Arial" w:cs="Arial" w:eastAsia="Arial" w:hAnsi="Arial"/>
          <w:sz w:val="18"/>
          <w:szCs w:val="18"/>
          <w:i w:val="1"/>
          <w:iCs w:val="1"/>
          <w:color w:val="auto"/>
        </w:rPr>
        <w:t xml:space="preserve"> Topic 606 </w:t>
      </w:r>
      <w:r>
        <w:rPr>
          <w:rFonts w:ascii="Arial" w:cs="Arial" w:eastAsia="Arial" w:hAnsi="Arial"/>
          <w:sz w:val="18"/>
          <w:szCs w:val="18"/>
          <w:color w:val="auto"/>
        </w:rPr>
        <w:t>and</w:t>
      </w:r>
      <w:r>
        <w:rPr>
          <w:rFonts w:ascii="Arial" w:cs="Arial" w:eastAsia="Arial" w:hAnsi="Arial"/>
          <w:sz w:val="18"/>
          <w:szCs w:val="18"/>
          <w:i w:val="1"/>
          <w:iCs w:val="1"/>
          <w:color w:val="auto"/>
        </w:rPr>
        <w:t xml:space="preserve"> Topic 808</w:t>
      </w:r>
      <w:r>
        <w:rPr>
          <w:rFonts w:ascii="Arial" w:cs="Arial" w:eastAsia="Arial" w:hAnsi="Arial"/>
          <w:sz w:val="18"/>
          <w:szCs w:val="18"/>
          <w:color w:val="auto"/>
        </w:rPr>
        <w:t>.</w:t>
      </w:r>
    </w:p>
    <w:p>
      <w:pPr>
        <w:spacing w:after="0" w:line="169"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 xml:space="preserve">The Company identified the following promises in the Incyte Agreements that were evaluated under the scope of </w:t>
      </w:r>
      <w:r>
        <w:rPr>
          <w:rFonts w:ascii="Arial" w:cs="Arial" w:eastAsia="Arial" w:hAnsi="Arial"/>
          <w:sz w:val="16"/>
          <w:szCs w:val="16"/>
          <w:i w:val="1"/>
          <w:iCs w:val="1"/>
          <w:color w:val="auto"/>
        </w:rPr>
        <w:t>Topic 606</w:t>
      </w:r>
      <w:r>
        <w:rPr>
          <w:rFonts w:ascii="Arial" w:cs="Arial" w:eastAsia="Arial" w:hAnsi="Arial"/>
          <w:sz w:val="16"/>
          <w:szCs w:val="16"/>
          <w:color w:val="auto"/>
        </w:rPr>
        <w:t>: (i) delivery of a license for SNDX-6532 to develop, commercialize, and conduct medical affairs and (ii) services to be performed in accordance with the development plan. The Company also evaluated whether certain options outlined within the Incyte Agreements represented material rights that would give rise to a performance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ind w:right="480"/>
        <w:spacing w:after="0" w:line="277" w:lineRule="auto"/>
        <w:rPr>
          <w:sz w:val="20"/>
          <w:szCs w:val="20"/>
          <w:color w:val="auto"/>
        </w:rPr>
      </w:pPr>
      <w:r>
        <w:rPr>
          <w:rFonts w:ascii="Arial" w:cs="Arial" w:eastAsia="Arial" w:hAnsi="Arial"/>
          <w:sz w:val="18"/>
          <w:szCs w:val="18"/>
          <w:color w:val="auto"/>
        </w:rPr>
        <w:t>obligation and concluded that none of the options convey a material right to Incyte and therefore are not considered separate performance obligations within the Incyte Agreements.</w:t>
      </w:r>
    </w:p>
    <w:p>
      <w:pPr>
        <w:spacing w:after="0" w:line="196"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 xml:space="preserve">The Company assessed the above promises and determined that the license for SNDX-6532 represents the only performance obligation within the scope of </w:t>
      </w:r>
      <w:r>
        <w:rPr>
          <w:rFonts w:ascii="Arial" w:cs="Arial" w:eastAsia="Arial" w:hAnsi="Arial"/>
          <w:sz w:val="17"/>
          <w:szCs w:val="17"/>
          <w:i w:val="1"/>
          <w:iCs w:val="1"/>
          <w:color w:val="auto"/>
        </w:rPr>
        <w:t>Topic 606</w:t>
      </w:r>
      <w:r>
        <w:rPr>
          <w:rFonts w:ascii="Arial" w:cs="Arial" w:eastAsia="Arial" w:hAnsi="Arial"/>
          <w:sz w:val="17"/>
          <w:szCs w:val="17"/>
          <w:color w:val="auto"/>
        </w:rPr>
        <w:t xml:space="preserve">. The license for SNDX-6532 is considered functional intellectual property and distinct from other promises under the contract as Incyte can benefit from the license on its own or together with other readily available resources. The services performed by the Company to obtain regulatory approval of SNDX-6532 are not complex or specialized, could be performed by another qualified third party, are not expected to significantly modify or customize the license given that SNDX-6532 is late-stage intellectual property that has completed its Phase 1/2 trial and is currently enrolling in a global pivotal Phase 2 trial, and the services are expected to be performed over a short period of time. Therefore, the license represents a separate performance obligation within a contract with a customer under the scope of </w:t>
      </w:r>
      <w:r>
        <w:rPr>
          <w:rFonts w:ascii="Arial" w:cs="Arial" w:eastAsia="Arial" w:hAnsi="Arial"/>
          <w:sz w:val="17"/>
          <w:szCs w:val="17"/>
          <w:i w:val="1"/>
          <w:iCs w:val="1"/>
          <w:color w:val="auto"/>
        </w:rPr>
        <w:t>Topic 606</w:t>
      </w:r>
      <w:r>
        <w:rPr>
          <w:rFonts w:ascii="Arial" w:cs="Arial" w:eastAsia="Arial" w:hAnsi="Arial"/>
          <w:sz w:val="17"/>
          <w:szCs w:val="17"/>
          <w:color w:val="auto"/>
        </w:rPr>
        <w:t xml:space="preserve"> at contract inception.</w:t>
      </w:r>
    </w:p>
    <w:p>
      <w:pPr>
        <w:spacing w:after="0" w:line="18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 xml:space="preserve">The Company considers the collaborative research and development activities and manufacturing activities to be separate units of account within the scope of </w:t>
      </w:r>
      <w:r>
        <w:rPr>
          <w:rFonts w:ascii="Arial" w:cs="Arial" w:eastAsia="Arial" w:hAnsi="Arial"/>
          <w:sz w:val="17"/>
          <w:szCs w:val="17"/>
          <w:i w:val="1"/>
          <w:iCs w:val="1"/>
          <w:color w:val="auto"/>
        </w:rPr>
        <w:t>Topic 808</w:t>
      </w:r>
      <w:r>
        <w:rPr>
          <w:rFonts w:ascii="Arial" w:cs="Arial" w:eastAsia="Arial" w:hAnsi="Arial"/>
          <w:sz w:val="17"/>
          <w:szCs w:val="17"/>
          <w:color w:val="auto"/>
        </w:rPr>
        <w:t xml:space="preserve"> and are not deliverables under </w:t>
      </w:r>
      <w:r>
        <w:rPr>
          <w:rFonts w:ascii="Arial" w:cs="Arial" w:eastAsia="Arial" w:hAnsi="Arial"/>
          <w:sz w:val="17"/>
          <w:szCs w:val="17"/>
          <w:i w:val="1"/>
          <w:iCs w:val="1"/>
          <w:color w:val="auto"/>
        </w:rPr>
        <w:t>Topic 606</w:t>
      </w:r>
      <w:r>
        <w:rPr>
          <w:rFonts w:ascii="Arial" w:cs="Arial" w:eastAsia="Arial" w:hAnsi="Arial"/>
          <w:sz w:val="17"/>
          <w:szCs w:val="17"/>
          <w:color w:val="auto"/>
        </w:rPr>
        <w:t>. The Company and Incyte are both active participants in the activities and are exposed to significant risks and rewards that are dependent on the commercial success of the activities in the arrangement.</w:t>
      </w:r>
    </w:p>
    <w:p>
      <w:pPr>
        <w:spacing w:after="0" w:line="164"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 xml:space="preserve">Under the scope of </w:t>
      </w:r>
      <w:r>
        <w:rPr>
          <w:rFonts w:ascii="Arial" w:cs="Arial" w:eastAsia="Arial" w:hAnsi="Arial"/>
          <w:sz w:val="16"/>
          <w:szCs w:val="16"/>
          <w:i w:val="1"/>
          <w:iCs w:val="1"/>
          <w:color w:val="auto"/>
        </w:rPr>
        <w:t>Topic 606</w:t>
      </w:r>
      <w:r>
        <w:rPr>
          <w:rFonts w:ascii="Arial" w:cs="Arial" w:eastAsia="Arial" w:hAnsi="Arial"/>
          <w:sz w:val="16"/>
          <w:szCs w:val="16"/>
          <w:color w:val="auto"/>
        </w:rPr>
        <w:t>, the Company identified contract promises for the license of intellectual property and know-how rights for SNDX-6352. The Company determined that the license was capable of being distinct from the ongoing collaboration activities. After the allocation to the common stock and derivative liability, the total transaction price to be allocated to the Incyte Agreement is $126.6 million. The Company estimated the standalone selling price of the license to be the entire $126.6 million, based on an application of the income approach by measuring the fair value of the discounted cash flows from commercialization. Significant assumptions included in the valuation included judgments relating to the probability of achieving both regulatory and commercial milestones, forecasted future cash flows and the election of the discount rate. As the Company concluded the license was distinct, revenue of $126.6 million was recognized upon transfer of the license to Incyte in the year ended December 31, 2021.</w:t>
      </w:r>
    </w:p>
    <w:p>
      <w:pPr>
        <w:spacing w:after="0" w:line="164" w:lineRule="exact"/>
        <w:rPr>
          <w:sz w:val="20"/>
          <w:szCs w:val="20"/>
          <w:color w:val="auto"/>
        </w:rPr>
      </w:pPr>
    </w:p>
    <w:p>
      <w:pPr>
        <w:ind w:right="200" w:firstLine="509"/>
        <w:spacing w:after="0" w:line="270" w:lineRule="auto"/>
        <w:rPr>
          <w:sz w:val="20"/>
          <w:szCs w:val="20"/>
          <w:color w:val="auto"/>
        </w:rPr>
      </w:pPr>
      <w:r>
        <w:rPr>
          <w:rFonts w:ascii="Arial" w:cs="Arial" w:eastAsia="Arial" w:hAnsi="Arial"/>
          <w:sz w:val="17"/>
          <w:szCs w:val="17"/>
          <w:color w:val="auto"/>
        </w:rPr>
        <w:t>The Company used the most likely amount method to estimate variable consideration and estimated that the most likely amount for each potential preclinical, development, and regulatory variable consideration milestone payment under this agreement is zero, as achievement of those milestones is uncertain and highly susceptible to factors outside the Company’s control. Accordingly, all such milestone payments were excluded from the transaction price. Management will reevaluate the transaction price at the end of each reporting period and as uncertain events are resolved or other changes in circumstances occur, will adjust the transaction price as necessary. Sales based royalties, including milestones based on the level of sales, were also excluded from the transaction price, as the license is deemed to be the predominant item to which the royalties relate. The company will recognize such revenue at the later of (i) when the related sales occur, or (ii) when the performance obligation to which some or all of the royalty has been allocated has been satisfied (or partially satisfied).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 xml:space="preserve">The Company accounts for leases in accordance with </w:t>
      </w:r>
      <w:r>
        <w:rPr>
          <w:rFonts w:ascii="Arial" w:cs="Arial" w:eastAsia="Arial" w:hAnsi="Arial"/>
          <w:sz w:val="17"/>
          <w:szCs w:val="17"/>
          <w:i w:val="1"/>
          <w:iCs w:val="1"/>
          <w:color w:val="auto"/>
        </w:rPr>
        <w:t>ASC 842, Leases</w:t>
      </w:r>
      <w:r>
        <w:rPr>
          <w:rFonts w:ascii="Arial" w:cs="Arial" w:eastAsia="Arial" w:hAnsi="Arial"/>
          <w:sz w:val="17"/>
          <w:szCs w:val="17"/>
          <w:color w:val="auto"/>
        </w:rPr>
        <w:t>, and determines whether an arrangement is a lease at inception. Operating lease right-of-use (“ROU”) assets and lease liabilities are recognized based on the present value of the future minimum lease payments over the lease term at commencement date. Lease agreements with lease and non-lease components are accounted for separately. For leases that do not provide an implicit rate, the Company uses the incremental borrowing rate based on the information available at commencement date in determining the present value of future payments. The ROU asset also includes any lease payments made and excludes lease incentives and initial direct costs incurred. The lease terms may include options to extend or terminate the lease when it is reasonably certain that the Company will exercise that option. Leases with an initial term of 12 months or less are not recorded on the balance sheet as the Company has elected to apply the short-term lease exemption. Lease expense for minimum lease payments is recognized on a straight-line basis over the lease term.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97" w:name="page98"/>
    <w:bookmarkEnd w:id="97"/>
    <w:p>
      <w:pPr>
        <w:ind w:firstLine="509"/>
        <w:spacing w:after="0" w:line="259" w:lineRule="auto"/>
        <w:rPr>
          <w:sz w:val="20"/>
          <w:szCs w:val="20"/>
          <w:color w:val="auto"/>
        </w:rPr>
      </w:pPr>
      <w:r>
        <w:rPr>
          <w:rFonts w:ascii="Arial" w:cs="Arial" w:eastAsia="Arial" w:hAnsi="Arial"/>
          <w:sz w:val="18"/>
          <w:szCs w:val="18"/>
          <w:color w:val="auto"/>
        </w:rPr>
        <w:t>The Company identified two existing long-term building leases on the adoption date of ASC 842 that are classified as operating leases. In September 2016, the Company entered into a five-year operating lease for 12,207 square feet of office space in Waltham, Massachusetts, with a lease commencement date of March 1, 2017. On August 17, 2021, the Company signed a 36-month extension to the lease for the Waltham, Massachusetts office with aggregate payments of $1.6 million, with a lease commencement date of March 1, 2022.</w:t>
      </w:r>
    </w:p>
    <w:p>
      <w:pPr>
        <w:spacing w:after="0" w:line="77"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In December 2015, the Company entered into a 62-month operating lease for 4,039 square feet of space in New York, New York, which commenced on January 1, 2016. In February 2021, the Company signed an 18-month extension to the lease for the New York office, which commenced on March 1, 2021. In August 2022, the Company signed a 36-month extension to the lease for the New York office, with aggregate payments of $689,000, with a lease commencement date of September 1, 2022. The remaining lease terms as of December 31, 2022, for the facility in Waltham, Massachusetts and New York, New York, were 26 months and 32 months, respectively.</w:t>
      </w:r>
    </w:p>
    <w:p>
      <w:pPr>
        <w:spacing w:after="0" w:line="83"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As of December 31, 2022, the consolidated balance sheet includes a $1.0 million operating lease ROU asset and a $1.1 million ROU liability. The Company used a weighted average discount rate of 14% to calculate its lease obligations, and an increase or decrease in the rate does not have a significant impact on the ROU asset or ROU liability. The ROU asset is amortized on a straight-line basis over the remainder of the lease term. For the year ended December 31, 2022, the Company recorded approximately $440,000 in operating lease expense and made approximately $567,000 in lease payments.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under the Company’s operating leases, were as follows: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rPr>
              <w:t>Maturity of lease liabilities</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20" w:type="dxa"/>
            <w:vAlign w:val="bottom"/>
            <w:gridSpan w:val="2"/>
          </w:tcPr>
          <w:p>
            <w:pPr>
              <w:jc w:val="right"/>
              <w:ind w:right="2280"/>
              <w:spacing w:after="0"/>
              <w:rPr>
                <w:sz w:val="20"/>
                <w:szCs w:val="20"/>
                <w:color w:val="auto"/>
              </w:rPr>
            </w:pPr>
            <w:r>
              <w:rPr>
                <w:rFonts w:ascii="Arial" w:cs="Arial" w:eastAsia="Arial" w:hAnsi="Arial"/>
                <w:sz w:val="18"/>
                <w:szCs w:val="18"/>
                <w:b w:val="1"/>
                <w:bCs w:val="1"/>
                <w:color w:val="auto"/>
              </w:rPr>
              <w:t>As of</w:t>
            </w:r>
          </w:p>
        </w:tc>
      </w:tr>
      <w:tr>
        <w:trPr>
          <w:trHeight w:val="250"/>
        </w:trPr>
        <w:tc>
          <w:tcPr>
            <w:tcW w:w="52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20" w:type="dxa"/>
            <w:vAlign w:val="bottom"/>
            <w:gridSpan w:val="2"/>
          </w:tcPr>
          <w:p>
            <w:pPr>
              <w:jc w:val="right"/>
              <w:ind w:right="1760"/>
              <w:spacing w:after="0"/>
              <w:rPr>
                <w:sz w:val="20"/>
                <w:szCs w:val="20"/>
                <w:color w:val="auto"/>
              </w:rPr>
            </w:pPr>
            <w:r>
              <w:rPr>
                <w:rFonts w:ascii="Arial" w:cs="Arial" w:eastAsia="Arial" w:hAnsi="Arial"/>
                <w:sz w:val="18"/>
                <w:szCs w:val="18"/>
                <w:b w:val="1"/>
                <w:bCs w:val="1"/>
                <w:color w:val="auto"/>
              </w:rPr>
              <w:t>December 31, 2022</w:t>
            </w:r>
          </w:p>
        </w:tc>
      </w:tr>
      <w:tr>
        <w:trPr>
          <w:trHeight w:val="243"/>
        </w:trPr>
        <w:tc>
          <w:tcPr>
            <w:tcW w:w="522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440" w:type="dxa"/>
            <w:vAlign w:val="bottom"/>
            <w:shd w:val="clear" w:color="auto" w:fill="CFF0FC"/>
          </w:tcPr>
          <w:p>
            <w:pPr>
              <w:spacing w:after="0"/>
              <w:rPr>
                <w:sz w:val="21"/>
                <w:szCs w:val="21"/>
                <w:color w:val="auto"/>
              </w:rPr>
            </w:pPr>
          </w:p>
        </w:tc>
      </w:tr>
      <w:tr>
        <w:trPr>
          <w:trHeight w:val="236"/>
        </w:trPr>
        <w:tc>
          <w:tcPr>
            <w:tcW w:w="5220" w:type="dxa"/>
            <w:vAlign w:val="bottom"/>
          </w:tcPr>
          <w:p>
            <w:pPr>
              <w:ind w:left="18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585</w:t>
            </w:r>
          </w:p>
        </w:tc>
        <w:tc>
          <w:tcPr>
            <w:tcW w:w="440" w:type="dxa"/>
            <w:vAlign w:val="bottom"/>
          </w:tcPr>
          <w:p>
            <w:pPr>
              <w:spacing w:after="0"/>
              <w:rPr>
                <w:sz w:val="20"/>
                <w:szCs w:val="20"/>
                <w:color w:val="auto"/>
              </w:rPr>
            </w:pPr>
          </w:p>
        </w:tc>
      </w:tr>
      <w:tr>
        <w:trPr>
          <w:trHeight w:val="249"/>
        </w:trPr>
        <w:tc>
          <w:tcPr>
            <w:tcW w:w="5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3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440" w:type="dxa"/>
            <w:vAlign w:val="bottom"/>
            <w:tcBorders>
              <w:bottom w:val="single" w:sz="8" w:color="CFF0FC"/>
            </w:tcBorders>
            <w:shd w:val="clear" w:color="auto" w:fill="CFF0FC"/>
          </w:tcPr>
          <w:p>
            <w:pPr>
              <w:spacing w:after="0"/>
              <w:rPr>
                <w:sz w:val="21"/>
                <w:szCs w:val="21"/>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Total lease payments</w:t>
            </w:r>
          </w:p>
        </w:tc>
        <w:tc>
          <w:tcPr>
            <w:tcW w:w="106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3380" w:type="dxa"/>
            <w:vAlign w:val="bottom"/>
          </w:tcPr>
          <w:p>
            <w:pPr>
              <w:jc w:val="right"/>
              <w:spacing w:after="0"/>
              <w:rPr>
                <w:sz w:val="20"/>
                <w:szCs w:val="20"/>
                <w:color w:val="auto"/>
              </w:rPr>
            </w:pPr>
            <w:r>
              <w:rPr>
                <w:rFonts w:ascii="Arial" w:cs="Arial" w:eastAsia="Arial" w:hAnsi="Arial"/>
                <w:sz w:val="18"/>
                <w:szCs w:val="18"/>
                <w:color w:val="auto"/>
              </w:rPr>
              <w:t>1,351</w:t>
            </w:r>
          </w:p>
        </w:tc>
        <w:tc>
          <w:tcPr>
            <w:tcW w:w="440" w:type="dxa"/>
            <w:vAlign w:val="bottom"/>
          </w:tcPr>
          <w:p>
            <w:pPr>
              <w:spacing w:after="0"/>
              <w:rPr>
                <w:sz w:val="19"/>
                <w:szCs w:val="19"/>
                <w:color w:val="auto"/>
              </w:rPr>
            </w:pPr>
          </w:p>
        </w:tc>
      </w:tr>
      <w:tr>
        <w:trPr>
          <w:trHeight w:val="249"/>
        </w:trPr>
        <w:tc>
          <w:tcPr>
            <w:tcW w:w="52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Less: imputed interest</w:t>
            </w: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8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(208 )</w:t>
            </w:r>
          </w:p>
        </w:tc>
      </w:tr>
      <w:tr>
        <w:trPr>
          <w:trHeight w:val="236"/>
        </w:trPr>
        <w:tc>
          <w:tcPr>
            <w:tcW w:w="522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 operating lease liability</w:t>
            </w:r>
          </w:p>
        </w:tc>
        <w:tc>
          <w:tcPr>
            <w:tcW w:w="360" w:type="dxa"/>
            <w:vAlign w:val="bottom"/>
            <w:tcBorders>
              <w:top w:val="single" w:sz="8" w:color="CFF0FC"/>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3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440" w:type="dxa"/>
            <w:vAlign w:val="bottom"/>
            <w:tcBorders>
              <w:top w:val="single" w:sz="8" w:color="CFF0FC"/>
            </w:tcBorders>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6503670</wp:posOffset>
            </wp:positionH>
            <wp:positionV relativeFrom="paragraph">
              <wp:posOffset>-504825</wp:posOffset>
            </wp:positionV>
            <wp:extent cx="59690" cy="162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3">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-187960</wp:posOffset>
            </wp:positionV>
            <wp:extent cx="5969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4">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Future minimum lease payments under the Company’s capital leases as of December 31, 2022, and 2021, were $22,441 and $1,000,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Basic and diluted earnings (loss) per share are calculated as follows (in 000s):</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260" w:type="dxa"/>
            <w:vAlign w:val="bottom"/>
          </w:tcPr>
          <w:p>
            <w:pPr>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(149,338 )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24,926</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(73,158 )</w:t>
            </w:r>
          </w:p>
        </w:tc>
      </w:tr>
      <w:tr>
        <w:trPr>
          <w:trHeight w:val="24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Deemed dividend due to warrant reset</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(3,906 )</w:t>
            </w:r>
          </w:p>
        </w:tc>
      </w:tr>
      <w:tr>
        <w:trPr>
          <w:trHeight w:val="20"/>
        </w:trPr>
        <w:tc>
          <w:tcPr>
            <w:tcW w:w="6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260" w:type="dxa"/>
            <w:vAlign w:val="bottom"/>
          </w:tcPr>
          <w:p>
            <w:pPr>
              <w:spacing w:after="0"/>
              <w:rPr>
                <w:sz w:val="20"/>
                <w:szCs w:val="20"/>
                <w:color w:val="auto"/>
              </w:rPr>
            </w:pPr>
            <w:r>
              <w:rPr>
                <w:rFonts w:ascii="Arial" w:cs="Arial" w:eastAsia="Arial" w:hAnsi="Arial"/>
                <w:sz w:val="18"/>
                <w:szCs w:val="18"/>
                <w:color w:val="auto"/>
              </w:rPr>
              <w:t>Net (loss) income attributable to common stockholders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(149,338 )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24,926</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(77,064 )</w:t>
            </w:r>
          </w:p>
        </w:tc>
      </w:tr>
      <w:tr>
        <w:trPr>
          <w:trHeight w:val="20"/>
        </w:trPr>
        <w:tc>
          <w:tcPr>
            <w:tcW w:w="6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62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60,761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52,065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41,308</w:t>
            </w:r>
          </w:p>
        </w:tc>
        <w:tc>
          <w:tcPr>
            <w:tcW w:w="100" w:type="dxa"/>
            <w:vAlign w:val="bottom"/>
          </w:tcPr>
          <w:p>
            <w:pPr>
              <w:spacing w:after="0"/>
              <w:rPr>
                <w:sz w:val="20"/>
                <w:szCs w:val="20"/>
                <w:color w:val="auto"/>
              </w:rPr>
            </w:pPr>
          </w:p>
        </w:tc>
      </w:tr>
      <w:tr>
        <w:trPr>
          <w:trHeight w:val="249"/>
        </w:trPr>
        <w:tc>
          <w:tcPr>
            <w:tcW w:w="6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Effective of Dilutive Securities</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2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2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Non - vested restricted stock units (RSUs)</w:t>
            </w: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6260" w:type="dxa"/>
            <w:vAlign w:val="bottom"/>
          </w:tcPr>
          <w:p>
            <w:pPr>
              <w:spacing w:after="0"/>
              <w:rPr>
                <w:sz w:val="20"/>
                <w:szCs w:val="20"/>
                <w:color w:val="auto"/>
              </w:rPr>
            </w:pPr>
            <w:r>
              <w:rPr>
                <w:rFonts w:ascii="Arial" w:cs="Arial" w:eastAsia="Arial" w:hAnsi="Arial"/>
                <w:sz w:val="18"/>
                <w:szCs w:val="18"/>
                <w:color w:val="auto"/>
              </w:rPr>
              <w:t>ESPP to purchase common stock</w:t>
            </w:r>
          </w:p>
        </w:tc>
        <w:tc>
          <w:tcPr>
            <w:tcW w:w="2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Dilutive potential common shares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260" w:type="dxa"/>
            <w:vAlign w:val="bottom"/>
          </w:tcPr>
          <w:p>
            <w:pPr>
              <w:ind w:left="280"/>
              <w:spacing w:after="0"/>
              <w:rPr>
                <w:sz w:val="20"/>
                <w:szCs w:val="20"/>
                <w:color w:val="auto"/>
              </w:rPr>
            </w:pPr>
            <w:r>
              <w:rPr>
                <w:rFonts w:ascii="Arial" w:cs="Arial" w:eastAsia="Arial" w:hAnsi="Arial"/>
                <w:sz w:val="18"/>
                <w:szCs w:val="18"/>
                <w:color w:val="auto"/>
              </w:rPr>
              <w:t>Shares used in calculating diluted earnings (loss) per share</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60,761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41,308</w:t>
            </w:r>
          </w:p>
        </w:tc>
        <w:tc>
          <w:tcPr>
            <w:tcW w:w="100" w:type="dxa"/>
            <w:vAlign w:val="bottom"/>
          </w:tcPr>
          <w:p>
            <w:pPr>
              <w:spacing w:after="0"/>
              <w:rPr>
                <w:sz w:val="20"/>
                <w:szCs w:val="20"/>
                <w:color w:val="auto"/>
              </w:rPr>
            </w:pPr>
          </w:p>
        </w:tc>
      </w:tr>
      <w:tr>
        <w:trPr>
          <w:trHeight w:val="20"/>
        </w:trPr>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-1463675</wp:posOffset>
            </wp:positionV>
            <wp:extent cx="6858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-1463675</wp:posOffset>
            </wp:positionV>
            <wp:extent cx="5969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-1463675</wp:posOffset>
            </wp:positionV>
            <wp:extent cx="5969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-187960</wp:posOffset>
            </wp:positionV>
            <wp:extent cx="6858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-187960</wp:posOffset>
            </wp:positionV>
            <wp:extent cx="5969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0">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 in 000s):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7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9"/>
                <w:szCs w:val="19"/>
                <w:color w:val="auto"/>
              </w:rPr>
            </w:pPr>
          </w:p>
        </w:tc>
        <w:tc>
          <w:tcPr>
            <w:tcW w:w="1360" w:type="dxa"/>
            <w:vAlign w:val="bottom"/>
            <w:gridSpan w:val="2"/>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42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36"/>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w:t>
            </w:r>
          </w:p>
        </w:tc>
        <w:tc>
          <w:tcPr>
            <w:tcW w:w="80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7,982</w:t>
            </w:r>
          </w:p>
        </w:tc>
        <w:tc>
          <w:tcPr>
            <w:tcW w:w="26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6,380</w:t>
            </w:r>
          </w:p>
        </w:tc>
        <w:tc>
          <w:tcPr>
            <w:tcW w:w="100" w:type="dxa"/>
            <w:vAlign w:val="bottom"/>
            <w:shd w:val="clear" w:color="auto" w:fill="CFF0FC"/>
          </w:tcPr>
          <w:p>
            <w:pPr>
              <w:spacing w:after="0"/>
              <w:rPr>
                <w:sz w:val="20"/>
                <w:szCs w:val="20"/>
                <w:color w:val="auto"/>
              </w:rPr>
            </w:pPr>
          </w:p>
        </w:tc>
      </w:tr>
      <w:tr>
        <w:trPr>
          <w:trHeight w:val="230"/>
        </w:trPr>
        <w:tc>
          <w:tcPr>
            <w:tcW w:w="7920" w:type="dxa"/>
            <w:vAlign w:val="bottom"/>
            <w:gridSpan w:val="2"/>
          </w:tcPr>
          <w:p>
            <w:pPr>
              <w:ind w:left="20"/>
              <w:spacing w:after="0"/>
              <w:rPr>
                <w:sz w:val="20"/>
                <w:szCs w:val="20"/>
                <w:color w:val="auto"/>
              </w:rPr>
            </w:pPr>
            <w:r>
              <w:rPr>
                <w:rFonts w:ascii="Arial" w:cs="Arial" w:eastAsia="Arial" w:hAnsi="Arial"/>
                <w:sz w:val="18"/>
                <w:szCs w:val="18"/>
                <w:color w:val="auto"/>
              </w:rPr>
              <w:t>Non-vested restricted stock units (RSUs)</w:t>
            </w: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20"/>
                <w:szCs w:val="20"/>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r>
      <w:tr>
        <w:trPr>
          <w:trHeight w:val="255"/>
        </w:trPr>
        <w:tc>
          <w:tcPr>
            <w:tcW w:w="79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ESPP to purchase common stock</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ind w:left="9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22"/>
                <w:szCs w:val="22"/>
                <w:color w:val="auto"/>
              </w:rPr>
            </w:pPr>
          </w:p>
        </w:tc>
      </w:tr>
    </w:tbl>
    <w:p>
      <w:pPr>
        <w:spacing w:after="0" w:line="200" w:lineRule="exact"/>
        <w:rPr>
          <w:sz w:val="20"/>
          <w:szCs w:val="20"/>
          <w:color w:val="auto"/>
        </w:rPr>
      </w:pPr>
    </w:p>
    <w:p>
      <w:pPr>
        <w:spacing w:after="0" w:line="2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additional information related to the Company's common stock see Note 12.</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Significant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Vitae Pharmaceuticals, Inc.</w:t>
      </w:r>
    </w:p>
    <w:p>
      <w:pPr>
        <w:spacing w:after="0" w:line="11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In October 2017, the Company entered into a license agreement (the “Allergan License Agreement”) with Vitae Pharmaceuticals, Inc., a subsidiary of Allergan (“Allergan”), under which Allergan granted the Company an exclusive, sublicensable, worldwide license to a portfolio of preclinical, orally available, small molecule inhibitors of the interaction of menin with Mixed Lineage Leukemia (“MLL”) protein (the “Menin Assets”). The Company made a nonrefundable upfront payment of $5.0 million to Allergan in the fourth quarter of 2017. Additionally,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Allergan. The Company is solely responsible for the development and commercialization of the 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64"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2017, the upfront payment of $5.0 million was recorded as research and development expense in the consolidated statements of operations. Since the inception of the agreement, the Company achieved certain development and regulatory milestones resulting in $8.0 million in expense, which included $2.0 million in expense paid in February 2022. Additionally, in the fourth quarter 2022, the Company achieved certain development and regulatory milestones resulting in a $2.0 million expense, which has been recorded in accrued expenses as of December 31. 2022. The amount was paid in the first quarter of 2023.</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UCB Biopharma Sprl</w:t>
      </w:r>
    </w:p>
    <w:p>
      <w:pPr>
        <w:spacing w:after="0" w:line="117" w:lineRule="exact"/>
        <w:rPr>
          <w:sz w:val="20"/>
          <w:szCs w:val="20"/>
          <w:color w:val="auto"/>
        </w:rPr>
      </w:pPr>
    </w:p>
    <w:p>
      <w:pPr>
        <w:ind w:right="200" w:firstLine="509"/>
        <w:spacing w:after="0" w:line="270" w:lineRule="auto"/>
        <w:rPr>
          <w:sz w:val="20"/>
          <w:szCs w:val="20"/>
          <w:color w:val="auto"/>
        </w:rPr>
      </w:pPr>
      <w:r>
        <w:rPr>
          <w:rFonts w:ascii="Arial" w:cs="Arial" w:eastAsia="Arial" w:hAnsi="Arial"/>
          <w:sz w:val="17"/>
          <w:szCs w:val="17"/>
          <w:color w:val="auto"/>
        </w:rPr>
        <w:t>In July 2016, the Company entered into a license agreement (the “UCB License Agreement”) with UCB Biopharma Sprl (“UCB”), under which UCB granted to the Company a worldwide, sublicensable, exclusive license to UCB6352, which the Company refers to as SNDX-6352 or axatilimab, an IND-ready anti-CSF-1R monoclonal antibody. The Company made a nonrefundable upfront payment of $5.0 million to UCB in the third quarter of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SNDX-6352,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99" w:name="page100"/>
    <w:bookmarkEnd w:id="99"/>
    <w:p>
      <w:pPr>
        <w:ind w:right="120"/>
        <w:spacing w:after="0" w:line="290" w:lineRule="auto"/>
        <w:rPr>
          <w:sz w:val="20"/>
          <w:szCs w:val="20"/>
          <w:color w:val="auto"/>
        </w:rPr>
      </w:pPr>
      <w:r>
        <w:rPr>
          <w:rFonts w:ascii="Arial" w:cs="Arial" w:eastAsia="Arial" w:hAnsi="Arial"/>
          <w:sz w:val="16"/>
          <w:szCs w:val="16"/>
          <w:color w:val="auto"/>
        </w:rPr>
        <w:t>required to share a percentage of non-royalty income from sublicensees, subject to certain deductions, with UCB. The Company will be solely responsible for the development and commercialization of SNDX-6352, except that UCB is performing a limited set of transitional chemistry, manufacturing and control tasks related to SNDX-6352.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163"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Since the start of the license agreement, the Company achieved certain development and regulatory milestones and has recorded $6.0 million as research and development expense. Additionally, in connection with its most recent amendment of the UCB License Agreement, in the second quarter of 2022 the Company paid UCB $5.8 million, which is recognized as a milestone expense.</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Bayer Pharma AG (formerly known as Bayer Schering Pharma AG)</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Equipment</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r>
      <w:tr>
        <w:trPr>
          <w:trHeight w:val="24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Office and computer equipment</w:t>
            </w:r>
          </w:p>
        </w:tc>
        <w:tc>
          <w:tcPr>
            <w:tcW w:w="7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spacing w:after="0"/>
              <w:rPr>
                <w:sz w:val="20"/>
                <w:szCs w:val="20"/>
                <w:color w:val="auto"/>
              </w:rPr>
            </w:pPr>
            <w:r>
              <w:rPr>
                <w:rFonts w:ascii="Arial" w:cs="Arial" w:eastAsia="Arial" w:hAnsi="Arial"/>
                <w:sz w:val="18"/>
                <w:szCs w:val="18"/>
                <w:color w:val="auto"/>
              </w:rPr>
              <w:t>Office equipment under capital lease</w:t>
            </w:r>
          </w:p>
        </w:tc>
        <w:tc>
          <w:tcPr>
            <w:tcW w:w="7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242"/>
        </w:trPr>
        <w:tc>
          <w:tcPr>
            <w:tcW w:w="7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property and equipment</w:t>
            </w:r>
          </w:p>
        </w:tc>
        <w:tc>
          <w:tcPr>
            <w:tcW w:w="720" w:type="dxa"/>
            <w:vAlign w:val="bottom"/>
            <w:tcBorders>
              <w:top w:val="single" w:sz="8" w:color="auto"/>
            </w:tcBorders>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8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7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(399 )</w:t>
            </w: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(443 )</w:t>
            </w:r>
          </w:p>
        </w:tc>
      </w:tr>
      <w:tr>
        <w:trPr>
          <w:trHeight w:val="276"/>
        </w:trPr>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720" w:type="dxa"/>
            <w:vAlign w:val="bottom"/>
            <w:tcBorders>
              <w:top w:val="single" w:sz="8" w:color="auto"/>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expense was $33,000 and $43,000 for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carrying amounts of cash and cash equivalents, restricted cash, accounts payable, and accrued expenses approximated their estimated fair values due to the short-term nature of these financial instruments. Fair value is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00" w:name="page101"/>
    <w:bookmarkEnd w:id="100"/>
    <w:p>
      <w:pPr>
        <w:ind w:right="60"/>
        <w:spacing w:after="0" w:line="286" w:lineRule="auto"/>
        <w:rPr>
          <w:sz w:val="20"/>
          <w:szCs w:val="20"/>
          <w:color w:val="auto"/>
        </w:rPr>
      </w:pPr>
      <w:r>
        <w:rPr>
          <w:rFonts w:ascii="Arial" w:cs="Arial" w:eastAsia="Arial" w:hAnsi="Arial"/>
          <w:sz w:val="17"/>
          <w:szCs w:val="17"/>
          <w:color w:val="auto"/>
        </w:rPr>
        <w:t>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56"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(unadjusted) in active markets that are accessible at the market date for identical unrestricted assets or liabilities.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for which all significant inputs are observable or can be corroborated by observable market data for substantially the full term of the assets or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6" w:lineRule="exact"/>
        <w:rPr>
          <w:sz w:val="20"/>
          <w:szCs w:val="20"/>
          <w:color w:val="auto"/>
        </w:rPr>
      </w:pPr>
    </w:p>
    <w:p>
      <w:pPr>
        <w:ind w:right="20" w:firstLine="509"/>
        <w:spacing w:after="0" w:line="307" w:lineRule="auto"/>
        <w:rPr>
          <w:sz w:val="20"/>
          <w:szCs w:val="20"/>
          <w:color w:val="auto"/>
        </w:rPr>
      </w:pPr>
      <w:r>
        <w:rPr>
          <w:rFonts w:ascii="Arial" w:cs="Arial" w:eastAsia="Arial" w:hAnsi="Arial"/>
          <w:sz w:val="17"/>
          <w:szCs w:val="17"/>
          <w:color w:val="auto"/>
        </w:rPr>
        <w:t>The table below presents information about the Company’s assets and liabilities that are regularly measured and carried at fair value and indicate the level within the fair value hierarchy of valuation techniques the Company utilized to determine such fair values (in thousands):</w:t>
      </w:r>
    </w:p>
    <w:p>
      <w:pPr>
        <w:spacing w:after="0" w:line="4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7"/>
          </w:tcPr>
          <w:p>
            <w:pPr>
              <w:jc w:val="center"/>
              <w:ind w:right="116"/>
              <w:spacing w:after="0"/>
              <w:rPr>
                <w:sz w:val="20"/>
                <w:szCs w:val="20"/>
                <w:color w:val="auto"/>
              </w:rPr>
            </w:pPr>
            <w:r>
              <w:rPr>
                <w:rFonts w:ascii="Arial" w:cs="Arial" w:eastAsia="Arial" w:hAnsi="Arial"/>
                <w:sz w:val="14"/>
                <w:szCs w:val="14"/>
                <w:b w:val="1"/>
                <w:bCs w:val="1"/>
                <w:color w:val="auto"/>
                <w:w w:val="92"/>
              </w:rPr>
              <w:t>Fair Value Measurements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4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17"/>
              <w:spacing w:after="0" w:line="133" w:lineRule="exact"/>
              <w:rPr>
                <w:sz w:val="20"/>
                <w:szCs w:val="20"/>
                <w:color w:val="auto"/>
              </w:rPr>
            </w:pPr>
            <w:r>
              <w:rPr>
                <w:rFonts w:ascii="Arial" w:cs="Arial" w:eastAsia="Arial" w:hAnsi="Arial"/>
                <w:sz w:val="14"/>
                <w:szCs w:val="14"/>
                <w:b w:val="1"/>
                <w:bCs w:val="1"/>
                <w:color w:val="auto"/>
                <w:w w:val="93"/>
              </w:rPr>
              <w:t>Quoted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Prices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2"/>
              </w:rPr>
              <w:t>in Active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8"/>
              </w:rPr>
              <w:t>Markets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9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(Level 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8"/>
              </w:rPr>
              <w:t>December 31, 2022</w:t>
            </w:r>
          </w:p>
        </w:tc>
        <w:tc>
          <w:tcPr>
            <w:tcW w:w="3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74,356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59,496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401,446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401,446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Long-term investments</w:t>
            </w: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5,469</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481,271</w:t>
            </w: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59,496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421,775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460" w:type="dxa"/>
            <w:vAlign w:val="bottom"/>
            <w:shd w:val="clear" w:color="auto" w:fill="CFF0FC"/>
          </w:tcPr>
          <w:p>
            <w:pPr>
              <w:spacing w:after="0"/>
              <w:rPr>
                <w:sz w:val="19"/>
                <w:szCs w:val="19"/>
                <w:color w:val="auto"/>
              </w:rPr>
            </w:pPr>
          </w:p>
        </w:tc>
        <w:tc>
          <w:tcPr>
            <w:tcW w:w="3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6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8"/>
              </w:rPr>
              <w:t>December 31, 2021</w:t>
            </w:r>
          </w:p>
        </w:tc>
        <w:tc>
          <w:tcPr>
            <w:tcW w:w="3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221,964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96,816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125,148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217,971</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217,971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72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439,935</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96,816</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343,119</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gridSpan w:val="2"/>
          </w:tcPr>
          <w:p>
            <w:pPr>
              <w:spacing w:after="0"/>
              <w:rPr>
                <w:sz w:val="20"/>
                <w:szCs w:val="20"/>
                <w:color w:val="auto"/>
              </w:rPr>
            </w:pPr>
            <w:r>
              <w:rPr>
                <w:rFonts w:ascii="Arial" w:cs="Arial" w:eastAsia="Arial" w:hAnsi="Arial"/>
                <w:sz w:val="18"/>
                <w:szCs w:val="18"/>
                <w:color w:val="auto"/>
              </w:rPr>
              <w:t>Derivative liability</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72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-1951355</wp:posOffset>
            </wp:positionV>
            <wp:extent cx="6858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-1951355</wp:posOffset>
            </wp:positionV>
            <wp:extent cx="68580"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-1951355</wp:posOffset>
            </wp:positionV>
            <wp:extent cx="59690"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-1951355</wp:posOffset>
            </wp:positionV>
            <wp:extent cx="59690"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-675640</wp:posOffset>
            </wp:positionV>
            <wp:extent cx="2688590"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2">
                      <a:extLst>
                        <a:ext uri="{28A0092B-C50C-407E-A947-70E740481C1C}"/>
                      </a:extLst>
                    </a:blip>
                    <a:srcRect/>
                    <a:stretch>
                      <a:fillRect/>
                    </a:stretch>
                  </pic:blipFill>
                  <pic:spPr bwMode="auto">
                    <a:xfrm>
                      <a:off x="0" y="0"/>
                      <a:ext cx="2688590" cy="17970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-24765</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-7620</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There have been no material impairments of our assets measured and carried at fair value during the years ended December 31, 2022, and 2021. In addition, there have been no changes in valuation techniques during the years ended December 31, 2022, and 2021. The fair value of Level 1 instruments classified as cash equivalents are valued using quoted market prices in active markets. The fair value of Level 2 instruments classified as cash equivalents and short and long-term investments was determined other than quoted prices in active markets, which are either directly or indirectly observable as of the reporting date and fair value is determined using models or other valuation methodologies. The fair value of the Level 3 instrument is determined using unobservable inputs and the Company utilized a Black Scholes valuation model as of December 9, 2021 (initial recognition) and December 31, 2021, respectively.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01" w:name="page102"/>
    <w:bookmarkEnd w:id="101"/>
    <w:p>
      <w:pPr>
        <w:ind w:right="520" w:firstLine="509"/>
        <w:spacing w:after="0" w:line="277" w:lineRule="auto"/>
        <w:rPr>
          <w:sz w:val="20"/>
          <w:szCs w:val="20"/>
          <w:color w:val="auto"/>
        </w:rPr>
      </w:pPr>
      <w:r>
        <w:rPr>
          <w:rFonts w:ascii="Arial" w:cs="Arial" w:eastAsia="Arial" w:hAnsi="Arial"/>
          <w:sz w:val="18"/>
          <w:szCs w:val="18"/>
          <w:color w:val="auto"/>
        </w:rPr>
        <w:t>The following table summarizes the significant unobservable inputs in the fair value measurement of the Company’s contingent consideration obligations as of December 31, 2021: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w w:val="92"/>
              </w:rPr>
              <w:t>As of December 31, 2021</w:t>
            </w:r>
          </w:p>
        </w:tc>
        <w:tc>
          <w:tcPr>
            <w:tcW w:w="144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940" w:type="dxa"/>
            <w:vAlign w:val="bottom"/>
          </w:tcPr>
          <w:p>
            <w:pPr>
              <w:jc w:val="center"/>
              <w:ind w:left="114"/>
              <w:spacing w:after="0"/>
              <w:rPr>
                <w:sz w:val="20"/>
                <w:szCs w:val="20"/>
                <w:color w:val="auto"/>
              </w:rPr>
            </w:pPr>
            <w:r>
              <w:rPr>
                <w:rFonts w:ascii="Arial" w:cs="Arial" w:eastAsia="Arial" w:hAnsi="Arial"/>
                <w:sz w:val="14"/>
                <w:szCs w:val="14"/>
                <w:b w:val="1"/>
                <w:bCs w:val="1"/>
                <w:color w:val="auto"/>
                <w:w w:val="93"/>
              </w:rPr>
              <w:t>Unobservable Input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left="542"/>
              <w:spacing w:after="0"/>
              <w:rPr>
                <w:sz w:val="20"/>
                <w:szCs w:val="20"/>
                <w:color w:val="auto"/>
              </w:rPr>
            </w:pPr>
            <w:r>
              <w:rPr>
                <w:rFonts w:ascii="Arial" w:cs="Arial" w:eastAsia="Arial" w:hAnsi="Arial"/>
                <w:sz w:val="14"/>
                <w:szCs w:val="14"/>
                <w:b w:val="1"/>
                <w:bCs w:val="1"/>
                <w:color w:val="auto"/>
                <w:w w:val="88"/>
              </w:rPr>
              <w:t>Range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ind w:left="20"/>
              <w:spacing w:after="0"/>
              <w:rPr>
                <w:sz w:val="20"/>
                <w:szCs w:val="20"/>
                <w:color w:val="auto"/>
              </w:rPr>
            </w:pPr>
            <w:r>
              <w:rPr>
                <w:rFonts w:ascii="Arial" w:cs="Arial" w:eastAsia="Arial" w:hAnsi="Arial"/>
                <w:sz w:val="14"/>
                <w:szCs w:val="14"/>
                <w:b w:val="1"/>
                <w:bCs w:val="1"/>
                <w:color w:val="auto"/>
              </w:rPr>
              <w:t>Weighted Average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40" w:type="dxa"/>
            <w:vAlign w:val="bottom"/>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(in thousands)</w:t>
            </w: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Liabilities:</w:t>
            </w:r>
          </w:p>
        </w:tc>
        <w:tc>
          <w:tcPr>
            <w:tcW w:w="13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94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94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360" w:type="dxa"/>
            <w:vAlign w:val="bottom"/>
            <w:tcBorders>
              <w:top w:val="single" w:sz="8" w:color="CFF0FC"/>
            </w:tcBorders>
          </w:tcPr>
          <w:p>
            <w:pPr>
              <w:spacing w:after="0"/>
              <w:rPr>
                <w:sz w:val="20"/>
                <w:szCs w:val="20"/>
                <w:color w:val="auto"/>
              </w:rPr>
            </w:pPr>
          </w:p>
        </w:tc>
        <w:tc>
          <w:tcPr>
            <w:tcW w:w="6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40" w:type="dxa"/>
            <w:vAlign w:val="bottom"/>
            <w:tcBorders>
              <w:top w:val="single" w:sz="8" w:color="CFF0FC"/>
            </w:tcBorders>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Derivative Liability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jc w:val="center"/>
              <w:ind w:left="74"/>
              <w:spacing w:after="0"/>
              <w:rPr>
                <w:sz w:val="20"/>
                <w:szCs w:val="20"/>
                <w:color w:val="auto"/>
              </w:rPr>
            </w:pPr>
            <w:r>
              <w:rPr>
                <w:rFonts w:ascii="Arial" w:cs="Arial" w:eastAsia="Arial" w:hAnsi="Arial"/>
                <w:sz w:val="18"/>
                <w:szCs w:val="18"/>
                <w:color w:val="auto"/>
                <w:w w:val="90"/>
              </w:rPr>
              <w:t>Discount Rate</w:t>
            </w:r>
          </w:p>
        </w:tc>
        <w:tc>
          <w:tcPr>
            <w:tcW w:w="1720" w:type="dxa"/>
            <w:vAlign w:val="bottom"/>
            <w:gridSpan w:val="3"/>
            <w:shd w:val="clear" w:color="auto" w:fill="CFF0FC"/>
          </w:tcPr>
          <w:p>
            <w:pPr>
              <w:jc w:val="center"/>
              <w:ind w:left="894"/>
              <w:spacing w:after="0"/>
              <w:rPr>
                <w:sz w:val="20"/>
                <w:szCs w:val="20"/>
                <w:color w:val="auto"/>
              </w:rPr>
            </w:pPr>
            <w:r>
              <w:rPr>
                <w:rFonts w:ascii="Arial" w:cs="Arial" w:eastAsia="Arial" w:hAnsi="Arial"/>
                <w:sz w:val="18"/>
                <w:szCs w:val="18"/>
                <w:color w:val="auto"/>
                <w:w w:val="90"/>
              </w:rPr>
              <w:t>4-5%</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95"/>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40" w:type="dxa"/>
            <w:vAlign w:val="bottom"/>
            <w:shd w:val="clear" w:color="auto" w:fill="CFF0FC"/>
          </w:tcPr>
          <w:p>
            <w:pPr>
              <w:jc w:val="center"/>
              <w:ind w:left="174"/>
              <w:spacing w:after="0"/>
              <w:rPr>
                <w:sz w:val="20"/>
                <w:szCs w:val="20"/>
                <w:color w:val="auto"/>
              </w:rPr>
            </w:pPr>
            <w:r>
              <w:rPr>
                <w:rFonts w:ascii="Arial" w:cs="Arial" w:eastAsia="Arial" w:hAnsi="Arial"/>
                <w:sz w:val="18"/>
                <w:szCs w:val="18"/>
                <w:color w:val="auto"/>
              </w:rPr>
              <w:t>Volatility</w:t>
            </w:r>
          </w:p>
        </w:tc>
        <w:tc>
          <w:tcPr>
            <w:tcW w:w="1720" w:type="dxa"/>
            <w:vAlign w:val="bottom"/>
            <w:gridSpan w:val="3"/>
            <w:shd w:val="clear" w:color="auto" w:fill="CFF0FC"/>
          </w:tcPr>
          <w:p>
            <w:pPr>
              <w:jc w:val="right"/>
              <w:ind w:right="2"/>
              <w:spacing w:after="0"/>
              <w:rPr>
                <w:sz w:val="20"/>
                <w:szCs w:val="20"/>
                <w:color w:val="auto"/>
              </w:rPr>
            </w:pPr>
            <w:r>
              <w:rPr>
                <w:rFonts w:ascii="Arial" w:cs="Arial" w:eastAsia="Arial" w:hAnsi="Arial"/>
                <w:sz w:val="18"/>
                <w:szCs w:val="18"/>
                <w:color w:val="auto"/>
              </w:rPr>
              <w:t>58-61%</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rPr>
              <w:t>59.5%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40" w:type="dxa"/>
            <w:vAlign w:val="bottom"/>
            <w:shd w:val="clear" w:color="auto" w:fill="CFF0FC"/>
          </w:tcPr>
          <w:p>
            <w:pPr>
              <w:jc w:val="center"/>
              <w:ind w:left="94"/>
              <w:spacing w:after="0"/>
              <w:rPr>
                <w:sz w:val="20"/>
                <w:szCs w:val="20"/>
                <w:color w:val="auto"/>
              </w:rPr>
            </w:pPr>
            <w:r>
              <w:rPr>
                <w:rFonts w:ascii="Arial" w:cs="Arial" w:eastAsia="Arial" w:hAnsi="Arial"/>
                <w:sz w:val="18"/>
                <w:szCs w:val="18"/>
                <w:color w:val="auto"/>
                <w:w w:val="92"/>
              </w:rPr>
              <w:t>Expected timing of the</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center"/>
              <w:ind w:left="542"/>
              <w:spacing w:after="0"/>
              <w:rPr>
                <w:sz w:val="20"/>
                <w:szCs w:val="20"/>
                <w:color w:val="auto"/>
              </w:rPr>
            </w:pPr>
            <w:r>
              <w:rPr>
                <w:rFonts w:ascii="Arial" w:cs="Arial" w:eastAsia="Arial" w:hAnsi="Arial"/>
                <w:sz w:val="18"/>
                <w:szCs w:val="18"/>
                <w:color w:val="auto"/>
                <w:w w:val="89"/>
              </w:rPr>
              <w:t>9 months</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9 months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80" w:type="dxa"/>
            <w:vAlign w:val="bottom"/>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940" w:type="dxa"/>
            <w:vAlign w:val="bottom"/>
            <w:shd w:val="clear" w:color="auto" w:fill="CFF0FC"/>
          </w:tcPr>
          <w:p>
            <w:pPr>
              <w:jc w:val="center"/>
              <w:ind w:left="134"/>
              <w:spacing w:after="0"/>
              <w:rPr>
                <w:sz w:val="20"/>
                <w:szCs w:val="20"/>
                <w:color w:val="auto"/>
              </w:rPr>
            </w:pPr>
            <w:r>
              <w:rPr>
                <w:rFonts w:ascii="Arial" w:cs="Arial" w:eastAsia="Arial" w:hAnsi="Arial"/>
                <w:sz w:val="18"/>
                <w:szCs w:val="18"/>
                <w:color w:val="auto"/>
                <w:w w:val="92"/>
              </w:rPr>
              <w:t>Termination Right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460" w:type="dxa"/>
            <w:vAlign w:val="bottom"/>
            <w:gridSpan w:val="8"/>
          </w:tcPr>
          <w:p>
            <w:pPr>
              <w:ind w:left="520"/>
              <w:spacing w:after="0"/>
              <w:rPr>
                <w:sz w:val="20"/>
                <w:szCs w:val="20"/>
                <w:color w:val="auto"/>
              </w:rPr>
            </w:pPr>
            <w:r>
              <w:rPr>
                <w:rFonts w:ascii="Arial" w:cs="Arial" w:eastAsia="Arial" w:hAnsi="Arial"/>
                <w:sz w:val="18"/>
                <w:szCs w:val="18"/>
                <w:color w:val="auto"/>
              </w:rPr>
              <w:t>The following table summarizes the fair value rollforward (in thousands):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00" w:type="dxa"/>
            <w:vAlign w:val="bottom"/>
            <w:gridSpan w:val="5"/>
            <w:vMerge w:val="restart"/>
          </w:tcPr>
          <w:p>
            <w:pPr>
              <w:jc w:val="right"/>
              <w:ind w:right="1235"/>
              <w:spacing w:after="0"/>
              <w:rPr>
                <w:sz w:val="20"/>
                <w:szCs w:val="20"/>
                <w:color w:val="auto"/>
              </w:rPr>
            </w:pPr>
            <w:r>
              <w:rPr>
                <w:rFonts w:ascii="Arial" w:cs="Arial" w:eastAsia="Arial" w:hAnsi="Arial"/>
                <w:sz w:val="14"/>
                <w:szCs w:val="14"/>
                <w:b w:val="1"/>
                <w:bCs w:val="1"/>
                <w:color w:val="auto"/>
                <w:w w:val="91"/>
              </w:rPr>
              <w:t>As of December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Derivative Liability:</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20" w:type="dxa"/>
            <w:vAlign w:val="bottom"/>
            <w:gridSpan w:val="3"/>
          </w:tcPr>
          <w:p>
            <w:pPr>
              <w:ind w:left="200"/>
              <w:spacing w:after="0"/>
              <w:rPr>
                <w:sz w:val="20"/>
                <w:szCs w:val="20"/>
                <w:color w:val="auto"/>
              </w:rPr>
            </w:pPr>
            <w:r>
              <w:rPr>
                <w:rFonts w:ascii="Arial" w:cs="Arial" w:eastAsia="Arial" w:hAnsi="Arial"/>
                <w:sz w:val="18"/>
                <w:szCs w:val="18"/>
                <w:color w:val="auto"/>
              </w:rPr>
              <w:t>Beginning Balance 1/1</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02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Additions</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020" w:type="dxa"/>
            <w:vAlign w:val="bottom"/>
            <w:gridSpan w:val="3"/>
          </w:tcPr>
          <w:p>
            <w:pPr>
              <w:ind w:left="20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(187 )</w:t>
            </w:r>
          </w:p>
        </w:tc>
        <w:tc>
          <w:tcPr>
            <w:tcW w:w="14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(389 )</w:t>
            </w:r>
          </w:p>
        </w:tc>
        <w:tc>
          <w:tcPr>
            <w:tcW w:w="0" w:type="dxa"/>
            <w:vAlign w:val="bottom"/>
          </w:tcPr>
          <w:p>
            <w:pPr>
              <w:spacing w:after="0"/>
              <w:rPr>
                <w:sz w:val="1"/>
                <w:szCs w:val="1"/>
                <w:color w:val="auto"/>
              </w:rPr>
            </w:pPr>
          </w:p>
        </w:tc>
      </w:tr>
      <w:tr>
        <w:trPr>
          <w:trHeight w:val="276"/>
        </w:trPr>
        <w:tc>
          <w:tcPr>
            <w:tcW w:w="3020" w:type="dxa"/>
            <w:vAlign w:val="bottom"/>
            <w:tcBorders>
              <w:bottom w:val="single" w:sz="8" w:color="CFF0FC"/>
            </w:tcBorders>
            <w:gridSpan w:val="3"/>
            <w:shd w:val="clear" w:color="auto" w:fill="CFF0FC"/>
          </w:tcPr>
          <w:p>
            <w:pPr>
              <w:ind w:left="200"/>
              <w:spacing w:after="0"/>
              <w:rPr>
                <w:sz w:val="20"/>
                <w:szCs w:val="20"/>
                <w:color w:val="auto"/>
              </w:rPr>
            </w:pPr>
            <w:r>
              <w:rPr>
                <w:rFonts w:ascii="Arial" w:cs="Arial" w:eastAsia="Arial" w:hAnsi="Arial"/>
                <w:sz w:val="18"/>
                <w:szCs w:val="18"/>
                <w:color w:val="auto"/>
              </w:rPr>
              <w:t>Ending Balance 12/31</w:t>
            </w:r>
          </w:p>
        </w:tc>
        <w:tc>
          <w:tcPr>
            <w:tcW w:w="1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9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360" w:type="dxa"/>
            <w:vAlign w:val="bottom"/>
            <w:tcBorders>
              <w:top w:val="single" w:sz="8" w:color="auto"/>
              <w:bottom w:val="single" w:sz="8" w:color="auto"/>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short-term and long-term investments are classified as available-for-sale securities. As of December 31, 2022, the remaining contractual maturities of the available-for-sale securities were 1 to 15 months, and the balance in the Company’s accumulated other comprehensive income was comprised solely of activity related to the Company’s available-for-sale securities. There were no realized gains or losses recognized on the sale or maturity of available-for-sale securities during the three years ended December 31, 2022. As a result, the Company did not reclassify any amounts out of accumulated other comprehensive income for the same periods. The Company has a limited number of available-for-sale securities in insignificant loss positions as of December 31, 2022, which the Company does not intend to sell and has concluded will not be required to sell before recovery of the amortized cost for the investment at maturity.</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available-for-sale securities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93"/>
              <w:spacing w:after="0"/>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4"/>
                <w:szCs w:val="14"/>
                <w:b w:val="1"/>
                <w:bCs w:val="1"/>
                <w:color w:val="auto"/>
              </w:rPr>
              <w:t>Unrealized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461"/>
              <w:spacing w:after="0"/>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4"/>
                <w:szCs w:val="14"/>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9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601"/>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6"/>
                <w:szCs w:val="16"/>
                <w:color w:val="auto"/>
              </w:rPr>
            </w:pPr>
          </w:p>
        </w:tc>
        <w:tc>
          <w:tcPr>
            <w:tcW w:w="940" w:type="dxa"/>
            <w:vAlign w:val="bottom"/>
          </w:tcPr>
          <w:p>
            <w:pPr>
              <w:jc w:val="right"/>
              <w:ind w:right="35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146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8"/>
              </w:rPr>
              <w:t>December 31, 2022</w:t>
            </w:r>
          </w:p>
        </w:tc>
        <w:tc>
          <w:tcPr>
            <w:tcW w:w="27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6"/>
        </w:trPr>
        <w:tc>
          <w:tcPr>
            <w:tcW w:w="580" w:type="dxa"/>
            <w:vAlign w:val="bottom"/>
          </w:tcPr>
          <w:p>
            <w:pPr>
              <w:spacing w:after="0"/>
              <w:rPr>
                <w:sz w:val="20"/>
                <w:szCs w:val="20"/>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Commercial paper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321,630</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(205 )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321,425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2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US Treasury</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64,759</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(566 )</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64,193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Federal bonds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36,192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(35 )</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36,157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1460" w:type="dxa"/>
            <w:vAlign w:val="bottom"/>
            <w:tcBorders>
              <w:bottom w:val="single" w:sz="8" w:color="CFF0FC"/>
            </w:tcBorders>
            <w:shd w:val="clear" w:color="auto" w:fill="CFF0FC"/>
          </w:tcPr>
          <w:p>
            <w:pPr>
              <w:spacing w:after="0"/>
              <w:rPr>
                <w:sz w:val="24"/>
                <w:szCs w:val="24"/>
                <w:color w:val="auto"/>
              </w:rPr>
            </w:pPr>
          </w:p>
        </w:tc>
        <w:tc>
          <w:tcPr>
            <w:tcW w:w="27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422,581</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421,775</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176"/>
        </w:trPr>
        <w:tc>
          <w:tcPr>
            <w:tcW w:w="580" w:type="dxa"/>
            <w:vAlign w:val="bottom"/>
          </w:tcPr>
          <w:p>
            <w:pPr>
              <w:spacing w:after="0"/>
              <w:rPr>
                <w:sz w:val="15"/>
                <w:szCs w:val="15"/>
                <w:color w:val="auto"/>
              </w:rPr>
            </w:pPr>
          </w:p>
        </w:tc>
        <w:tc>
          <w:tcPr>
            <w:tcW w:w="42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4"/>
        </w:trPr>
        <w:tc>
          <w:tcPr>
            <w:tcW w:w="58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580" w:type="dxa"/>
            <w:vAlign w:val="bottom"/>
          </w:tcPr>
          <w:p>
            <w:pPr>
              <w:spacing w:after="0"/>
              <w:rPr>
                <w:sz w:val="21"/>
                <w:szCs w:val="21"/>
                <w:color w:val="auto"/>
              </w:rPr>
            </w:pPr>
          </w:p>
        </w:tc>
        <w:tc>
          <w:tcPr>
            <w:tcW w:w="42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306,715</w:t>
            </w:r>
          </w:p>
        </w:tc>
        <w:tc>
          <w:tcPr>
            <w:tcW w:w="5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ind w:left="860"/>
              <w:spacing w:after="0"/>
              <w:rPr>
                <w:sz w:val="20"/>
                <w:szCs w:val="20"/>
                <w:color w:val="auto"/>
              </w:rPr>
            </w:pPr>
            <w:r>
              <w:rPr>
                <w:rFonts w:ascii="Arial" w:cs="Arial" w:eastAsia="Arial" w:hAnsi="Arial"/>
                <w:sz w:val="18"/>
                <w:szCs w:val="18"/>
                <w:color w:val="auto"/>
                <w:w w:val="79"/>
              </w:rPr>
              <w:t>70</w:t>
            </w:r>
          </w:p>
        </w:tc>
        <w:tc>
          <w:tcPr>
            <w:tcW w:w="5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(17 )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306,768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22,147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(6 )</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22,141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2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US Treasury</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14,212</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ind w:left="8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(2 )</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27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343,074</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79"/>
              </w:rPr>
              <w:t>70</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(25 )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343,119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34"/>
        </w:trPr>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F-21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-1326515</wp:posOffset>
            </wp:positionV>
            <wp:extent cx="2936875" cy="1797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6">
                      <a:extLst>
                        <a:ext uri="{28A0092B-C50C-407E-A947-70E740481C1C}"/>
                      </a:extLst>
                    </a:blip>
                    <a:srcRect/>
                    <a:stretch>
                      <a:fillRect/>
                    </a:stretch>
                  </pic:blipFill>
                  <pic:spPr bwMode="auto">
                    <a:xfrm>
                      <a:off x="0" y="0"/>
                      <a:ext cx="2936875" cy="17970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-684530</wp:posOffset>
            </wp:positionV>
            <wp:extent cx="6858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-684530</wp:posOffset>
            </wp:positionV>
            <wp:extent cx="6858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-684530</wp:posOffset>
            </wp:positionV>
            <wp:extent cx="5969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-684530</wp:posOffset>
            </wp:positionV>
            <wp:extent cx="5969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10. Prepaid Expenses and Other Current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3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2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FF0FC"/>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Interest receivable on investments</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583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Prepaid subscriptions</w:t>
            </w:r>
          </w:p>
        </w:tc>
        <w:tc>
          <w:tcPr>
            <w:tcW w:w="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3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53"/>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11. Accrued Expenses and Other Current Liabilities</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140" w:type="dxa"/>
            <w:vAlign w:val="bottom"/>
            <w:gridSpan w:val="3"/>
          </w:tcPr>
          <w:p>
            <w:pPr>
              <w:jc w:val="right"/>
              <w:ind w:right="210"/>
              <w:spacing w:after="0"/>
              <w:rPr>
                <w:sz w:val="20"/>
                <w:szCs w:val="20"/>
                <w:color w:val="auto"/>
              </w:rPr>
            </w:pPr>
            <w:r>
              <w:rPr>
                <w:rFonts w:ascii="Arial" w:cs="Arial" w:eastAsia="Arial" w:hAnsi="Arial"/>
                <w:sz w:val="18"/>
                <w:szCs w:val="18"/>
                <w:color w:val="auto"/>
                <w:w w:val="98"/>
              </w:rPr>
              <w:t>Accrued expenses and other current liabilities consisted of the following (in thousands):</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5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w w:val="94"/>
              </w:rPr>
              <w:t>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study and trial costs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14,375</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5,760</w:t>
            </w:r>
          </w:p>
        </w:tc>
        <w:tc>
          <w:tcPr>
            <w:tcW w:w="100" w:type="dxa"/>
            <w:vAlign w:val="bottom"/>
            <w:shd w:val="clear" w:color="auto" w:fill="CFF0FC"/>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Accrued compensation and related costs</w:t>
            </w:r>
          </w:p>
        </w:tc>
        <w:tc>
          <w:tcPr>
            <w:tcW w:w="3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5,945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3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FF0FC"/>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Accrued milestone costs</w:t>
            </w:r>
          </w:p>
        </w:tc>
        <w:tc>
          <w:tcPr>
            <w:tcW w:w="3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Total accrued expense and other current liabilities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24,276</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14,465</w:t>
            </w:r>
          </w:p>
        </w:tc>
        <w:tc>
          <w:tcPr>
            <w:tcW w:w="10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-1925955</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-1908810</wp:posOffset>
            </wp:positionV>
            <wp:extent cx="596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-1925955</wp:posOffset>
            </wp:positionV>
            <wp:extent cx="596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-1908810</wp:posOffset>
            </wp:positionV>
            <wp:extent cx="596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8">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Company is authorized to issue 100,000,000 shares of common stock. The holders of each share of common stock are entitled to one vote per share held and are entitled to receive dividends, if and when declared by the Board, and to share ratably in the Company’s assets available for distribution to stockholders, in the event of liquidation.</w:t>
      </w:r>
    </w:p>
    <w:p>
      <w:pPr>
        <w:spacing w:after="0" w:line="75"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In March 2021, the Company entered into a new sales agreement with Cowen and Company, LLC (“Cowen”) under which the Company may issue and sell shares of its common stock having aggregate sales proceeds of up to $75.0 million from time to time through Cowen, acting as agent, in a series of one or more ATM equity offerings (the “2021 ATM Program”). Cowen is not required to sell any specific amount but acts as the Company’s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The Company’s common stock will be sold at prevailing market prices at the time of sale; and as a result, prices may vary. In the year ended December 31, 2022, the Company sold 1,111,111 common shares of common stock under the 2021 ATM Program, with net proceeds of approximately $19.4 million.</w:t>
      </w:r>
    </w:p>
    <w:p>
      <w:pPr>
        <w:spacing w:after="0" w:line="196" w:lineRule="exact"/>
        <w:rPr>
          <w:sz w:val="20"/>
          <w:szCs w:val="20"/>
          <w:color w:val="auto"/>
        </w:rPr>
      </w:pPr>
    </w:p>
    <w:p>
      <w:pPr>
        <w:ind w:right="20" w:firstLine="509"/>
        <w:spacing w:after="0" w:line="264" w:lineRule="auto"/>
        <w:rPr>
          <w:sz w:val="20"/>
          <w:szCs w:val="20"/>
          <w:color w:val="auto"/>
        </w:rPr>
      </w:pPr>
      <w:r>
        <w:rPr>
          <w:rFonts w:ascii="Arial" w:cs="Arial" w:eastAsia="Arial" w:hAnsi="Arial"/>
          <w:sz w:val="18"/>
          <w:szCs w:val="18"/>
          <w:color w:val="auto"/>
        </w:rPr>
        <w:t>In December 2021, the Company issued 3,802,144 shares of common stock and Pre-Funded Warrants to purchase 1,142,856 shares of common stock. The offering price for the securities was $17.50 per share or $17.4999 for each Pre-Funded Warrant, with net proceeds of approximately $81.2 million. As of December 31, 2022, 1,142,856 pre-funded warrants were considered issued and outstanding. On January 24, 2023, 86,000 Pre-Funded Warrants were exercised for 85,998 shares of common stock, under a cashless exercise. As of February 24, 2023, the pre-funded warrants considered issued and outstanding were 1,056,856.</w:t>
      </w:r>
    </w:p>
    <w:p>
      <w:pPr>
        <w:spacing w:after="0" w:line="183"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In December 2021, in connection with the Incyte License and Collaboration Agreement and Share Purchase Agreement, the Company issued 1,421,523 shares of common stock, with net proceeds of approximately $35.0 million. The Company recorded the equity issuance at a fair value of $24.8 million based on the market price of the stock on the date of issuance.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103" w:name="page104"/>
    <w:bookmarkEnd w:id="103"/>
    <w:p>
      <w:pPr>
        <w:ind w:right="260" w:firstLine="509"/>
        <w:spacing w:after="0" w:line="277" w:lineRule="auto"/>
        <w:rPr>
          <w:sz w:val="20"/>
          <w:szCs w:val="20"/>
          <w:color w:val="auto"/>
        </w:rPr>
      </w:pPr>
      <w:r>
        <w:rPr>
          <w:rFonts w:ascii="Arial" w:cs="Arial" w:eastAsia="Arial" w:hAnsi="Arial"/>
          <w:sz w:val="18"/>
          <w:szCs w:val="18"/>
          <w:color w:val="auto"/>
        </w:rPr>
        <w:t>In December 2022, the Company issued 7,840,909 shares of common stock. The offering price for the securities was $22.00 per share, with gross proceeds of approximately $172.5 million, offset by $10.5 million of issuance cost.</w:t>
      </w:r>
    </w:p>
    <w:p>
      <w:pPr>
        <w:spacing w:after="0" w:line="169"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warrant exercise, exercise of stock options, and the employee stock purchase plan:</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28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r>
      <w:tr>
        <w:trPr>
          <w:trHeight w:val="236"/>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issuable under pre-funded warrants</w:t>
            </w:r>
          </w:p>
        </w:tc>
        <w:tc>
          <w:tcPr>
            <w:tcW w:w="2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1,142,856</w:t>
            </w:r>
          </w:p>
        </w:tc>
        <w:tc>
          <w:tcPr>
            <w:tcW w:w="100" w:type="dxa"/>
            <w:vAlign w:val="bottom"/>
            <w:shd w:val="clear" w:color="auto" w:fill="CFF0FC"/>
          </w:tcPr>
          <w:p>
            <w:pPr>
              <w:spacing w:after="0"/>
              <w:rPr>
                <w:sz w:val="20"/>
                <w:szCs w:val="20"/>
                <w:color w:val="auto"/>
              </w:rPr>
            </w:pPr>
          </w:p>
        </w:tc>
      </w:tr>
      <w:tr>
        <w:trPr>
          <w:trHeight w:val="236"/>
        </w:trPr>
        <w:tc>
          <w:tcPr>
            <w:tcW w:w="72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2800" w:type="dxa"/>
            <w:vAlign w:val="bottom"/>
          </w:tcPr>
          <w:p>
            <w:pPr>
              <w:jc w:val="right"/>
              <w:spacing w:after="0"/>
              <w:rPr>
                <w:sz w:val="20"/>
                <w:szCs w:val="20"/>
                <w:color w:val="auto"/>
              </w:rPr>
            </w:pPr>
            <w:r>
              <w:rPr>
                <w:rFonts w:ascii="Arial" w:cs="Arial" w:eastAsia="Arial" w:hAnsi="Arial"/>
                <w:sz w:val="18"/>
                <w:szCs w:val="18"/>
                <w:color w:val="auto"/>
              </w:rPr>
              <w:t>8,924,365</w:t>
            </w:r>
          </w:p>
        </w:tc>
        <w:tc>
          <w:tcPr>
            <w:tcW w:w="100" w:type="dxa"/>
            <w:vAlign w:val="bottom"/>
          </w:tcPr>
          <w:p>
            <w:pPr>
              <w:spacing w:after="0"/>
              <w:rPr>
                <w:sz w:val="20"/>
                <w:szCs w:val="20"/>
                <w:color w:val="auto"/>
              </w:rPr>
            </w:pPr>
          </w:p>
        </w:tc>
      </w:tr>
      <w:tr>
        <w:trPr>
          <w:trHeight w:val="243"/>
        </w:trPr>
        <w:tc>
          <w:tcPr>
            <w:tcW w:w="7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2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1,517,411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200" w:type="dxa"/>
            <w:vAlign w:val="bottom"/>
          </w:tcPr>
          <w:p>
            <w:pPr>
              <w:spacing w:after="0"/>
              <w:rPr>
                <w:sz w:val="20"/>
                <w:szCs w:val="20"/>
                <w:color w:val="auto"/>
              </w:rPr>
            </w:pPr>
            <w:r>
              <w:rPr>
                <w:rFonts w:ascii="Arial" w:cs="Arial" w:eastAsia="Arial" w:hAnsi="Arial"/>
                <w:sz w:val="18"/>
                <w:szCs w:val="18"/>
                <w:color w:val="auto"/>
              </w:rPr>
              <w:t>Total</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11,584,632</w:t>
            </w:r>
          </w:p>
        </w:tc>
        <w:tc>
          <w:tcPr>
            <w:tcW w:w="100" w:type="dxa"/>
            <w:vAlign w:val="bottom"/>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0">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2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September 2015, the Company’s board of directors adopted its 2015 Omnibus Incentive Plan (“2015 Plan”), which was subsequently approved by its stockholders and became effective upon the closing of the IPO on March 8, 2016. The 2015 Plan replaced the 2007 Stock Plan (“2007 Plan”) and allows for the granting of incentive stock options, nonqualified stock options, stock appreciation rights, restricted stock, unrestricted stock, stock units, dividend equivalent rights, performance awards, annual incentive awards, and other equity-based awards to the Company’s executives and other employees, non-employee members of the board of directors, and consultants of the Company. Any options or awards outstanding under the Company’s 2007 Plan remains outstanding and effective. Any shares of common stock related to awards outstanding under the 2007 Plan that thereafter terminate by expiration, forfeiture, cancellation or otherwise without the issuance of such shares will be added to, and included in, the 2015 Plan reserve amount. The Company initially reserved 1,750,000 shares of its common stock for the issuance of awards under the 2015 Plan. As of December 31, 2022, there were 1,349,150 shares available for issuance under the 2015 Plan.</w:t>
      </w:r>
    </w:p>
    <w:p>
      <w:pPr>
        <w:spacing w:after="0" w:line="17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2015 Plan provides that the number of shares reserved and available for issuance under the 2015 Plan will automatically increase each January 1, beginning on January 1, 2017, by 4% of the outstanding number of shares of common stock on the immediately preceding December 31 or such lesser number of shares as determined by the Company’s board of directors. On January 1, 2023, the shares available for issuance under the 2015 Plan were increased to 4,073,605.</w:t>
      </w:r>
    </w:p>
    <w:p>
      <w:pPr>
        <w:spacing w:after="0" w:line="185"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Company recognized stock-based compensation expense related to the issuance of stock option awards to employees and non-employees and related to the Employee Stock Purchase Plan in the consolidated statements of operations as follows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6,016</w:t>
            </w: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4,398</w:t>
            </w: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FF0FC"/>
          </w:tcPr>
          <w:p>
            <w:pPr>
              <w:spacing w:after="0"/>
              <w:rPr>
                <w:sz w:val="20"/>
                <w:szCs w:val="20"/>
                <w:color w:val="auto"/>
              </w:rPr>
            </w:pPr>
          </w:p>
        </w:tc>
      </w:tr>
      <w:tr>
        <w:trPr>
          <w:trHeight w:val="236"/>
        </w:trPr>
        <w:tc>
          <w:tcPr>
            <w:tcW w:w="5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10,003</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8,919</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0"/>
                <w:szCs w:val="20"/>
                <w:color w:val="auto"/>
              </w:rPr>
            </w:pPr>
          </w:p>
        </w:tc>
      </w:tr>
      <w:tr>
        <w:trPr>
          <w:trHeight w:val="276"/>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16,019</w:t>
            </w:r>
          </w:p>
        </w:tc>
        <w:tc>
          <w:tcPr>
            <w:tcW w:w="3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13,317</w:t>
            </w:r>
          </w:p>
        </w:tc>
        <w:tc>
          <w:tcPr>
            <w:tcW w:w="3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-24765</wp:posOffset>
            </wp:positionV>
            <wp:extent cx="59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-7620</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Options and Restricted Stock Units</w:t>
      </w:r>
    </w:p>
    <w:p>
      <w:pPr>
        <w:spacing w:after="0" w:line="117"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As of December 31, 2022, there was $43.0 million of unrecognized compensation cost related to employee and non-employee unvested stock options and restricted stock units (“RSU’s”) granted under the 2007 and 2015 Plans, which is expected to be recognized over a weighted-average remaining service period of 3.0 years. Stock compensation costs have not been capitalized by the Company. As of December 31, 2022, there was $0.3 million of unrecognized compensation cost related to performance-based options, and $42.7 million of unrecognized compensation expense related to service-based options.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4" w:name="page105"/>
    <w:bookmarkEnd w:id="104"/>
    <w:p>
      <w:pPr>
        <w:ind w:right="80" w:firstLine="509"/>
        <w:spacing w:after="0" w:line="256" w:lineRule="auto"/>
        <w:rPr>
          <w:sz w:val="20"/>
          <w:szCs w:val="20"/>
          <w:color w:val="auto"/>
        </w:rPr>
      </w:pPr>
      <w:r>
        <w:rPr>
          <w:rFonts w:ascii="Arial" w:cs="Arial" w:eastAsia="Arial" w:hAnsi="Arial"/>
          <w:sz w:val="18"/>
          <w:szCs w:val="18"/>
          <w:color w:val="auto"/>
        </w:rPr>
        <w:t>Our stock-based awards are subject to either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the grant date fair value over the requisite service period using the straight-line method to the extent achievement of the performance condition is probable.</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2017, the Company granted 60,000 options with performance conditions (“2017 Performance Awards”), 13,333 of which vested in 2019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6,667 which were cancelled as of December 31, 2019. On January 1, 2021, the Company determined that a second performance had not been achieved.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result of this, the Company cancelled 20,000 options. In the years ended December 31, 2022, 2021 and 2020 the Company recorded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$6,000, $25,000, and $9,000, respectively of stock compensation associated with these awards. As of December 31, 2022, no options remain to vest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2017 Performance Awards.</w:t>
      </w:r>
    </w:p>
    <w:p>
      <w:pPr>
        <w:spacing w:after="0" w:line="210"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In 2019, the Company granted to certain employees 583,000 stock options that contain performance-based vesting criteria (“2019 Performance Awards”), primarily related to the achievement of certain clinical and regulatory development milestones related to product candidates. Additionally, in 2022, the Company granted to certain employees 140,000 performance-based stock options (“2022 Performance Awards”), primarily related to the achievement of certain regulatory development milestones related to product candidates.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w:t>
      </w:r>
    </w:p>
    <w:p>
      <w:pPr>
        <w:spacing w:after="0" w:line="163"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In the fourth quarter of 2020, one performance milestone, for the 2019 Performance Awards, was achieved. The Company recorded approximately $128,000 and $257,000 of stock compensation related to the achievement of the performance milestone for years ended December 31, 2022, and 2021. All other performance milestones were not achieved, and the associated awards have been cancelled. As of December 31, 2022, no options remain to vest under the 2019 Performance awards.</w:t>
      </w:r>
    </w:p>
    <w:p>
      <w:pPr>
        <w:spacing w:after="0" w:line="185" w:lineRule="exact"/>
        <w:rPr>
          <w:sz w:val="20"/>
          <w:szCs w:val="20"/>
          <w:color w:val="auto"/>
        </w:rPr>
      </w:pPr>
    </w:p>
    <w:p>
      <w:pPr>
        <w:ind w:right="220" w:firstLine="509"/>
        <w:spacing w:after="0" w:line="286" w:lineRule="auto"/>
        <w:rPr>
          <w:sz w:val="20"/>
          <w:szCs w:val="20"/>
          <w:color w:val="auto"/>
        </w:rPr>
      </w:pPr>
      <w:r>
        <w:rPr>
          <w:rFonts w:ascii="Arial" w:cs="Arial" w:eastAsia="Arial" w:hAnsi="Arial"/>
          <w:sz w:val="17"/>
          <w:szCs w:val="17"/>
          <w:color w:val="auto"/>
        </w:rPr>
        <w:t>In the first quarter of 2022, management estimated one of the milestones, for the 2022 Performance Awards, was probable of achievement and, as such, the Company recorded approximately $479,000 of stock compensation expense for these awards for the year ended December 31, 2022. As of December 31, 2022, 140,000 stock options outstanding were unvested, and no options had been cancelled.</w:t>
      </w:r>
    </w:p>
    <w:p>
      <w:pPr>
        <w:spacing w:after="0" w:line="164"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In October 2021, in connection with the retirement of two employees, the Company entered into severance and consulting agreements. Under these agreements the Company extended the vesting term for an aggregate of 34,728 unvested options, which would not have otherwise vested and extended the exercise period of the vested options post termination of the consulting agreement. The Company accounted for the change as a modification of an equity award under ASC 718. As a result of the modifications, the Company recognized approximately $0.8 million of incremental stock compensation expense in 2021.</w:t>
      </w:r>
    </w:p>
    <w:p>
      <w:pPr>
        <w:spacing w:after="0" w:line="191"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fair value of each option award is estimated on the date of grant using the Black-Scholes option-pricing model with the weighted-average assumptions noted in the table below. Expected volatility for the Company’s common stock was determined based on an average of the historical volatility of the Company's public stock price. The Company estimated the expected term of its employee stock options using the “simplified” method, whereby, the expected term equals the average of the vesting term and the original contractual term of the option. The contractual life of the option was used for the estimated life of the non-employee grants. The assumed dividend yield is based upon the Company’s expectation of not paying dividends in the foreseeable future. The risk-free interest rate for periods within the expected life of the option is based upon the U.S. Treasury yield curve in effect at the time of grant. The Company accounts for forfeitures when they occur. The grant date fair values of options issued to employees and non-employees were estimated using the Black-Scholes option-pricing model with the following assumptions: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5" w:name="page106"/>
    <w:bookmarkEnd w:id="105"/>
    <w:p>
      <w:pPr>
        <w:ind w:left="7360"/>
        <w:spacing w:after="0"/>
        <w:rPr>
          <w:sz w:val="20"/>
          <w:szCs w:val="20"/>
          <w:color w:val="auto"/>
        </w:rPr>
      </w:pPr>
      <w:r>
        <w:rPr>
          <w:rFonts w:ascii="Arial" w:cs="Arial" w:eastAsia="Arial" w:hAnsi="Arial"/>
          <w:sz w:val="14"/>
          <w:szCs w:val="14"/>
          <w:b w:val="1"/>
          <w:bCs w:val="1"/>
          <w:color w:val="auto"/>
        </w:rPr>
        <w:t>Years Ended December 31,</w:t>
      </w:r>
    </w:p>
    <w:p>
      <w:pPr>
        <w:spacing w:after="0" w:line="24"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220" w:type="dxa"/>
            <w:vAlign w:val="bottom"/>
          </w:tcPr>
          <w:p>
            <w:pPr>
              <w:spacing w:after="0"/>
              <w:rPr>
                <w:sz w:val="14"/>
                <w:szCs w:val="14"/>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17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94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30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28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Volatility rate</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77.87 %</w:t>
            </w:r>
          </w:p>
        </w:tc>
        <w:tc>
          <w:tcPr>
            <w:tcW w:w="9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85.84 %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81.59 %</w:t>
            </w:r>
          </w:p>
        </w:tc>
      </w:tr>
      <w:tr>
        <w:trPr>
          <w:trHeight w:val="242"/>
        </w:trPr>
        <w:tc>
          <w:tcPr>
            <w:tcW w:w="61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2.52 %</w:t>
            </w:r>
          </w:p>
        </w:tc>
        <w:tc>
          <w:tcPr>
            <w:tcW w:w="9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0.67 %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1.20 %</w:t>
            </w:r>
          </w:p>
        </w:tc>
      </w:tr>
      <w:tr>
        <w:trPr>
          <w:trHeight w:val="243"/>
        </w:trPr>
        <w:tc>
          <w:tcPr>
            <w:tcW w:w="61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0.00 %</w:t>
            </w:r>
          </w:p>
        </w:tc>
        <w:tc>
          <w:tcPr>
            <w:tcW w:w="9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0.00 %</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-299085</wp:posOffset>
            </wp:positionV>
            <wp:extent cx="6413500"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9">
                      <a:extLst>
                        <a:ext uri="{28A0092B-C50C-407E-A947-70E740481C1C}"/>
                      </a:extLst>
                    </a:blip>
                    <a:srcRect/>
                    <a:stretch>
                      <a:fillRect/>
                    </a:stretch>
                  </pic:blipFill>
                  <pic:spPr bwMode="auto">
                    <a:xfrm>
                      <a:off x="0" y="0"/>
                      <a:ext cx="6413500" cy="15430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6"/>
          <w:szCs w:val="16"/>
          <w:color w:val="auto"/>
        </w:rPr>
        <w:t>A summary of employee and non-employee option activity under the Company’s equity award plans is presented below (in thousands, except share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5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9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6"/>
                <w:szCs w:val="16"/>
                <w:color w:val="auto"/>
              </w:rPr>
            </w:pPr>
          </w:p>
        </w:tc>
        <w:tc>
          <w:tcPr>
            <w:tcW w:w="90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Outstanding—January 1, 2022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6,921,514</w:t>
            </w: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16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0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3,020,850</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18.39</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(1,276,361 )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Cancelled, forfeited or expired</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(684,326 )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17.84</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Outstanding—December 31, 2022</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7,981,677</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40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88,016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Exercisable—December 31, 2022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4,313,997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Options vested, or expected to</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7,981,677</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800" w:type="dxa"/>
            <w:vAlign w:val="bottom"/>
            <w:tcBorders>
              <w:bottom w:val="single" w:sz="8" w:color="CFF0FC"/>
            </w:tcBorders>
            <w:shd w:val="clear" w:color="auto" w:fill="CFF0FC"/>
          </w:tcPr>
          <w:p>
            <w:pPr>
              <w:ind w:left="140"/>
              <w:spacing w:after="0" w:line="203" w:lineRule="exact"/>
              <w:rPr>
                <w:sz w:val="20"/>
                <w:szCs w:val="20"/>
                <w:color w:val="auto"/>
              </w:rPr>
            </w:pPr>
            <w:r>
              <w:rPr>
                <w:rFonts w:ascii="Arial" w:cs="Arial" w:eastAsia="Arial" w:hAnsi="Arial"/>
                <w:sz w:val="18"/>
                <w:szCs w:val="18"/>
                <w:color w:val="auto"/>
              </w:rPr>
              <w:t>vest—December 31, 2022</w:t>
            </w:r>
          </w:p>
        </w:tc>
        <w:tc>
          <w:tcPr>
            <w:tcW w:w="140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7.3</w:t>
            </w:r>
          </w:p>
        </w:tc>
        <w:tc>
          <w:tcPr>
            <w:tcW w:w="400" w:type="dxa"/>
            <w:vAlign w:val="bottom"/>
            <w:tcBorders>
              <w:bottom w:val="single" w:sz="8" w:color="CFF0FC"/>
            </w:tcBorders>
            <w:gridSpan w:val="2"/>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88,016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-495935</wp:posOffset>
            </wp:positionV>
            <wp:extent cx="68580" cy="2057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0">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The weighted-average grant date fair value of options granted during the years ended December 31, 2022, 2021 and 2020, was $12.64, $14.70, and $7.88 per share, respectively. The fair value is being expensed over the vesting period of the options (usually three to four years) on a straight-line basis as the services are being provided.</w:t>
      </w:r>
    </w:p>
    <w:p>
      <w:pPr>
        <w:spacing w:after="0" w:line="183"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There were 1.3 million options exercised for the year ended December 31, 2022, resulting in total proceeds of $11.5 million; 842,424 options exercised for the year ended December 31, 2021, resulting in total proceeds of $6.3 million; and 755,166 options exercised for the year ended December 31, 2020, resulting in total proceeds of 6.6 million. The intrinsic value of options exercised during the years ended December 31, 2022, 2021 and 2020 was $17.0 million, $10.1 million, and $7.1 million, respectively. In accordance with the Company’s policy, the shares were issued from a pool of shares reserved for issuance under the 2007 and 2015 Plans.</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RSUs awarded to Board of Directors or employees vest on either i) one – year anniversary date of the related grant or ii) 25% on each anniversary for 4 years. The following table summarizes our RSU activity: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400" w:type="dxa"/>
            <w:vAlign w:val="bottom"/>
            <w:vMerge w:val="restart"/>
          </w:tcPr>
          <w:p>
            <w:pPr>
              <w:jc w:val="center"/>
              <w:ind w:left="568"/>
              <w:spacing w:after="0"/>
              <w:rPr>
                <w:sz w:val="20"/>
                <w:szCs w:val="20"/>
                <w:color w:val="auto"/>
              </w:rPr>
            </w:pPr>
            <w:r>
              <w:rPr>
                <w:rFonts w:ascii="Arial" w:cs="Arial" w:eastAsia="Arial" w:hAnsi="Arial"/>
                <w:sz w:val="14"/>
                <w:szCs w:val="14"/>
                <w:b w:val="1"/>
                <w:bCs w:val="1"/>
                <w:color w:val="auto"/>
                <w:w w:val="97"/>
              </w:rPr>
              <w:t>Number of</w:t>
            </w: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300" w:type="dxa"/>
            <w:vAlign w:val="bottom"/>
          </w:tcPr>
          <w:p>
            <w:pPr>
              <w:spacing w:after="0"/>
              <w:rPr>
                <w:sz w:val="16"/>
                <w:szCs w:val="16"/>
                <w:color w:val="auto"/>
              </w:rPr>
            </w:pPr>
          </w:p>
        </w:tc>
        <w:tc>
          <w:tcPr>
            <w:tcW w:w="140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b w:val="1"/>
                <w:bCs w:val="1"/>
                <w:color w:val="auto"/>
                <w:w w:val="85"/>
              </w:rPr>
              <w:t>Shares</w:t>
            </w:r>
          </w:p>
        </w:tc>
        <w:tc>
          <w:tcPr>
            <w:tcW w:w="6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Grant Date Fair Value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Unvested—December 31, 2021</w:t>
            </w:r>
          </w:p>
        </w:tc>
        <w:tc>
          <w:tcPr>
            <w:tcW w:w="14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132,333</w:t>
            </w: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4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2"/>
                <w:szCs w:val="12"/>
                <w:color w:val="auto"/>
              </w:rPr>
              <w:t>(1)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131,205</w:t>
            </w:r>
          </w:p>
        </w:tc>
        <w:tc>
          <w:tcPr>
            <w:tcW w:w="4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15.79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w w:val="94"/>
              </w:rPr>
              <w:t>(38,750 )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4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3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Unvested—December 31, 2022</w:t>
            </w:r>
          </w:p>
        </w:tc>
        <w:tc>
          <w:tcPr>
            <w:tcW w:w="14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224,788</w:t>
            </w:r>
          </w:p>
        </w:tc>
        <w:tc>
          <w:tcPr>
            <w:tcW w:w="46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18.02</w:t>
            </w:r>
          </w:p>
        </w:tc>
        <w:tc>
          <w:tcPr>
            <w:tcW w:w="4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5288280</wp:posOffset>
            </wp:positionH>
            <wp:positionV relativeFrom="paragraph">
              <wp:posOffset>-341630</wp:posOffset>
            </wp:positionV>
            <wp:extent cx="76835" cy="1885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3">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289" w:lineRule="exact"/>
        <w:rPr>
          <w:sz w:val="20"/>
          <w:szCs w:val="20"/>
          <w:color w:val="auto"/>
        </w:rPr>
      </w:pPr>
    </w:p>
    <w:p>
      <w:pPr>
        <w:ind w:right="20" w:firstLine="517"/>
        <w:spacing w:after="0" w:line="277" w:lineRule="auto"/>
        <w:tabs>
          <w:tab w:leader="none" w:pos="732" w:val="left"/>
        </w:tabs>
        <w:numPr>
          <w:ilvl w:val="0"/>
          <w:numId w:val="44"/>
        </w:numPr>
        <w:rPr>
          <w:rFonts w:ascii="Arial" w:cs="Arial" w:eastAsia="Arial" w:hAnsi="Arial"/>
          <w:sz w:val="15"/>
          <w:szCs w:val="15"/>
          <w:color w:val="auto"/>
        </w:rPr>
      </w:pPr>
      <w:r>
        <w:rPr>
          <w:rFonts w:ascii="Arial" w:cs="Arial" w:eastAsia="Arial" w:hAnsi="Arial"/>
          <w:sz w:val="18"/>
          <w:szCs w:val="18"/>
          <w:color w:val="auto"/>
        </w:rPr>
        <w:t>RSU’s granted in 2022 and 2021 had a weighted average grant date fair value of $15.79 and $21.19, respectively. The fair values of RSU’s vested in 2022 and 2021 totaled $705,000 and $60,000,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06" w:name="page107"/>
    <w:bookmarkEnd w:id="106"/>
    <w:p>
      <w:pPr>
        <w:ind w:left="5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In September 2015, the Company’s Board adopted the Employee Stock Purchase Plan (the “ESPP”), which was subsequently approved by the Company’s stockholders and became effective in 2016. The ESPP authorized the initial issuance of up to a total of 250,000 shares of common stock to the Company’s employees. The number of shares of common stock available under the ESPP will automatically increase on January 1st of each year, continuing until the expiration of the ESPP, in an amount equal to the lesser of (a) 1% of the total number of shares of common stock outstanding on December 31st of the preceding calendar year, or (b) 250,000 shares. On January 1, 2023, the shares of common stock reserved for issuance under the ESPP was increased to 1,767,411. Under the terms of the ESPP, eligible employees can elect to acquire shares of the Company’s common stock through periodic payroll deductions during a series of six-month offering periods. Purchases under the ESPP are affected on the last business day of each offering period at a 15% discount to the lower of closing price on that day or the closing price on the first day of the offering period. The Company issued 28,999 and 26,878 shares during 2022 and 2021, respectively.</w:t>
      </w:r>
    </w:p>
    <w:p>
      <w:pPr>
        <w:spacing w:after="0" w:line="178"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The ESPP is considered a compensatory plan with the related compensation cost expensed over the six-month offering period. For the years ended December 31, 2022, 2021 and 2020 the Company recorded stock-based compensation expense related to the ESPP of $166,000, $175,000, and $203,000 respectively.</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Benefit Plan</w:t>
      </w:r>
    </w:p>
    <w:p>
      <w:pPr>
        <w:spacing w:after="0" w:line="117" w:lineRule="exact"/>
        <w:rPr>
          <w:sz w:val="20"/>
          <w:szCs w:val="20"/>
          <w:color w:val="auto"/>
        </w:rPr>
      </w:pPr>
    </w:p>
    <w:p>
      <w:pPr>
        <w:ind w:right="300" w:firstLine="509"/>
        <w:spacing w:after="0" w:line="279" w:lineRule="auto"/>
        <w:rPr>
          <w:sz w:val="20"/>
          <w:szCs w:val="20"/>
          <w:color w:val="auto"/>
        </w:rPr>
      </w:pPr>
      <w:r>
        <w:rPr>
          <w:rFonts w:ascii="Arial" w:cs="Arial" w:eastAsia="Arial" w:hAnsi="Arial"/>
          <w:sz w:val="17"/>
          <w:szCs w:val="17"/>
          <w:color w:val="auto"/>
        </w:rPr>
        <w:t>The Company has a Section 401(k) defined contribution savings plan for its employees. The plan covers substantially all employees who meet minimum age and service requirements and allows participants to defer a portion of their annual compensation on a pretax basis, subject to legal limitations. Company contributions to the plan may be made at the discretion of the Board. For the years ended December 31, 2022, 2021 and 2020, the Company made $712,000, $444,000, and $250,000 contributions to the plan,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Loan Payable</w:t>
      </w:r>
    </w:p>
    <w:p>
      <w:pPr>
        <w:spacing w:after="0" w:line="121" w:lineRule="exact"/>
        <w:rPr>
          <w:sz w:val="20"/>
          <w:szCs w:val="20"/>
          <w:color w:val="auto"/>
        </w:rPr>
      </w:pPr>
    </w:p>
    <w:p>
      <w:pPr>
        <w:ind w:right="320" w:firstLine="509"/>
        <w:spacing w:after="0" w:line="256" w:lineRule="auto"/>
        <w:rPr>
          <w:sz w:val="20"/>
          <w:szCs w:val="20"/>
          <w:color w:val="auto"/>
        </w:rPr>
      </w:pPr>
      <w:r>
        <w:rPr>
          <w:rFonts w:ascii="Arial" w:cs="Arial" w:eastAsia="Arial" w:hAnsi="Arial"/>
          <w:sz w:val="18"/>
          <w:szCs w:val="18"/>
          <w:color w:val="auto"/>
        </w:rPr>
        <w:t>In February 2020, the Company entered into a loan and security agreement (the “Loan Agreement”) with Hercules Capital, Inc. (“Hercules”). In December 2021, the Company entered into Amendment No. 1 to the Company’s Loan Agreement (the “First Amendment” and the Loan Agreement, as amended, the “Amended Loan Agreement”) with several banks and financial institutions or entities from time-to-time party thereto (collectively, the “Lender”) and Hercules, in its capacity as administrative agent for itself and the Lender. The Company terminated the Amended Loan Agreement in September 2022.</w:t>
      </w:r>
    </w:p>
    <w:p>
      <w:pPr>
        <w:spacing w:after="0" w:line="19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The First Amendment provided for an aggregate maximum borrowing of up to $80.0 million, consisting of three tranches, including a term loan of up to $20.0 million (the “Initial Advance”). Borrowings under the Amended Loan Agreement were collateralized by substantially all of the Company's and its subsidiaries personal property and other assets, other than its intellectual property.</w:t>
      </w:r>
    </w:p>
    <w:p>
      <w:pPr>
        <w:spacing w:after="0" w:line="183"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 xml:space="preserve">The Company was obligated to make monthly interest-only payments through January 1, 2023. Borrowings under the Amended Loan Agreement bore interest at an annual interest rate from the greater of (y) 9.25% or (z) 6.00% plus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prime rate. After the Interest-Only Period (as defined in the Amended Loan Agreement), borrowings under the Amended Loan Agreement were repayable in equal monthly payments of principal and accrued interest until the maturity date of the loan. At the Company’s option, the Company could prepay all, but not less than all, of the outstanding borrowings, subject to a prepayment premium equal to (i) 2.0% of the principal amount outstanding if the prepayment occurs during the first year following the First Amendment, (ii) 1.5% of the principal amount outstanding if the prepayment occurs during the second year following the First Amendment, and</w:t>
      </w:r>
    </w:p>
    <w:p>
      <w:pPr>
        <w:spacing w:after="0" w:line="3" w:lineRule="exact"/>
        <w:rPr>
          <w:sz w:val="20"/>
          <w:szCs w:val="20"/>
          <w:color w:val="auto"/>
        </w:rPr>
      </w:pPr>
    </w:p>
    <w:p>
      <w:pPr>
        <w:ind w:firstLine="8"/>
        <w:spacing w:after="0" w:line="289" w:lineRule="auto"/>
        <w:tabs>
          <w:tab w:leader="none" w:pos="314" w:val="left"/>
        </w:tabs>
        <w:numPr>
          <w:ilvl w:val="0"/>
          <w:numId w:val="45"/>
        </w:numPr>
        <w:rPr>
          <w:rFonts w:ascii="Arial" w:cs="Arial" w:eastAsia="Arial" w:hAnsi="Arial"/>
          <w:sz w:val="17"/>
          <w:szCs w:val="17"/>
          <w:color w:val="auto"/>
        </w:rPr>
      </w:pPr>
      <w:r>
        <w:rPr>
          <w:rFonts w:ascii="Arial" w:cs="Arial" w:eastAsia="Arial" w:hAnsi="Arial"/>
          <w:sz w:val="17"/>
          <w:szCs w:val="17"/>
          <w:color w:val="auto"/>
        </w:rPr>
        <w:t>1.0% of the principal amount outstanding at any time thereafter but prior to the maturity date. The Amended Loan Agreement also applied a 4.99% end of term charge to any future draws payable on the maturity date. The Company was accruing the final payment over the term of the debt.</w:t>
      </w:r>
    </w:p>
    <w:p>
      <w:pPr>
        <w:spacing w:after="0" w:line="162" w:lineRule="exact"/>
        <w:rPr>
          <w:sz w:val="20"/>
          <w:szCs w:val="20"/>
          <w:color w:val="auto"/>
        </w:rPr>
      </w:pPr>
    </w:p>
    <w:p>
      <w:pPr>
        <w:jc w:val="both"/>
        <w:ind w:right="140" w:firstLine="509"/>
        <w:spacing w:after="0" w:line="311" w:lineRule="auto"/>
        <w:rPr>
          <w:sz w:val="20"/>
          <w:szCs w:val="20"/>
          <w:color w:val="auto"/>
        </w:rPr>
      </w:pPr>
      <w:r>
        <w:rPr>
          <w:rFonts w:ascii="Arial" w:cs="Arial" w:eastAsia="Arial" w:hAnsi="Arial"/>
          <w:sz w:val="16"/>
          <w:szCs w:val="16"/>
          <w:color w:val="auto"/>
        </w:rPr>
        <w:t>On September 23, 2022, the Company made a prepayment of $21.5 million to satisfy in full all of the Company's principal and interest obligations and related fees under the Amended Loan Agreement. The payoff amount paid by the Company in connection with the termination of the Amended Loan Agreement was pursuant to a payoff letter with Hercules and included payment of (a) $1.0 million as an end-of term fee and (b) $0.4 million as a</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07" w:name="page108"/>
    <w:bookmarkEnd w:id="107"/>
    <w:p>
      <w:pPr>
        <w:ind w:right="60"/>
        <w:spacing w:after="0" w:line="277" w:lineRule="auto"/>
        <w:rPr>
          <w:sz w:val="20"/>
          <w:szCs w:val="20"/>
          <w:color w:val="auto"/>
        </w:rPr>
      </w:pPr>
      <w:r>
        <w:rPr>
          <w:rFonts w:ascii="Arial" w:cs="Arial" w:eastAsia="Arial" w:hAnsi="Arial"/>
          <w:sz w:val="18"/>
          <w:szCs w:val="18"/>
          <w:color w:val="auto"/>
        </w:rPr>
        <w:t>pre-payment fee. Hercules released all security interests held on the assets of the Company and its subsidiaries. The Amended Loan Agreement was fully terminated as of September 23, 2022.</w:t>
      </w:r>
    </w:p>
    <w:p>
      <w:pPr>
        <w:spacing w:after="0" w:line="16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During the years ended December 31, 2022 and 2021, the Company recognized $2.1 million, which included $0.4 million of pre-payment fee, and $1.9 million, respectively, of interest expense related to the Initial Advance pursuant to the Amended Loan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right="200" w:firstLine="509"/>
        <w:spacing w:after="0" w:line="286" w:lineRule="auto"/>
        <w:rPr>
          <w:sz w:val="20"/>
          <w:szCs w:val="20"/>
          <w:color w:val="auto"/>
        </w:rPr>
      </w:pPr>
      <w:r>
        <w:rPr>
          <w:rFonts w:ascii="Arial" w:cs="Arial" w:eastAsia="Arial" w:hAnsi="Arial"/>
          <w:sz w:val="17"/>
          <w:szCs w:val="17"/>
          <w:color w:val="auto"/>
        </w:rPr>
        <w:t>The Company has not recorded any net tax provision for the periods presented due to the utilization of tax attributes to offset current year federal and state taxable income, the historical losses incurred, and the need for a full valuation allowance on deferred tax assets. The Company’s current year profit and historical losses before income tax for the periods presented was generated entirely in the United States.</w:t>
      </w:r>
    </w:p>
    <w:p>
      <w:pPr>
        <w:spacing w:after="0" w:line="164"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 reconciliation of the provision for income taxes computed at the statutory federal income tax rate to the provision for income taxes as reflected in the financial statements is as follows: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6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w w:val="97"/>
              </w:rPr>
              <w:t>Years Ended December 31,</w:t>
            </w: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r>
      <w:tr>
        <w:trPr>
          <w:trHeight w:val="224"/>
        </w:trPr>
        <w:tc>
          <w:tcPr>
            <w:tcW w:w="6620" w:type="dxa"/>
            <w:vAlign w:val="bottom"/>
          </w:tcPr>
          <w:p>
            <w:pPr>
              <w:spacing w:after="0"/>
              <w:rPr>
                <w:sz w:val="20"/>
                <w:szCs w:val="20"/>
                <w:color w:val="auto"/>
              </w:rPr>
            </w:pPr>
            <w:r>
              <w:rPr>
                <w:rFonts w:ascii="Arial" w:cs="Arial" w:eastAsia="Arial" w:hAnsi="Arial"/>
                <w:sz w:val="18"/>
                <w:szCs w:val="18"/>
                <w:color w:val="auto"/>
              </w:rPr>
              <w:t>Income tax computed at federal statutory rate</w:t>
            </w:r>
          </w:p>
        </w:tc>
        <w:tc>
          <w:tcPr>
            <w:tcW w:w="100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66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2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6620" w:type="dxa"/>
            <w:vAlign w:val="bottom"/>
          </w:tcPr>
          <w:p>
            <w:pPr>
              <w:spacing w:after="0"/>
              <w:rPr>
                <w:sz w:val="20"/>
                <w:szCs w:val="20"/>
                <w:color w:val="auto"/>
              </w:rPr>
            </w:pPr>
            <w:r>
              <w:rPr>
                <w:rFonts w:ascii="Arial" w:cs="Arial" w:eastAsia="Arial" w:hAnsi="Arial"/>
                <w:sz w:val="18"/>
                <w:szCs w:val="18"/>
                <w:color w:val="auto"/>
              </w:rPr>
              <w:t>General business credit carryovers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2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0.9 %</w:t>
            </w:r>
          </w:p>
        </w:tc>
      </w:tr>
      <w:tr>
        <w:trPr>
          <w:trHeight w:val="243"/>
        </w:trPr>
        <w:tc>
          <w:tcPr>
            <w:tcW w:w="66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2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0.0 %</w:t>
            </w:r>
          </w:p>
        </w:tc>
      </w:tr>
      <w:tr>
        <w:trPr>
          <w:trHeight w:val="243"/>
        </w:trPr>
        <w:tc>
          <w:tcPr>
            <w:tcW w:w="66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-24.1 %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-19.2 %</w:t>
            </w:r>
          </w:p>
        </w:tc>
        <w:tc>
          <w:tcPr>
            <w:tcW w:w="2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-23.7 %</w:t>
            </w:r>
          </w:p>
        </w:tc>
      </w:tr>
      <w:tr>
        <w:trPr>
          <w:trHeight w:val="243"/>
        </w:trPr>
        <w:tc>
          <w:tcPr>
            <w:tcW w:w="6620" w:type="dxa"/>
            <w:vAlign w:val="bottom"/>
          </w:tcPr>
          <w:p>
            <w:pPr>
              <w:spacing w:after="0"/>
              <w:rPr>
                <w:sz w:val="20"/>
                <w:szCs w:val="20"/>
                <w:color w:val="auto"/>
              </w:rPr>
            </w:pPr>
            <w:r>
              <w:rPr>
                <w:rFonts w:ascii="Arial" w:cs="Arial" w:eastAsia="Arial" w:hAnsi="Arial"/>
                <w:sz w:val="18"/>
                <w:szCs w:val="18"/>
                <w:color w:val="auto"/>
              </w:rPr>
              <w:t>Return to provision true up</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2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0.0 %</w:t>
            </w:r>
          </w:p>
        </w:tc>
      </w:tr>
      <w:tr>
        <w:trPr>
          <w:trHeight w:val="256"/>
        </w:trPr>
        <w:tc>
          <w:tcPr>
            <w:tcW w:w="6620" w:type="dxa"/>
            <w:vAlign w:val="bottom"/>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24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0.0 %</w:t>
            </w:r>
          </w:p>
        </w:tc>
      </w:tr>
      <w:tr>
        <w:trPr>
          <w:trHeight w:val="20"/>
        </w:trPr>
        <w:tc>
          <w:tcPr>
            <w:tcW w:w="6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66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8"/>
                <w:szCs w:val="18"/>
                <w:color w:val="auto"/>
                <w:highlight w:val="white"/>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8"/>
                <w:szCs w:val="18"/>
                <w:color w:val="auto"/>
                <w:highlight w:val="white"/>
              </w:rPr>
              <w:t>%</w:t>
            </w: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8"/>
                <w:szCs w:val="18"/>
                <w:color w:val="auto"/>
                <w:highlight w:val="white"/>
              </w:rPr>
              <w:t>%</w:t>
            </w:r>
          </w:p>
        </w:tc>
      </w:tr>
      <w:tr>
        <w:trPr>
          <w:trHeight w:val="20"/>
        </w:trPr>
        <w:tc>
          <w:tcPr>
            <w:tcW w:w="6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-1266825</wp:posOffset>
            </wp:positionV>
            <wp:extent cx="641350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6">
                      <a:extLst>
                        <a:ext uri="{28A0092B-C50C-407E-A947-70E740481C1C}"/>
                      </a:extLst>
                    </a:blip>
                    <a:srcRect/>
                    <a:stretch>
                      <a:fillRect/>
                    </a:stretch>
                  </pic:blipFill>
                  <pic:spPr bwMode="auto">
                    <a:xfrm>
                      <a:off x="0" y="0"/>
                      <a:ext cx="6413500" cy="15430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-958215</wp:posOffset>
            </wp:positionV>
            <wp:extent cx="641350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7">
                      <a:extLst>
                        <a:ext uri="{28A0092B-C50C-407E-A947-70E740481C1C}"/>
                      </a:extLst>
                    </a:blip>
                    <a:srcRect/>
                    <a:stretch>
                      <a:fillRect/>
                    </a:stretch>
                  </pic:blipFill>
                  <pic:spPr bwMode="auto">
                    <a:xfrm>
                      <a:off x="0" y="0"/>
                      <a:ext cx="6413500" cy="15430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-650240</wp:posOffset>
            </wp:positionV>
            <wp:extent cx="641350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8">
                      <a:extLst>
                        <a:ext uri="{28A0092B-C50C-407E-A947-70E740481C1C}"/>
                      </a:extLst>
                    </a:blip>
                    <a:srcRect/>
                    <a:stretch>
                      <a:fillRect/>
                    </a:stretch>
                  </pic:blipFill>
                  <pic:spPr bwMode="auto">
                    <a:xfrm>
                      <a:off x="0" y="0"/>
                      <a:ext cx="6413500" cy="15430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-341630</wp:posOffset>
            </wp:positionV>
            <wp:extent cx="6413500" cy="162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9">
                      <a:extLst>
                        <a:ext uri="{28A0092B-C50C-407E-A947-70E740481C1C}"/>
                      </a:extLst>
                    </a:blip>
                    <a:srcRect/>
                    <a:stretch>
                      <a:fillRect/>
                    </a:stretch>
                  </pic:blipFill>
                  <pic:spPr bwMode="auto">
                    <a:xfrm>
                      <a:off x="0" y="0"/>
                      <a:ext cx="6413500" cy="162560"/>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significant components of the Company’s deferred tax are as follows (in thousands):</w:t>
      </w:r>
    </w:p>
    <w:p>
      <w:pPr>
        <w:spacing w:after="0" w:line="257"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Years Ended</w:t>
      </w:r>
    </w:p>
    <w:p>
      <w:pPr>
        <w:spacing w:after="0" w:line="3"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75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 (liabilities):</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58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23,650</w:t>
            </w:r>
          </w:p>
        </w:tc>
        <w:tc>
          <w:tcPr>
            <w:tcW w:w="2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17,642</w:t>
            </w: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 credits</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ind w:left="180"/>
              <w:spacing w:after="0"/>
              <w:rPr>
                <w:sz w:val="20"/>
                <w:szCs w:val="20"/>
                <w:color w:val="auto"/>
              </w:rPr>
            </w:pPr>
            <w:r>
              <w:rPr>
                <w:rFonts w:ascii="Arial" w:cs="Arial" w:eastAsia="Arial" w:hAnsi="Arial"/>
                <w:sz w:val="18"/>
                <w:szCs w:val="18"/>
                <w:color w:val="auto"/>
              </w:rPr>
              <w:t>Capitalized start-up and other costs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45,374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34,898</w:t>
            </w: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Capitalized research and development costs</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48,917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31,365</w:t>
            </w: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ind w:left="180"/>
              <w:spacing w:after="0"/>
              <w:rPr>
                <w:sz w:val="20"/>
                <w:szCs w:val="20"/>
                <w:color w:val="auto"/>
              </w:rPr>
            </w:pPr>
            <w:r>
              <w:rPr>
                <w:rFonts w:ascii="Arial" w:cs="Arial" w:eastAsia="Arial" w:hAnsi="Arial"/>
                <w:sz w:val="18"/>
                <w:szCs w:val="18"/>
                <w:color w:val="auto"/>
              </w:rPr>
              <w:t>Equity based compensation</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6,277</w:t>
            </w:r>
          </w:p>
        </w:tc>
        <w:tc>
          <w:tcPr>
            <w:tcW w:w="100" w:type="dxa"/>
            <w:vAlign w:val="bottom"/>
          </w:tcPr>
          <w:p>
            <w:pPr>
              <w:spacing w:after="0"/>
              <w:rPr>
                <w:sz w:val="20"/>
                <w:szCs w:val="20"/>
                <w:color w:val="auto"/>
              </w:rPr>
            </w:pPr>
          </w:p>
        </w:tc>
      </w:tr>
      <w:tr>
        <w:trPr>
          <w:trHeight w:val="249"/>
        </w:trPr>
        <w:tc>
          <w:tcPr>
            <w:tcW w:w="7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Accruals</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ind w:left="180"/>
              <w:spacing w:after="0"/>
              <w:rPr>
                <w:sz w:val="20"/>
                <w:szCs w:val="20"/>
                <w:color w:val="auto"/>
              </w:rPr>
            </w:pPr>
            <w:r>
              <w:rPr>
                <w:rFonts w:ascii="Arial" w:cs="Arial" w:eastAsia="Arial" w:hAnsi="Arial"/>
                <w:sz w:val="18"/>
                <w:szCs w:val="18"/>
                <w:color w:val="auto"/>
              </w:rPr>
              <w:t>Other temporary differences</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r>
      <w:tr>
        <w:trPr>
          <w:trHeight w:val="242"/>
        </w:trPr>
        <w:tc>
          <w:tcPr>
            <w:tcW w:w="7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Deferred tax assets before valuation allowance</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133,081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97,150</w:t>
            </w:r>
          </w:p>
        </w:tc>
        <w:tc>
          <w:tcPr>
            <w:tcW w:w="100" w:type="dxa"/>
            <w:vAlign w:val="bottom"/>
            <w:shd w:val="clear" w:color="auto" w:fill="CFF0FC"/>
          </w:tcPr>
          <w:p>
            <w:pPr>
              <w:spacing w:after="0"/>
              <w:rPr>
                <w:sz w:val="21"/>
                <w:szCs w:val="21"/>
                <w:color w:val="auto"/>
              </w:rPr>
            </w:pPr>
          </w:p>
        </w:tc>
      </w:tr>
      <w:tr>
        <w:trPr>
          <w:trHeight w:val="236"/>
        </w:trPr>
        <w:tc>
          <w:tcPr>
            <w:tcW w:w="7580" w:type="dxa"/>
            <w:vAlign w:val="bottom"/>
          </w:tcPr>
          <w:p>
            <w:pPr>
              <w:spacing w:after="0"/>
              <w:rPr>
                <w:sz w:val="20"/>
                <w:szCs w:val="20"/>
                <w:color w:val="auto"/>
              </w:rPr>
            </w:pPr>
            <w:r>
              <w:rPr>
                <w:rFonts w:ascii="Arial" w:cs="Arial" w:eastAsia="Arial" w:hAnsi="Arial"/>
                <w:sz w:val="18"/>
                <w:szCs w:val="18"/>
                <w:color w:val="auto"/>
              </w:rPr>
              <w:t>Valuation allowances</w:t>
            </w:r>
          </w:p>
        </w:tc>
        <w:tc>
          <w:tcPr>
            <w:tcW w:w="2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(133,081 )</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(97,150 )</w:t>
            </w:r>
          </w:p>
        </w:tc>
      </w:tr>
      <w:tr>
        <w:trPr>
          <w:trHeight w:val="276"/>
        </w:trPr>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1"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Company has provided a valuation allowance for the full amount of the net deferred tax assets as the realization of the deferred tax assets is not determined to be more likely than not. The valuation allowance increased by $35.9 million in 2022 due to the increase in deferred tax assets, primarily driven by the generation of net operating losses and capitalized start-up costs, partially offset by a decrease to other deferred tax assets. The valuation allowance decreased by $4.8 million in 2021 due to the decrease in deferred tax assets, primarily driven by utilization of tax attributes to offset federal and state taxable income, partially offset by an increase to other deferred tax assets.</w:t>
      </w:r>
    </w:p>
    <w:p>
      <w:pPr>
        <w:spacing w:after="0" w:line="191"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As of December 31, 2022, the Company had approximately $99.6 million and $42.8 million in federal and state Net Operating Losses (“NOLs”), respectively, which may be available to offset future taxable income. The Company has generated federal NOLs of $77.5 million which have an indefinite carryforward period. The remaining $22.1 million of federal NOLs and the Company’s state NOLs will begin to expire at various dates starting in 2026.</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108" w:name="page109"/>
    <w:bookmarkEnd w:id="108"/>
    <w:p>
      <w:pPr>
        <w:ind w:right="160" w:firstLine="509"/>
        <w:spacing w:after="0" w:line="277" w:lineRule="auto"/>
        <w:rPr>
          <w:sz w:val="20"/>
          <w:szCs w:val="20"/>
          <w:color w:val="auto"/>
        </w:rPr>
      </w:pPr>
      <w:r>
        <w:rPr>
          <w:rFonts w:ascii="Arial" w:cs="Arial" w:eastAsia="Arial" w:hAnsi="Arial"/>
          <w:sz w:val="18"/>
          <w:szCs w:val="18"/>
          <w:color w:val="auto"/>
        </w:rPr>
        <w:t>As of December 31, 2022, the Company had federal and state research credits of $5.7 million and $3.2 million, respectively, which began to expire in 2022.</w:t>
      </w:r>
    </w:p>
    <w:p>
      <w:pPr>
        <w:spacing w:after="0" w:line="169"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Realization of future tax benefits is dependent on many factors, including the Company’s ability to generate taxable income within the net operating loss carryforward period. Under the Internal Revenue Code provisions, certain substantial changes in the Company’s ownership, including the sale of the Company or significant changes in ownership due to sales of equity, may have limited, or may limit in the future, the amount of net operating loss carryforwards which could be used annually to offset future taxable income. The Company completed an analysis through December 31, 2020, and determined that on March 30, 2007, August 21, 2015 and May 4, 2020 ownership changes had occurred. The Company may also experience ownership changes in the future as a result of subsequent shifts in our stock ownership, some of which may be outside of our control. As a result, its ability to use its pre-change NOLs to offset U.S. federal taxable income may be subject to limitations, which could potentially result in increased future tax liability. In addition, at the state level, there may be periods during which the use of NOLs is suspended or otherwise limited, which could accelerate or permanently increase state taxes owed.</w:t>
      </w:r>
    </w:p>
    <w:p>
      <w:pPr>
        <w:spacing w:after="0" w:line="178"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The Coronavirus Aid, Relief and Economic Security Act (CARES Act) was enacted in the United States on March 27, 2020. The CARES Act is an emergency economic stimulus package that includes spending and tax breaks to strengthen the United States economy and fund a nationwide effort to curtail the effect of COVID-19. While the CARES Act provides extensive tax changes in response to the COVID-19 pandemic, the provisions did not have a significant impact on the Company's financial results. Beginning in 2022, the Tax Cuts and Jobs Act of 2017 (“TCJA”) eliminates the option to deduct research and development expenditures currently and requires taxpayers to amortize them, over five years for domestically incurred expenditures and over fifteen years for foreign incurred expenditures, pursuant to IRC Section 174. As of December 31, 2022, the Company has recorded a deferred tax asset of $48.9 million related to the Capitalized IRC Section 174 expenditures, of which $22.2 million relate to expenses required to be capitalized under the TCJA.</w:t>
      </w:r>
    </w:p>
    <w:p>
      <w:pPr>
        <w:spacing w:after="0" w:line="164"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As of December 31, 2022, and 2021, the Company had uncertain tax positions of $0.1 million related to research and development credits, which reduce the deferred tax assets with a corresponding decrease to the valuation allowance. The Company has elected to recognize interest and penalties related to income tax matters as a component of income tax expense, of which no interest or penalties were recorded for the years ended December 31, 2022 and 2021. The Company expects none of the unrecognized tax benefits to decrease within the next 12 months related to expired statutes or settlement with the taxing authorities. Due to the Company’s valuation allowance as of December 31, 2022, none of the Company’s unrecognized tax benefits, if recognized, would affect the effective tax rate.</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Company’s unrecognized tax benefits is as follows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benefit--beginning of year</w:t>
            </w:r>
          </w:p>
        </w:tc>
        <w:tc>
          <w:tcPr>
            <w:tcW w:w="640" w:type="dxa"/>
            <w:vAlign w:val="bottom"/>
            <w:shd w:val="clear" w:color="auto" w:fill="CFF0FC"/>
          </w:tcPr>
          <w:p>
            <w:pPr>
              <w:jc w:val="right"/>
              <w:ind w:right="45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163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Decreases related to prior period positions</w:t>
            </w:r>
          </w:p>
        </w:tc>
        <w:tc>
          <w:tcPr>
            <w:tcW w:w="64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(20 )</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6"/>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tax benefit--end of year</w:t>
            </w:r>
          </w:p>
        </w:tc>
        <w:tc>
          <w:tcPr>
            <w:tcW w:w="64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143</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-24765</wp:posOffset>
            </wp:positionV>
            <wp:extent cx="596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59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Company files tax returns in the U.S. and various states. All tax years since inception (October 11, 2005) remain open to examination by major tax jurisdictions to which the Company is subject, as carryforward attributes generated in years past may still be adjusted upon examination by the Internal Revenue Service or state tax authorities if they have or will be used in a future period. The Company is currently not under examination by the Internal Revenue Service or any other jurisdictions for any tax years.</w:t>
      </w:r>
    </w:p>
    <w:p>
      <w:pPr>
        <w:spacing w:after="0" w:line="289" w:lineRule="exact"/>
        <w:rPr>
          <w:sz w:val="20"/>
          <w:szCs w:val="20"/>
          <w:color w:val="auto"/>
        </w:rPr>
      </w:pPr>
    </w:p>
    <w:p>
      <w:pPr>
        <w:ind w:left="520" w:right="8420" w:hanging="512"/>
        <w:spacing w:after="0" w:line="453" w:lineRule="auto"/>
        <w:tabs>
          <w:tab w:leader="none" w:pos="281"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License Agreements</w:t>
      </w:r>
    </w:p>
    <w:p>
      <w:pPr>
        <w:ind w:firstLine="509"/>
        <w:spacing w:after="0" w:line="263" w:lineRule="auto"/>
        <w:rPr>
          <w:sz w:val="20"/>
          <w:szCs w:val="20"/>
          <w:color w:val="auto"/>
        </w:rPr>
      </w:pPr>
      <w:r>
        <w:rPr>
          <w:rFonts w:ascii="Arial" w:cs="Arial" w:eastAsia="Arial" w:hAnsi="Arial"/>
          <w:sz w:val="18"/>
          <w:szCs w:val="18"/>
          <w:color w:val="auto"/>
        </w:rPr>
        <w:t>Incyte – In September 2021, the Company entered into the Incyte Agreement and Incyte Stock Purchase Agreement. Under the terms of the Incyte Agreement, Incyte will receive exclusive commercialization rights of axatilimab outside of the United States. In the United States, Incyte and the Company will co-commercialize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9" w:name="page110"/>
    <w:bookmarkEnd w:id="109"/>
    <w:p>
      <w:pPr>
        <w:jc w:val="both"/>
        <w:ind w:right="80"/>
        <w:spacing w:after="0" w:line="263" w:lineRule="auto"/>
        <w:rPr>
          <w:sz w:val="20"/>
          <w:szCs w:val="20"/>
          <w:color w:val="auto"/>
        </w:rPr>
      </w:pPr>
      <w:r>
        <w:rPr>
          <w:rFonts w:ascii="Arial" w:cs="Arial" w:eastAsia="Arial" w:hAnsi="Arial"/>
          <w:sz w:val="18"/>
          <w:szCs w:val="18"/>
          <w:color w:val="auto"/>
        </w:rPr>
        <w:t>axatilimab, with the Company having the right to co-promote the product with Incyte. In exchange for these rights, Incyte agreed to pay a non-refundable cash payment of $117 million and in addition a $35 million equity investment. In certain cases, the Company is required to assist Incyte and is responsible for 45% of development costs associated with global and U.S. specific clinical trials.</w:t>
      </w:r>
    </w:p>
    <w:p>
      <w:pPr>
        <w:spacing w:after="0" w:line="183"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Eddingpharm—In April 2013, the Company entered into a License and Development Agreement (the “Eddingpharm License Agreement”) and a Series B-1 purchase agreement (the “Eddingpharm Purchase Agreement”) with Eddingpharm International Company Limited (“Eddingpharm”). Under the terms of the Eddingpharm License Agreement, Eddingpharm, in exchange for rights to develop and commercialize entinostat in China and certain other Asian countries, purchased $5.0 million of Series B-1 and agreed to make certain contingent milestone and royalty payments based on revenue targets. In certain cases, the Company is required to assist Eddingpharm, and Eddingpharm is required to reimburse the Company for any out-of-pocket expenses incurred in providing this assistance, including reimbursement for person-hours above a certain cap.</w:t>
      </w:r>
    </w:p>
    <w:p>
      <w:pPr>
        <w:spacing w:after="0" w:line="176"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December 31, 2022, or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Cash Flow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Interest paid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2,059</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1,997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Investing and Financing</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69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Activities:</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Issuance costs included in accounts payable and accrued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60"/>
        </w:trPr>
        <w:tc>
          <w:tcPr>
            <w:tcW w:w="580" w:type="dxa"/>
            <w:vAlign w:val="bottom"/>
          </w:tcPr>
          <w:p>
            <w:pPr>
              <w:spacing w:after="0"/>
              <w:rPr>
                <w:sz w:val="24"/>
                <w:szCs w:val="24"/>
                <w:color w:val="auto"/>
              </w:rPr>
            </w:pPr>
          </w:p>
        </w:tc>
        <w:tc>
          <w:tcPr>
            <w:tcW w:w="6960" w:type="dxa"/>
            <w:vAlign w:val="bottom"/>
          </w:tcPr>
          <w:p>
            <w:pPr>
              <w:ind w:left="4880"/>
              <w:spacing w:after="0"/>
              <w:rPr>
                <w:sz w:val="20"/>
                <w:szCs w:val="20"/>
                <w:color w:val="auto"/>
              </w:rPr>
            </w:pPr>
            <w:r>
              <w:rPr>
                <w:rFonts w:ascii="Arial" w:cs="Arial" w:eastAsia="Arial" w:hAnsi="Arial"/>
                <w:sz w:val="18"/>
                <w:szCs w:val="18"/>
                <w:color w:val="auto"/>
              </w:rPr>
              <w:t>F-29</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69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0"/>
          <w:szCs w:val="20"/>
          <w:color w:val="auto"/>
        </w:rPr>
        <w:t>Exhibit 10.24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SYNDAX PHARMACEUTICALS,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&amp; RESTATED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COMPENSATION POLICY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February 2, 2023</w:t>
      </w:r>
    </w:p>
    <w:p>
      <w:pPr>
        <w:spacing w:after="0" w:line="234"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8"/>
          <w:szCs w:val="18"/>
          <w:color w:val="auto"/>
        </w:rPr>
        <w:t>Each member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who is not also serving as an employee of Syndax 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any of its subsidiaries will receive the compensation described in this Amended and Restated Non-Employee Director Compensation Policy for his or her Board service. This policy may be amended at any time in the sole discretion of the Board.</w:t>
      </w:r>
    </w:p>
    <w:p>
      <w:pPr>
        <w:spacing w:after="0" w:line="16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Each non-employee director serving on the Board of the Company will receive an annual base cash fee for his or her services of $43,470. Each non-employee director other than the non-executive chairperson of the Board (the “</w:t>
      </w:r>
      <w:r>
        <w:rPr>
          <w:rFonts w:ascii="Arial" w:cs="Arial" w:eastAsia="Arial" w:hAnsi="Arial"/>
          <w:sz w:val="19"/>
          <w:szCs w:val="19"/>
          <w:b w:val="1"/>
          <w:bCs w:val="1"/>
          <w:i w:val="1"/>
          <w:iCs w:val="1"/>
          <w:color w:val="auto"/>
        </w:rPr>
        <w:t>Chair</w:t>
      </w:r>
      <w:r>
        <w:rPr>
          <w:rFonts w:ascii="Arial" w:cs="Arial" w:eastAsia="Arial" w:hAnsi="Arial"/>
          <w:sz w:val="19"/>
          <w:szCs w:val="19"/>
          <w:color w:val="auto"/>
        </w:rPr>
        <w:t>”) shall also receive an annual award of deferred settlement restricted stock units to purchase 16,000 shares and the Chair shall also receive an annual award of deferred settlement restricted stock units to purchase 32,000 shares (each as adjusted for stock splits, stock dividends, recapitalization and similar events) of the Company’s common stock on the same date that the Board awards annual stock option grants to the Company’s executive officers (each an “</w:t>
      </w:r>
      <w:r>
        <w:rPr>
          <w:rFonts w:ascii="Arial" w:cs="Arial" w:eastAsia="Arial" w:hAnsi="Arial"/>
          <w:sz w:val="19"/>
          <w:szCs w:val="19"/>
          <w:b w:val="1"/>
          <w:bCs w:val="1"/>
          <w:i w:val="1"/>
          <w:iCs w:val="1"/>
          <w:color w:val="auto"/>
        </w:rPr>
        <w:t>Annual Option Award</w:t>
      </w:r>
      <w:r>
        <w:rPr>
          <w:rFonts w:ascii="Arial" w:cs="Arial" w:eastAsia="Arial" w:hAnsi="Arial"/>
          <w:sz w:val="19"/>
          <w:szCs w:val="19"/>
          <w:color w:val="auto"/>
        </w:rPr>
        <w:t>”). Each Annual Option Award will vest on the one-year anniversary of the date of grant, subject to the director’s continued service to the Company.</w:t>
      </w:r>
    </w:p>
    <w:p>
      <w:pPr>
        <w:spacing w:after="0" w:line="196" w:lineRule="exact"/>
        <w:rPr>
          <w:sz w:val="20"/>
          <w:szCs w:val="20"/>
          <w:color w:val="auto"/>
        </w:rPr>
      </w:pPr>
    </w:p>
    <w:p>
      <w:pPr>
        <w:jc w:val="both"/>
        <w:ind w:right="20" w:firstLine="749"/>
        <w:spacing w:after="0" w:line="269" w:lineRule="auto"/>
        <w:rPr>
          <w:sz w:val="20"/>
          <w:szCs w:val="20"/>
          <w:color w:val="auto"/>
        </w:rPr>
      </w:pPr>
      <w:r>
        <w:rPr>
          <w:rFonts w:ascii="Arial" w:cs="Arial" w:eastAsia="Arial" w:hAnsi="Arial"/>
          <w:sz w:val="19"/>
          <w:szCs w:val="19"/>
          <w:color w:val="auto"/>
        </w:rPr>
        <w:t>Newly appointed non-employee directors will receive at the time of his or her appointment to the Board, a one-time initial award of options to purchase 35,000 shares (as adjusted for stock splits, stock dividends, recapitalization and similar events) of the Company’s common stock (the “</w:t>
      </w:r>
      <w:r>
        <w:rPr>
          <w:rFonts w:ascii="Arial" w:cs="Arial" w:eastAsia="Arial" w:hAnsi="Arial"/>
          <w:sz w:val="19"/>
          <w:szCs w:val="19"/>
          <w:b w:val="1"/>
          <w:bCs w:val="1"/>
          <w:i w:val="1"/>
          <w:iCs w:val="1"/>
          <w:color w:val="auto"/>
        </w:rPr>
        <w:t>New Director Award</w:t>
      </w:r>
      <w:r>
        <w:rPr>
          <w:rFonts w:ascii="Arial" w:cs="Arial" w:eastAsia="Arial" w:hAnsi="Arial"/>
          <w:sz w:val="19"/>
          <w:szCs w:val="19"/>
          <w:color w:val="auto"/>
        </w:rPr>
        <w:t>”). Each New Director Award will vest monthly over a three-year period.</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Chair will also receive an annual cash retainer of $76,072 for his or her service in such role.</w:t>
      </w:r>
    </w:p>
    <w:p>
      <w:pPr>
        <w:spacing w:after="0" w:line="22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Each non-employee director, other than the chairperson of such committee, who serves on the following committees will receive an annual cash retainer, for each committee on which he or she serves, as listed below:</w:t>
      </w:r>
    </w:p>
    <w:p>
      <w:pPr>
        <w:spacing w:after="0" w:line="189" w:lineRule="exact"/>
        <w:rPr>
          <w:sz w:val="20"/>
          <w:szCs w:val="20"/>
          <w:color w:val="auto"/>
        </w:rPr>
      </w:pPr>
    </w:p>
    <w:p>
      <w:pPr>
        <w:ind w:left="1140" w:hanging="383"/>
        <w:spacing w:after="0"/>
        <w:tabs>
          <w:tab w:leader="none" w:pos="11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Audit committee – $10,867</w:t>
      </w:r>
    </w:p>
    <w:p>
      <w:pPr>
        <w:spacing w:after="0" w:line="15" w:lineRule="exact"/>
        <w:rPr>
          <w:rFonts w:ascii="Arial" w:cs="Arial" w:eastAsia="Arial" w:hAnsi="Arial"/>
          <w:sz w:val="20"/>
          <w:szCs w:val="20"/>
          <w:color w:val="auto"/>
        </w:rPr>
      </w:pPr>
    </w:p>
    <w:p>
      <w:pPr>
        <w:ind w:left="1140" w:hanging="383"/>
        <w:spacing w:after="0"/>
        <w:tabs>
          <w:tab w:leader="none" w:pos="11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Compensation committee – $8,150</w:t>
      </w:r>
    </w:p>
    <w:p>
      <w:pPr>
        <w:ind w:left="1140" w:hanging="383"/>
        <w:spacing w:after="0"/>
        <w:tabs>
          <w:tab w:leader="none" w:pos="11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Science &amp; Technology committee – $8,150</w:t>
      </w:r>
    </w:p>
    <w:p>
      <w:pPr>
        <w:ind w:left="1140" w:hanging="383"/>
        <w:spacing w:after="0"/>
        <w:tabs>
          <w:tab w:leader="none" w:pos="1140" w:val="left"/>
        </w:tabs>
        <w:numPr>
          <w:ilvl w:val="0"/>
          <w:numId w:val="47"/>
        </w:numPr>
        <w:rPr>
          <w:rFonts w:ascii="Arial" w:cs="Arial" w:eastAsia="Arial" w:hAnsi="Arial"/>
          <w:sz w:val="20"/>
          <w:szCs w:val="20"/>
          <w:color w:val="auto"/>
        </w:rPr>
      </w:pPr>
      <w:r>
        <w:rPr>
          <w:rFonts w:ascii="Arial" w:cs="Arial" w:eastAsia="Arial" w:hAnsi="Arial"/>
          <w:sz w:val="20"/>
          <w:szCs w:val="20"/>
          <w:color w:val="auto"/>
        </w:rPr>
        <w:t>Nominating and corporate governance committee – $5,434</w:t>
      </w:r>
    </w:p>
    <w:p>
      <w:pPr>
        <w:spacing w:after="0" w:line="212" w:lineRule="exact"/>
        <w:rPr>
          <w:sz w:val="20"/>
          <w:szCs w:val="20"/>
          <w:color w:val="auto"/>
        </w:rPr>
      </w:pPr>
    </w:p>
    <w:p>
      <w:pPr>
        <w:ind w:right="20" w:firstLine="749"/>
        <w:spacing w:after="0" w:line="260" w:lineRule="auto"/>
        <w:rPr>
          <w:sz w:val="20"/>
          <w:szCs w:val="20"/>
          <w:color w:val="auto"/>
        </w:rPr>
      </w:pPr>
      <w:r>
        <w:rPr>
          <w:rFonts w:ascii="Arial" w:cs="Arial" w:eastAsia="Arial" w:hAnsi="Arial"/>
          <w:sz w:val="20"/>
          <w:szCs w:val="20"/>
          <w:color w:val="auto"/>
        </w:rPr>
        <w:t>Each chairperson of the audit, compensation, nominating and corporate governance and science and technology committees will receive an additional annual cash retainer as follows:</w:t>
      </w:r>
    </w:p>
    <w:p>
      <w:pPr>
        <w:spacing w:after="0" w:line="189" w:lineRule="exact"/>
        <w:rPr>
          <w:sz w:val="20"/>
          <w:szCs w:val="20"/>
          <w:color w:val="auto"/>
        </w:rPr>
      </w:pPr>
    </w:p>
    <w:p>
      <w:pPr>
        <w:ind w:left="1140" w:hanging="383"/>
        <w:spacing w:after="0"/>
        <w:tabs>
          <w:tab w:leader="none" w:pos="11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Audit committee – $21,735</w:t>
      </w:r>
    </w:p>
    <w:p>
      <w:pPr>
        <w:spacing w:after="0" w:line="15" w:lineRule="exact"/>
        <w:rPr>
          <w:rFonts w:ascii="Arial" w:cs="Arial" w:eastAsia="Arial" w:hAnsi="Arial"/>
          <w:sz w:val="20"/>
          <w:szCs w:val="20"/>
          <w:color w:val="auto"/>
        </w:rPr>
      </w:pPr>
    </w:p>
    <w:p>
      <w:pPr>
        <w:ind w:left="1140" w:hanging="383"/>
        <w:spacing w:after="0"/>
        <w:tabs>
          <w:tab w:leader="none" w:pos="11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Compensation committee – $16,300</w:t>
      </w:r>
    </w:p>
    <w:p>
      <w:pPr>
        <w:ind w:left="1140" w:hanging="383"/>
        <w:spacing w:after="0"/>
        <w:tabs>
          <w:tab w:leader="none" w:pos="11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Science &amp; Technology committee – $16,300</w:t>
      </w:r>
    </w:p>
    <w:p>
      <w:pPr>
        <w:ind w:left="1140" w:hanging="383"/>
        <w:spacing w:after="0"/>
        <w:tabs>
          <w:tab w:leader="none" w:pos="11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Nominating and corporate governance committee – $10,867</w:t>
      </w:r>
    </w:p>
    <w:p>
      <w:pPr>
        <w:spacing w:after="0" w:line="226"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The Company will also reimburse each of the directors for his or her travel expenses incurred in connection with his or her attendance at Board and committee meetings. All cash retainers will be paid in equal quarterly installments.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 OF SYNDAX PHARMACEUTICALS, INC.</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Name</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Jurisdiction of Incorporation</w:t>
            </w:r>
          </w:p>
        </w:tc>
      </w:tr>
      <w:tr>
        <w:trPr>
          <w:trHeight w:val="248"/>
        </w:trPr>
        <w:tc>
          <w:tcPr>
            <w:tcW w:w="5620" w:type="dxa"/>
            <w:vAlign w:val="bottom"/>
          </w:tcPr>
          <w:p>
            <w:pPr>
              <w:jc w:val="center"/>
              <w:spacing w:after="0"/>
              <w:rPr>
                <w:sz w:val="20"/>
                <w:szCs w:val="20"/>
                <w:color w:val="auto"/>
              </w:rPr>
            </w:pPr>
            <w:r>
              <w:rPr>
                <w:rFonts w:ascii="Arial" w:cs="Arial" w:eastAsia="Arial" w:hAnsi="Arial"/>
                <w:sz w:val="20"/>
                <w:szCs w:val="20"/>
                <w:color w:val="auto"/>
                <w:w w:val="90"/>
              </w:rPr>
              <w:t>Syndax Securities Corporation</w:t>
            </w:r>
          </w:p>
        </w:tc>
        <w:tc>
          <w:tcPr>
            <w:tcW w:w="5620" w:type="dxa"/>
            <w:vAlign w:val="bottom"/>
          </w:tcPr>
          <w:p>
            <w:pPr>
              <w:jc w:val="center"/>
              <w:spacing w:after="0"/>
              <w:rPr>
                <w:sz w:val="20"/>
                <w:szCs w:val="20"/>
                <w:color w:val="auto"/>
              </w:rPr>
            </w:pPr>
            <w:r>
              <w:rPr>
                <w:rFonts w:ascii="Arial" w:cs="Arial" w:eastAsia="Arial" w:hAnsi="Arial"/>
                <w:sz w:val="20"/>
                <w:szCs w:val="20"/>
                <w:color w:val="auto"/>
                <w:w w:val="85"/>
              </w:rPr>
              <w:t>Massachusetts</w:t>
            </w:r>
          </w:p>
        </w:tc>
      </w:tr>
      <w:tr>
        <w:trPr>
          <w:trHeight w:val="253"/>
        </w:trPr>
        <w:tc>
          <w:tcPr>
            <w:tcW w:w="5620" w:type="dxa"/>
            <w:vAlign w:val="bottom"/>
          </w:tcPr>
          <w:p>
            <w:pPr>
              <w:jc w:val="center"/>
              <w:spacing w:after="0"/>
              <w:rPr>
                <w:sz w:val="20"/>
                <w:szCs w:val="20"/>
                <w:color w:val="auto"/>
              </w:rPr>
            </w:pPr>
            <w:r>
              <w:rPr>
                <w:rFonts w:ascii="Arial" w:cs="Arial" w:eastAsia="Arial" w:hAnsi="Arial"/>
                <w:sz w:val="20"/>
                <w:szCs w:val="20"/>
                <w:color w:val="auto"/>
                <w:w w:val="93"/>
              </w:rPr>
              <w:t>Syndax Limited</w:t>
            </w:r>
          </w:p>
        </w:tc>
        <w:tc>
          <w:tcPr>
            <w:tcW w:w="5620" w:type="dxa"/>
            <w:vAlign w:val="bottom"/>
          </w:tcPr>
          <w:p>
            <w:pPr>
              <w:jc w:val="center"/>
              <w:spacing w:after="0"/>
              <w:rPr>
                <w:sz w:val="20"/>
                <w:szCs w:val="20"/>
                <w:color w:val="auto"/>
              </w:rPr>
            </w:pPr>
            <w:r>
              <w:rPr>
                <w:rFonts w:ascii="Arial" w:cs="Arial" w:eastAsia="Arial" w:hAnsi="Arial"/>
                <w:sz w:val="20"/>
                <w:szCs w:val="20"/>
                <w:color w:val="auto"/>
                <w:w w:val="94"/>
              </w:rPr>
              <w:t>United Kingdom</w:t>
            </w:r>
          </w:p>
        </w:tc>
      </w:tr>
      <w:tr>
        <w:trPr>
          <w:trHeight w:val="256"/>
        </w:trPr>
        <w:tc>
          <w:tcPr>
            <w:tcW w:w="5620" w:type="dxa"/>
            <w:vAlign w:val="bottom"/>
          </w:tcPr>
          <w:p>
            <w:pPr>
              <w:jc w:val="center"/>
              <w:spacing w:after="0"/>
              <w:rPr>
                <w:sz w:val="20"/>
                <w:szCs w:val="20"/>
                <w:color w:val="auto"/>
              </w:rPr>
            </w:pPr>
            <w:r>
              <w:rPr>
                <w:rFonts w:ascii="Arial" w:cs="Arial" w:eastAsia="Arial" w:hAnsi="Arial"/>
                <w:sz w:val="20"/>
                <w:szCs w:val="20"/>
                <w:color w:val="auto"/>
                <w:w w:val="88"/>
              </w:rPr>
              <w:t>Syndax Europe B.V.</w:t>
            </w:r>
          </w:p>
        </w:tc>
        <w:tc>
          <w:tcPr>
            <w:tcW w:w="5620" w:type="dxa"/>
            <w:vAlign w:val="bottom"/>
          </w:tcPr>
          <w:p>
            <w:pPr>
              <w:jc w:val="center"/>
              <w:spacing w:after="0"/>
              <w:rPr>
                <w:sz w:val="20"/>
                <w:szCs w:val="20"/>
                <w:color w:val="auto"/>
              </w:rPr>
            </w:pPr>
            <w:r>
              <w:rPr>
                <w:rFonts w:ascii="Arial" w:cs="Arial" w:eastAsia="Arial" w:hAnsi="Arial"/>
                <w:sz w:val="20"/>
                <w:szCs w:val="20"/>
                <w:color w:val="auto"/>
                <w:w w:val="88"/>
              </w:rPr>
              <w:t>Netherlands</w:t>
            </w:r>
          </w:p>
        </w:tc>
      </w:tr>
      <w:tr>
        <w:trPr>
          <w:trHeight w:val="691"/>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 333-254661 on Form S-3 and Registration Statement Nos. 333-210412, 333-220172, 333-226678, 333-233083, 333-241654, 333-258628, and 333-263185 on Form S-8 of our reports dated February 28, 2023, relating to the financial statements of Syndax Pharmaceuticals, Inc. and subsidiaries and the effectiveness of Syndax Pharmaceuticals, Inc. and subsidiaries’ internal control over financial reporting appearing in this Annual Report on Form 10-K for the year ended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746125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A. Metzger, certify that:</w:t>
      </w:r>
    </w:p>
    <w:p>
      <w:pPr>
        <w:spacing w:after="0" w:line="117" w:lineRule="exact"/>
        <w:rPr>
          <w:sz w:val="20"/>
          <w:szCs w:val="20"/>
          <w:color w:val="auto"/>
        </w:rPr>
      </w:pPr>
    </w:p>
    <w:p>
      <w:pPr>
        <w:ind w:left="700" w:hanging="183"/>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Syndax Pharmaceuticals, Inc.;</w:t>
      </w:r>
    </w:p>
    <w:p>
      <w:pPr>
        <w:spacing w:after="0" w:line="224" w:lineRule="exact"/>
        <w:rPr>
          <w:rFonts w:ascii="Arial" w:cs="Arial" w:eastAsia="Arial" w:hAnsi="Arial"/>
          <w:sz w:val="18"/>
          <w:szCs w:val="18"/>
          <w:color w:val="auto"/>
        </w:rPr>
      </w:pPr>
    </w:p>
    <w:p>
      <w:pPr>
        <w:ind w:right="80" w:firstLine="517"/>
        <w:spacing w:after="0" w:line="341" w:lineRule="auto"/>
        <w:tabs>
          <w:tab w:leader="none" w:pos="689"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60" w:firstLine="517"/>
        <w:spacing w:after="0" w:line="277" w:lineRule="auto"/>
        <w:tabs>
          <w:tab w:leader="none" w:pos="6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ind w:right="100" w:firstLine="517"/>
        <w:spacing w:after="0" w:line="263" w:lineRule="auto"/>
        <w:tabs>
          <w:tab w:leader="none" w:pos="6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520" w:right="440" w:firstLine="506"/>
        <w:spacing w:after="0" w:line="263" w:lineRule="auto"/>
        <w:tabs>
          <w:tab w:leader="none" w:pos="127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520" w:right="160" w:firstLine="506"/>
        <w:spacing w:after="0" w:line="263" w:lineRule="auto"/>
        <w:tabs>
          <w:tab w:leader="none" w:pos="12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520" w:right="280" w:firstLine="506"/>
        <w:spacing w:after="0" w:line="341" w:lineRule="auto"/>
        <w:tabs>
          <w:tab w:leader="none" w:pos="1274"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40" w:firstLine="506"/>
        <w:spacing w:after="0" w:line="263" w:lineRule="auto"/>
        <w:tabs>
          <w:tab w:leader="none" w:pos="12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60" w:firstLine="517"/>
        <w:spacing w:after="0" w:line="307" w:lineRule="auto"/>
        <w:tabs>
          <w:tab w:leader="none" w:pos="689"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520" w:right="500" w:firstLine="506"/>
        <w:spacing w:after="0" w:line="307" w:lineRule="auto"/>
        <w:tabs>
          <w:tab w:leader="none" w:pos="1274"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520" w:right="180" w:firstLine="506"/>
        <w:spacing w:after="0" w:line="277" w:lineRule="auto"/>
        <w:tabs>
          <w:tab w:leader="none" w:pos="12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A. Metzger</w:t>
      </w:r>
    </w:p>
    <w:p>
      <w:pPr>
        <w:spacing w:after="0" w:line="238"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-130175</wp:posOffset>
            </wp:positionV>
            <wp:extent cx="25857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8">
                      <a:extLst>
                        <a:ext uri="{28A0092B-C50C-407E-A947-70E740481C1C}"/>
                      </a:extLst>
                    </a:blip>
                    <a:srcRect/>
                    <a:stretch>
                      <a:fillRect/>
                    </a:stretch>
                  </pic:blipFill>
                  <pic:spPr bwMode="auto">
                    <a:xfrm>
                      <a:off x="0" y="0"/>
                      <a:ext cx="2585720" cy="8255"/>
                    </a:xfrm>
                    <a:prstGeom prst="rect">
                      <a:avLst/>
                    </a:prstGeom>
                    <a:noFill/>
                  </pic:spPr>
                </pic:pic>
              </a:graphicData>
            </a:graphic>
          </wp:anchor>
        </w:drawing>
      </w:r>
    </w:p>
    <w:p>
      <w:pPr>
        <w:spacing w:after="0" w:line="218"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Keith A. Goldan, certify that:</w:t>
      </w:r>
    </w:p>
    <w:p>
      <w:pPr>
        <w:spacing w:after="0" w:line="117" w:lineRule="exact"/>
        <w:rPr>
          <w:sz w:val="20"/>
          <w:szCs w:val="20"/>
          <w:color w:val="auto"/>
        </w:rPr>
      </w:pPr>
    </w:p>
    <w:p>
      <w:pPr>
        <w:ind w:left="700" w:hanging="183"/>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Syndax Pharmaceuticals, Inc.;</w:t>
      </w:r>
    </w:p>
    <w:p>
      <w:pPr>
        <w:spacing w:after="0" w:line="224" w:lineRule="exact"/>
        <w:rPr>
          <w:rFonts w:ascii="Arial" w:cs="Arial" w:eastAsia="Arial" w:hAnsi="Arial"/>
          <w:sz w:val="18"/>
          <w:szCs w:val="18"/>
          <w:color w:val="auto"/>
        </w:rPr>
      </w:pPr>
    </w:p>
    <w:p>
      <w:pPr>
        <w:ind w:right="80" w:firstLine="517"/>
        <w:spacing w:after="0" w:line="341" w:lineRule="auto"/>
        <w:tabs>
          <w:tab w:leader="none" w:pos="689"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60" w:firstLine="517"/>
        <w:spacing w:after="0" w:line="277" w:lineRule="auto"/>
        <w:tabs>
          <w:tab w:leader="none" w:pos="6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ind w:right="100" w:firstLine="517"/>
        <w:spacing w:after="0" w:line="263" w:lineRule="auto"/>
        <w:tabs>
          <w:tab w:leader="none" w:pos="6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520" w:right="440" w:firstLine="506"/>
        <w:spacing w:after="0" w:line="263" w:lineRule="auto"/>
        <w:tabs>
          <w:tab w:leader="none" w:pos="127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520" w:right="160" w:firstLine="506"/>
        <w:spacing w:after="0" w:line="263" w:lineRule="auto"/>
        <w:tabs>
          <w:tab w:leader="none" w:pos="128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520" w:right="280" w:firstLine="506"/>
        <w:spacing w:after="0" w:line="341" w:lineRule="auto"/>
        <w:tabs>
          <w:tab w:leader="none" w:pos="1274"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40" w:firstLine="506"/>
        <w:spacing w:after="0" w:line="263" w:lineRule="auto"/>
        <w:tabs>
          <w:tab w:leader="none" w:pos="128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60" w:firstLine="517"/>
        <w:spacing w:after="0" w:line="307" w:lineRule="auto"/>
        <w:tabs>
          <w:tab w:leader="none" w:pos="689"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520" w:right="500" w:firstLine="506"/>
        <w:spacing w:after="0" w:line="307" w:lineRule="auto"/>
        <w:tabs>
          <w:tab w:leader="none" w:pos="1274"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520" w:right="180" w:firstLine="506"/>
        <w:spacing w:after="0" w:line="277" w:lineRule="auto"/>
        <w:tabs>
          <w:tab w:leader="none" w:pos="128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Keith A. Goldan</w:t>
      </w:r>
    </w:p>
    <w:p>
      <w:pPr>
        <w:spacing w:after="0" w:line="238"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-130175</wp:posOffset>
            </wp:positionV>
            <wp:extent cx="259461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0">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spacing w:after="0" w:line="218"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Michael A. Metzger, Chief Executive Officer and Director of Syndax Pharmaceuticals, Inc. (the “Company”), and Keith A. Goldan, ChiefFinancial Officer and Treasurer of the Company, each hereby certifies that, to the best of his knowledge:</w:t>
      </w:r>
    </w:p>
    <w:p>
      <w:pPr>
        <w:spacing w:after="0" w:line="192" w:lineRule="exact"/>
        <w:rPr>
          <w:sz w:val="20"/>
          <w:szCs w:val="20"/>
          <w:color w:val="auto"/>
        </w:rPr>
      </w:pPr>
    </w:p>
    <w:p>
      <w:pPr>
        <w:ind w:right="60" w:firstLine="517"/>
        <w:spacing w:after="0" w:line="307" w:lineRule="auto"/>
        <w:tabs>
          <w:tab w:leader="none" w:pos="764"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2022, to which this Certification is attached as Exhibit 32.1 (the “Annual Report”), fully complies with the requirements of Section 13(a) or 15(d) of the Securities Exchange Act of 1934, as amended; and</w:t>
      </w:r>
    </w:p>
    <w:p>
      <w:pPr>
        <w:spacing w:after="0" w:line="147" w:lineRule="exact"/>
        <w:rPr>
          <w:rFonts w:ascii="Arial" w:cs="Arial" w:eastAsia="Arial" w:hAnsi="Arial"/>
          <w:sz w:val="17"/>
          <w:szCs w:val="17"/>
          <w:color w:val="auto"/>
        </w:rPr>
      </w:pPr>
    </w:p>
    <w:p>
      <w:pPr>
        <w:ind w:right="240" w:firstLine="517"/>
        <w:spacing w:after="0" w:line="277" w:lineRule="auto"/>
        <w:tabs>
          <w:tab w:leader="none" w:pos="7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 for the period covered by the Annual Report.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Date: February 28, 2023</w:t>
            </w:r>
          </w:p>
        </w:tc>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465"/>
        </w:trPr>
        <w:tc>
          <w:tcPr>
            <w:tcW w:w="7600" w:type="dxa"/>
            <w:vAlign w:val="bottom"/>
          </w:tcPr>
          <w:p>
            <w:pPr>
              <w:ind w:left="724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Michael A. Metzger</w:t>
            </w:r>
          </w:p>
        </w:tc>
      </w:tr>
      <w:tr>
        <w:trPr>
          <w:trHeight w:val="215"/>
        </w:trPr>
        <w:tc>
          <w:tcPr>
            <w:tcW w:w="7600" w:type="dxa"/>
            <w:vAlign w:val="bottom"/>
          </w:tcPr>
          <w:p>
            <w:pPr>
              <w:spacing w:after="0"/>
              <w:rPr>
                <w:sz w:val="18"/>
                <w:szCs w:val="18"/>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Michael A. Metzger</w:t>
            </w:r>
          </w:p>
        </w:tc>
      </w:tr>
      <w:tr>
        <w:trPr>
          <w:trHeight w:val="230"/>
        </w:trPr>
        <w:tc>
          <w:tcPr>
            <w:tcW w:w="7600" w:type="dxa"/>
            <w:vAlign w:val="bottom"/>
          </w:tcPr>
          <w:p>
            <w:pPr>
              <w:spacing w:after="0"/>
              <w:rPr>
                <w:sz w:val="20"/>
                <w:szCs w:val="20"/>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r>
      <w:tr>
        <w:trPr>
          <w:trHeight w:val="445"/>
        </w:trPr>
        <w:tc>
          <w:tcPr>
            <w:tcW w:w="7600" w:type="dxa"/>
            <w:vAlign w:val="bottom"/>
          </w:tcPr>
          <w:p>
            <w:pPr>
              <w:spacing w:after="0"/>
              <w:rPr>
                <w:sz w:val="20"/>
                <w:szCs w:val="20"/>
                <w:color w:val="auto"/>
              </w:rPr>
            </w:pPr>
            <w:r>
              <w:rPr>
                <w:rFonts w:ascii="Arial" w:cs="Arial" w:eastAsia="Arial" w:hAnsi="Arial"/>
                <w:sz w:val="18"/>
                <w:szCs w:val="18"/>
                <w:color w:val="auto"/>
              </w:rPr>
              <w:t>Date: February 28, 2023</w:t>
            </w:r>
          </w:p>
        </w:tc>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65"/>
        </w:trPr>
        <w:tc>
          <w:tcPr>
            <w:tcW w:w="7600" w:type="dxa"/>
            <w:vAlign w:val="bottom"/>
          </w:tcPr>
          <w:p>
            <w:pPr>
              <w:ind w:left="72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A. Goldan</w:t>
            </w:r>
          </w:p>
        </w:tc>
      </w:tr>
      <w:tr>
        <w:trPr>
          <w:trHeight w:val="230"/>
        </w:trPr>
        <w:tc>
          <w:tcPr>
            <w:tcW w:w="7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Keith A. Goldan</w:t>
            </w:r>
          </w:p>
        </w:tc>
      </w:tr>
      <w:tr>
        <w:trPr>
          <w:trHeight w:val="431"/>
        </w:trPr>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_______</w:t>
      </w:r>
    </w:p>
    <w:p>
      <w:pPr>
        <w:spacing w:after="0" w:line="240" w:lineRule="exact"/>
        <w:rPr>
          <w:sz w:val="20"/>
          <w:szCs w:val="20"/>
          <w:color w:val="auto"/>
        </w:rPr>
      </w:pPr>
    </w:p>
    <w:p>
      <w:pPr>
        <w:ind w:right="140" w:firstLine="8"/>
        <w:spacing w:after="0" w:line="287" w:lineRule="auto"/>
        <w:tabs>
          <w:tab w:leader="none" w:pos="1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certification accompanies the Annual Report,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Annual Report), irrespective of any general incorporation language contained in such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404"/>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o"/>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lowerRoman"/>
      <w:start w:val="3"/>
    </w:lvl>
  </w:abstractNum>
  <w:abstractNum w:abstractNumId="45">
    <w:nsid w:val="684A481A"/>
    <w:multiLevelType w:val="hybridMultilevel"/>
    <w:lvl w:ilvl="0">
      <w:lvlJc w:val="left"/>
      <w:lvlText w:val="%1."/>
      <w:numFmt w:val="decimal"/>
      <w:start w:val="16"/>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202" Type="http://schemas.openxmlformats.org/officeDocument/2006/relationships/image" Target="media/image153.png"/><Relationship Id="rId203" Type="http://schemas.openxmlformats.org/officeDocument/2006/relationships/image" Target="media/image154.png"/><Relationship Id="rId204" Type="http://schemas.openxmlformats.org/officeDocument/2006/relationships/image" Target="media/image155.png"/><Relationship Id="rId205" Type="http://schemas.openxmlformats.org/officeDocument/2006/relationships/image" Target="media/image156.png"/><Relationship Id="rId206" Type="http://schemas.openxmlformats.org/officeDocument/2006/relationships/image" Target="media/image157.png"/><Relationship Id="rId207" Type="http://schemas.openxmlformats.org/officeDocument/2006/relationships/image" Target="media/image158.png"/><Relationship Id="rId208" Type="http://schemas.openxmlformats.org/officeDocument/2006/relationships/image" Target="media/image159.png"/><Relationship Id="rId209" Type="http://schemas.openxmlformats.org/officeDocument/2006/relationships/image" Target="media/image160.png"/><Relationship Id="rId210" Type="http://schemas.openxmlformats.org/officeDocument/2006/relationships/image" Target="media/image161.png"/><Relationship Id="rId211" Type="http://schemas.openxmlformats.org/officeDocument/2006/relationships/image" Target="media/image162.png"/><Relationship Id="rId212" Type="http://schemas.openxmlformats.org/officeDocument/2006/relationships/image" Target="media/image163.png"/><Relationship Id="rId213" Type="http://schemas.openxmlformats.org/officeDocument/2006/relationships/image" Target="media/image164.png"/><Relationship Id="rId214" Type="http://schemas.openxmlformats.org/officeDocument/2006/relationships/image" Target="media/image165.png"/><Relationship Id="rId215" Type="http://schemas.openxmlformats.org/officeDocument/2006/relationships/image" Target="media/image166.png"/><Relationship Id="rId216" Type="http://schemas.openxmlformats.org/officeDocument/2006/relationships/image" Target="media/image167.png"/><Relationship Id="rId217" Type="http://schemas.openxmlformats.org/officeDocument/2006/relationships/image" Target="media/image168.png"/><Relationship Id="rId218" Type="http://schemas.openxmlformats.org/officeDocument/2006/relationships/image" Target="media/image169.png"/><Relationship Id="rId219" Type="http://schemas.openxmlformats.org/officeDocument/2006/relationships/image" Target="media/image170.png"/><Relationship Id="rId220" Type="http://schemas.openxmlformats.org/officeDocument/2006/relationships/image" Target="media/image171.png"/><Relationship Id="rId221" Type="http://schemas.openxmlformats.org/officeDocument/2006/relationships/image" Target="media/image172.png"/><Relationship Id="rId222" Type="http://schemas.openxmlformats.org/officeDocument/2006/relationships/image" Target="media/image173.png"/><Relationship Id="rId223" Type="http://schemas.openxmlformats.org/officeDocument/2006/relationships/image" Target="media/image174.png"/><Relationship Id="rId224" Type="http://schemas.openxmlformats.org/officeDocument/2006/relationships/image" Target="media/image175.png"/><Relationship Id="rId225" Type="http://schemas.openxmlformats.org/officeDocument/2006/relationships/image" Target="media/image176.png"/><Relationship Id="rId226" Type="http://schemas.openxmlformats.org/officeDocument/2006/relationships/image" Target="media/image177.png"/><Relationship Id="rId227" Type="http://schemas.openxmlformats.org/officeDocument/2006/relationships/image" Target="media/image178.png"/><Relationship Id="rId228" Type="http://schemas.openxmlformats.org/officeDocument/2006/relationships/image" Target="media/image179.png"/><Relationship Id="rId229" Type="http://schemas.openxmlformats.org/officeDocument/2006/relationships/image" Target="media/image180.png"/><Relationship Id="rId23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33" Type="http://schemas.openxmlformats.org/officeDocument/2006/relationships/image" Target="media/image184.png"/><Relationship Id="rId234" Type="http://schemas.openxmlformats.org/officeDocument/2006/relationships/image" Target="media/image185.png"/><Relationship Id="rId235" Type="http://schemas.openxmlformats.org/officeDocument/2006/relationships/image" Target="media/image186.png"/><Relationship Id="rId236" Type="http://schemas.openxmlformats.org/officeDocument/2006/relationships/image" Target="media/image187.png"/><Relationship Id="rId237" Type="http://schemas.openxmlformats.org/officeDocument/2006/relationships/image" Target="media/image188.png"/><Relationship Id="rId238" Type="http://schemas.openxmlformats.org/officeDocument/2006/relationships/image" Target="media/image189.png"/><Relationship Id="rId239" Type="http://schemas.openxmlformats.org/officeDocument/2006/relationships/image" Target="media/image190.png"/><Relationship Id="rId240" Type="http://schemas.openxmlformats.org/officeDocument/2006/relationships/image" Target="media/image191.png"/><Relationship Id="rId241" Type="http://schemas.openxmlformats.org/officeDocument/2006/relationships/image" Target="media/image192.png"/><Relationship Id="rId242" Type="http://schemas.openxmlformats.org/officeDocument/2006/relationships/image" Target="media/image193.png"/><Relationship Id="rId243" Type="http://schemas.openxmlformats.org/officeDocument/2006/relationships/image" Target="media/image194.png"/><Relationship Id="rId244" Type="http://schemas.openxmlformats.org/officeDocument/2006/relationships/image" Target="media/image195.png"/><Relationship Id="rId245" Type="http://schemas.openxmlformats.org/officeDocument/2006/relationships/image" Target="media/image196.png"/><Relationship Id="rId246" Type="http://schemas.openxmlformats.org/officeDocument/2006/relationships/image" Target="media/image197.png"/><Relationship Id="rId247" Type="http://schemas.openxmlformats.org/officeDocument/2006/relationships/image" Target="media/image198.png"/><Relationship Id="rId248" Type="http://schemas.openxmlformats.org/officeDocument/2006/relationships/image" Target="media/image199.png"/><Relationship Id="rId249" Type="http://schemas.openxmlformats.org/officeDocument/2006/relationships/image" Target="media/image200.png"/><Relationship Id="rId250" Type="http://schemas.openxmlformats.org/officeDocument/2006/relationships/image" Target="media/image201.png"/><Relationship Id="rId251" Type="http://schemas.openxmlformats.org/officeDocument/2006/relationships/image" Target="media/image202.png"/><Relationship Id="rId252" Type="http://schemas.openxmlformats.org/officeDocument/2006/relationships/image" Target="media/image203.png"/><Relationship Id="rId253" Type="http://schemas.openxmlformats.org/officeDocument/2006/relationships/image" Target="media/image204.png"/><Relationship Id="rId254" Type="http://schemas.openxmlformats.org/officeDocument/2006/relationships/image" Target="media/image205.png"/><Relationship Id="rId255" Type="http://schemas.openxmlformats.org/officeDocument/2006/relationships/image" Target="media/image206.png"/><Relationship Id="rId256" Type="http://schemas.openxmlformats.org/officeDocument/2006/relationships/image" Target="media/image207.png"/><Relationship Id="rId257" Type="http://schemas.openxmlformats.org/officeDocument/2006/relationships/image" Target="media/image208.png"/><Relationship Id="rId258" Type="http://schemas.openxmlformats.org/officeDocument/2006/relationships/image" Target="media/image209.png"/><Relationship Id="rId259" Type="http://schemas.openxmlformats.org/officeDocument/2006/relationships/image" Target="media/image210.png"/><Relationship Id="rId260" Type="http://schemas.openxmlformats.org/officeDocument/2006/relationships/image" Target="media/image211.png"/><Relationship Id="rId261" Type="http://schemas.openxmlformats.org/officeDocument/2006/relationships/image" Target="media/image212.png"/><Relationship Id="rId262" Type="http://schemas.openxmlformats.org/officeDocument/2006/relationships/image" Target="media/image213.png"/><Relationship Id="rId263" Type="http://schemas.openxmlformats.org/officeDocument/2006/relationships/image" Target="media/image214.png"/><Relationship Id="rId264" Type="http://schemas.openxmlformats.org/officeDocument/2006/relationships/image" Target="media/image215.png"/><Relationship Id="rId265" Type="http://schemas.openxmlformats.org/officeDocument/2006/relationships/image" Target="media/image216.png"/><Relationship Id="rId266" Type="http://schemas.openxmlformats.org/officeDocument/2006/relationships/image" Target="media/image217.png"/><Relationship Id="rId267" Type="http://schemas.openxmlformats.org/officeDocument/2006/relationships/image" Target="media/image218.png"/><Relationship Id="rId268" Type="http://schemas.openxmlformats.org/officeDocument/2006/relationships/image" Target="media/image219.png"/><Relationship Id="rId269" Type="http://schemas.openxmlformats.org/officeDocument/2006/relationships/image" Target="media/image220.png"/><Relationship Id="rId270" Type="http://schemas.openxmlformats.org/officeDocument/2006/relationships/image" Target="media/image221.png"/><Relationship Id="rId271" Type="http://schemas.openxmlformats.org/officeDocument/2006/relationships/image" Target="media/image222.png"/><Relationship Id="rId272" Type="http://schemas.openxmlformats.org/officeDocument/2006/relationships/image" Target="media/image223.png"/><Relationship Id="rId273" Type="http://schemas.openxmlformats.org/officeDocument/2006/relationships/image" Target="media/image224.png"/><Relationship Id="rId274" Type="http://schemas.openxmlformats.org/officeDocument/2006/relationships/image" Target="media/image225.png"/><Relationship Id="rId275" Type="http://schemas.openxmlformats.org/officeDocument/2006/relationships/image" Target="media/image226.png"/><Relationship Id="rId276" Type="http://schemas.openxmlformats.org/officeDocument/2006/relationships/image" Target="media/image227.png"/><Relationship Id="rId277" Type="http://schemas.openxmlformats.org/officeDocument/2006/relationships/image" Target="media/image228.png"/><Relationship Id="rId278" Type="http://schemas.openxmlformats.org/officeDocument/2006/relationships/image" Target="media/image229.png"/><Relationship Id="rId279" Type="http://schemas.openxmlformats.org/officeDocument/2006/relationships/image" Target="media/image230.png"/><Relationship Id="rId280" Type="http://schemas.openxmlformats.org/officeDocument/2006/relationships/image" Target="media/image231.png"/><Relationship Id="rId281" Type="http://schemas.openxmlformats.org/officeDocument/2006/relationships/image" Target="media/image232.png"/><Relationship Id="rId282" Type="http://schemas.openxmlformats.org/officeDocument/2006/relationships/image" Target="media/image233.png"/><Relationship Id="rId283" Type="http://schemas.openxmlformats.org/officeDocument/2006/relationships/image" Target="media/image234.png"/><Relationship Id="rId284" Type="http://schemas.openxmlformats.org/officeDocument/2006/relationships/image" Target="media/image235.png"/><Relationship Id="rId285" Type="http://schemas.openxmlformats.org/officeDocument/2006/relationships/image" Target="media/image236.png"/><Relationship Id="rId286" Type="http://schemas.openxmlformats.org/officeDocument/2006/relationships/image" Target="media/image237.png"/><Relationship Id="rId287" Type="http://schemas.openxmlformats.org/officeDocument/2006/relationships/image" Target="media/image238.png"/><Relationship Id="rId288" Type="http://schemas.openxmlformats.org/officeDocument/2006/relationships/image" Target="media/image239.png"/><Relationship Id="rId289" Type="http://schemas.openxmlformats.org/officeDocument/2006/relationships/image" Target="media/image240.png"/><Relationship Id="rId290" Type="http://schemas.openxmlformats.org/officeDocument/2006/relationships/image" Target="media/image241.png"/><Relationship Id="rId291" Type="http://schemas.openxmlformats.org/officeDocument/2006/relationships/image" Target="media/image242.png"/><Relationship Id="rId292" Type="http://schemas.openxmlformats.org/officeDocument/2006/relationships/image" Target="media/image243.png"/><Relationship Id="rId293" Type="http://schemas.openxmlformats.org/officeDocument/2006/relationships/image" Target="media/image244.png"/><Relationship Id="rId294" Type="http://schemas.openxmlformats.org/officeDocument/2006/relationships/image" Target="media/image245.png"/><Relationship Id="rId295" Type="http://schemas.openxmlformats.org/officeDocument/2006/relationships/image" Target="media/image246.png"/><Relationship Id="rId296" Type="http://schemas.openxmlformats.org/officeDocument/2006/relationships/image" Target="media/image247.png"/><Relationship Id="rId297" Type="http://schemas.openxmlformats.org/officeDocument/2006/relationships/image" Target="media/image248.png"/><Relationship Id="rId298" Type="http://schemas.openxmlformats.org/officeDocument/2006/relationships/image" Target="media/image249.png"/><Relationship Id="rId299" Type="http://schemas.openxmlformats.org/officeDocument/2006/relationships/image" Target="media/image250.png"/><Relationship Id="rId300" Type="http://schemas.openxmlformats.org/officeDocument/2006/relationships/image" Target="media/image251.png"/><Relationship Id="rId301" Type="http://schemas.openxmlformats.org/officeDocument/2006/relationships/image" Target="media/image252.png"/><Relationship Id="rId302" Type="http://schemas.openxmlformats.org/officeDocument/2006/relationships/image" Target="media/image253.png"/><Relationship Id="rId303" Type="http://schemas.openxmlformats.org/officeDocument/2006/relationships/image" Target="media/image254.png"/><Relationship Id="rId304" Type="http://schemas.openxmlformats.org/officeDocument/2006/relationships/image" Target="media/image255.png"/><Relationship Id="rId305" Type="http://schemas.openxmlformats.org/officeDocument/2006/relationships/image" Target="media/image256.png"/><Relationship Id="rId306" Type="http://schemas.openxmlformats.org/officeDocument/2006/relationships/image" Target="media/image257.png"/><Relationship Id="rId307" Type="http://schemas.openxmlformats.org/officeDocument/2006/relationships/image" Target="media/image258.png"/><Relationship Id="rId308" Type="http://schemas.openxmlformats.org/officeDocument/2006/relationships/image" Target="media/image259.png"/><Relationship Id="rId309" Type="http://schemas.openxmlformats.org/officeDocument/2006/relationships/image" Target="media/image260.png"/><Relationship Id="rId310" Type="http://schemas.openxmlformats.org/officeDocument/2006/relationships/image" Target="media/image261.png"/><Relationship Id="rId311" Type="http://schemas.openxmlformats.org/officeDocument/2006/relationships/image" Target="media/image262.png"/><Relationship Id="rId312" Type="http://schemas.openxmlformats.org/officeDocument/2006/relationships/image" Target="media/image263.png"/><Relationship Id="rId313" Type="http://schemas.openxmlformats.org/officeDocument/2006/relationships/image" Target="media/image264.png"/><Relationship Id="rId314" Type="http://schemas.openxmlformats.org/officeDocument/2006/relationships/image" Target="media/image265.png"/><Relationship Id="rId315" Type="http://schemas.openxmlformats.org/officeDocument/2006/relationships/image" Target="media/image266.png"/><Relationship Id="rId316" Type="http://schemas.openxmlformats.org/officeDocument/2006/relationships/image" Target="media/image267.png"/><Relationship Id="rId317" Type="http://schemas.openxmlformats.org/officeDocument/2006/relationships/image" Target="media/image268.png"/><Relationship Id="rId318" Type="http://schemas.openxmlformats.org/officeDocument/2006/relationships/image" Target="media/image269.png"/><Relationship Id="rId319" Type="http://schemas.openxmlformats.org/officeDocument/2006/relationships/image" Target="media/image270.png"/><Relationship Id="rId320" Type="http://schemas.openxmlformats.org/officeDocument/2006/relationships/image" Target="media/image271.png"/><Relationship Id="rId321" Type="http://schemas.openxmlformats.org/officeDocument/2006/relationships/image" Target="media/image272.png"/><Relationship Id="rId322" Type="http://schemas.openxmlformats.org/officeDocument/2006/relationships/image" Target="media/image273.png"/><Relationship Id="rId323" Type="http://schemas.openxmlformats.org/officeDocument/2006/relationships/image" Target="media/image274.png"/><Relationship Id="rId324" Type="http://schemas.openxmlformats.org/officeDocument/2006/relationships/image" Target="media/image275.png"/><Relationship Id="rId325" Type="http://schemas.openxmlformats.org/officeDocument/2006/relationships/image" Target="media/image276.png"/><Relationship Id="rId326" Type="http://schemas.openxmlformats.org/officeDocument/2006/relationships/image" Target="media/image277.png"/><Relationship Id="rId327" Type="http://schemas.openxmlformats.org/officeDocument/2006/relationships/image" Target="media/image278.png"/><Relationship Id="rId328" Type="http://schemas.openxmlformats.org/officeDocument/2006/relationships/image" Target="media/image279.png"/><Relationship Id="rId329" Type="http://schemas.openxmlformats.org/officeDocument/2006/relationships/image" Target="media/image280.png"/><Relationship Id="rId330" Type="http://schemas.openxmlformats.org/officeDocument/2006/relationships/image" Target="media/image281.png"/><Relationship Id="rId331" Type="http://schemas.openxmlformats.org/officeDocument/2006/relationships/image" Target="media/image282.png"/><Relationship Id="rId332" Type="http://schemas.openxmlformats.org/officeDocument/2006/relationships/image" Target="media/image283.png"/><Relationship Id="rId333" Type="http://schemas.openxmlformats.org/officeDocument/2006/relationships/image" Target="media/image284.png"/><Relationship Id="rId334" Type="http://schemas.openxmlformats.org/officeDocument/2006/relationships/image" Target="media/image285.png"/><Relationship Id="rId335" Type="http://schemas.openxmlformats.org/officeDocument/2006/relationships/image" Target="media/image286.png"/><Relationship Id="rId336" Type="http://schemas.openxmlformats.org/officeDocument/2006/relationships/image" Target="media/image287.png"/><Relationship Id="rId337" Type="http://schemas.openxmlformats.org/officeDocument/2006/relationships/image" Target="media/image288.png"/><Relationship Id="rId338" Type="http://schemas.openxmlformats.org/officeDocument/2006/relationships/image" Target="media/image289.png"/><Relationship Id="rId339" Type="http://schemas.openxmlformats.org/officeDocument/2006/relationships/image" Target="media/image290.png"/><Relationship Id="rId340" Type="http://schemas.openxmlformats.org/officeDocument/2006/relationships/image" Target="media/image291.png"/><Relationship Id="rId341" Type="http://schemas.openxmlformats.org/officeDocument/2006/relationships/image" Target="media/image292.png"/><Relationship Id="rId342" Type="http://schemas.openxmlformats.org/officeDocument/2006/relationships/image" Target="media/image293.png"/><Relationship Id="rId116" Type="http://schemas.openxmlformats.org/officeDocument/2006/relationships/hyperlink" Target="https://www.sec.gov/Archives/edgar/data/1395937/000119312516496764/d119516dex31.htm" TargetMode="External"/><Relationship Id="rId117" Type="http://schemas.openxmlformats.org/officeDocument/2006/relationships/hyperlink" Target="https://www.sec.gov/Archives/edgar/data/1395937/000119312516496764/d119516dex32.htm" TargetMode="External"/><Relationship Id="rId118" Type="http://schemas.openxmlformats.org/officeDocument/2006/relationships/hyperlink" Target="https://www.sec.gov/Archives/edgar/data/1395937/000119312516457615/d117131dex41.htm" TargetMode="External"/><Relationship Id="rId119" Type="http://schemas.openxmlformats.org/officeDocument/2006/relationships/hyperlink" Target="https://www.sec.gov/Archives/edgar/data/1395937/000119312521361105/d274870dex41.htm" TargetMode="External"/><Relationship Id="rId120" Type="http://schemas.openxmlformats.org/officeDocument/2006/relationships/hyperlink" Target="https://www.sec.gov/Archives/edgar/data/1395937/000156459020009016/sndx-ex45_574.htm" TargetMode="External"/><Relationship Id="rId121" Type="http://schemas.openxmlformats.org/officeDocument/2006/relationships/hyperlink" Target="https://www.sec.gov/Archives/edgar/data/1395937/000119312516420122/d39288dex103.htm" TargetMode="External"/><Relationship Id="rId122" Type="http://schemas.openxmlformats.org/officeDocument/2006/relationships/hyperlink" Target="https://www.sec.gov/Archives/edgar/data/1395937/000119312516420122/d39288dex104.htm" TargetMode="External"/><Relationship Id="rId123" Type="http://schemas.openxmlformats.org/officeDocument/2006/relationships/hyperlink" Target="https://www.sec.gov/Archives/edgar/data/1395937/000119312516420122/d39288dex105.htm" TargetMode="External"/><Relationship Id="rId124" Type="http://schemas.openxmlformats.org/officeDocument/2006/relationships/hyperlink" Target="https://www.sec.gov/Archives/edgar/data/1395937/000119312516420122/d39288dex106.htm" TargetMode="External"/><Relationship Id="rId127" Type="http://schemas.openxmlformats.org/officeDocument/2006/relationships/hyperlink" Target="https://www.sec.gov/Archives/edgar/data/1395937/000119312516420122/d39288dex107.htm" TargetMode="External"/><Relationship Id="rId128" Type="http://schemas.openxmlformats.org/officeDocument/2006/relationships/hyperlink" Target="https://www.sec.gov/Archives/edgar/data/1395937/000119312516420122/d39288dex108.htm" TargetMode="External"/><Relationship Id="rId129" Type="http://schemas.openxmlformats.org/officeDocument/2006/relationships/hyperlink" Target="https://www.sec.gov/Archives/edgar/data/1395937/000119312516420122/d39288dex109.htm" TargetMode="External"/><Relationship Id="rId130" Type="http://schemas.openxmlformats.org/officeDocument/2006/relationships/hyperlink" Target="https://www.sec.gov/Archives/edgar/data/1395937/000119312516420122/d39288dex1010.htm" TargetMode="External"/><Relationship Id="rId131" Type="http://schemas.openxmlformats.org/officeDocument/2006/relationships/hyperlink" Target="https://www.sec.gov/Archives/edgar/data/1395937/000119312516420122/d39288dex1011.htm" TargetMode="External"/><Relationship Id="rId132" Type="http://schemas.openxmlformats.org/officeDocument/2006/relationships/hyperlink" Target="https://www.sec.gov/Archives/edgar/data/1395937/000119312516420122/d39288dex1012.htm" TargetMode="External"/><Relationship Id="rId133" Type="http://schemas.openxmlformats.org/officeDocument/2006/relationships/hyperlink" Target="https://www.sec.gov/Archives/edgar/data/1395937/000119312516420122/d39288dex1013.htm" TargetMode="External"/><Relationship Id="rId134" Type="http://schemas.openxmlformats.org/officeDocument/2006/relationships/hyperlink" Target="https://www.sec.gov/Archives/edgar/data/1395937/000119312516420122/d39288dex1014.htm" TargetMode="External"/><Relationship Id="rId135" Type="http://schemas.openxmlformats.org/officeDocument/2006/relationships/hyperlink" Target="https://www.sec.gov/Archives/edgar/data/1395937/000156459020037777/sndx-ex101_313.htm" TargetMode="External"/><Relationship Id="rId136" Type="http://schemas.openxmlformats.org/officeDocument/2006/relationships/hyperlink" Target="https://www.sec.gov/Archives/edgar/data/1395937/000156459021012607/sndx-ex1014_191.htm" TargetMode="External"/><Relationship Id="rId137" Type="http://schemas.openxmlformats.org/officeDocument/2006/relationships/hyperlink" Target="https://www.sec.gov/Archives/edgar/data/1395937/000119312516518181/d166957dex416.htm" TargetMode="External"/><Relationship Id="rId138" Type="http://schemas.openxmlformats.org/officeDocument/2006/relationships/hyperlink" Target="https://www.sec.gov/Archives/edgar/data/1395937/000095017023002172/sndx-ex10_1.htm" TargetMode="External"/><Relationship Id="rId139" Type="http://schemas.openxmlformats.org/officeDocument/2006/relationships/hyperlink" Target="https://www.sec.gov/Archives/edgar/data/1395937/000095017023002172/sndx-ex10_2.htm" TargetMode="External"/><Relationship Id="rId140" Type="http://schemas.openxmlformats.org/officeDocument/2006/relationships/hyperlink" Target="https://www.sec.gov/Archives/edgar/data/1395937/000156459022008112/sndx-ex1016_444.htm" TargetMode="External"/><Relationship Id="rId141" Type="http://schemas.openxmlformats.org/officeDocument/2006/relationships/hyperlink" Target="https://www.sec.gov/Archives/edgar/data/1395937/000156459022008112/sndx-ex1017_443.htm" TargetMode="External"/><Relationship Id="rId144" Type="http://schemas.openxmlformats.org/officeDocument/2006/relationships/hyperlink" Target="https://www.sec.gov/Archives/edgar/data/1395937/000156459022018873/sndx-ex101_11.htm" TargetMode="External"/><Relationship Id="rId145" Type="http://schemas.openxmlformats.org/officeDocument/2006/relationships/hyperlink" Target="https://www.sec.gov/Archives/edgar/data/1395937/000156459022018873/sndx-ex102_12.htm" TargetMode="External"/><Relationship Id="rId146" Type="http://schemas.openxmlformats.org/officeDocument/2006/relationships/hyperlink" Target="https://www.sec.gov/Archives/edgar/data/1395937/000156459022023045/sndx-ex101_16.htm" TargetMode="External"/><Relationship Id="rId147" Type="http://schemas.openxmlformats.org/officeDocument/2006/relationships/hyperlink" Target="https://www.sec.gov/Archives/edgar/data/1395937/000095017022026017/sndx-ex10_1.htm" TargetMode="External"/><Relationship Id="rId148" Type="http://schemas.openxmlformats.org/officeDocument/2006/relationships/hyperlink" Target="https://www.sec.gov/Archives/edgar/data/1395937/000119312516420122/d39288dex1021.htm" TargetMode="External"/><Relationship Id="rId149" Type="http://schemas.openxmlformats.org/officeDocument/2006/relationships/hyperlink" Target="https://www.sec.gov/Archives/edgar/data/1395937/000119312516420122/d39288dex1022.htm" TargetMode="External"/><Relationship Id="rId150" Type="http://schemas.openxmlformats.org/officeDocument/2006/relationships/hyperlink" Target="https://www.sec.gov/Archives/edgar/data/1395937/000119312516420122/d39288dex1023.htm" TargetMode="External"/><Relationship Id="rId151" Type="http://schemas.openxmlformats.org/officeDocument/2006/relationships/hyperlink" Target="https://www.sec.gov/Archives/edgar/data/1395937/000119312516420122/d39288dex1024.htm" TargetMode="External"/><Relationship Id="rId152" Type="http://schemas.openxmlformats.org/officeDocument/2006/relationships/hyperlink" Target="https://www.sec.gov/Archives/edgar/data/1395937/000119312516420122/d39288dex1025.htm" TargetMode="External"/><Relationship Id="rId153" Type="http://schemas.openxmlformats.org/officeDocument/2006/relationships/hyperlink" Target="https://www.sec.gov/Archives/edgar/data/1395937/000119312516420122/d39288dex1026.htm" TargetMode="External"/><Relationship Id="rId154" Type="http://schemas.openxmlformats.org/officeDocument/2006/relationships/hyperlink" Target="https://www.sec.gov/Archives/edgar/data/1395937/000119312516733845/d250701dex101.htm" TargetMode="External"/><Relationship Id="rId155" Type="http://schemas.openxmlformats.org/officeDocument/2006/relationships/hyperlink" Target="https://www.sec.gov/Archives/edgar/data/0001395937/000119312517163872/d380147dex104.htm" TargetMode="External"/><Relationship Id="rId158" Type="http://schemas.openxmlformats.org/officeDocument/2006/relationships/hyperlink" Target="https://www.sec.gov/Archives/edgar/data/1395937/000156459019041719/sndx-ex102_185.htm" TargetMode="External"/><Relationship Id="rId159" Type="http://schemas.openxmlformats.org/officeDocument/2006/relationships/hyperlink" Target="https://www.sec.gov/Archives/edgar/data/1395937/000095017022015523/sndx-ex10_1.htm" TargetMode="External"/><Relationship Id="rId160" Type="http://schemas.openxmlformats.org/officeDocument/2006/relationships/hyperlink" Target="https://www.sec.gov/Archives/edgar/data/1395937/000156459018004911/sndx-ex1047_509.htm" TargetMode="External"/><Relationship Id="rId161" Type="http://schemas.openxmlformats.org/officeDocument/2006/relationships/hyperlink" Target="https://www.sec.gov/Archives/edgar/data/1395937/000156459019017318/sndx-ex101_122.htm" TargetMode="External"/><Relationship Id="rId162" Type="http://schemas.openxmlformats.org/officeDocument/2006/relationships/hyperlink" Target="https://www.sec.gov/Archives/edgar/data/1395937/000156459021057004/sndx-ex101_182.htm" TargetMode="External"/><Relationship Id="rId163" Type="http://schemas.openxmlformats.org/officeDocument/2006/relationships/hyperlink" Target="https://www.sec.gov/Archives/edgar/data/1395937/000156459021057004/sndx-ex102_1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2023-02-28T20:25:45Z</dcterms:created>
  <dcterms:modified xsi:type="dcterms:W3CDTF">2023-02-28T20:25:45Z</dcterms:modified>
</cp:coreProperties>
</file>