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108585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2018</w:t>
      </w: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-4445</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114935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Syndax Pharmaceuticals, Inc.</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4" w:lineRule="exact"/>
        <w:rPr>
          <w:sz w:val="24"/>
          <w:szCs w:val="24"/>
          <w:color w:val="auto"/>
        </w:rPr>
      </w:pPr>
    </w:p>
    <w:tbl>
      <w:tblPr>
        <w:tblLayout w:type="fixed"/>
        <w:tblInd w:w="1900" w:type="dxa"/>
        <w:tblCellMar>
          <w:top w:w="0" w:type="dxa"/>
          <w:left w:w="0" w:type="dxa"/>
          <w:bottom w:w="0" w:type="dxa"/>
          <w:right w:w="0" w:type="dxa"/>
        </w:tblCellMar>
      </w:tblPr>
      <w:tr>
        <w:trPr>
          <w:trHeight w:val="194"/>
        </w:trPr>
        <w:tc>
          <w:tcPr>
            <w:tcW w:w="5600" w:type="dxa"/>
            <w:vAlign w:val="bottom"/>
          </w:tcPr>
          <w:p>
            <w:pPr>
              <w:jc w:val="center"/>
              <w:ind w:right="2743"/>
              <w:spacing w:after="0"/>
              <w:rPr>
                <w:sz w:val="20"/>
                <w:szCs w:val="20"/>
                <w:color w:val="auto"/>
              </w:rPr>
            </w:pPr>
            <w:r>
              <w:rPr>
                <w:rFonts w:ascii="Arial" w:cs="Arial" w:eastAsia="Arial" w:hAnsi="Arial"/>
                <w:sz w:val="16"/>
                <w:szCs w:val="16"/>
                <w:b w:val="1"/>
                <w:bCs w:val="1"/>
                <w:color w:val="auto"/>
                <w:w w:val="93"/>
              </w:rPr>
              <w:t>Delaware</w:t>
            </w:r>
          </w:p>
        </w:tc>
        <w:tc>
          <w:tcPr>
            <w:tcW w:w="1200" w:type="dxa"/>
            <w:vAlign w:val="bottom"/>
          </w:tcPr>
          <w:p>
            <w:pPr>
              <w:jc w:val="right"/>
              <w:ind w:right="84"/>
              <w:spacing w:after="0"/>
              <w:rPr>
                <w:sz w:val="20"/>
                <w:szCs w:val="20"/>
                <w:color w:val="auto"/>
              </w:rPr>
            </w:pPr>
            <w:r>
              <w:rPr>
                <w:rFonts w:ascii="Arial" w:cs="Arial" w:eastAsia="Arial" w:hAnsi="Arial"/>
                <w:sz w:val="16"/>
                <w:szCs w:val="16"/>
                <w:b w:val="1"/>
                <w:bCs w:val="1"/>
                <w:color w:val="auto"/>
              </w:rPr>
              <w:t>32-0162505</w:t>
            </w:r>
          </w:p>
        </w:tc>
      </w:tr>
      <w:tr>
        <w:trPr>
          <w:trHeight w:val="149"/>
        </w:trPr>
        <w:tc>
          <w:tcPr>
            <w:tcW w:w="5600" w:type="dxa"/>
            <w:vAlign w:val="bottom"/>
          </w:tcPr>
          <w:p>
            <w:pPr>
              <w:jc w:val="center"/>
              <w:ind w:right="274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600" w:type="dxa"/>
            <w:vAlign w:val="bottom"/>
          </w:tcPr>
          <w:p>
            <w:pPr>
              <w:jc w:val="center"/>
              <w:ind w:right="2743"/>
              <w:spacing w:after="0"/>
              <w:rPr>
                <w:sz w:val="20"/>
                <w:szCs w:val="20"/>
                <w:color w:val="auto"/>
              </w:rPr>
            </w:pPr>
            <w:r>
              <w:rPr>
                <w:rFonts w:ascii="Arial" w:cs="Arial" w:eastAsia="Arial" w:hAnsi="Arial"/>
                <w:sz w:val="14"/>
                <w:szCs w:val="14"/>
                <w:b w:val="1"/>
                <w:bCs w:val="1"/>
                <w:color w:val="auto"/>
                <w:w w:val="95"/>
              </w:rPr>
              <w:t>Incorporation or Organization)</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Identification No.)</w:t>
            </w:r>
          </w:p>
        </w:tc>
      </w:tr>
      <w:tr>
        <w:trPr>
          <w:trHeight w:val="403"/>
        </w:trPr>
        <w:tc>
          <w:tcPr>
            <w:tcW w:w="5600" w:type="dxa"/>
            <w:vAlign w:val="bottom"/>
          </w:tcPr>
          <w:p>
            <w:pPr>
              <w:jc w:val="center"/>
              <w:ind w:right="2763"/>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200" w:type="dxa"/>
            <w:vAlign w:val="bottom"/>
          </w:tcPr>
          <w:p>
            <w:pPr>
              <w:spacing w:after="0"/>
              <w:rPr>
                <w:sz w:val="24"/>
                <w:szCs w:val="24"/>
                <w:color w:val="auto"/>
              </w:rPr>
            </w:pPr>
          </w:p>
        </w:tc>
      </w:tr>
      <w:tr>
        <w:trPr>
          <w:trHeight w:val="207"/>
        </w:trPr>
        <w:tc>
          <w:tcPr>
            <w:tcW w:w="5600" w:type="dxa"/>
            <w:vAlign w:val="bottom"/>
          </w:tcPr>
          <w:p>
            <w:pPr>
              <w:jc w:val="center"/>
              <w:ind w:right="2763"/>
              <w:spacing w:after="0"/>
              <w:rPr>
                <w:sz w:val="20"/>
                <w:szCs w:val="20"/>
                <w:color w:val="auto"/>
              </w:rPr>
            </w:pPr>
            <w:r>
              <w:rPr>
                <w:rFonts w:ascii="Arial" w:cs="Arial" w:eastAsia="Arial" w:hAnsi="Arial"/>
                <w:sz w:val="16"/>
                <w:szCs w:val="16"/>
                <w:b w:val="1"/>
                <w:bCs w:val="1"/>
                <w:color w:val="auto"/>
                <w:w w:val="90"/>
              </w:rPr>
              <w:t>Waltham, Massachusetts</w:t>
            </w:r>
          </w:p>
        </w:tc>
        <w:tc>
          <w:tcPr>
            <w:tcW w:w="120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5600" w:type="dxa"/>
            <w:vAlign w:val="bottom"/>
          </w:tcPr>
          <w:p>
            <w:pPr>
              <w:jc w:val="center"/>
              <w:ind w:right="2743"/>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00" w:type="dxa"/>
            <w:vAlign w:val="bottom"/>
          </w:tcPr>
          <w:p>
            <w:pPr>
              <w:jc w:val="center"/>
              <w:ind w:left="2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5600" w:type="dxa"/>
            <w:vAlign w:val="bottom"/>
          </w:tcPr>
          <w:p>
            <w:pPr>
              <w:jc w:val="right"/>
              <w:ind w:right="1203"/>
              <w:spacing w:after="0"/>
              <w:rPr>
                <w:sz w:val="20"/>
                <w:szCs w:val="20"/>
                <w:color w:val="auto"/>
              </w:rPr>
            </w:pPr>
            <w:r>
              <w:rPr>
                <w:rFonts w:ascii="Arial" w:cs="Arial" w:eastAsia="Arial" w:hAnsi="Arial"/>
                <w:sz w:val="16"/>
                <w:szCs w:val="16"/>
                <w:b w:val="1"/>
                <w:bCs w:val="1"/>
                <w:color w:val="auto"/>
              </w:rPr>
              <w:t>(781) 419-1400</w:t>
            </w:r>
          </w:p>
        </w:tc>
        <w:tc>
          <w:tcPr>
            <w:tcW w:w="1200" w:type="dxa"/>
            <w:vAlign w:val="bottom"/>
          </w:tcPr>
          <w:p>
            <w:pPr>
              <w:spacing w:after="0"/>
              <w:rPr>
                <w:sz w:val="23"/>
                <w:szCs w:val="23"/>
                <w:color w:val="auto"/>
              </w:rPr>
            </w:pPr>
          </w:p>
        </w:tc>
      </w:tr>
      <w:tr>
        <w:trPr>
          <w:trHeight w:val="186"/>
        </w:trPr>
        <w:tc>
          <w:tcPr>
            <w:tcW w:w="5600" w:type="dxa"/>
            <w:vAlign w:val="bottom"/>
          </w:tcPr>
          <w:p>
            <w:pPr>
              <w:jc w:val="center"/>
              <w:ind w:left="1963"/>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ind w:right="260" w:firstLine="38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jc w:val="center"/>
        <w:ind w:right="8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4" w:lineRule="exact"/>
        <w:rPr>
          <w:sz w:val="24"/>
          <w:szCs w:val="24"/>
          <w:color w:val="auto"/>
        </w:rPr>
      </w:pPr>
    </w:p>
    <w:p>
      <w:pPr>
        <w:ind w:right="80"/>
        <w:spacing w:after="0" w:line="211" w:lineRule="exact"/>
        <w:rPr>
          <w:sz w:val="20"/>
          <w:szCs w:val="20"/>
          <w:color w:val="auto"/>
        </w:rPr>
      </w:pPr>
      <w:r>
        <w:rPr>
          <w:rFonts w:ascii="Arial" w:cs="Arial" w:eastAsia="Arial" w:hAnsi="Arial"/>
          <w:sz w:val="16"/>
          <w:szCs w:val="16"/>
          <w:color w:val="auto"/>
        </w:rPr>
        <w:t xml:space="preserve">submitted and posted pursuant to Rule 405 of Regulation S-T (Section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firstLine="38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6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spacing w:after="0"/>
              <w:rPr>
                <w:sz w:val="17"/>
                <w:szCs w:val="17"/>
                <w:color w:val="auto"/>
              </w:rPr>
            </w:pPr>
          </w:p>
        </w:tc>
        <w:tc>
          <w:tcPr>
            <w:tcW w:w="3380" w:type="dxa"/>
            <w:vAlign w:val="bottom"/>
          </w:tcPr>
          <w:p>
            <w:pPr>
              <w:ind w:left="78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6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ind w:left="220"/>
              <w:spacing w:after="0"/>
              <w:rPr>
                <w:sz w:val="20"/>
                <w:szCs w:val="20"/>
                <w:color w:val="auto"/>
              </w:rPr>
            </w:pPr>
            <w:r>
              <w:rPr>
                <w:rFonts w:ascii="Arial" w:cs="Arial" w:eastAsia="Arial" w:hAnsi="Arial"/>
                <w:sz w:val="16"/>
                <w:szCs w:val="16"/>
                <w:color w:val="auto"/>
              </w:rPr>
              <w:t>(Do not check if a smaller reporting company)</w:t>
            </w:r>
          </w:p>
        </w:tc>
        <w:tc>
          <w:tcPr>
            <w:tcW w:w="3380" w:type="dxa"/>
            <w:vAlign w:val="bottom"/>
          </w:tcPr>
          <w:p>
            <w:pPr>
              <w:ind w:left="78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100" w:lineRule="exact"/>
        <w:rPr>
          <w:sz w:val="24"/>
          <w:szCs w:val="24"/>
          <w:color w:val="auto"/>
        </w:rPr>
      </w:pPr>
    </w:p>
    <w:p>
      <w:pPr>
        <w:ind w:right="220" w:firstLine="38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00" w:right="224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6, 2018, there were 23,355,013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514985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32" w:right="3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lung cancer, melanoma, microsatellite stable colorectal cancer, ovarian cancer, and triple negative breast cancer;</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hormone receptor positive, human epidermal growth factor receptor 2 negative (HR+, HER2-) breast cancer;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UCB Biopharma Sprl, and Vitae Pharmaceuticals, Inc., a subsidiary of Allergan plc;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91"/>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4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22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4"/>
                <w:szCs w:val="24"/>
                <w:color w:val="auto"/>
              </w:rPr>
            </w:pPr>
          </w:p>
        </w:tc>
        <w:tc>
          <w:tcPr>
            <w:tcW w:w="95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2018 and December 31, 2017</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six months ended</w:t>
              </w:r>
            </w:hyperlink>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2018 and 2017</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6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2018</w:t>
              </w:r>
            </w:hyperlink>
          </w:p>
        </w:tc>
        <w:tc>
          <w:tcPr>
            <w:tcW w:w="29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2017</w:t>
              </w:r>
            </w:hyperlink>
          </w:p>
        </w:tc>
        <w:tc>
          <w:tcPr>
            <w:tcW w:w="864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5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78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784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24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Unregistered Sales of Equity Securities and Use of Proceeds</w:t>
              </w:r>
            </w:hyperlink>
          </w:p>
        </w:tc>
        <w:tc>
          <w:tcPr>
            <w:tcW w:w="522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104,696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9"/>
                <w:szCs w:val="19"/>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105,370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5,297</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deferred revenue</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less current portion</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June 30, 2018 and December 31, 2017</w:t>
            </w:r>
          </w:p>
        </w:tc>
        <w:tc>
          <w:tcPr>
            <w:tcW w:w="28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22,705,794</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and 24,390,033 shares issued and outstanding at June 30, 2018 and</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December 31, 2017, respectively</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473,686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(403,247)</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(366,111)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70,352</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105,370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4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(37,785)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Other comprehensive (loss) income:</w:t>
            </w: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gains on marketable securities</w:t>
            </w:r>
          </w:p>
        </w:tc>
        <w:tc>
          <w:tcPr>
            <w:tcW w:w="7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4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(18,259)</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(13,601)</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(37,731)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(37,785)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w w:val="99"/>
              </w:rPr>
              <w:t>Net loss per share attributable to common stockholders—basic</w:t>
            </w: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(0.74)</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49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98"/>
              </w:rPr>
              <w:t>Weighted-average number of common shares used to compute</w:t>
            </w:r>
          </w:p>
        </w:tc>
        <w:tc>
          <w:tcPr>
            <w:tcW w:w="4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4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24,705,441</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19,497,581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24,592,483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18,868,089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(37,785)</w:t>
            </w:r>
          </w:p>
        </w:tc>
        <w:tc>
          <w:tcPr>
            <w:tcW w:w="10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(26,610)</w:t>
            </w: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Depreciation, amortization and accretion</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(1,082)</w:t>
            </w:r>
          </w:p>
        </w:tc>
      </w:tr>
      <w:tr>
        <w:trPr>
          <w:trHeight w:val="230"/>
        </w:trPr>
        <w:tc>
          <w:tcPr>
            <w:tcW w:w="7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r>
      <w:tr>
        <w:trPr>
          <w:trHeight w:val="230"/>
        </w:trPr>
        <w:tc>
          <w:tcPr>
            <w:tcW w:w="7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r>
      <w:tr>
        <w:trPr>
          <w:trHeight w:val="223"/>
        </w:trPr>
        <w:tc>
          <w:tcPr>
            <w:tcW w:w="71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(35,019)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(24,468)</w:t>
            </w:r>
          </w:p>
        </w:tc>
        <w:tc>
          <w:tcPr>
            <w:tcW w:w="10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2"/>
              </w:rPr>
              <w:t>(34,149)</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(87,989)</w:t>
            </w:r>
          </w:p>
        </w:tc>
      </w:tr>
      <w:tr>
        <w:trPr>
          <w:trHeight w:val="230"/>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9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66,250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62,447</w:t>
            </w:r>
          </w:p>
        </w:tc>
        <w:tc>
          <w:tcPr>
            <w:tcW w:w="10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31,928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(25,542)</w:t>
            </w:r>
          </w:p>
        </w:tc>
        <w:tc>
          <w:tcPr>
            <w:tcW w:w="100" w:type="dxa"/>
            <w:vAlign w:val="bottom"/>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follow-on public stock offering, net</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48,836</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Proceeds from stock option exercises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7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35,389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24,110</w:t>
            </w:r>
          </w:p>
        </w:tc>
        <w:tc>
          <w:tcPr>
            <w:tcW w:w="100" w:type="dxa"/>
            <w:vAlign w:val="bottom"/>
            <w:shd w:val="clear" w:color="auto" w:fill="CFF0FC"/>
          </w:tcPr>
          <w:p>
            <w:pPr>
              <w:spacing w:after="0"/>
              <w:rPr>
                <w:sz w:val="19"/>
                <w:szCs w:val="19"/>
                <w:color w:val="auto"/>
              </w:rPr>
            </w:pPr>
          </w:p>
        </w:tc>
      </w:tr>
      <w:tr>
        <w:trPr>
          <w:trHeight w:val="26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4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32,420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23,204</w:t>
            </w:r>
          </w:p>
        </w:tc>
        <w:tc>
          <w:tcPr>
            <w:tcW w:w="100" w:type="dxa"/>
            <w:vAlign w:val="bottom"/>
            <w:tcBorders>
              <w:bottom w:val="single" w:sz="8" w:color="CFF0FC"/>
            </w:tcBorders>
          </w:tcPr>
          <w:p>
            <w:pPr>
              <w:spacing w:after="0"/>
              <w:rPr>
                <w:sz w:val="22"/>
                <w:szCs w:val="22"/>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71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160" w:type="dxa"/>
            <w:vAlign w:val="bottom"/>
          </w:tcPr>
          <w:p>
            <w:pPr>
              <w:ind w:left="1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8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7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18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8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7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2018, and the results of operations and comprehensive loss for the three and six months ended June 30, 2018 and 2017, and cash flows for the six months ended June 30, 2018 and 2017. The results for the three and six months ended June 30,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in the Company’s Annual Report on Form 10-K that was filed with the Securities and Exchange Commission (“SEC”) on March 8, 2018.</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1" w:lineRule="exact"/>
        <w:rPr>
          <w:sz w:val="20"/>
          <w:szCs w:val="20"/>
          <w:color w:val="auto"/>
        </w:rPr>
      </w:pPr>
    </w:p>
    <w:p>
      <w:pPr>
        <w:ind w:left="520" w:right="7860" w:hanging="512"/>
        <w:spacing w:after="0" w:line="400" w:lineRule="auto"/>
        <w:tabs>
          <w:tab w:leader="none" w:pos="18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 xml:space="preserve">The Company’s significant accounting policies, which are disclosed in the audited consolidated financial statements for the year ended December 31, 2017 and the notes thereto are included in the Company’s Annual Report on Form 10-K that was filed with the SEC on March 8, 2018. Certain amounts reported in the previous year have been recast as a result of the retrospective adoption of new accounting standards in the first quarter of 2018. Refer to </w:t>
      </w:r>
      <w:r>
        <w:rPr>
          <w:rFonts w:ascii="Arial" w:cs="Arial" w:eastAsia="Arial" w:hAnsi="Arial"/>
          <w:sz w:val="16"/>
          <w:szCs w:val="16"/>
          <w:i w:val="1"/>
          <w:iCs w:val="1"/>
          <w:color w:val="auto"/>
        </w:rPr>
        <w:t>Recently Issued and Adopted Accounting Pronouncements</w:t>
      </w:r>
      <w:r>
        <w:rPr>
          <w:rFonts w:ascii="Arial" w:cs="Arial" w:eastAsia="Arial" w:hAnsi="Arial"/>
          <w:sz w:val="16"/>
          <w:szCs w:val="16"/>
          <w:color w:val="auto"/>
        </w:rPr>
        <w:t xml:space="preserve"> and Note 4 "Revenue from Contracts with Customers" for further discussion.</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Company adopted Accounting Standards Codification Rule 606, or ASC 606, Revenue from Contracts with Customers,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For the Company’s accounting policy for revenue recognition under ASC 605, refer to Item 8 of the Annual Report on Form 10-K for the year ended December 31, 2017. As of January 1, 2018, the Company had only one contract within the scope of ASC 606, a license agreement with Kyowa Hakko Kirin Co., Ltd. (“KHK”) (the “KHK License Agreement”), under which the Company granted KHK an exclusive license to develop and commercialize entinostat in Japan and Korea. The KHK License Agreement is discussed further in Footnote 6.</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enters into license agreements for the development and commercialization of its product candidates. License agreements may include non-refundable upfront payments, contingent payments based on the occurrence of specified events under the Company’s license arrangements, partial or complete reimbursement of research and development expenses, and license fees and royalties on sales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360" w:firstLine="518"/>
        <w:spacing w:after="0" w:line="285" w:lineRule="auto"/>
        <w:rPr>
          <w:sz w:val="20"/>
          <w:szCs w:val="20"/>
          <w:color w:val="auto"/>
        </w:rPr>
      </w:pPr>
      <w:r>
        <w:rPr>
          <w:rFonts w:ascii="Arial" w:cs="Arial" w:eastAsia="Arial" w:hAnsi="Arial"/>
          <w:sz w:val="16"/>
          <w:szCs w:val="16"/>
          <w:color w:val="auto"/>
        </w:rPr>
        <w:t>Revenue is recognized when, or as, performance obligations are satisfied, which occurs when control of the promised products or services is transferred to customers. Revenue is measured as the amount of consideration the Company expects to receive in exchange for transferring products or services to a customer (“transaction price”). To the extent that the transaction price includes variable consideration, the Company estimates the amount of variable consideration that should be included in the transaction price utilizing the most likely amount method. Variable consideration is included in the transaction price if, in the Company’s judgment, it is probable that a significant future reversal of cumulative revenue under the contract will not</w:t>
      </w:r>
    </w:p>
    <w:p>
      <w:pPr>
        <w:spacing w:after="0" w:line="2"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assesses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18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Licenses of intellectual property: 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Arrangements containing licenses to the Company’s intellectual property typically provide for a know-how transfer period. These arrangements may or may not also include rights to future updates of that intellectual property and related know-how. Revenues from non-refundable, up-front fees allocated to the licenses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6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Development Milestone Payments: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For development milestones related to the KHK Agreement, the Company does not take a substantive role or control the research, development or commercialization of any products generated by KHK. Therefore, the Company is not able to reasonably estimate when, if at all, any development milestone payments may be payable to the Company. As such, the development milestone payments associated with the KHK Agreement involve a substantial degree of uncertainty and risk that they may never be received.</w:t>
      </w:r>
    </w:p>
    <w:p>
      <w:pPr>
        <w:spacing w:after="0" w:line="169"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Commercial Milestone Payments and Royalties: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71"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15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In June 2018, the Financial Accounting Standards Board (“FASB”) issued Accounting Standards Update (“ASU”) 2018-07,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Improvements to Nonemployee Share-Based Payment Accounting </w:t>
      </w:r>
      <w:r>
        <w:rPr>
          <w:rFonts w:ascii="Arial" w:cs="Arial" w:eastAsia="Arial" w:hAnsi="Arial"/>
          <w:sz w:val="17"/>
          <w:szCs w:val="17"/>
          <w:color w:val="auto"/>
        </w:rPr>
        <w:t>(“ASU 2018-07”). ASU 2018-07 is intended to simplify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the accounting for nonemployee share-based payment transactions by expanding the scope of Topic 718 to include share-based payment transactions for acquiring goods and services from nonemployees. This ASU is effective for public reporting companies for interim and annual periods beginning after December 15, 2018, with early adoption permitted but no earlier than an entity’s adoption date of Topic 606. The Company is in the process of evaluating the effect of the new guidance on the Company’s consolidated financial statements and related disclosures.</w:t>
      </w:r>
    </w:p>
    <w:p>
      <w:pPr>
        <w:spacing w:after="0" w:line="17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ASU 2017-09 provides guidance about which changes to the terms or conditions of a share-based payment award require an entity to apply modification accounting.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ASU 2017-09 on January 1, 2018, and it did not have a material impact on its condensed consolidated balance sheet, condensed statement of comprehensive loss or condensed statement of cash flows. As part of the adoption of this guidance, the Company adopted a policy to account for the effects of a modification unless certain exclusions are met.</w:t>
      </w:r>
    </w:p>
    <w:p>
      <w:pPr>
        <w:spacing w:after="0" w:line="17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ASU 2016-18 requires that restricted cash and restricted cash equivalents be included with cash and cash equivalents when reconciling the beginning-of-period and end-of-period total amounts shown on the statement of cash flows. The statement of cash flows must also explain the change during the period in the total of cash, cash equivalents, and restricted cash or restricted cash equivalents. The Company adopted ASU 2016-18 on January 1, 2018, utilizing the retrospective transition method and it did not have a material impact on its condensed statement of cash flows. As part of the adoption of this guidance, the Company included restricted cash with cash and cash equivalents in the condensed statement of cash flows for both first quarter of 2018 and 2017. The following table provides a reconciliation of the cash, cash equivalents, and restricted cash balances as of June 30, 2018 and December 31, 2017, as shown above:</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4"/>
          </w:tcPr>
          <w:p>
            <w:pPr>
              <w:jc w:val="right"/>
              <w:ind w:right="1214"/>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32,204</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current and noncurrent assets</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32,420</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standard will be effective for the Company on January 1, 2019. The Company is currently assessing the impact of the standard, including optional practical expedients that the Company may elect upon adoption and is progressing with an implementation plan. The implementation plan includes identifying the Company’s lease population, updating the Company’s lease database and identifying changes to processes and controls. The Company is currently assessing the impact that this standard will have on its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ind w:right="120" w:firstLine="518"/>
        <w:spacing w:after="0" w:line="279"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The Company adopted ASU 2014-09 and its related amendments (collectively known as ASC 606) effective on January 1, 2018 using the modified retrospective method. See Note 4 "Revenue from Contracts with Customers" for the required disclosures related to the impact of adopting this standard and a discussion of the Company's updated policies related to revenue recognition.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On January 1, 2018, the Company adopted ASC 606 applying the modified retrospective method, which only impacted the accounting for the KHK License Agreement. As a result of applying the modified retrospective method to adopt the new revenue guidance, the following adjustments were made to accounts on the consolidated balance sheet as of January 1, 2018:</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As Reported at</w:t>
            </w:r>
          </w:p>
        </w:tc>
        <w:tc>
          <w:tcPr>
            <w:tcW w:w="1420" w:type="dxa"/>
            <w:vAlign w:val="bottom"/>
            <w:gridSpan w:val="4"/>
          </w:tcPr>
          <w:p>
            <w:pPr>
              <w:jc w:val="center"/>
              <w:ind w:right="325"/>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4"/>
          </w:tcPr>
          <w:p>
            <w:pPr>
              <w:jc w:val="center"/>
              <w:ind w:right="305"/>
              <w:spacing w:after="0" w:line="149" w:lineRule="exact"/>
              <w:rPr>
                <w:sz w:val="20"/>
                <w:szCs w:val="20"/>
                <w:color w:val="auto"/>
              </w:rPr>
            </w:pPr>
            <w:r>
              <w:rPr>
                <w:rFonts w:ascii="Arial" w:cs="Arial" w:eastAsia="Arial" w:hAnsi="Arial"/>
                <w:sz w:val="14"/>
                <w:szCs w:val="14"/>
                <w:b w:val="1"/>
                <w:bCs w:val="1"/>
                <w:color w:val="auto"/>
                <w:w w:val="93"/>
              </w:rPr>
              <w:t>Due to ASC</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January 1,</w:t>
            </w: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606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revenue</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FF0FC"/>
          </w:tcPr>
          <w:p>
            <w:pPr>
              <w:spacing w:after="0"/>
              <w:rPr>
                <w:sz w:val="19"/>
                <w:szCs w:val="19"/>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15,798</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Deferred revenue, less current portion</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16,759</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32,867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32,218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(366,111)</w:t>
            </w: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(365,462)</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104,968</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137,186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137,186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Guidance on Financial Statement Line Items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Results for reporting periods beginning after January 1, 2018 were presented under Topic 606, while prior period amounts were not adjusted and reported under the accounting standards in effect for the prior periods. The following tables show the impact on the reported condensed consolidated balance sheet for the six months ended June 30, 2018, and the statement of income for the three and six months ended June 30, 2018, for pro-forma amounts had the previous guidance been in effect (in thousands):</w:t>
      </w:r>
    </w:p>
    <w:p>
      <w:pPr>
        <w:sectPr>
          <w:pgSz w:w="11900" w:h="16838" w:orient="portrait"/>
          <w:cols w:equalWidth="0" w:num="1">
            <w:col w:w="11300"/>
          </w:cols>
          <w:pgMar w:left="240" w:top="382" w:right="359" w:bottom="1440" w:gutter="0" w:footer="0" w:header="0"/>
        </w:sectPr>
      </w:pP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Financial Statement Line Item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6350</wp:posOffset>
            </wp:positionV>
            <wp:extent cx="3576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Condensed Consolidated Statement of Income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Increase (Decrease)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74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Three months ended</w:t>
            </w:r>
          </w:p>
        </w:tc>
        <w:tc>
          <w:tcPr>
            <w:tcW w:w="15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4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2018</w:t>
            </w:r>
          </w:p>
        </w:tc>
      </w:tr>
    </w:tbl>
    <w:p>
      <w:pPr>
        <w:spacing w:after="0" w:line="1" w:lineRule="exact"/>
        <w:rPr>
          <w:sz w:val="20"/>
          <w:szCs w:val="20"/>
          <w:color w:val="auto"/>
        </w:rPr>
      </w:pPr>
    </w:p>
    <w:p>
      <w:pPr>
        <w:sectPr>
          <w:pgSz w:w="11900" w:h="16838" w:orient="portrait"/>
          <w:cols w:equalWidth="0" w:num="2">
            <w:col w:w="6220" w:space="720"/>
            <w:col w:w="4360"/>
          </w:cols>
          <w:pgMar w:left="240" w:top="382" w:right="359" w:bottom="1440" w:gutter="0" w:footer="0" w:header="0"/>
          <w:type w:val="continuous"/>
        </w:sect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fee</w:t>
            </w:r>
          </w:p>
        </w:tc>
        <w:tc>
          <w:tcPr>
            <w:tcW w:w="17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7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392"/>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Condensed Consolidated Balance Sheet **</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2018</w:t>
            </w:r>
          </w:p>
        </w:tc>
      </w:tr>
      <w:tr>
        <w:trPr>
          <w:trHeight w:val="223"/>
        </w:trPr>
        <w:tc>
          <w:tcPr>
            <w:tcW w:w="20" w:type="dxa"/>
            <w:vAlign w:val="bottom"/>
          </w:tcPr>
          <w:p>
            <w:pPr>
              <w:spacing w:after="0"/>
              <w:rPr>
                <w:sz w:val="19"/>
                <w:szCs w:val="19"/>
                <w:color w:val="auto"/>
              </w:rPr>
            </w:pPr>
          </w:p>
        </w:tc>
        <w:tc>
          <w:tcPr>
            <w:tcW w:w="5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1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revenue, less current portion</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right="24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line items that were not affected by the Company’s adoption of ASC 606. The adoption had no impact to cash provided by or used in net operating, investing or financing activities in the Condensed Consolidated Statement of Cash Flows.</w:t>
      </w:r>
    </w:p>
    <w:p>
      <w:pPr>
        <w:spacing w:after="0" w:line="76" w:lineRule="exact"/>
        <w:rPr>
          <w:sz w:val="20"/>
          <w:szCs w:val="20"/>
          <w:color w:val="auto"/>
        </w:rPr>
      </w:pPr>
    </w:p>
    <w:p>
      <w:pPr>
        <w:ind w:left="5660" w:right="3060" w:hanging="5652"/>
        <w:spacing w:after="0" w:line="528" w:lineRule="auto"/>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 sheet line item amounts include the cumulative-effect adjustment recorded on December 31, 2017.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82"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Impact to KHK License Agreement Revenue</w:t>
      </w:r>
    </w:p>
    <w:p>
      <w:pPr>
        <w:spacing w:after="0" w:line="117"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Under ASC 606, the Company determined that the performance obligations associated with the KHK License Agreement include (i) the combined license, rights to access and use materials and data, and rights to additional intellectual property, and (ii) the clinical supply obligation. All other goods or services promised to KHK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as opposed to the initial delivery of the clinical trial materials in June 2015.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KHK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KHK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KHK Agreement at contract inception were not distinct and represented a single performance obligation, and that the obligations for goods and services provided would be completed over the performance period of the agreement, any payments received by the Company from KHK,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73"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Contract liabilities consisted of deferred revenue, as presented on the consolidated balance sheet, as of June 30, 2018. Deferred revenue related to the KHK License Agreement was $16.9 million as of June 30, 2018 and will be recognized over the remainder of the contract term. The Company recognized license fees revenue of $0.4 million during the three months ended June 30, 2018 that were included in the deferred revenue balance as of January 1,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40" w:type="dxa"/>
            <w:vAlign w:val="bottom"/>
            <w:gridSpan w:val="5"/>
          </w:tcPr>
          <w:p>
            <w:pPr>
              <w:jc w:val="center"/>
              <w:ind w:right="134"/>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40" w:type="dxa"/>
            <w:vAlign w:val="bottom"/>
            <w:gridSpan w:val="5"/>
          </w:tcPr>
          <w:p>
            <w:pPr>
              <w:jc w:val="center"/>
              <w:ind w:right="134"/>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left="658"/>
              <w:spacing w:after="0"/>
              <w:rPr>
                <w:sz w:val="20"/>
                <w:szCs w:val="20"/>
                <w:color w:val="auto"/>
              </w:rPr>
            </w:pPr>
            <w:r>
              <w:rPr>
                <w:rFonts w:ascii="Arial" w:cs="Arial" w:eastAsia="Arial" w:hAnsi="Arial"/>
                <w:sz w:val="14"/>
                <w:szCs w:val="14"/>
                <w:b w:val="1"/>
                <w:bCs w:val="1"/>
                <w:color w:val="auto"/>
                <w:w w:val="93"/>
              </w:rPr>
              <w:t>share data)</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left="659"/>
              <w:spacing w:after="0"/>
              <w:rPr>
                <w:sz w:val="20"/>
                <w:szCs w:val="20"/>
                <w:color w:val="auto"/>
              </w:rPr>
            </w:pPr>
            <w:r>
              <w:rPr>
                <w:rFonts w:ascii="Arial" w:cs="Arial" w:eastAsia="Arial" w:hAnsi="Arial"/>
                <w:sz w:val="14"/>
                <w:szCs w:val="14"/>
                <w:b w:val="1"/>
                <w:bCs w:val="1"/>
                <w:color w:val="auto"/>
                <w:w w:val="93"/>
              </w:rPr>
              <w:t>share data)</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(18,388)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(13,639)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(37,785)</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(26,610)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4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(18,388)</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(13,639)</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(37,785)</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(26,610)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3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stockholders—basic and diluted</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(0.74)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Denominator—basic and diluted:</w:t>
            </w:r>
          </w:p>
        </w:tc>
        <w:tc>
          <w:tcPr>
            <w:tcW w:w="4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Weighted-average common shares used to</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w w:val="99"/>
              </w:rPr>
              <w:t>compute net loss per share—basic and diluted</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24,705,441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19,497,581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24,592,483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18,868,089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318"/>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1" w:name="page12"/>
    <w:bookmarkEnd w:id="11"/>
    <w:p>
      <w:pPr>
        <w:ind w:right="220" w:firstLine="51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8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4,232,590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3,281,644</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Common stock warrant</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357,840</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October 2017, the Company entered into a license agreement (the “Allergan License Agreement”) with Vitae Pharmaceuticals, Inc., a subsidiary of Allergan plc (“Allergan”), under which Allergan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Allergan in the fourth quarter of 2017. Additionally, subject to the achievement of certain milestone events, the Company may be required to pay Allergan up to $99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In 2016, the Company entered into a license agreement (the “UCB License Agreement”) with UCB Biopharma Sprl (“UCB”), under which UCB granted to the Company a worldwide, sublicenseable, exclusive license to UCB6352, which the Company refers to as SNDX-6352, an investigational new drug (“IND”) ready anti-CSF-1R monoclonal antibody. The Company made a nonrefundable upfront payment of $5.0 million to UCB in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of these findings, in 2016, the upfront payment of $5.0 million has been recorded as research and development expense in the condensed consolidated statement of comprehensive loss.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color w:val="auto"/>
        </w:rPr>
        <w:t>Kyowa Hakko Kirin Co., Ltd.</w:t>
      </w:r>
    </w:p>
    <w:p>
      <w:pPr>
        <w:spacing w:after="0" w:line="12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On December 19, 2014 (the “Effective Date”), the Company entered into a license agreement (the “KHK License 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6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 October 2017, the Company announced that KHK enrolled the first Japanese patient into a local pivotal study of entinostat for the treatment of hormone receptor positive, human epidermal growth factor receptor 2 negative breast cancer. In accordance with the terms of the license agreement, KHK paid the Company a $5.0 million milestone payment which the Company received in December 2017. Please refer to Note 4, Revenue from Contracts, for further discussion related to the accounting for the milestone.</w:t>
      </w:r>
    </w:p>
    <w:p>
      <w:pPr>
        <w:spacing w:after="0" w:line="18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expanded its clinical trial agreement with Eastern Cooperative Oncology Group (the “ECOG Agreement”) to include enrollments from sites in Korea.</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200" w:firstLine="518"/>
        <w:spacing w:after="0" w:line="287"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During the first quarter of 2017, the ECOG Agreement was amended to expand the study to include enrollments from sites in Korea and to provide additional study activities and the contractual obligation increased by $2.0 million. As of June 30, 2018, the Company’s aggregate payment obligations under this agreement were approximately $24.3 million; and its remaining payment obligations are approximately $11.9 million over an estimated period of approximately four years.</w:t>
      </w:r>
    </w:p>
    <w:p>
      <w:pPr>
        <w:spacing w:after="0" w:line="17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was exercised or the closing of the IPO. The warrant contained anti-dilution protection to maintain Bayer’s potential ownership at 1.75% of the shares of common stock outstanding on a fully diluted basis, requiring that the actual number of shares of common stock issuable pursuant to the warrant be increased or decreased for any changes in the fully diluted shares of common stock outstanding. The warrant was exercisable at an exercise price of $1.54 per share and would have expired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 On March 1, 2018, Bayer notified the Company of its election to exercise the warrant utilizing the net exercise feature contained therein, resulting in the Company’s issuance to Bayer of 299,215 shares of the Company’s common stock for no net cash proceeds.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that are accessible at the market date for identical unrestricted assets or liabilities.</w:t>
      </w:r>
    </w:p>
    <w:p>
      <w:pPr>
        <w:spacing w:after="0" w:line="117" w:lineRule="exact"/>
        <w:rPr>
          <w:sz w:val="20"/>
          <w:szCs w:val="20"/>
          <w:color w:val="auto"/>
        </w:rPr>
      </w:pPr>
    </w:p>
    <w:p>
      <w:pPr>
        <w:ind w:left="1220" w:hanging="688"/>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4"/>
              </w:rPr>
              <w:t>Fair Value Measurements Using</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right"/>
              <w:ind w:right="637"/>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June 30, 2018</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2680" w:type="dxa"/>
            <w:vAlign w:val="bottom"/>
            <w:tcBorders>
              <w:top w:val="single" w:sz="8" w:color="CFF0FC"/>
            </w:tcBorders>
            <w:gridSpan w:val="2"/>
          </w:tcPr>
          <w:p>
            <w:pPr>
              <w:spacing w:after="0"/>
              <w:rPr>
                <w:sz w:val="19"/>
                <w:szCs w:val="19"/>
                <w:color w:val="auto"/>
              </w:rPr>
            </w:pPr>
          </w:p>
        </w:tc>
        <w:tc>
          <w:tcPr>
            <w:tcW w:w="16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20" w:type="dxa"/>
            <w:vAlign w:val="bottom"/>
            <w:gridSpan w:val="4"/>
            <w:vMerge w:val="continue"/>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35,168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Long-term investments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Cash equivalents of $27.5 million and $25.0 million as of June 30, 2018 and December 31, 2017, respectively, consisted of overnight investments and money market funds and are classified within Level 1 of the fair value hierarchy because they are valued using quoted market prices in active markets. Cash equivalents of $4.7 million and $10.2 million as of June 30, 2018 and December 31, 2017, respectively,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Short-term investments of $66.2 million and $94.8 million as of June 30, 2018 and December 31, 2017, respectively, and long-term investments of $3.2 million as of December 31, 2017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June 30, 2018,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six months ended June 30, 2018 and 2017. As a result, the Company did not reclassify any amounts out of accumulated other comprehensive income for the same periods. The Company has a limited number of available-for-sale securities in insignificant loss positions as of June 30, 2018, which the Company does not intend to sell and has concluded it will not be required to sell before recovery of the amortized cost for the investment at maturity. The following table summarizes the available-for-sale securities: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6"/>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right"/>
              <w:ind w:right="84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32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June 30, 2018</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4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spacing w:after="0"/>
              <w:rPr>
                <w:sz w:val="22"/>
                <w:szCs w:val="22"/>
                <w:color w:val="auto"/>
              </w:rPr>
            </w:pPr>
          </w:p>
        </w:tc>
        <w:tc>
          <w:tcPr>
            <w:tcW w:w="1860" w:type="dxa"/>
            <w:vAlign w:val="bottom"/>
            <w:tcBorders>
              <w:bottom w:val="single" w:sz="8" w:color="CFF0FC"/>
            </w:tcBorders>
          </w:tcPr>
          <w:p>
            <w:pPr>
              <w:spacing w:after="0"/>
              <w:rPr>
                <w:sz w:val="22"/>
                <w:szCs w:val="22"/>
                <w:color w:val="auto"/>
              </w:rPr>
            </w:pPr>
          </w:p>
        </w:tc>
        <w:tc>
          <w:tcPr>
            <w:tcW w:w="20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71,016</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70,927</w:t>
            </w:r>
          </w:p>
        </w:tc>
        <w:tc>
          <w:tcPr>
            <w:tcW w:w="12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46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8"/>
              </w:rPr>
              <w:t>December 31, 2017</w:t>
            </w:r>
          </w:p>
        </w:tc>
        <w:tc>
          <w:tcPr>
            <w:tcW w:w="1860" w:type="dxa"/>
            <w:vAlign w:val="bottom"/>
            <w:tcBorders>
              <w:bottom w:val="single" w:sz="8" w:color="CFF0FC"/>
            </w:tcBorders>
            <w:shd w:val="clear" w:color="auto" w:fill="CFF0FC"/>
          </w:tcPr>
          <w:p>
            <w:pPr>
              <w:spacing w:after="0"/>
              <w:rPr>
                <w:sz w:val="16"/>
                <w:szCs w:val="16"/>
                <w:color w:val="auto"/>
              </w:rPr>
            </w:pPr>
          </w:p>
        </w:tc>
        <w:tc>
          <w:tcPr>
            <w:tcW w:w="20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71,721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108,391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vMerge w:val="restart"/>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Reimbursable costs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January 2018, the number of shares of common stock available for issuance under the 2015 Omnibus Incentive Plan (“2015 Plan”), was increased by 975,601 shares due to the automatic annual provision to increase shares available under the 2015 Plan. As of June 30, 2018, the total number of shares of common stock available for issuance under the 2015 Plan was 1,443,394.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5"/>
              </w:rPr>
              <w:t>Three Months Ended June 30,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FF0FC"/>
          </w:tcPr>
          <w:p>
            <w:pPr>
              <w:spacing w:after="0"/>
              <w:rPr>
                <w:sz w:val="19"/>
                <w:szCs w:val="19"/>
                <w:color w:val="auto"/>
              </w:rPr>
            </w:pPr>
          </w:p>
        </w:tc>
      </w:tr>
      <w:tr>
        <w:trPr>
          <w:trHeight w:val="230"/>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FF0FC"/>
            </w:tcBorders>
          </w:tcPr>
          <w:p>
            <w:pPr>
              <w:spacing w:after="0"/>
              <w:rPr>
                <w:sz w:val="19"/>
                <w:szCs w:val="19"/>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and six months ended June 30, 2018 and 2017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5"/>
              </w:rPr>
              <w:t>Three Months Ended June 30,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6" w:name="page17"/>
    <w:bookmarkEnd w:id="16"/>
    <w:p>
      <w:pPr>
        <w:jc w:val="both"/>
        <w:ind w:right="160" w:firstLine="518"/>
        <w:spacing w:after="0" w:line="264" w:lineRule="auto"/>
        <w:rPr>
          <w:sz w:val="20"/>
          <w:szCs w:val="20"/>
          <w:color w:val="auto"/>
        </w:rPr>
      </w:pPr>
      <w:r>
        <w:rPr>
          <w:rFonts w:ascii="Arial" w:cs="Arial" w:eastAsia="Arial" w:hAnsi="Arial"/>
          <w:sz w:val="18"/>
          <w:szCs w:val="18"/>
          <w:color w:val="auto"/>
        </w:rPr>
        <w:t>During the three and six months ended June 30, 2018, the Company granted 158,400 and 973,400 stock options to certain executives and employees. The grant date fair value of these options was $6.3 million, or $6.43 per share on a weighted-average basis, and will be recognized as compensation expense over the requisite service period of three to four years.</w:t>
      </w:r>
    </w:p>
    <w:p>
      <w:pPr>
        <w:spacing w:after="0" w:line="22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There were 7,850 options exercised during the three and six months ended June 30, 2018, resulting in total proceeds of $26,000. The intrinsic value of the options exercised was $91,000. In accordance with the Company’s policy, the shares were issued from a pool of shares reserved for issuance under the 2007 and 2015 Plans.</w:t>
      </w:r>
    </w:p>
    <w:p>
      <w:pPr>
        <w:spacing w:after="0" w:line="181" w:lineRule="exact"/>
        <w:rPr>
          <w:sz w:val="20"/>
          <w:szCs w:val="20"/>
          <w:color w:val="auto"/>
        </w:rPr>
      </w:pPr>
    </w:p>
    <w:p>
      <w:pPr>
        <w:ind w:right="240" w:firstLine="518"/>
        <w:spacing w:after="0" w:line="303" w:lineRule="auto"/>
        <w:rPr>
          <w:sz w:val="20"/>
          <w:szCs w:val="20"/>
          <w:color w:val="auto"/>
        </w:rPr>
      </w:pPr>
      <w:r>
        <w:rPr>
          <w:rFonts w:ascii="Arial" w:cs="Arial" w:eastAsia="Arial" w:hAnsi="Arial"/>
          <w:sz w:val="17"/>
          <w:szCs w:val="17"/>
          <w:color w:val="auto"/>
        </w:rPr>
        <w:t>As of June 30, 2018, there was $11.9 million of unrecognized compensation cost related to employee and non-employee unvested stock options and unvested restricted stock share-based compensation arrangements granted under the 2015 and 2007 Plans, which is expected to be recognized over a weighted-average remaining service period of 2.6 years. Stock compensation costs have not been capitalized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 January 2018, the number of shares of common stock available for issuance under the ESPP, was increased by 243,900 shares as a result of the automatic increase provision of the ESPP. As of June 30, 2018, the total number of shares of common stock available for issuance under the ESPP was 667,441. The first offering period commenced on August 1, 2017 and the first purchase took place on January 31, 2018. The Company issued 8,696 shares during the first six months of 2018.</w:t>
      </w:r>
    </w:p>
    <w:p>
      <w:pPr>
        <w:spacing w:after="0" w:line="187"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The compensation expense related to the ESPP for the three and six months ended June 30, 2018 was approximately $30,000 and $58,000, respectively. There was no compensation expense related to the ESPP recorded in the three and six months ended June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six months ended June 30,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20" w:type="dxa"/>
            <w:vAlign w:val="bottom"/>
            <w:gridSpan w:val="4"/>
            <w:vMerge w:val="restart"/>
          </w:tcPr>
          <w:p>
            <w:pPr>
              <w:jc w:val="center"/>
              <w:ind w:left="134"/>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20" w:type="dxa"/>
            <w:vAlign w:val="bottom"/>
            <w:gridSpan w:val="4"/>
          </w:tcPr>
          <w:p>
            <w:pPr>
              <w:jc w:val="center"/>
              <w:ind w:left="134"/>
              <w:spacing w:after="0" w:line="149" w:lineRule="exact"/>
              <w:rPr>
                <w:sz w:val="20"/>
                <w:szCs w:val="20"/>
                <w:color w:val="auto"/>
              </w:rPr>
            </w:pPr>
            <w:r>
              <w:rPr>
                <w:rFonts w:ascii="Arial" w:cs="Arial" w:eastAsia="Arial" w:hAnsi="Arial"/>
                <w:sz w:val="14"/>
                <w:szCs w:val="14"/>
                <w:b w:val="1"/>
                <w:bCs w:val="1"/>
                <w:color w:val="auto"/>
                <w:w w:val="90"/>
              </w:rPr>
              <w:t>$0.0001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92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24,390,033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FF0FC"/>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(366,111)</w:t>
            </w:r>
          </w:p>
        </w:tc>
        <w:tc>
          <w:tcPr>
            <w:tcW w:w="1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104,319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8,696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issuance due to warrant exercise, cashless</w:t>
            </w:r>
          </w:p>
        </w:tc>
        <w:tc>
          <w:tcPr>
            <w:tcW w:w="940" w:type="dxa"/>
            <w:vAlign w:val="bottom"/>
          </w:tcPr>
          <w:p>
            <w:pPr>
              <w:jc w:val="right"/>
              <w:spacing w:after="0"/>
              <w:rPr>
                <w:sz w:val="20"/>
                <w:szCs w:val="20"/>
                <w:color w:val="auto"/>
              </w:rPr>
            </w:pPr>
            <w:r>
              <w:rPr>
                <w:rFonts w:ascii="Arial" w:cs="Arial" w:eastAsia="Arial" w:hAnsi="Arial"/>
                <w:sz w:val="18"/>
                <w:szCs w:val="18"/>
                <w:color w:val="auto"/>
              </w:rPr>
              <w:t>299,215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Cumulative effect adjustment of adoption ASU</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2014-09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Retirement of common stock in exchange for</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warrant</w:t>
            </w:r>
            <w:r>
              <w:rPr>
                <w:rFonts w:ascii="Arial" w:cs="Arial" w:eastAsia="Arial" w:hAnsi="Arial"/>
                <w:sz w:val="15"/>
                <w:szCs w:val="15"/>
                <w:color w:val="auto"/>
              </w:rPr>
              <w:t>1</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(16,780)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Issuance of common stock warrant in exchange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for retirement of common stock</w:t>
            </w:r>
            <w:r>
              <w:rPr>
                <w:rFonts w:ascii="Arial" w:cs="Arial" w:eastAsia="Arial" w:hAnsi="Arial"/>
                <w:sz w:val="15"/>
                <w:szCs w:val="15"/>
                <w:color w:val="auto"/>
              </w:rPr>
              <w:t>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(37,785)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(37,785)</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as of June 30,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22,705,794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69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50" w:lineRule="exact"/>
        <w:rPr>
          <w:sz w:val="20"/>
          <w:szCs w:val="20"/>
          <w:color w:val="auto"/>
        </w:rPr>
      </w:pPr>
    </w:p>
    <w:p>
      <w:pPr>
        <w:ind w:right="260"/>
        <w:spacing w:after="0" w:line="256" w:lineRule="auto"/>
        <w:rPr>
          <w:sz w:val="20"/>
          <w:szCs w:val="20"/>
          <w:color w:val="auto"/>
        </w:rPr>
      </w:pPr>
      <w:r>
        <w:rPr>
          <w:rFonts w:ascii="Arial" w:cs="Arial" w:eastAsia="Arial" w:hAnsi="Arial"/>
          <w:sz w:val="11"/>
          <w:szCs w:val="11"/>
          <w:color w:val="auto"/>
        </w:rPr>
        <w:t>1</w:t>
      </w:r>
      <w:r>
        <w:rPr>
          <w:rFonts w:ascii="Arial" w:cs="Arial" w:eastAsia="Arial" w:hAnsi="Arial"/>
          <w:sz w:val="13"/>
          <w:szCs w:val="13"/>
          <w:color w:val="auto"/>
        </w:rPr>
        <w:t>On June 18, 2018, the Company signed an exchange agreement with Biotechnology Value Fund and certain affiliated funds (“BVF”) under which BVF exchanged 2,000,000 shares of common</w:t>
      </w:r>
      <w:r>
        <w:rPr>
          <w:rFonts w:ascii="Arial" w:cs="Arial" w:eastAsia="Arial" w:hAnsi="Arial"/>
          <w:sz w:val="11"/>
          <w:szCs w:val="11"/>
          <w:color w:val="auto"/>
        </w:rPr>
        <w:t xml:space="preserve"> </w:t>
      </w:r>
      <w:r>
        <w:rPr>
          <w:rFonts w:ascii="Arial" w:cs="Arial" w:eastAsia="Arial" w:hAnsi="Arial"/>
          <w:sz w:val="13"/>
          <w:szCs w:val="13"/>
          <w:color w:val="auto"/>
        </w:rPr>
        <w:t>stock for 2,000,000 warrant shares. The Company recorded the issuance of the warrant shares and the retirement of the common stock at fair value within additional paid-in capital. BVF can exercise the warrant shares at an exercise price per share equal to $0.0001 per share and the warrant shares expire 20 years from issuance. Per the terms of the warrant agreement, the outstanding warrants to purchase shares of common stock may not be exercised if the holder's ownership of the Company's common stock would exceed 9.99 percent following such exercise.</w:t>
      </w:r>
    </w:p>
    <w:p>
      <w:pPr>
        <w:spacing w:after="0" w:line="17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(“ATM”) equity offerings. Cowen is not required to sell any specific amount, but acts as our sales agent using commercially reasonable efforts consistent with its normal trading and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160"/>
        <w:spacing w:after="0" w:line="308" w:lineRule="auto"/>
        <w:rPr>
          <w:sz w:val="20"/>
          <w:szCs w:val="20"/>
          <w:color w:val="auto"/>
        </w:rPr>
      </w:pPr>
      <w:r>
        <w:rPr>
          <w:rFonts w:ascii="Arial" w:cs="Arial" w:eastAsia="Arial" w:hAnsi="Arial"/>
          <w:sz w:val="17"/>
          <w:szCs w:val="17"/>
          <w:color w:val="auto"/>
        </w:rPr>
        <w:t>practices. In the third quarter of 2018, through August 6, 2018, the Company sold 633,231 shares of common stock under the at-the-market (ATM) program for net proceeds of $4.4 million. As of August 6, 2018, we have $43.6 million of common stock available for sale under the ATM program.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18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the first quarter of 2018 we completed our evaluation of the accounting for the tax effects of enactment of the Tax Cuts and Jobs Act of 2017 (the “Act”). The only impact of the Act was the remeasurement of the Company’s deferred tax assets and liabilities, which was recorded in fiscal 2017 as a result of the reduction in U.S. corporate tax rates from 35% to 21%. As of December 31, 2017, the Company determined it had no accumulated unrepatriated foreign earnings, and therefore had recorded no liability for the repatriation transition tax. No changes have been made to the estimates recorded in fiscal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 managing director at MPM Asset Management, LLC, which holds an investment in the Company’s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considers events and transactions that occur after the balance sheet date but prior to the issuance of the financial statements to provide additional evidence relative to certain estimates or to identify matters that require additional disclosure. The Company has completed an evaluation of all subsequent events through the date of this filing of this Quarterly Report on Form 10-Q.</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8,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We are a clinical stage biopharmaceutical company developing an innovative pipeline of cancer therapies. We are developing our lead product candidate, entinostat, a once-weekly, oral, small molecule, Class I HDAC inhibitor, in combination with exemestane and several approved PD-1/PD-L1 antagonists. Our pipeline also includes SNDX-6352, a monoclonal antibody that blocks the colony stimulating factor 1 (CSF-1) receptor, as well as a portfolio of potent and selective inhibitors targeting the binding interaction of Menin with MLLr. We plan to continue to leverage the technical and business expertise of our management team and scientific collaborators to license, acquire and develop additional cancer therapies to expand our pipeline.</w:t>
      </w:r>
    </w:p>
    <w:p>
      <w:pPr>
        <w:spacing w:after="0" w:line="158"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six months ended June 30, 2018 and 2017, we reported a net loss of $37.8 million and $26.6 million, respectively. As of June 30, 2018, we had an accumulated deficit of $403.2 million, which included non-cash charges for stock-based compensation, preferred stock accretion and extinguishment charges. As of June 30, 2018, we had cash, cash equivalents and short-term investments of $98.4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ind w:left="1040" w:right="100" w:hanging="519"/>
        <w:spacing w:after="0" w:line="293"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Phase 3 registration trial of entinostat plus exemestane in advanced hormone receptor positive, human epidermal growth factor receptor 2 negative (HR+, HER2-) breast cancer, E2112, is 98% enrolled as of the end of July. ECOG-ACRIN Cancer Research Group, the trial sponsor, had notified us that the Data Safety Monitoring Committee (DSMC) completed the final progression free survival (PFS) analysis in November 2017. The trial is proceeding as planned, and we continue to anticipate that enrollment will be complete in the third quarter of 2018, at which time the result of the PFS analysis will be released to us. In addition, interim overall survival (OS) analyses are scheduled to occur every May and November. Two interim OS analyses have already occurred, with the next analysis expected this November.</w:t>
      </w:r>
    </w:p>
    <w:p>
      <w:pPr>
        <w:spacing w:after="0" w:line="56" w:lineRule="exact"/>
        <w:rPr>
          <w:rFonts w:ascii="Arial" w:cs="Arial" w:eastAsia="Arial" w:hAnsi="Arial"/>
          <w:sz w:val="16"/>
          <w:szCs w:val="16"/>
          <w:color w:val="auto"/>
        </w:rPr>
      </w:pPr>
    </w:p>
    <w:p>
      <w:pPr>
        <w:ind w:left="1040" w:right="160" w:hanging="519"/>
        <w:spacing w:after="0" w:line="30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presented data from a subset of PD-(L)1 refractory non-small cell lung cancer (NSCLC) patients enrolled in the expanded Phase 2 ENCORE 601 cohort (n = 57) at the American Society of Clinical Oncology (ASCO) Annual Meeting in June. Updated data from all patients (n = 76) enrolled in this cohort will be presented at the World Conference on Lung Cancer Meeting in Toronto next month, including updated results from our biomarker analyses. We expect to communicate our development plans for entinostat in this indication in the fourth quarter.</w:t>
      </w:r>
    </w:p>
    <w:p>
      <w:pPr>
        <w:spacing w:after="0" w:line="46" w:lineRule="exact"/>
        <w:rPr>
          <w:rFonts w:ascii="Arial" w:cs="Arial" w:eastAsia="Arial" w:hAnsi="Arial"/>
          <w:sz w:val="16"/>
          <w:szCs w:val="16"/>
          <w:color w:val="auto"/>
        </w:rPr>
      </w:pPr>
    </w:p>
    <w:p>
      <w:pPr>
        <w:ind w:left="104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presented data from a subset of PD-1 refractory melanoma patients enrolled in the expanded Phase 2 ENCORE 601 cohort (n = 34) at the ASCO Annual Meeting in June. Updated results from the full cohort (n = 55) are expected by the end of this year, at which time we will make a decision on registration plans for entinostat in this indication.</w:t>
      </w:r>
    </w:p>
    <w:p>
      <w:pPr>
        <w:spacing w:after="0" w:line="73" w:lineRule="exact"/>
        <w:rPr>
          <w:rFonts w:ascii="Arial" w:cs="Arial" w:eastAsia="Arial" w:hAnsi="Arial"/>
          <w:sz w:val="18"/>
          <w:szCs w:val="18"/>
          <w:color w:val="auto"/>
        </w:rPr>
      </w:pPr>
    </w:p>
    <w:p>
      <w:pPr>
        <w:ind w:left="1040" w:right="32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Enrollment in the expanded stage 1 ENCORE 601 cohort of patients with microsatellite stable colorectal cancer (MSS-CRC, n = 37) is expected to complete in the third quarter. A decision on whether to continue to the second stage of this cohort is expected in the first half of 2019.</w:t>
      </w:r>
    </w:p>
    <w:p>
      <w:pPr>
        <w:spacing w:after="0" w:line="73" w:lineRule="exact"/>
        <w:rPr>
          <w:rFonts w:ascii="Arial" w:cs="Arial" w:eastAsia="Arial" w:hAnsi="Arial"/>
          <w:sz w:val="18"/>
          <w:szCs w:val="18"/>
          <w:color w:val="auto"/>
        </w:rPr>
      </w:pPr>
    </w:p>
    <w:p>
      <w:pPr>
        <w:ind w:left="1040" w:right="280" w:hanging="519"/>
        <w:spacing w:after="0" w:line="27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Target enrollment in both the Phase 2 portion of ENCORE 602, the Phase 1b/2 clinical trial evaluating the combination of entinostat plus Genentech's PD-L1 inhibitor, atezolizumab (TECENTRIQ</w:t>
      </w:r>
      <w:r>
        <w:rPr>
          <w:rFonts w:ascii="Arial" w:cs="Arial" w:eastAsia="Arial" w:hAnsi="Arial"/>
          <w:sz w:val="14"/>
          <w:szCs w:val="14"/>
          <w:color w:val="auto"/>
        </w:rPr>
        <w:t>®</w:t>
      </w:r>
      <w:r>
        <w:rPr>
          <w:rFonts w:ascii="Arial" w:cs="Arial" w:eastAsia="Arial" w:hAnsi="Arial"/>
          <w:sz w:val="17"/>
          <w:szCs w:val="17"/>
          <w:color w:val="auto"/>
        </w:rPr>
        <w:t>), in patients with triple negative breast cancer, and the Phase 2 portion of ENCORE 603, evaluating entinostat in combination with Pfizer/Merck KGaA’s PD-L1 inhibitor, avelumab (BAVENCIO</w:t>
      </w:r>
      <w:r>
        <w:rPr>
          <w:rFonts w:ascii="Arial" w:cs="Arial" w:eastAsia="Arial" w:hAnsi="Arial"/>
          <w:sz w:val="14"/>
          <w:szCs w:val="14"/>
          <w:color w:val="auto"/>
        </w:rPr>
        <w:t>®</w:t>
      </w:r>
      <w:r>
        <w:rPr>
          <w:rFonts w:ascii="Arial" w:cs="Arial" w:eastAsia="Arial" w:hAnsi="Arial"/>
          <w:sz w:val="17"/>
          <w:szCs w:val="17"/>
          <w:color w:val="auto"/>
        </w:rPr>
        <w:t>), in patients with ovarian cancer, is complete. Topline results from each study are anticipated in the first half of 2019.</w:t>
      </w:r>
    </w:p>
    <w:p>
      <w:pPr>
        <w:spacing w:after="0" w:line="63"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ENCORE 606, the Phase 1b/2 trial evaluating entinostat in combination with NKTR-214, Nektar’s CD122-biased agonist, is expected to begin enrolling patients in the first half of 2019.</w:t>
      </w:r>
    </w:p>
    <w:p>
      <w:pPr>
        <w:spacing w:after="0" w:line="62" w:lineRule="exact"/>
        <w:rPr>
          <w:rFonts w:ascii="Arial" w:cs="Arial" w:eastAsia="Arial" w:hAnsi="Arial"/>
          <w:sz w:val="18"/>
          <w:szCs w:val="18"/>
          <w:color w:val="auto"/>
        </w:rPr>
      </w:pPr>
    </w:p>
    <w:p>
      <w:pPr>
        <w:ind w:left="1040" w:right="120" w:hanging="519"/>
        <w:spacing w:after="0" w:line="27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Dosing of patients with solid tumors in the Phase 1/1b trial evaluating the safety of SNDX-6352 continues as planned. Testing of SNDX-6352 in combination with durvalumab (IMFINZI</w:t>
      </w:r>
      <w:r>
        <w:rPr>
          <w:rFonts w:ascii="Arial" w:cs="Arial" w:eastAsia="Arial" w:hAnsi="Arial"/>
          <w:sz w:val="14"/>
          <w:szCs w:val="14"/>
          <w:color w:val="auto"/>
        </w:rPr>
        <w:t>®</w:t>
      </w:r>
      <w:r>
        <w:rPr>
          <w:rFonts w:ascii="Arial" w:cs="Arial" w:eastAsia="Arial" w:hAnsi="Arial"/>
          <w:sz w:val="17"/>
          <w:szCs w:val="17"/>
          <w:color w:val="auto"/>
        </w:rPr>
        <w:t>), AstraZeneca’s human monoclonal antibody directed against PD-L1, was recently initiated, and dosing of patients with SNDX-6352 as a monotherapy is ongoing. We anticipate identifying the recommended Phase 2 dose and schedule for SNDX-6352 monotherapy and in combination with durvalumab in the first half of 2019.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left="1040" w:right="28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commence enrollment in a Phase 1 dose escalation trial of SNDX-6352 in patients with cGVHD by the end of the year. The objectives of this trial are to evaluate the safety and preliminary efficacy of SNDX-6352 in cGVHD and to identify a recommended Phase 2 dose and schedule. Initial results are anticipated in the second half of 2019.</w:t>
      </w:r>
    </w:p>
    <w:p>
      <w:pPr>
        <w:spacing w:after="0" w:line="73"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our portfolio of Menin-Mixed Lineage Leukemia (MLLr) inhibitors is ongoing. We continue to expect clinical trials to initiate in the first half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three and six months ended June 30, 2018 and 2017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KHK’s purchase of shares of our convertible preferred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40" w:right="10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June 30, 2018, we have incurred $181.8 million in research and development expenses.</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0" w:name="page21"/>
    <w:bookmarkEnd w:id="20"/>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capital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significant accounting policies are more fully described in Note 3 of the accompanying unaudited condensed consolidated financial statements and in Note 3 to the audited consolidated financial statements contained in our Annual Report on Form 10-K for the year ended December 31, 2017, filed with the SEC on March 8, 2018. There have been no material changes to our significant accounting policies from those described in Note 3 to the audited consolidated financial statements or to our critical accounting policies described in the “Management’s Discussion and Analysis of Financial Condition and Results of Operations” contained in our Annual Report, except as set forth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January 1, 2018, we adopted Financial Accounting Standards Board Accounting Standards Codification Topic 606, Revenue from Contracts with Customers, or ASC 606 using the modified retrospective method applied to those contracts which were not completed as of January 1, 2018. The provisions of ASC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The adoption of ASC 606 requires us to provide expanded disclosures related to our contracts with customers but did not have a material impact on the Company’s consolidated financial position, results of operations, equity or cash flows as of the adoption date or for the periods presented.</w:t>
      </w:r>
    </w:p>
    <w:p>
      <w:pPr>
        <w:spacing w:after="0" w:line="189"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For license fee revenues, we applied and may continue to apply significant judgment to our KHK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The KHK agreement also includes variable consideration. We assess variable consideration at each reporting period as to whether it is not subject to significant future reversal and, therefore, should be included in the transaction price. For development milestones related to the KHK Agreement, the Company does not take a substantive role or control the research, development or commercialization of any products generated by KHK. Therefore, the Company is not able to reasonably estimate when, if at all, any development milestone payments may be payable to the Company. As such, the development milestone payments associated with the KHK Agreement involve a substantial degree of uncertainty and risk that they may never be received. Sales-based milestones and royalties will be recognized as royalty revenue in the period the related sale occurred.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6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(18,951)</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(13,842)</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(18,388)</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For the three months ended June 30, 2018 and 2017, we recognized license fees of $0.4 million and $0.3 million respectively, derived from the KHK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months ended June 30, 2018, our total research and development expenses increased $5.0 million, or 51%, to $14.9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$9.9 million for the comparable quarter in the prior year due to an increase in development activities of $2.8 million, professional fees of $0.7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increased employee compensation expense of $1.4 million. The increase in development activities was primarily due to increases in spending related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manufacturing costs for SNDX-6352, development of the Menin program and increased activities in 602 ENCORE trial partially offset by completion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Phase 1 clinical pharmacology trials and decrease in E2112 costs. The increase in professional fees was primarily due to the increase in New Drug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Application (NDA) preparation activities. The increase in employee compensation costs was primarily due to increased headcount. The amount of research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development expenses allocated to external spending will continue to grow, while we expect our internal spending to grow at a slower and more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controlled pace.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w w:val="97"/>
              </w:rPr>
              <w:t>Three Months Ended June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0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7,173</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months ended June 30, 2018, our total general and administrative expenses increased $0.2 million, or 5%, to $4.5 million from</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$4.3 million for the comparable period in the prior year. The increase in general and administrative expenses was primarily due to an increase in professional and legal fees of $0.2 million. The increase in professional fees was primarily due to pre-commercialization activities. The increase in legal fees is primarily due to increase in patent related legal expenses.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three months ended June 30, 2018, interest income, net, increased $0.2 million from the comparable period in the prior year. The increase was primarily due to increased yield on our cash, cash equivalents and short-term investments.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6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11,831</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(38,702)</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(27,019)</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11,683</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1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(37,785)</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(26,610)</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11,175</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For the six months ended June 30, 2018 and 2017, we recognized license fees of $0.8 million and $0.6 million, respectively, derived from the KHK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For the six months ended June 30, 2018, our total research and development expenses increased $10.8 million, or 56%, to $30.2 million from $19.4 million for the comparable period in the prior year due to increases in development expenses of $5.6 million, employee compensation expense of $2.6 million, professional fees of $2.4 million and facility costs of $0.1 million. The increase in development expenses was primarily due to increases in spending related the increased manufacturing costs for SNDX-6352, development of the Menin program and increased activities in ENCORE 602 and ENCORE 603 partially offset by completion of Phase 1 clinical pharmacology trials and decrease in E2112 costs. The increase in employee compensation costs was primarily due to increased headcount. The increase in professional fees was primarily due to the increase in New Drug Application (NDA) preparation activities. The amount of research and development expenses allocated to external spending will continue to grow, while we expect our internal spending to grow at a slower and more controlled pace.</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23" w:name="page24"/>
    <w:bookmarkEnd w:id="23"/>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0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22,415</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14,437</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2,798</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30,190</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19,414</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For the six months ended June 30, 2018, our total general and administrative expenses increased $1.1 million, or 13%, to $9.3 million, from $8.2 million for the comparable period in the prior year. The increase in general and administrative expenses was primarily due to increases in legal expenses and professional fees of $1.0 million. The increase in professional fees was primarily due to pre-commercialization activities. The increase in legal fees is primarily due to increase in patent related legal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the six months ended June 30, 2018, interest income, net, increased $0.4 million from the comparable period in the prior year. The increase was primarily due to increased yield on our cash, cash equivalents and short-term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As of June 30, 2018, we had cash, cash equivalents and short-term investments totaling $98.4 million. Since our inception, our operations have been primarily financed by net proceeds from our IPO, our follow-on stock offering, sale of convertible preferred stock and convertible debt securities and proceeds from our license agreements. We believe that our existing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79"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In March 2016, we completed our IPO whereby we sold 4,809,475 shares of our common stock at the price of $12.00 per share, resulting in total net proceeds of $50.5 million, after deducting underwriting discounts and commissions and offering expenses. In May 2017, we completed a follow-on public offering whereby we sold 3,950,190 shares of our common stock at a price of $13.25 per share, resulting in total net proceeds of $48.7 million, net of underwriting discounts and commissions and offering expenses. In October 2017, we issued to BVF 2,021,018 shares of our common stock at a price of $12.37 per share. Net proceeds after deducting expenses were approximately $24.9 million.</w:t>
      </w:r>
    </w:p>
    <w:p>
      <w:pPr>
        <w:spacing w:after="0" w:line="1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April 2017, we entered into a sales agreement with Cowen under which we may issue and sell shares of our common stock having aggregate sales proceeds of up to $50.0 million from time to time pursuant to the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(Registration No. 333-217172), which was declared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the Company’s drug products. No shares of common stock were sold during the six months ended June 30, 2018. As of June 30, 2018, $48.2 million of common stock remained available for sale under the ATM program. In the third quarter of 2018, up to August 6, 2018, we have sold an additional 633,231 shares of our common stock with net proceeds of approximately $4.4 million. As of August 6, 2018, we have $43.6 million of common stock available for sale under the ATM program.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85"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as we become a public company.</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87"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June 30, 2018, we had an accumulated deficit of $403.2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(35,019)</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(24,468)</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(25,542)</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49,104</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Net cash used in operating activities for the six months ended June 30, 2018 was $35.0 million and primarily consisted of our net loss of $37.8 million adjusted for non-cash items, including stock-based compensation of $3.0 million, net decrease in operating assets and liabilities of $0.1 million and a net decrease in investment amortization of $0.1 million. The increase in our net loss was primarily due to the increase in our clinical trial activities and CMC expenses. The significant items in the decrease in operating assets and liabilities included an increase in prepaid expenses and other assets of $2.8 million and a decrease in deferred revenue of $0.8 million partially offset by an increase in accounts payable, accrued expenses and other liabilities of $3.5 million.</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2017 was $24.5 million and primarily consisted of our net loss of $26.6 million adjusted for non-cash items including stock-based compensation of $2.8 million and a net decrease in operating assets and liabilities of $0.8 million. The increase in our net loss was primarily due to the increase in our clinical trial activities and increase in headcount. The significant items in the increase in operating assets and liabilities included an increase in prepaid expenses and other assets of $1.1 million and a decrease in deferred revenue of $0.6 million partially offset by an increase in accounts payable of $0.8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Net cash provided by investing activities for the six months ended June 30, 2018 was $31.9 million and was primarily due to the $66.3 million of proceeds from the maturities of available-for-sale securities partially offset by the purchase of $34.1 million of available-for-sale marketable securities and purchase of equipment.</w:t>
      </w:r>
    </w:p>
    <w:p>
      <w:pPr>
        <w:spacing w:after="0" w:line="181"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2017 was $25.5 million and was primarily due to the $62.4 million of proceeds from the maturities of available-for-sale securities offset by the purchase of $88.0 million of available-for-sale marketable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2018 of $0.1 million was primarily due to purchases pursuant to our 2015 Employee Stock Purchase Plan.</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2017 of $49.1 million was primarily due to proceeds from our follow-on offering, net of underwriting discounts and commissions of $48.8 million and the exercise of stock options of $0.3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SEC on March 8,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June 30, 2018, we had cash and cash equivalents of $32.2 million, consisting of overnight investments, interest-bearing money market funds, commercial papers and short term corporate bonds and short-term investments of $66.2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As of June 30, 2018,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2018,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2018,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3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trial is measuring two primary endpoints of progression-free survival, or PFS, and overall survival. We expect to receive the final PFS analysis from ECOG-ACRIN in the third quarter of 2018 and final overall survival analysis no later than 2020. If the Phase 3 clinical trial meets the PFS endpoint and the interim analysis of overall survival demonstrates a favorable trend, we expect to submit an NDA within 4 to 6 months of receipt of the data. However, if the trial does not meet the PFS endpoint, we will not be able to submit an NDA unless and until we receive data demonstrating that the primary endpoint for overall survival has been achieved. In addition, based on scientific advice that we received from the European Medicines Agency in March 2014,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78"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side effects in the Phase 3 clinical trial.</w:t>
      </w:r>
    </w:p>
    <w:p>
      <w:pPr>
        <w:spacing w:after="0" w:line="154"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Verzenio</w:t>
      </w:r>
      <w:r>
        <w:rPr>
          <w:rFonts w:ascii="Arial" w:cs="Arial" w:eastAsia="Arial" w:hAnsi="Arial"/>
          <w:sz w:val="18"/>
          <w:szCs w:val="18"/>
          <w:color w:val="auto"/>
        </w:rPr>
        <w:t>,</w:t>
      </w:r>
      <w:r>
        <w:rPr>
          <w:rFonts w:ascii="Arial" w:cs="Arial" w:eastAsia="Arial" w:hAnsi="Arial"/>
          <w:sz w:val="18"/>
          <w:szCs w:val="18"/>
          <w:i w:val="1"/>
          <w:iCs w:val="1"/>
          <w:color w:val="auto"/>
        </w:rPr>
        <w:t xml:space="preserve"> Kisqali </w:t>
      </w:r>
      <w:r>
        <w:rPr>
          <w:rFonts w:ascii="Arial" w:cs="Arial" w:eastAsia="Arial" w:hAnsi="Arial"/>
          <w:sz w:val="18"/>
          <w:szCs w:val="18"/>
          <w:color w:val="auto"/>
        </w:rPr>
        <w:t>and</w:t>
      </w:r>
      <w:r>
        <w:rPr>
          <w:rFonts w:ascii="Arial" w:cs="Arial" w:eastAsia="Arial" w:hAnsi="Arial"/>
          <w:sz w:val="18"/>
          <w:szCs w:val="18"/>
          <w:i w:val="1"/>
          <w:iCs w:val="1"/>
          <w:color w:val="auto"/>
        </w:rPr>
        <w:t xml:space="preserve"> Ibrance</w:t>
      </w:r>
      <w:r>
        <w:rPr>
          <w:rFonts w:ascii="Arial" w:cs="Arial" w:eastAsia="Arial" w:hAnsi="Arial"/>
          <w:sz w:val="18"/>
          <w:szCs w:val="18"/>
          <w:color w:val="auto"/>
        </w:rPr>
        <w:t>, patients enrolled in the Phase 3 clinical trial may be different than those enrolled in our previous Phase 2b clinical trial in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have received a CDK 4/6 inhibitor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18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cGMPs,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9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3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Phase 3 clinical trial of entinostat in combination with exemestane in advanced HR+, HER2- breast cancer commenced in the second quarter of 2014, and we expect to receive the final PFS analysis from this trial in the third quarter of 2018. Our product development costs could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that may result in a delay or unsuccessful completion of clinical development of entinostat include, among other things:</w:t>
      </w:r>
    </w:p>
    <w:p>
      <w:pPr>
        <w:spacing w:after="0" w:line="85" w:lineRule="exact"/>
        <w:rPr>
          <w:sz w:val="20"/>
          <w:szCs w:val="20"/>
          <w:color w:val="auto"/>
        </w:rPr>
      </w:pPr>
    </w:p>
    <w:p>
      <w:pPr>
        <w:ind w:left="1040" w:right="1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73"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left="1040" w:right="6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2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have received breakthrough therapy designation from the FDA for entinostat when used in combination with exemestane based on the overall survival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overall survival,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63"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ind w:firstLine="51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Entinostat, SNDX-6352 and the Menin Assets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9" w:lineRule="exact"/>
        <w:rPr>
          <w:sz w:val="20"/>
          <w:szCs w:val="20"/>
          <w:color w:val="auto"/>
        </w:rPr>
      </w:pPr>
    </w:p>
    <w:p>
      <w:pPr>
        <w:ind w:left="1040" w:right="500" w:hanging="519"/>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timely commencement and completion of the Phase 1b/2 clinical trials of 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w:t>
      </w:r>
      <w:r>
        <w:rPr>
          <w:rFonts w:ascii="Arial" w:cs="Arial" w:eastAsia="Arial" w:hAnsi="Arial"/>
          <w:sz w:val="16"/>
          <w:szCs w:val="16"/>
          <w:i w:val="1"/>
          <w:iCs w:val="1"/>
          <w:color w:val="auto"/>
        </w:rPr>
        <w:t>Tecentriq</w:t>
      </w:r>
      <w:r>
        <w:rPr>
          <w:rFonts w:ascii="Arial" w:cs="Arial" w:eastAsia="Arial" w:hAnsi="Arial"/>
          <w:sz w:val="16"/>
          <w:szCs w:val="16"/>
          <w:color w:val="auto"/>
        </w:rPr>
        <w:t xml:space="preserve">, </w:t>
      </w:r>
      <w:r>
        <w:rPr>
          <w:rFonts w:ascii="Arial" w:cs="Arial" w:eastAsia="Arial" w:hAnsi="Arial"/>
          <w:sz w:val="16"/>
          <w:szCs w:val="16"/>
          <w:i w:val="1"/>
          <w:iCs w:val="1"/>
          <w:color w:val="auto"/>
        </w:rPr>
        <w:t>Bavencio</w:t>
      </w:r>
      <w:r>
        <w:rPr>
          <w:rFonts w:ascii="Arial" w:cs="Arial" w:eastAsia="Arial" w:hAnsi="Arial"/>
          <w:sz w:val="13"/>
          <w:szCs w:val="13"/>
          <w:color w:val="auto"/>
        </w:rPr>
        <w:t>®</w:t>
      </w:r>
      <w:r>
        <w:rPr>
          <w:rFonts w:ascii="Arial" w:cs="Arial" w:eastAsia="Arial" w:hAnsi="Arial"/>
          <w:sz w:val="16"/>
          <w:szCs w:val="16"/>
          <w:color w:val="auto"/>
        </w:rPr>
        <w:t xml:space="preserve"> (avelumab) and NKTR-214 and the Phase 1/1b clinical trial of SNDX-6352 as monotherapy in combination with durvalumab;</w:t>
      </w:r>
    </w:p>
    <w:p>
      <w:pPr>
        <w:spacing w:after="0" w:line="15" w:lineRule="exact"/>
        <w:rPr>
          <w:rFonts w:ascii="Arial" w:cs="Arial" w:eastAsia="Arial" w:hAnsi="Arial"/>
          <w:sz w:val="16"/>
          <w:szCs w:val="16"/>
          <w:color w:val="auto"/>
        </w:rPr>
      </w:pPr>
    </w:p>
    <w:p>
      <w:pPr>
        <w:ind w:left="1040" w:right="10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completion of the Phase 3 clinical trial in advanced HR+, HER2- breast cancer, which may be significantly slower than we currently anticipate and will depend substantially upon the satisfactory performance of the ECOG-ACRIN and the NCI and other third-party contractors for entinostat;</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able to complete IND enabling studies for one of the Menin Assets and file a subsequent IND with the FDA;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in any of our clinical trials;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40" w:right="48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of our third-party contract manufacturers to produce trial supplies and to develop, validate and maintain a commercially viable manufacturing process that is compliant with current Good Manufacturing Practices regulations, or cGMP;</w:t>
      </w:r>
    </w:p>
    <w:p>
      <w:pPr>
        <w:spacing w:after="0" w:line="38" w:lineRule="exact"/>
        <w:rPr>
          <w:rFonts w:ascii="Arial" w:cs="Arial" w:eastAsia="Arial" w:hAnsi="Arial"/>
          <w:sz w:val="17"/>
          <w:szCs w:val="17"/>
          <w:color w:val="auto"/>
        </w:rPr>
      </w:pPr>
    </w:p>
    <w:p>
      <w:pPr>
        <w:ind w:left="1040" w:right="2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availability of commercial supplies of therapeutics, including exemestane,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Bavencio</w:t>
      </w:r>
      <w:r>
        <w:rPr>
          <w:rFonts w:ascii="Arial" w:cs="Arial" w:eastAsia="Arial" w:hAnsi="Arial"/>
          <w:sz w:val="18"/>
          <w:szCs w:val="18"/>
          <w:color w:val="auto"/>
        </w:rPr>
        <w:t>, and clinical supplies of investigational drugs, to support the development and marketing of the entinostat therapy as a component of a combination drug regimen for entinostat;</w:t>
      </w:r>
    </w:p>
    <w:p>
      <w:pPr>
        <w:spacing w:after="0" w:line="7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ind w:right="760"/>
        <w:spacing w:after="0" w:line="308" w:lineRule="auto"/>
        <w:rPr>
          <w:sz w:val="20"/>
          <w:szCs w:val="20"/>
          <w:color w:val="auto"/>
        </w:rPr>
      </w:pPr>
      <w:r>
        <w:rPr>
          <w:rFonts w:ascii="Arial" w:cs="Arial" w:eastAsia="Arial" w:hAnsi="Arial"/>
          <w:sz w:val="17"/>
          <w:szCs w:val="17"/>
          <w:b w:val="1"/>
          <w:bCs w:val="1"/>
          <w:i w:val="1"/>
          <w:iCs w:val="1"/>
          <w:color w:val="auto"/>
        </w:rPr>
        <w:t>Our strategy of combining entinostat with immune checkpoint inhibitors has undergone limited clinical testing and we may fail to show that the combination is safe and well tolerated and demonstrates additional clinical benefit from the combination.</w:t>
      </w:r>
    </w:p>
    <w:p>
      <w:pPr>
        <w:spacing w:after="0" w:line="3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sufficiently demonstrated the safety or the benefit of this combination in humans and we may be unable to establish a clinically meaningful benefit for patient without added toxicity.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3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Merck, Genentech, Merck KGaA, Pfizer, AstraZeneca, Nektar and any future collaborators to perform satisfactorily under our agreements.</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Under the agreements with Merck, Genentech, Merck KGaA, Pfizer, AstraZeneca, Nektar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6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and SNDX-6352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The actions of KHK, Eddingpharm Investment Company Limited and any other current or future sublicensees could adversely affect our business.</w:t>
      </w:r>
    </w:p>
    <w:p>
      <w:pPr>
        <w:spacing w:after="0" w:line="14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has transferred to us certain data and materials, provided limited technical assistance and certain transitional services, and is manufacturing and supplying us with quantities of SNDX-6352, which we expect will assist us with the development, manufacture and commercialization of SNDX-6352. If UCB fails to supply us with sufficient quantities of SNDX-6352 to complete all planned Phase 1 and Phase 2 studies, our efforts to develop and commercialize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7" w:lineRule="exact"/>
        <w:rPr>
          <w:rFonts w:ascii="Arial" w:cs="Arial" w:eastAsia="Arial" w:hAnsi="Arial"/>
          <w:sz w:val="18"/>
          <w:szCs w:val="18"/>
          <w:color w:val="auto"/>
        </w:rPr>
      </w:pPr>
    </w:p>
    <w:p>
      <w:pPr>
        <w:ind w:left="1040" w:right="12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ind w:left="1040" w:right="2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62"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right="300"/>
        <w:spacing w:after="0" w:line="279" w:lineRule="auto"/>
        <w:rPr>
          <w:sz w:val="20"/>
          <w:szCs w:val="20"/>
          <w:color w:val="auto"/>
        </w:rPr>
      </w:pPr>
      <w:r>
        <w:rPr>
          <w:rFonts w:ascii="Arial" w:cs="Arial" w:eastAsia="Arial" w:hAnsi="Arial"/>
          <w:sz w:val="17"/>
          <w:szCs w:val="17"/>
          <w:b w:val="1"/>
          <w:bCs w:val="1"/>
          <w:i w:val="1"/>
          <w:iCs w:val="1"/>
          <w:color w:val="auto"/>
        </w:rPr>
        <w:t>We are not developing entinostat as a monotherapy. A shortage in the supply of exemestane, Keytruda, Tecentriq, Bavencio, NKTR-214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63" w:lineRule="exact"/>
        <w:rPr>
          <w:sz w:val="20"/>
          <w:szCs w:val="20"/>
          <w:color w:val="auto"/>
        </w:rPr>
      </w:pPr>
    </w:p>
    <w:p>
      <w:pPr>
        <w:ind w:right="420" w:firstLine="518"/>
        <w:spacing w:after="0" w:line="272" w:lineRule="auto"/>
        <w:rPr>
          <w:sz w:val="20"/>
          <w:szCs w:val="20"/>
          <w:color w:val="auto"/>
        </w:rPr>
      </w:pPr>
      <w:r>
        <w:rPr>
          <w:rFonts w:ascii="Arial" w:cs="Arial" w:eastAsia="Arial" w:hAnsi="Arial"/>
          <w:sz w:val="17"/>
          <w:szCs w:val="17"/>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w:t>
      </w:r>
      <w:r>
        <w:rPr>
          <w:rFonts w:ascii="Arial" w:cs="Arial" w:eastAsia="Arial" w:hAnsi="Arial"/>
          <w:sz w:val="17"/>
          <w:szCs w:val="17"/>
          <w:i w:val="1"/>
          <w:iCs w:val="1"/>
          <w:color w:val="auto"/>
        </w:rPr>
        <w:t>Keytruda</w:t>
      </w:r>
      <w:r>
        <w:rPr>
          <w:rFonts w:ascii="Arial" w:cs="Arial" w:eastAsia="Arial" w:hAnsi="Arial"/>
          <w:sz w:val="17"/>
          <w:szCs w:val="17"/>
          <w:color w:val="auto"/>
        </w:rPr>
        <w:t>,</w:t>
      </w:r>
      <w:r>
        <w:rPr>
          <w:rFonts w:ascii="Arial" w:cs="Arial" w:eastAsia="Arial" w:hAnsi="Arial"/>
          <w:sz w:val="17"/>
          <w:szCs w:val="17"/>
          <w:i w:val="1"/>
          <w:iCs w:val="1"/>
          <w:color w:val="auto"/>
        </w:rPr>
        <w:t xml:space="preserve"> Tecentriq</w:t>
      </w:r>
      <w:r>
        <w:rPr>
          <w:rFonts w:ascii="Arial" w:cs="Arial" w:eastAsia="Arial" w:hAnsi="Arial"/>
          <w:sz w:val="17"/>
          <w:szCs w:val="17"/>
          <w:color w:val="auto"/>
        </w:rPr>
        <w:t>,</w:t>
      </w:r>
      <w:r>
        <w:rPr>
          <w:rFonts w:ascii="Arial" w:cs="Arial" w:eastAsia="Arial" w:hAnsi="Arial"/>
          <w:sz w:val="17"/>
          <w:szCs w:val="17"/>
          <w:i w:val="1"/>
          <w:iCs w:val="1"/>
          <w:color w:val="auto"/>
        </w:rPr>
        <w:t xml:space="preserve"> Bavencio</w:t>
      </w:r>
      <w:r>
        <w:rPr>
          <w:rFonts w:ascii="Arial" w:cs="Arial" w:eastAsia="Arial" w:hAnsi="Arial"/>
          <w:sz w:val="17"/>
          <w:szCs w:val="17"/>
          <w:color w:val="auto"/>
        </w:rPr>
        <w:t>, NKTR-214 or other drugs that we are testing in combination with entinostat could adversely affect our ability to timely</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the Phase 3 clinical trial in advanced HR+, HER2- breast cancer and the Phase 1b/2 clinical trials in NSCLC, melanoma, microsatellite stable colorectal cancer, ovarian cancer, and TNBC, and if entinostat receives regulatory approval, to commercialize entinostat for treatment of advanced HR+, HER2- breast cancer, NSCLC, melanoma, microsatellite stable colorectal cancer, ovarian cancer or TNBC. A shortage of supply may also result in an increase, which could be significant, in our costs of procuring exemestane.</w:t>
      </w:r>
    </w:p>
    <w:p>
      <w:pPr>
        <w:spacing w:after="0" w:line="178"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63"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line="253" w:lineRule="auto"/>
        <w:rPr>
          <w:sz w:val="20"/>
          <w:szCs w:val="20"/>
          <w:color w:val="auto"/>
        </w:rPr>
      </w:pPr>
      <w:r>
        <w:rPr>
          <w:rFonts w:ascii="Arial" w:cs="Arial" w:eastAsia="Arial" w:hAnsi="Arial"/>
          <w:sz w:val="18"/>
          <w:szCs w:val="18"/>
          <w:color w:val="auto"/>
        </w:rPr>
        <w:t>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5"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120"/>
        <w:spacing w:after="0" w:line="254" w:lineRule="auto"/>
        <w:rPr>
          <w:sz w:val="20"/>
          <w:szCs w:val="20"/>
          <w:color w:val="auto"/>
        </w:rPr>
      </w:pPr>
      <w:r>
        <w:rPr>
          <w:rFonts w:ascii="Arial" w:cs="Arial" w:eastAsia="Arial" w:hAnsi="Arial"/>
          <w:sz w:val="18"/>
          <w:szCs w:val="18"/>
          <w:color w:val="auto"/>
        </w:rPr>
        <w:t>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30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40" w:right="78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jc w:val="both"/>
        <w:ind w:right="80"/>
        <w:spacing w:after="0" w:line="288" w:lineRule="auto"/>
        <w:rPr>
          <w:sz w:val="20"/>
          <w:szCs w:val="20"/>
          <w:color w:val="auto"/>
        </w:rPr>
      </w:pPr>
      <w:r>
        <w:rPr>
          <w:rFonts w:ascii="Arial" w:cs="Arial" w:eastAsia="Arial" w:hAnsi="Arial"/>
          <w:sz w:val="16"/>
          <w:szCs w:val="16"/>
          <w:color w:val="auto"/>
        </w:rPr>
        <w:t>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w:t>
      </w:r>
    </w:p>
    <w:p>
      <w:pPr>
        <w:spacing w:after="0" w:line="295" w:lineRule="auto"/>
        <w:rPr>
          <w:sz w:val="20"/>
          <w:szCs w:val="20"/>
          <w:color w:val="auto"/>
        </w:rPr>
      </w:pPr>
      <w:r>
        <w:rPr>
          <w:rFonts w:ascii="Arial" w:cs="Arial" w:eastAsia="Arial" w:hAnsi="Arial"/>
          <w:sz w:val="16"/>
          <w:szCs w:val="16"/>
          <w:color w:val="auto"/>
        </w:rPr>
        <w:t>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 xml:space="preserve">The pharmacologic treatment of NSCLC, melanoma, microsatellite stable colorectal cancer, ovarian cancer and TNBC patients has included chemotherapies and therapies targeting specific gene mutations. Over the past few years, immune checkpoint inhibitors have been approved for NSCLC and melanoma and are under investigation for ovarian cancer, TNBC and microsatellite stable colorectal cancer. Currently there are few approved combination immuno-oncology therapies although numerous drugs are undergoing active clinical investigation. We believe that if entinostat in combination with either </w:t>
      </w:r>
      <w:r>
        <w:rPr>
          <w:rFonts w:ascii="Arial" w:cs="Arial" w:eastAsia="Arial" w:hAnsi="Arial"/>
          <w:sz w:val="16"/>
          <w:szCs w:val="16"/>
          <w:i w:val="1"/>
          <w:iCs w:val="1"/>
          <w:color w:val="auto"/>
        </w:rPr>
        <w:t>Keytruda</w:t>
      </w:r>
      <w:r>
        <w:rPr>
          <w:rFonts w:ascii="Arial" w:cs="Arial" w:eastAsia="Arial" w:hAnsi="Arial"/>
          <w:sz w:val="16"/>
          <w:szCs w:val="16"/>
          <w:color w:val="auto"/>
        </w:rPr>
        <w:t>,</w:t>
      </w:r>
      <w:r>
        <w:rPr>
          <w:rFonts w:ascii="Arial" w:cs="Arial" w:eastAsia="Arial" w:hAnsi="Arial"/>
          <w:sz w:val="16"/>
          <w:szCs w:val="16"/>
          <w:i w:val="1"/>
          <w:iCs w:val="1"/>
          <w:color w:val="auto"/>
        </w:rPr>
        <w:t xml:space="preserve"> Tecentriq </w:t>
      </w:r>
      <w:r>
        <w:rPr>
          <w:rFonts w:ascii="Arial" w:cs="Arial" w:eastAsia="Arial" w:hAnsi="Arial"/>
          <w:sz w:val="16"/>
          <w:szCs w:val="16"/>
          <w:color w:val="auto"/>
        </w:rPr>
        <w:t>or</w:t>
      </w:r>
      <w:r>
        <w:rPr>
          <w:rFonts w:ascii="Arial" w:cs="Arial" w:eastAsia="Arial" w:hAnsi="Arial"/>
          <w:sz w:val="16"/>
          <w:szCs w:val="16"/>
          <w:i w:val="1"/>
          <w:iCs w:val="1"/>
          <w:color w:val="auto"/>
        </w:rPr>
        <w:t xml:space="preserve"> Bavencio </w:t>
      </w:r>
      <w:r>
        <w:rPr>
          <w:rFonts w:ascii="Arial" w:cs="Arial" w:eastAsia="Arial" w:hAnsi="Arial"/>
          <w:sz w:val="16"/>
          <w:szCs w:val="16"/>
          <w:color w:val="auto"/>
        </w:rPr>
        <w:t>were approved for the treatment of NSCLC, melanoma, microsatellite stable colorectal cancer, ovarian cancer or TNBC, it</w:t>
      </w:r>
      <w:r>
        <w:rPr>
          <w:rFonts w:ascii="Arial" w:cs="Arial" w:eastAsia="Arial" w:hAnsi="Arial"/>
          <w:sz w:val="16"/>
          <w:szCs w:val="16"/>
          <w:i w:val="1"/>
          <w:iCs w:val="1"/>
          <w:color w:val="auto"/>
        </w:rPr>
        <w:t xml:space="preserve"> </w:t>
      </w:r>
      <w:r>
        <w:rPr>
          <w:rFonts w:ascii="Arial" w:cs="Arial" w:eastAsia="Arial" w:hAnsi="Arial"/>
          <w:sz w:val="16"/>
          <w:szCs w:val="16"/>
          <w:color w:val="auto"/>
        </w:rPr>
        <w:t>would face competition from standard-of-care approaches and other investigational drugs being tested in combination with any of these approaches.</w:t>
      </w:r>
    </w:p>
    <w:p>
      <w:pPr>
        <w:spacing w:after="0" w:line="165"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t>
      </w:r>
      <w:r>
        <w:rPr>
          <w:rFonts w:ascii="Arial" w:cs="Arial" w:eastAsia="Arial" w:hAnsi="Arial"/>
          <w:sz w:val="18"/>
          <w:szCs w:val="18"/>
          <w:i w:val="1"/>
          <w:iCs w:val="1"/>
          <w:color w:val="auto"/>
        </w:rPr>
        <w:t>Verzenio</w:t>
      </w:r>
      <w:r>
        <w:rPr>
          <w:rFonts w:ascii="Arial" w:cs="Arial" w:eastAsia="Arial" w:hAnsi="Arial"/>
          <w:sz w:val="18"/>
          <w:szCs w:val="18"/>
          <w:color w:val="auto"/>
        </w:rPr>
        <w:t>, and other therapies currently in Phase 3 clinical development such as alpelisib.</w:t>
      </w:r>
    </w:p>
    <w:p>
      <w:pPr>
        <w:spacing w:after="0" w:line="1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exemestane,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w:t>
      </w:r>
      <w:r>
        <w:rPr>
          <w:rFonts w:ascii="Arial" w:cs="Arial" w:eastAsia="Arial" w:hAnsi="Arial"/>
          <w:sz w:val="18"/>
          <w:szCs w:val="18"/>
          <w:i w:val="1"/>
          <w:iCs w:val="1"/>
          <w:color w:val="auto"/>
        </w:rPr>
        <w:t>Bavencio</w:t>
      </w:r>
      <w:r>
        <w:rPr>
          <w:rFonts w:ascii="Arial" w:cs="Arial" w:eastAsia="Arial" w:hAnsi="Arial"/>
          <w:sz w:val="18"/>
          <w:szCs w:val="18"/>
          <w:color w:val="auto"/>
        </w:rPr>
        <w:t xml:space="preserve"> and other drugs by physicians and other healthcare providers.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9" w:name="page40"/>
    <w:bookmarkEnd w:id="39"/>
    <w:p>
      <w:pPr>
        <w:ind w:right="5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89"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Some of the provisions of the Affordable Care Act have yet to be implemented, while certain provisions have been subject to judicial and Congressional challenges, as well as recent efforts by the Trump administration to repeal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right="80"/>
        <w:spacing w:after="0" w:line="271" w:lineRule="auto"/>
        <w:rPr>
          <w:sz w:val="20"/>
          <w:szCs w:val="20"/>
          <w:color w:val="auto"/>
        </w:rPr>
      </w:pPr>
      <w:r>
        <w:rPr>
          <w:rFonts w:ascii="Arial" w:cs="Arial" w:eastAsia="Arial" w:hAnsi="Arial"/>
          <w:sz w:val="17"/>
          <w:szCs w:val="17"/>
          <w:color w:val="auto"/>
        </w:rPr>
        <w:t>or replace certain aspects of the Affordable Care Act. Since January 2017, President Trump has signed two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fees mandated by the Affordable Care Act,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addition, Congress may consider other legislation to repeal and replace elements of the Affordable Care Act. We continue to evaluate the effect that the Affordable Care Act and its possible repeal and replacement has on our business.</w:t>
      </w:r>
    </w:p>
    <w:p>
      <w:pPr>
        <w:spacing w:after="0" w:line="17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2027.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additional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30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4" w:lineRule="exact"/>
        <w:rPr>
          <w:sz w:val="20"/>
          <w:szCs w:val="20"/>
          <w:color w:val="auto"/>
        </w:rPr>
      </w:pPr>
    </w:p>
    <w:p>
      <w:pPr>
        <w:ind w:left="1040" w:right="280" w:hanging="519"/>
        <w:spacing w:after="0" w:line="279"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right="40" w:hanging="519"/>
        <w:spacing w:after="0" w:line="255"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81" w:lineRule="exact"/>
        <w:rPr>
          <w:rFonts w:ascii="Arial" w:cs="Arial" w:eastAsia="Arial" w:hAnsi="Arial"/>
          <w:sz w:val="18"/>
          <w:szCs w:val="18"/>
          <w:color w:val="auto"/>
        </w:rPr>
      </w:pPr>
    </w:p>
    <w:p>
      <w:pPr>
        <w:ind w:left="1040" w:right="20" w:hanging="519"/>
        <w:spacing w:after="0" w:line="255"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2" w:name="page43"/>
    <w:bookmarkEnd w:id="42"/>
    <w:p>
      <w:pPr>
        <w:ind w:left="1040"/>
        <w:spacing w:after="0" w:line="276" w:lineRule="auto"/>
        <w:rPr>
          <w:sz w:val="20"/>
          <w:szCs w:val="20"/>
          <w:color w:val="auto"/>
        </w:rPr>
      </w:pPr>
      <w:r>
        <w:rPr>
          <w:rFonts w:ascii="Arial" w:cs="Arial" w:eastAsia="Arial" w:hAnsi="Arial"/>
          <w:sz w:val="17"/>
          <w:szCs w:val="17"/>
          <w:color w:val="auto"/>
        </w:rPr>
        <w:t>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six months ended June 30, 2018, we reported a net loss of $37.8 million; and as of June 30, 2018, we had an accumulated deficit of</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$403.2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3"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3" w:name="page44"/>
    <w:bookmarkEnd w:id="43"/>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88"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5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left="1040" w:right="6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2017 and determined that on March 30, 2007 and August 21, 2015 ownership changes had occurred. We did not experience ownership changes since August 21, 2015 but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December 22, 2017, the Tax Cuts and Jobs Act of 2017, or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net operating losses to 80% of current year taxable income in respect of net operating losses generated during or after 2018 and elimination of net operating loss carrybacks, (iv) 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 what extent various states will conform to the newly enacted federal tax law. We will continue to examine the impact the Tax Act may have on our business.</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5" w:name="page46"/>
    <w:bookmarkEnd w:id="45"/>
    <w:p>
      <w:pPr>
        <w:ind w:right="80" w:firstLine="51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40" w:firstLine="51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2036. The actual term of any patents granted based on the pending applications that we licensed from Allergan can only be determined after such patents are actually granted.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60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280" w:firstLine="51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If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right="26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the Menin Assets or if the license agreement is otherwise terminated, we could lose the ability to continue the development and commercialization of the Menin Assets.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commercial success depends upon our ability to develop, manufacture, market and sell one or more of the Menin Assets. Subject to the achievement of certain milestone events, we may be required to pay Vitae, a subsidiary of Allergan, up to $99 million in one-time development and regulatory milestone payments over the term of the Allergan license agreement. In the event that we or any of our affiliates or sublicensees commercializes any of the Menin Assets, we will also be obligated to pay Allergan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Allergan.</w:t>
      </w:r>
    </w:p>
    <w:p>
      <w:pPr>
        <w:spacing w:after="0" w:line="165"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the Menin Assets have occurred and the last-to-expire relevant patent covering the Menin Assets in a given country may change in the future.</w:t>
      </w:r>
    </w:p>
    <w:p>
      <w:pPr>
        <w:spacing w:after="0" w:line="18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any of the Menin Assets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right="22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6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left="37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In April 2017, we filed a shelf registration statement on Form S-3 (Registration No. 333-217172) that allows us to sell up to an aggregate of $200 million of our common stock, which includes up to $50.0 million designated in the prospectus supplement for an at-the-market (“ATM”) offering program. As of June 30, 2018, $48.2 million of common stock remained available for sale under the at-the-market offering program. In the third quarter of 2018, through August 6, 2018, we sold 633,231 shares of common stock under the ATM program for net proceeds of $4.4 million. As of August 6, 2018, we have $43.6 million of common stock available for sale under the ATM program.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53" w:name="page54"/>
    <w:bookmarkEnd w:id="53"/>
    <w:p>
      <w:pPr>
        <w:spacing w:after="0" w:line="257" w:lineRule="auto"/>
        <w:rPr>
          <w:sz w:val="20"/>
          <w:szCs w:val="20"/>
          <w:color w:val="auto"/>
        </w:rPr>
      </w:pPr>
      <w:r>
        <w:rPr>
          <w:rFonts w:ascii="Arial" w:cs="Arial" w:eastAsia="Arial" w:hAnsi="Arial"/>
          <w:sz w:val="18"/>
          <w:szCs w:val="18"/>
          <w:color w:val="auto"/>
        </w:rPr>
        <w:t>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will likely decline. If one or more of these analysts cease coverage of us or fail to publish reports on us regularly, we could lose visibility in the financial markets, which in turn could cause our stock price or trading volume to decline.</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As of June 30, 2018, our executive officers, directors, holders of 5% or more of our capital stock and their respective affiliates beneficially own approximately 54.8% of our outstanding voting stock and options and warrants to acquire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may avail ourselves of reduced disclosure requirements applicable to emerging growth companies, which could make our common stock less attractive to investors and adversely affect the market price of our common stock.</w:t>
      </w:r>
    </w:p>
    <w:p>
      <w:pPr>
        <w:spacing w:after="0" w:line="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40" w:right="480" w:hanging="519"/>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040" w:hanging="519"/>
        <w:spacing w:after="0" w:line="25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040" w:right="4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60" w:firstLine="518"/>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right="20" w:firstLine="518"/>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6"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73" w:lineRule="exact"/>
        <w:rPr>
          <w:sz w:val="20"/>
          <w:szCs w:val="20"/>
          <w:color w:val="auto"/>
        </w:rPr>
      </w:pPr>
    </w:p>
    <w:p>
      <w:pPr>
        <w:ind w:left="1040" w:right="4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March 8, 2016, we completed our IPO and sold 4,400,000 shares of common stock at the initial public offering price of $12.00 per share.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11, 2016, we sold an additional 409,475 shares of our common stock at the initial public offering price of $12.00 per share as a result of the partial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by the underwriters of their option purchase additional shares of common stock. We received net proceeds from the IPO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 million, after deducting underwriting discounts, commissions and offering expenses. None of these expenses consisted of payments made by us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officers or persons owning 10% or more of our common stock or to their associates, or to our affiliates. The offer and sale of the shares in our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registered pursuant to our Registration Statement on Form S-1 (File No. 333-208861), which was declared effective by the SEC on March 2,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and Citigroup acted as joint book-running managers for the offering, and JMP Securities and Oppenheimer &amp; Co. acted as co-managers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offering. There has been no material change in the planned use of proceeds from our IPO as described in our final prospectus filed with the SEC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 2016, pursuant to Rule 424. We invested the funds received in cash equivalents and other short-term investments in accordance with our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policy. As of June 30, 2018, we have used approximately $29.9 million of the proceeds from the IPO and as such, the balance of the net proceeds is included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cash, cash equivalents and short-term investments.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gridSpan w:val="17"/>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11"/>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6"/>
              </w:rPr>
            </w:pPr>
            <w:hyperlink r:id="rId80">
              <w:r>
                <w:rPr>
                  <w:rFonts w:ascii="Arial" w:cs="Arial" w:eastAsia="Arial" w:hAnsi="Arial"/>
                  <w:sz w:val="18"/>
                  <w:szCs w:val="18"/>
                  <w:color w:val="0000EE"/>
                  <w:w w:val="96"/>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Current Report on Form 8-K (File No. 001-37708), as filed with the SEC on March 8, 2016).</w:t>
              </w:r>
            </w:hyperlink>
          </w:p>
        </w:tc>
        <w:tc>
          <w:tcPr>
            <w:tcW w:w="5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60" w:type="dxa"/>
            <w:vAlign w:val="bottom"/>
            <w:tcBorders>
              <w:bottom w:val="single" w:sz="8" w:color="0000EE"/>
            </w:tcBorders>
            <w:gridSpan w:val="16"/>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Amended and Restated Bylaws of the Company (incorporated herein by reference to Exhibit 3.2 to the Company’s Current Report on Form 8-</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1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K (File No. 001-37708), as filed with the SEC on March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Specimen Common Stock Certificate of the Company (incorporated herein by reference to Exhibit 4.1 to the Company’s Registration</w:t>
              </w:r>
            </w:hyperlink>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Statement on Form S-1/A (File No. 333-208861), as filed with the SEC on February 10, 2016).</w:t>
              </w:r>
            </w:hyperlink>
          </w:p>
        </w:tc>
        <w:tc>
          <w:tcPr>
            <w:tcW w:w="3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000" w:type="dxa"/>
            <w:vAlign w:val="bottom"/>
            <w:tcBorders>
              <w:bottom w:val="single" w:sz="8" w:color="0000EE"/>
            </w:tcBorders>
            <w:gridSpan w:val="13"/>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Form of Warrant to purchase Common Stock issued pursuant to the Warrant Agreement by and between the Company and Bayer Schering</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Pharma AG, dated March 26, 2007 (incorporated herein by reference to Exhibit 4.2 to the Company’s Registration Statement on Form S-1</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(File No. 333-208861), as filed with the SEC on January 4, 2016).</w:t>
              </w:r>
            </w:hyperlink>
          </w:p>
        </w:tc>
        <w:tc>
          <w:tcPr>
            <w:tcW w:w="5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Amendment #4 to License, Development and Commercialization Agreement by and between the company and Kyowa Hakko Kirin Co., Ltd.,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dated May 29, 2018.</w:t>
              </w:r>
            </w:hyperlink>
          </w:p>
        </w:tc>
        <w:tc>
          <w:tcPr>
            <w:tcW w:w="874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1934, as amended.</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Principal Financial Officer pursuant to Rules 13a-14(a) and 15d-14(a) promulgated under the Securities Exchange Act of</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1934, as amended.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513"/>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Certifications of Chief Executive Officer and Chief Financial Officer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of the 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60" w:right="20" w:hanging="1152"/>
        <w:spacing w:after="0" w:line="259"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June 30, 2018,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690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0" w:lineRule="exact"/>
        <w:rPr>
          <w:sz w:val="20"/>
          <w:szCs w:val="20"/>
          <w:color w:val="auto"/>
        </w:rPr>
      </w:pPr>
    </w:p>
    <w:p>
      <w:pPr>
        <w:jc w:val="both"/>
        <w:ind w:left="520" w:right="440" w:hanging="512"/>
        <w:spacing w:after="0" w:line="312"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39"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These portions have been omitted and filed separately with the SEC.</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4"/>
              </w:rPr>
              <w:t>(Principal Executive Officer and Principal Accounting</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10.1</w:t>
      </w:r>
    </w:p>
    <w:p>
      <w:pPr>
        <w:spacing w:after="0" w:line="211" w:lineRule="exact"/>
        <w:rPr>
          <w:sz w:val="20"/>
          <w:szCs w:val="20"/>
          <w:color w:val="auto"/>
        </w:rPr>
      </w:pPr>
    </w:p>
    <w:p>
      <w:pPr>
        <w:ind w:right="540" w:firstLine="8"/>
        <w:spacing w:after="0" w:line="271" w:lineRule="auto"/>
        <w:tabs>
          <w:tab w:leader="none" w:pos="2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is filed with the Securities and Exchange Commission pursuant to Rule 24b-2 of the Securities Exchange Act of 1934, as amended.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#4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DEVELOPMENT AND COMMERCIALIZATION AGREEMENT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Amendment #4 to LICENSE, DEVELOPMENT AND COMMERCIALIZATION AGREEMENT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between Syndax Pharmaceuticals, Inc., a Delaware corporation having a place of business at 35 Gatehouse Drive, Building D, Floor 3, Waltham, MA 02451 USA (“</w:t>
      </w:r>
      <w:r>
        <w:rPr>
          <w:rFonts w:ascii="Arial" w:cs="Arial" w:eastAsia="Arial" w:hAnsi="Arial"/>
          <w:sz w:val="18"/>
          <w:szCs w:val="18"/>
          <w:b w:val="1"/>
          <w:bCs w:val="1"/>
          <w:color w:val="auto"/>
        </w:rPr>
        <w:t>Syndax</w:t>
      </w:r>
      <w:r>
        <w:rPr>
          <w:rFonts w:ascii="Arial" w:cs="Arial" w:eastAsia="Arial" w:hAnsi="Arial"/>
          <w:sz w:val="18"/>
          <w:szCs w:val="18"/>
          <w:color w:val="auto"/>
        </w:rPr>
        <w:t>”) and Kyowa Hakko Kirin Co., Ltd., a Japanese corporation having a place of business at 1-9-2, Otemachi, Chiyoda-ku, Tokyo 100-0004, Japan (“</w:t>
      </w:r>
      <w:r>
        <w:rPr>
          <w:rFonts w:ascii="Arial" w:cs="Arial" w:eastAsia="Arial" w:hAnsi="Arial"/>
          <w:sz w:val="18"/>
          <w:szCs w:val="18"/>
          <w:b w:val="1"/>
          <w:bCs w:val="1"/>
          <w:color w:val="auto"/>
        </w:rPr>
        <w:t>KHK</w:t>
      </w:r>
      <w:r>
        <w:rPr>
          <w:rFonts w:ascii="Arial" w:cs="Arial" w:eastAsia="Arial" w:hAnsi="Arial"/>
          <w:sz w:val="18"/>
          <w:szCs w:val="18"/>
          <w:color w:val="auto"/>
        </w:rPr>
        <w:t>”), effective as of May 29, 2018 (the “Amendment Effective Date”).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Reference is made to that the LICENSE, DEVELOPMENT AND COMMERCIALIZATION AGREEMENT by and between Syndax and KHK entered into as of December 19, 2014 (“</w:t>
      </w:r>
      <w:r>
        <w:rPr>
          <w:rFonts w:ascii="Arial" w:cs="Arial" w:eastAsia="Arial" w:hAnsi="Arial"/>
          <w:sz w:val="18"/>
          <w:szCs w:val="18"/>
          <w:b w:val="1"/>
          <w:bCs w:val="1"/>
          <w:color w:val="auto"/>
        </w:rPr>
        <w:t>Agreement</w:t>
      </w:r>
      <w:r>
        <w:rPr>
          <w:rFonts w:ascii="Arial" w:cs="Arial" w:eastAsia="Arial" w:hAnsi="Arial"/>
          <w:sz w:val="18"/>
          <w:szCs w:val="18"/>
          <w:color w:val="auto"/>
        </w:rPr>
        <w:t>”), as previously amended. As of the Amendment Effective Date, the Agreement is hereby further amended as set forth in this Amendment. Capitalized terms used but not defined herein shall have the meanings assigned to such terms in the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that the following new sentences are hereby added as Section 4.4.1:</w:t>
      </w:r>
    </w:p>
    <w:p>
      <w:pPr>
        <w:spacing w:after="0" w:line="203" w:lineRule="exact"/>
        <w:rPr>
          <w:sz w:val="20"/>
          <w:szCs w:val="20"/>
          <w:color w:val="auto"/>
        </w:rPr>
      </w:pPr>
    </w:p>
    <w:p>
      <w:pPr>
        <w:jc w:val="both"/>
        <w:ind w:left="260"/>
        <w:spacing w:after="0" w:line="250" w:lineRule="auto"/>
        <w:rPr>
          <w:sz w:val="20"/>
          <w:szCs w:val="20"/>
          <w:color w:val="auto"/>
        </w:rPr>
      </w:pPr>
      <w:r>
        <w:rPr>
          <w:rFonts w:ascii="Arial" w:cs="Arial" w:eastAsia="Arial" w:hAnsi="Arial"/>
          <w:sz w:val="18"/>
          <w:szCs w:val="18"/>
          <w:color w:val="auto"/>
        </w:rPr>
        <w:t>“4.4.1 Notwithstanding the Section 4,4 above</w:t>
      </w:r>
      <w:r>
        <w:rPr>
          <w:rFonts w:ascii="Arial" w:cs="Arial" w:eastAsia="Arial" w:hAnsi="Arial"/>
          <w:sz w:val="23"/>
          <w:szCs w:val="23"/>
          <w:color w:val="222222"/>
        </w:rPr>
        <w:t>,</w:t>
      </w:r>
      <w:r>
        <w:rPr>
          <w:rFonts w:ascii="Arial" w:cs="Arial" w:eastAsia="Arial" w:hAnsi="Arial"/>
          <w:sz w:val="18"/>
          <w:szCs w:val="18"/>
          <w:color w:val="auto"/>
        </w:rPr>
        <w:t xml:space="preserve"> Syndax shall use best efforts to ensure that a laboratory [*] at the Medical Oncology Branch, Center for Cancer Research, National Cancer Institute (“NCI”), which has performed or is performing analyses of blood samples from one or more Clinical Trials on Entinostat for Syndax under the Cooperative Research and Development Agreement #836 “Preclinical and Clinical Development of MS-275 (NSC-706995), a Histone Deacetylase Inhibitor, as an Anti-Cancer Agent” (CRADA), will, pursuant to KHK’s request, perform analyses of blood samples from a phase 2 study of Entinostat in subjects with advanced or recurrent breast cancer in Japan being conducted by KHK (or its licensees) and provide to KHK the data developed or generated therefrom. Unless otherwise agreed upon between Syndax and KHK, the cost of such analyses of blood samples to be paid to NCI shall be the following:</w:t>
      </w:r>
    </w:p>
    <w:p>
      <w:pPr>
        <w:spacing w:after="0" w:line="208" w:lineRule="exact"/>
        <w:rPr>
          <w:sz w:val="20"/>
          <w:szCs w:val="20"/>
          <w:color w:val="auto"/>
        </w:rPr>
      </w:pPr>
    </w:p>
    <w:p>
      <w:pPr>
        <w:ind w:left="1300" w:right="60" w:hanging="441"/>
        <w:spacing w:after="0" w:line="234" w:lineRule="auto"/>
        <w:tabs>
          <w:tab w:leader="none" w:pos="1300" w:val="left"/>
        </w:tabs>
        <w:numPr>
          <w:ilvl w:val="0"/>
          <w:numId w:val="40"/>
        </w:numPr>
        <w:rPr>
          <w:rFonts w:ascii="Arial" w:cs="Arial" w:eastAsia="Arial" w:hAnsi="Arial"/>
          <w:sz w:val="18"/>
          <w:szCs w:val="18"/>
          <w:color w:val="222222"/>
        </w:rPr>
      </w:pPr>
      <w:r>
        <w:rPr>
          <w:rFonts w:ascii="Arial" w:cs="Arial" w:eastAsia="Arial" w:hAnsi="Arial"/>
          <w:sz w:val="18"/>
          <w:szCs w:val="18"/>
          <w:color w:val="222222"/>
        </w:rPr>
        <w:t>Total cost will be USD [*] for [*] samples. If the number of samples is more than [*] samples, additional costs will be USD [*] per sample.</w:t>
      </w:r>
    </w:p>
    <w:p>
      <w:pPr>
        <w:spacing w:after="0" w:line="1" w:lineRule="exact"/>
        <w:rPr>
          <w:rFonts w:ascii="Arial" w:cs="Arial" w:eastAsia="Arial" w:hAnsi="Arial"/>
          <w:sz w:val="18"/>
          <w:szCs w:val="18"/>
          <w:color w:val="222222"/>
        </w:rPr>
      </w:pPr>
    </w:p>
    <w:p>
      <w:pPr>
        <w:ind w:left="1300" w:right="60" w:hanging="441"/>
        <w:spacing w:after="0"/>
        <w:tabs>
          <w:tab w:leader="none" w:pos="1300" w:val="left"/>
        </w:tabs>
        <w:numPr>
          <w:ilvl w:val="0"/>
          <w:numId w:val="40"/>
        </w:numPr>
        <w:rPr>
          <w:rFonts w:ascii="Arial" w:cs="Arial" w:eastAsia="Arial" w:hAnsi="Arial"/>
          <w:sz w:val="18"/>
          <w:szCs w:val="18"/>
          <w:color w:val="222222"/>
        </w:rPr>
      </w:pPr>
      <w:r>
        <w:rPr>
          <w:rFonts w:ascii="Arial" w:cs="Arial" w:eastAsia="Arial" w:hAnsi="Arial"/>
          <w:sz w:val="18"/>
          <w:szCs w:val="18"/>
          <w:color w:val="222222"/>
        </w:rPr>
        <w:t>Syndax will pay to NCI USD [*] as an initial payment upon the execution of the amendment #13 of the CRADA with NCI. Syndax will pay to NCI the remaining cost, USD [*] plus the additional costs for more than [*] samples (if necessary), when NCI has completed the measurement.</w:t>
      </w:r>
    </w:p>
    <w:p>
      <w:pPr>
        <w:spacing w:after="0" w:line="203" w:lineRule="exact"/>
        <w:rPr>
          <w:sz w:val="20"/>
          <w:szCs w:val="20"/>
          <w:color w:val="auto"/>
        </w:rPr>
      </w:pPr>
    </w:p>
    <w:p>
      <w:pPr>
        <w:ind w:left="220" w:right="20"/>
        <w:spacing w:after="0" w:line="250" w:lineRule="auto"/>
        <w:rPr>
          <w:sz w:val="20"/>
          <w:szCs w:val="20"/>
          <w:color w:val="auto"/>
        </w:rPr>
      </w:pPr>
      <w:r>
        <w:rPr>
          <w:rFonts w:ascii="Arial" w:cs="Arial" w:eastAsia="Arial" w:hAnsi="Arial"/>
          <w:sz w:val="18"/>
          <w:szCs w:val="18"/>
          <w:color w:val="auto"/>
        </w:rPr>
        <w:t>Further, Syndax shall use best efforts to ensure that NCI will keep the documents of the results for and on behalf of KHK at least for [*] after the end of such blood sample analyses.</w:t>
      </w:r>
    </w:p>
    <w:p>
      <w:pPr>
        <w:spacing w:after="0" w:line="1" w:lineRule="exact"/>
        <w:rPr>
          <w:sz w:val="20"/>
          <w:szCs w:val="20"/>
          <w:color w:val="auto"/>
        </w:rPr>
      </w:pPr>
    </w:p>
    <w:p>
      <w:pPr>
        <w:ind w:left="260"/>
        <w:spacing w:after="0" w:line="250" w:lineRule="auto"/>
        <w:rPr>
          <w:sz w:val="20"/>
          <w:szCs w:val="20"/>
          <w:color w:val="auto"/>
        </w:rPr>
      </w:pPr>
      <w:r>
        <w:rPr>
          <w:rFonts w:ascii="Arial" w:cs="Arial" w:eastAsia="Arial" w:hAnsi="Arial"/>
          <w:sz w:val="18"/>
          <w:szCs w:val="18"/>
          <w:color w:val="auto"/>
        </w:rPr>
        <w:t>Subject to the foregoing, the cost of such work for analyses of blood samples from the Territory Trials and document retention will be borne by KHK using the following procedure:</w:t>
      </w:r>
    </w:p>
    <w:p>
      <w:pPr>
        <w:spacing w:after="0" w:line="1" w:lineRule="exact"/>
        <w:rPr>
          <w:sz w:val="20"/>
          <w:szCs w:val="20"/>
          <w:color w:val="auto"/>
        </w:rPr>
      </w:pPr>
    </w:p>
    <w:p>
      <w:pPr>
        <w:ind w:left="260"/>
        <w:spacing w:after="0" w:line="262" w:lineRule="auto"/>
        <w:rPr>
          <w:sz w:val="20"/>
          <w:szCs w:val="20"/>
          <w:color w:val="auto"/>
        </w:rPr>
      </w:pPr>
      <w:r>
        <w:rPr>
          <w:rFonts w:ascii="Arial" w:cs="Arial" w:eastAsia="Arial" w:hAnsi="Arial"/>
          <w:sz w:val="18"/>
          <w:szCs w:val="18"/>
          <w:color w:val="auto"/>
        </w:rPr>
        <w:t>Payment for such support will be [*] in connection with performing such analyses and document retention, due on a [*]. Syndax will pay to NCI the [*] for such work, and KHK agrees to reimburse Syndax for such cost no later than [*] after receipt of invoice(s) detailing same.”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obligations and conditions of the Agreement shall remain in full force and effect.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Amendment may be executed in one or more counterparts by the parties by a person having authority to bind the party, each of which when executed and delivered by facsimile, electronic transmission or by mail delivery, will be an original and all of which shall constitute but one and the same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Syndax Pharmaceuticals, Inc.</w:t>
            </w:r>
          </w:p>
        </w:tc>
        <w:tc>
          <w:tcPr>
            <w:tcW w:w="6840" w:type="dxa"/>
            <w:vAlign w:val="bottom"/>
            <w:gridSpan w:val="2"/>
          </w:tcPr>
          <w:p>
            <w:pPr>
              <w:ind w:left="2280"/>
              <w:spacing w:after="0"/>
              <w:rPr>
                <w:sz w:val="20"/>
                <w:szCs w:val="20"/>
                <w:color w:val="auto"/>
              </w:rPr>
            </w:pPr>
            <w:r>
              <w:rPr>
                <w:rFonts w:ascii="Arial" w:cs="Arial" w:eastAsia="Arial" w:hAnsi="Arial"/>
                <w:sz w:val="18"/>
                <w:szCs w:val="18"/>
                <w:b w:val="1"/>
                <w:bCs w:val="1"/>
                <w:color w:val="auto"/>
              </w:rPr>
              <w:t>Kyowa Hakko Kirin Co., Ltd.</w:t>
            </w:r>
          </w:p>
        </w:tc>
      </w:tr>
      <w:tr>
        <w:trPr>
          <w:trHeight w:val="864"/>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Luke J. Albrecht</w:t>
            </w:r>
          </w:p>
        </w:tc>
        <w:tc>
          <w:tcPr>
            <w:tcW w:w="3200" w:type="dxa"/>
            <w:vAlign w:val="bottom"/>
          </w:tcPr>
          <w:p>
            <w:pPr>
              <w:ind w:left="22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Yasuo Fujii</w:t>
            </w: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Luke J. Albrecht</w:t>
            </w:r>
          </w:p>
        </w:tc>
        <w:tc>
          <w:tcPr>
            <w:tcW w:w="3200" w:type="dxa"/>
            <w:vAlign w:val="bottom"/>
          </w:tcPr>
          <w:p>
            <w:pPr>
              <w:ind w:left="228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Yasuo Fujii</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General Counsel</w:t>
            </w:r>
          </w:p>
        </w:tc>
        <w:tc>
          <w:tcPr>
            <w:tcW w:w="3200" w:type="dxa"/>
            <w:vAlign w:val="bottom"/>
          </w:tcPr>
          <w:p>
            <w:pPr>
              <w:ind w:left="22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Effective Officer,</w:t>
            </w:r>
          </w:p>
        </w:tc>
      </w:tr>
      <w:tr>
        <w:trPr>
          <w:trHeight w:val="216"/>
        </w:trPr>
        <w:tc>
          <w:tcPr>
            <w:tcW w:w="9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9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Head of Business Development</w:t>
            </w:r>
          </w:p>
        </w:tc>
      </w:tr>
      <w:tr>
        <w:trPr>
          <w:trHeight w:val="216"/>
        </w:trPr>
        <w:tc>
          <w:tcPr>
            <w:tcW w:w="9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Department</w:t>
            </w:r>
          </w:p>
        </w:tc>
      </w:t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spacing w:after="0"/>
              <w:rPr>
                <w:sz w:val="20"/>
                <w:szCs w:val="20"/>
                <w:color w:val="auto"/>
              </w:rPr>
            </w:pPr>
            <w:r>
              <w:rPr>
                <w:rFonts w:ascii="Arial" w:cs="Arial" w:eastAsia="Arial" w:hAnsi="Arial"/>
                <w:sz w:val="18"/>
                <w:szCs w:val="18"/>
                <w:color w:val="auto"/>
              </w:rPr>
              <w:t>May 29, 2018</w:t>
            </w:r>
          </w:p>
        </w:tc>
        <w:tc>
          <w:tcPr>
            <w:tcW w:w="3200" w:type="dxa"/>
            <w:vAlign w:val="bottom"/>
          </w:tcPr>
          <w:p>
            <w:pPr>
              <w:ind w:left="2280"/>
              <w:spacing w:after="0"/>
              <w:rPr>
                <w:sz w:val="20"/>
                <w:szCs w:val="20"/>
                <w:color w:val="auto"/>
              </w:rPr>
            </w:pPr>
            <w:r>
              <w:rPr>
                <w:rFonts w:ascii="Arial" w:cs="Arial" w:eastAsia="Arial" w:hAnsi="Arial"/>
                <w:sz w:val="18"/>
                <w:szCs w:val="18"/>
                <w:color w:val="auto"/>
              </w:rPr>
              <w:t>Date:</w:t>
            </w:r>
          </w:p>
        </w:tc>
        <w:tc>
          <w:tcPr>
            <w:tcW w:w="3640" w:type="dxa"/>
            <w:vAlign w:val="bottom"/>
          </w:tcPr>
          <w:p>
            <w:pPr>
              <w:spacing w:after="0"/>
              <w:rPr>
                <w:sz w:val="20"/>
                <w:szCs w:val="20"/>
                <w:color w:val="auto"/>
              </w:rPr>
            </w:pPr>
            <w:r>
              <w:rPr>
                <w:rFonts w:ascii="Arial" w:cs="Arial" w:eastAsia="Arial" w:hAnsi="Arial"/>
                <w:sz w:val="18"/>
                <w:szCs w:val="18"/>
                <w:color w:val="auto"/>
              </w:rPr>
              <w:t>May 28, 2018</w:t>
            </w:r>
          </w:p>
        </w:tc>
      </w:tr>
    </w:tbl>
    <w:p>
      <w:pPr>
        <w:spacing w:after="0" w:line="200" w:lineRule="exact"/>
        <w:rPr>
          <w:sz w:val="20"/>
          <w:szCs w:val="20"/>
          <w:color w:val="auto"/>
        </w:rPr>
      </w:pPr>
    </w:p>
    <w:p>
      <w:pPr>
        <w:spacing w:after="0" w:line="358" w:lineRule="exact"/>
        <w:rPr>
          <w:sz w:val="20"/>
          <w:szCs w:val="20"/>
          <w:color w:val="auto"/>
        </w:rPr>
      </w:pPr>
    </w:p>
    <w:p>
      <w:pPr>
        <w:ind w:right="540" w:firstLine="8"/>
        <w:spacing w:after="0" w:line="271" w:lineRule="auto"/>
        <w:tabs>
          <w:tab w:leader="none" w:pos="2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333"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7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8, 2018</w:t>
            </w:r>
          </w:p>
        </w:tc>
        <w:tc>
          <w:tcPr>
            <w:tcW w:w="7200" w:type="dxa"/>
            <w:vAlign w:val="bottom"/>
            <w:gridSpan w:val="2"/>
          </w:tcPr>
          <w:p>
            <w:pPr>
              <w:ind w:left="2660"/>
              <w:spacing w:after="0"/>
              <w:rPr>
                <w:sz w:val="20"/>
                <w:szCs w:val="20"/>
                <w:color w:val="auto"/>
              </w:rPr>
            </w:pPr>
            <w:r>
              <w:rPr>
                <w:rFonts w:ascii="Arial" w:cs="Arial" w:eastAsia="Arial" w:hAnsi="Arial"/>
                <w:sz w:val="18"/>
                <w:szCs w:val="18"/>
                <w:color w:val="auto"/>
              </w:rPr>
              <w:t>By:  /s/ Briggs W. Morrison, M.D.</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700" w:hanging="17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8, 2018</w:t>
            </w:r>
          </w:p>
        </w:tc>
        <w:tc>
          <w:tcPr>
            <w:tcW w:w="7200" w:type="dxa"/>
            <w:vAlign w:val="bottom"/>
            <w:gridSpan w:val="2"/>
          </w:tcPr>
          <w:p>
            <w:pPr>
              <w:ind w:left="2680"/>
              <w:spacing w:after="0"/>
              <w:rPr>
                <w:sz w:val="20"/>
                <w:szCs w:val="20"/>
                <w:color w:val="auto"/>
              </w:rPr>
            </w:pPr>
            <w:r>
              <w:rPr>
                <w:rFonts w:ascii="Arial" w:cs="Arial" w:eastAsia="Arial" w:hAnsi="Arial"/>
                <w:sz w:val="18"/>
                <w:szCs w:val="18"/>
                <w:color w:val="auto"/>
              </w:rPr>
              <w:t>By:  /s/ Richard P. Shea</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513"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June 30, 2018,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8, 2018</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4220" w:type="dxa"/>
            <w:vAlign w:val="bottom"/>
          </w:tcPr>
          <w:p>
            <w:pPr>
              <w:spacing w:after="0"/>
              <w:rPr>
                <w:sz w:val="20"/>
                <w:szCs w:val="20"/>
                <w:color w:val="auto"/>
              </w:rPr>
            </w:pPr>
            <w:r>
              <w:rPr>
                <w:rFonts w:ascii="Arial" w:cs="Arial" w:eastAsia="Arial" w:hAnsi="Arial"/>
                <w:sz w:val="18"/>
                <w:szCs w:val="18"/>
                <w:color w:val="auto"/>
              </w:rPr>
              <w:t>Date: August 8, 2018</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0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0" Type="http://schemas.openxmlformats.org/officeDocument/2006/relationships/hyperlink" Target="http://www.sec.gov/Archives/edgar/data/1395937/000119312516496764/d119516dex31.htm" TargetMode="External"/><Relationship Id="rId81" Type="http://schemas.openxmlformats.org/officeDocument/2006/relationships/hyperlink" Target="http://www.sec.gov/Archives/edgar/data/1395937/000119312516496764/d119516dex32.htm" TargetMode="External"/><Relationship Id="rId82" Type="http://schemas.openxmlformats.org/officeDocument/2006/relationships/hyperlink" Target="http://www.sec.gov/Archives/edgar/data/1395937/000119312516457615/d117131dex41.htm" TargetMode="External"/><Relationship Id="rId83" Type="http://schemas.openxmlformats.org/officeDocument/2006/relationships/hyperlink" Target="http://www.sec.gov/Archives/edgar/data/1395937/000119312516420122/d392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2019-12-28T20:12:01Z</dcterms:created>
  <dcterms:modified xsi:type="dcterms:W3CDTF">2019-12-28T20:12:01Z</dcterms:modified>
</cp:coreProperties>
</file>