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220" w:right="3860" w:hanging="4212"/>
        <w:spacing w:after="0" w:line="357" w:lineRule="auto"/>
        <w:tabs>
          <w:tab w:leader="none" w:pos="30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5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3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5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Commission File Number: 001-37708</w:t>
            </w: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900" w:type="dxa"/>
            <w:vAlign w:val="bottom"/>
            <w:gridSpan w:val="7"/>
          </w:tcPr>
          <w:p>
            <w:pPr>
              <w:ind w:left="22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40" w:type="dxa"/>
            <w:vAlign w:val="bottom"/>
            <w:gridSpan w:val="6"/>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20" w:type="dxa"/>
            <w:vAlign w:val="bottom"/>
            <w:gridSpan w:val="4"/>
          </w:tcPr>
          <w:p>
            <w:pPr>
              <w:jc w:val="center"/>
              <w:ind w:left="2265"/>
              <w:spacing w:after="0"/>
              <w:rPr>
                <w:sz w:val="20"/>
                <w:szCs w:val="20"/>
                <w:color w:val="auto"/>
              </w:rPr>
            </w:pPr>
            <w:r>
              <w:rPr>
                <w:rFonts w:ascii="Times New Roman" w:cs="Times New Roman" w:eastAsia="Times New Roman" w:hAnsi="Times New Roman"/>
                <w:sz w:val="14"/>
                <w:szCs w:val="14"/>
                <w:b w:val="1"/>
                <w:bCs w:val="1"/>
                <w:color w:val="auto"/>
                <w:w w:val="99"/>
              </w:rPr>
              <w:t>2834</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40" w:type="dxa"/>
            <w:vAlign w:val="bottom"/>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32-0162505</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48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gridSpan w:val="3"/>
          </w:tcPr>
          <w:p>
            <w:pPr>
              <w:jc w:val="center"/>
              <w:ind w:left="7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40" w:type="dxa"/>
            <w:vAlign w:val="bottom"/>
          </w:tcPr>
          <w:p>
            <w:pPr>
              <w:jc w:val="center"/>
              <w:ind w:right="4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248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3"/>
          </w:tcPr>
          <w:p>
            <w:pPr>
              <w:jc w:val="center"/>
              <w:ind w:left="729"/>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tcPr>
          <w:p>
            <w:pPr>
              <w:jc w:val="center"/>
              <w:ind w:right="430"/>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730 Third Avenue, 9th Floor</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New York, NY 10017</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0" w:type="dxa"/>
            <w:vAlign w:val="bottom"/>
            <w:gridSpan w:val="5"/>
          </w:tcPr>
          <w:p>
            <w:pPr>
              <w:jc w:val="center"/>
              <w:ind w:left="1565"/>
              <w:spacing w:after="0"/>
              <w:rPr>
                <w:sz w:val="20"/>
                <w:szCs w:val="20"/>
                <w:color w:val="auto"/>
              </w:rPr>
            </w:pPr>
            <w:r>
              <w:rPr>
                <w:rFonts w:ascii="Times New Roman" w:cs="Times New Roman" w:eastAsia="Times New Roman" w:hAnsi="Times New Roman"/>
                <w:sz w:val="14"/>
                <w:szCs w:val="14"/>
                <w:b w:val="1"/>
                <w:bCs w:val="1"/>
                <w:color w:val="auto"/>
              </w:rPr>
              <w:t>(781) 419-1400</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0080" w:type="dxa"/>
            <w:vAlign w:val="bottom"/>
            <w:gridSpan w:val="1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2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auto"/>
            </w:tcBorders>
          </w:tcPr>
          <w:p>
            <w:pPr>
              <w:spacing w:after="0"/>
              <w:rPr>
                <w:sz w:val="17"/>
                <w:szCs w:val="17"/>
                <w:color w:val="auto"/>
              </w:rPr>
            </w:pPr>
          </w:p>
        </w:tc>
        <w:tc>
          <w:tcPr>
            <w:tcW w:w="2480" w:type="dxa"/>
            <w:vAlign w:val="bottom"/>
            <w:tcBorders>
              <w:bottom w:val="single" w:sz="8" w:color="auto"/>
            </w:tcBorders>
          </w:tcPr>
          <w:p>
            <w:pPr>
              <w:jc w:val="center"/>
              <w:ind w:left="790"/>
              <w:spacing w:after="0" w:line="176"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gridSpan w:val="2"/>
          </w:tcPr>
          <w:p>
            <w:pPr>
              <w:jc w:val="center"/>
              <w:ind w:right="20"/>
              <w:spacing w:after="0" w:line="176"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680" w:type="dxa"/>
            <w:vAlign w:val="bottom"/>
            <w:tcBorders>
              <w:bottom w:val="single" w:sz="8" w:color="auto"/>
            </w:tcBorders>
          </w:tcPr>
          <w:p>
            <w:pPr>
              <w:spacing w:after="0"/>
              <w:rPr>
                <w:sz w:val="17"/>
                <w:szCs w:val="17"/>
                <w:color w:val="auto"/>
              </w:rPr>
            </w:pPr>
          </w:p>
        </w:tc>
        <w:tc>
          <w:tcPr>
            <w:tcW w:w="4200" w:type="dxa"/>
            <w:vAlign w:val="bottom"/>
            <w:tcBorders>
              <w:bottom w:val="single" w:sz="8" w:color="auto"/>
              <w:right w:val="single" w:sz="8" w:color="auto"/>
            </w:tcBorders>
            <w:gridSpan w:val="4"/>
          </w:tcPr>
          <w:p>
            <w:pPr>
              <w:jc w:val="center"/>
              <w:ind w:right="630"/>
              <w:spacing w:after="0" w:line="176"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79"/>
        </w:trPr>
        <w:tc>
          <w:tcPr>
            <w:tcW w:w="220" w:type="dxa"/>
            <w:vAlign w:val="bottom"/>
            <w:tcBorders>
              <w:right w:val="single" w:sz="8" w:color="auto"/>
            </w:tcBorders>
          </w:tcPr>
          <w:p>
            <w:pPr>
              <w:spacing w:after="0"/>
              <w:rPr>
                <w:sz w:val="15"/>
                <w:szCs w:val="15"/>
                <w:color w:val="auto"/>
              </w:rPr>
            </w:pPr>
          </w:p>
        </w:tc>
        <w:tc>
          <w:tcPr>
            <w:tcW w:w="2480" w:type="dxa"/>
            <w:vAlign w:val="bottom"/>
            <w:tcBorders>
              <w:bottom w:val="single" w:sz="8" w:color="auto"/>
            </w:tcBorders>
          </w:tcPr>
          <w:p>
            <w:pPr>
              <w:jc w:val="center"/>
              <w:ind w:left="790"/>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6"/>
                <w:szCs w:val="16"/>
                <w:color w:val="auto"/>
              </w:rPr>
              <w:t>SNDX</w:t>
            </w:r>
          </w:p>
        </w:tc>
        <w:tc>
          <w:tcPr>
            <w:tcW w:w="680" w:type="dxa"/>
            <w:vAlign w:val="bottom"/>
            <w:tcBorders>
              <w:bottom w:val="single" w:sz="8" w:color="auto"/>
            </w:tcBorders>
          </w:tcPr>
          <w:p>
            <w:pPr>
              <w:spacing w:after="0"/>
              <w:rPr>
                <w:sz w:val="15"/>
                <w:szCs w:val="15"/>
                <w:color w:val="auto"/>
              </w:rPr>
            </w:pPr>
          </w:p>
        </w:tc>
        <w:tc>
          <w:tcPr>
            <w:tcW w:w="4200" w:type="dxa"/>
            <w:vAlign w:val="bottom"/>
            <w:tcBorders>
              <w:bottom w:val="single" w:sz="8" w:color="auto"/>
              <w:right w:val="single" w:sz="8" w:color="auto"/>
            </w:tcBorders>
            <w:gridSpan w:val="4"/>
          </w:tcPr>
          <w:p>
            <w:pPr>
              <w:jc w:val="center"/>
              <w:ind w:right="63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900" w:type="dxa"/>
            <w:vAlign w:val="bottom"/>
            <w:gridSpan w:val="7"/>
          </w:tcPr>
          <w:p>
            <w:pPr>
              <w:jc w:val="center"/>
              <w:ind w:left="4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360" w:type="dxa"/>
            <w:vAlign w:val="bottom"/>
            <w:gridSpan w:val="3"/>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1880" w:type="dxa"/>
            <w:vAlign w:val="bottom"/>
            <w:tcBorders>
              <w:bottom w:val="single" w:sz="8" w:color="auto"/>
            </w:tcBorders>
            <w:gridSpan w:val="3"/>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vMerge w:val="restart"/>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tc>
        <w:tc>
          <w:tcPr>
            <w:tcW w:w="2140" w:type="dxa"/>
            <w:vAlign w:val="bottom"/>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1"/>
        </w:trPr>
        <w:tc>
          <w:tcPr>
            <w:tcW w:w="76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  Yes</w:t>
            </w:r>
          </w:p>
        </w:tc>
        <w:tc>
          <w:tcPr>
            <w:tcW w:w="560" w:type="dxa"/>
            <w:vAlign w:val="bottom"/>
            <w:vMerge w:val="continue"/>
          </w:tcPr>
          <w:p>
            <w:pPr>
              <w:spacing w:after="0"/>
              <w:rPr>
                <w:sz w:val="21"/>
                <w:szCs w:val="21"/>
                <w:color w:val="auto"/>
              </w:rPr>
            </w:pPr>
          </w:p>
        </w:tc>
        <w:tc>
          <w:tcPr>
            <w:tcW w:w="2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6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Securities Act.</w:t>
            </w:r>
          </w:p>
        </w:tc>
        <w:tc>
          <w:tcPr>
            <w:tcW w:w="560" w:type="dxa"/>
            <w:vAlign w:val="bottom"/>
          </w:tcPr>
          <w:p>
            <w:pPr>
              <w:jc w:val="center"/>
              <w:ind w:right="4"/>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2140" w:type="dxa"/>
            <w:vAlign w:val="bottom"/>
          </w:tcPr>
          <w:p>
            <w:pPr>
              <w:ind w:left="6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42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right="400" w:firstLine="374"/>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Accelerated Filer</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38"/>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38"/>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6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 w:lineRule="exact"/>
        <w:rPr>
          <w:sz w:val="24"/>
          <w:szCs w:val="24"/>
          <w:color w:val="auto"/>
        </w:rPr>
      </w:pPr>
    </w:p>
    <w:p>
      <w:pPr>
        <w:ind w:right="2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5"/>
          <w:szCs w:val="15"/>
          <w:color w:val="auto"/>
        </w:rPr>
        <w:t>☐</w:t>
      </w:r>
    </w:p>
    <w:p>
      <w:pPr>
        <w:spacing w:after="0" w:line="8" w:lineRule="exact"/>
        <w:rPr>
          <w:sz w:val="24"/>
          <w:szCs w:val="24"/>
          <w:color w:val="auto"/>
        </w:rPr>
      </w:pPr>
    </w:p>
    <w:p>
      <w:pPr>
        <w:ind w:right="38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480" w:firstLine="374"/>
        <w:spacing w:after="0" w:line="199" w:lineRule="exact"/>
        <w:rPr>
          <w:sz w:val="20"/>
          <w:szCs w:val="20"/>
          <w:color w:val="auto"/>
        </w:rPr>
      </w:pPr>
      <w:r>
        <w:rPr>
          <w:rFonts w:ascii="Times New Roman" w:cs="Times New Roman" w:eastAsia="Times New Roman" w:hAnsi="Times New Roman"/>
          <w:sz w:val="15"/>
          <w:szCs w:val="15"/>
          <w:color w:val="231F20"/>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5"/>
          <w:szCs w:val="15"/>
          <w:color w:val="000000"/>
        </w:rPr>
        <w:t>☐</w:t>
      </w:r>
    </w:p>
    <w:p>
      <w:pPr>
        <w:spacing w:after="0" w:line="8" w:lineRule="exact"/>
        <w:rPr>
          <w:sz w:val="24"/>
          <w:szCs w:val="24"/>
          <w:color w:val="auto"/>
        </w:rPr>
      </w:pPr>
    </w:p>
    <w:p>
      <w:pPr>
        <w:ind w:right="500" w:firstLine="374"/>
        <w:spacing w:after="0" w:line="199" w:lineRule="exact"/>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000000"/>
        </w:rPr>
        <w:t>☐</w:t>
      </w:r>
    </w:p>
    <w:p>
      <w:pPr>
        <w:spacing w:after="0" w:line="1" w:lineRule="exact"/>
        <w:rPr>
          <w:sz w:val="24"/>
          <w:szCs w:val="24"/>
          <w:color w:val="auto"/>
        </w:rPr>
      </w:pPr>
    </w:p>
    <w:p>
      <w:pPr>
        <w:ind w:left="380"/>
        <w:spacing w:after="0" w:line="173" w:lineRule="exact"/>
        <w:tabs>
          <w:tab w:leader="none" w:pos="7460" w:val="left"/>
          <w:tab w:leader="none" w:pos="80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33"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5"/>
          <w:szCs w:val="15"/>
          <w:color w:val="auto"/>
        </w:rPr>
        <w:t>The aggregate market value of the voting and non-voting of common equity held by non-affiliates of the registrant was $1.7 billion as of June 30, 2024 based on the closing price of $20.53 as reported on the Nasdaq Global Select Market on such date. Shares of the registrant's common stock held by executive officers, directors, and their affiliates have been excluded from this calculation. The determination of affiliate status is not necessarily a conclusive determination for other purposes.</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As of February 24, 2025, there were 86,024,394 shares of common stock outstanding.</w:t>
      </w:r>
    </w:p>
    <w:p>
      <w:pPr>
        <w:spacing w:after="0" w:line="2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0"/>
          <w:szCs w:val="20"/>
          <w:color w:val="auto"/>
        </w:rPr>
      </w:pPr>
    </w:p>
    <w:p>
      <w:pPr>
        <w:jc w:val="both"/>
        <w:ind w:right="100" w:firstLine="382"/>
        <w:spacing w:after="0" w:line="243"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2024, are incorporated by reference into Part III of this Annual Report on Form 10-K.</w:t>
      </w:r>
    </w:p>
    <w:p>
      <w:pPr>
        <w:spacing w:after="0" w:line="178" w:lineRule="exact"/>
        <w:rPr>
          <w:sz w:val="20"/>
          <w:szCs w:val="20"/>
          <w:color w:val="auto"/>
        </w:rPr>
      </w:pPr>
    </w:p>
    <w:p>
      <w:pPr>
        <w:ind w:left="100"/>
        <w:spacing w:after="0"/>
        <w:tabs>
          <w:tab w:leader="none" w:pos="1700" w:val="left"/>
          <w:tab w:leader="none" w:pos="3280" w:val="left"/>
          <w:tab w:leader="none" w:pos="4720" w:val="left"/>
          <w:tab w:leader="none" w:pos="6960" w:val="left"/>
          <w:tab w:leader="none" w:pos="8760" w:val="left"/>
        </w:tabs>
        <w:rPr>
          <w:sz w:val="20"/>
          <w:szCs w:val="20"/>
          <w:color w:val="auto"/>
        </w:rPr>
      </w:pPr>
      <w:r>
        <w:rPr>
          <w:rFonts w:ascii="Times New Roman" w:cs="Times New Roman" w:eastAsia="Times New Roman" w:hAnsi="Times New Roman"/>
          <w:sz w:val="15"/>
          <w:szCs w:val="15"/>
          <w:color w:val="auto"/>
        </w:rPr>
        <w:t>Auditor Firm Id:</w:t>
      </w:r>
      <w:r>
        <w:rPr>
          <w:sz w:val="20"/>
          <w:szCs w:val="20"/>
          <w:color w:val="auto"/>
        </w:rPr>
        <w:tab/>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5"/>
          <w:szCs w:val="15"/>
          <w:color w:val="auto"/>
        </w:rPr>
        <w:t>Auditor Name:</w:t>
      </w:r>
      <w:r>
        <w:rPr>
          <w:sz w:val="20"/>
          <w:szCs w:val="20"/>
          <w:color w:val="auto"/>
        </w:rPr>
        <w:tab/>
      </w:r>
      <w:r>
        <w:rPr>
          <w:rFonts w:ascii="Times New Roman" w:cs="Times New Roman" w:eastAsia="Times New Roman" w:hAnsi="Times New Roman"/>
          <w:sz w:val="15"/>
          <w:szCs w:val="15"/>
          <w:color w:val="auto"/>
        </w:rPr>
        <w:t>Deloitte &amp; Touche LLP</w:t>
      </w:r>
      <w:r>
        <w:rPr>
          <w:sz w:val="20"/>
          <w:szCs w:val="20"/>
          <w:color w:val="auto"/>
        </w:rPr>
        <w:tab/>
      </w:r>
      <w:r>
        <w:rPr>
          <w:rFonts w:ascii="Times New Roman" w:cs="Times New Roman" w:eastAsia="Times New Roman" w:hAnsi="Times New Roman"/>
          <w:sz w:val="15"/>
          <w:szCs w:val="15"/>
          <w:color w:val="auto"/>
        </w:rPr>
        <w:t>Auditor Location:</w:t>
      </w:r>
      <w:r>
        <w:rPr>
          <w:sz w:val="20"/>
          <w:szCs w:val="20"/>
          <w:color w:val="auto"/>
        </w:rPr>
        <w:tab/>
      </w:r>
      <w:r>
        <w:rPr>
          <w:rFonts w:ascii="Times New Roman" w:cs="Times New Roman" w:eastAsia="Times New Roman" w:hAnsi="Times New Roman"/>
          <w:sz w:val="15"/>
          <w:szCs w:val="15"/>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2" w:name="page3"/>
    <w:bookmarkEnd w:id="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SPECIAL NOTE REGARDING FORWARD-LOOKING STATEMENTS</w:t>
            </w:r>
          </w:p>
        </w:tc>
        <w:tc>
          <w:tcPr>
            <w:tcW w:w="5000" w:type="dxa"/>
            <w:vAlign w:val="bottom"/>
            <w:gridSpan w:val="8"/>
            <w:vMerge w:val="restart"/>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720" w:type="dxa"/>
            <w:vAlign w:val="bottom"/>
            <w:tcBorders>
              <w:bottom w:val="single" w:sz="8" w:color="0000FF"/>
            </w:tcBorders>
            <w:gridSpan w:val="24"/>
            <w:vMerge w:val="continue"/>
          </w:tcPr>
          <w:p>
            <w:pPr>
              <w:spacing w:after="0"/>
              <w:rPr>
                <w:sz w:val="14"/>
                <w:szCs w:val="14"/>
                <w:color w:val="auto"/>
              </w:rPr>
            </w:pPr>
          </w:p>
        </w:tc>
        <w:tc>
          <w:tcPr>
            <w:tcW w:w="5000" w:type="dxa"/>
            <w:vAlign w:val="bottom"/>
            <w:gridSpan w:val="8"/>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06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9100" w:type="dxa"/>
            <w:vAlign w:val="bottom"/>
            <w:gridSpan w:val="2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72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76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500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Issuers Purchases of Equity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160" w:type="dxa"/>
            <w:vAlign w:val="bottom"/>
            <w:tcBorders>
              <w:top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6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0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46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28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17"/>
                <w:szCs w:val="17"/>
                <w:color w:val="auto"/>
              </w:rPr>
            </w:pPr>
          </w:p>
        </w:tc>
        <w:tc>
          <w:tcPr>
            <w:tcW w:w="800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8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98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2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40" w:type="dxa"/>
            <w:vAlign w:val="bottom"/>
            <w:gridSpan w:val="16"/>
          </w:tcPr>
          <w:p>
            <w:pPr>
              <w:jc w:val="center"/>
              <w:ind w:right="500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20" w:type="dxa"/>
            <w:vAlign w:val="bottom"/>
            <w:tcBorders>
              <w:top w:val="single" w:sz="8" w:color="0000FF"/>
            </w:tcBorders>
            <w:gridSpan w:val="7"/>
          </w:tcPr>
          <w:p>
            <w:pPr>
              <w:spacing w:after="0"/>
              <w:rPr>
                <w:sz w:val="17"/>
                <w:szCs w:val="17"/>
                <w:color w:val="auto"/>
              </w:rPr>
            </w:pPr>
          </w:p>
        </w:tc>
        <w:tc>
          <w:tcPr>
            <w:tcW w:w="50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68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Inc., a subsidiary of AbbVie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REVUFORJ® (revumenib) and NIKTIMVO™ (axatilimab-csfr) and our product candidates by physicians and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tariffs, war or the perception that hostilities may be imminent (such as the ongoing war between Russia and Ukraine),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 w:name="page5"/>
    <w:bookmarkEnd w:id="4"/>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this Annual Report, unless otherwise stated or as the context otherwise requires, references to “Syndax,” “the Company,” “we,” “us,” “our” and similar references refer to Syndax Pharmaceuticals, Inc. and its wholly owned subsidiaries. This Annual Report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a commercial-stage biopharmaceutical company developing an innovative pipeline of cancer therapies. We currently have two commercially approved medicines and a robust slate of clinical development programs designed to unlock the full potential of our first two medicines.</w:t>
      </w:r>
    </w:p>
    <w:p>
      <w:pPr>
        <w:spacing w:after="0" w:line="61"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old and older. In the second quarter of 2025, we expect to submit a supplemental New Drug Application, or sNDA, for revumenib as a treatment for R/R acute myeloid leukemia, or AML, with a nucleophosmin 1 mutation, or mNPM1, based on the positive pivotal data from our AUGMENT-101 trial. We are also studying revumenib in combination with standard-of-care agents in mNPM1 AML or KMT2A-rearranged, or KMT2Ar, acute leukemia across the treatment landscape, including in newly diagnosed patients. Additionally, we are exploring the use of revumenib as a treatment in solid tumors, specifically its activity in metastatic colorectal cancer.</w:t>
      </w:r>
    </w:p>
    <w:p>
      <w:pPr>
        <w:spacing w:after="0" w:line="9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Niktimvo™ (axatilimab-csfr)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 of care therapies, as well for the treatment of idiopathic pulmonary fibrosis, or IPF.</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licensed the global rights to axatilimab and revumenib and are working closely with our collaboration partner, Incyte, on the commercialization and further development of axatilimab. We plan to continue to leverage the technical and business expertise of our management team and scientific collaborators to license, acquire and develop additional therapeutics to expand our pipeline.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Revuforj in the U.S. for R/R acute leukemia patients with a KMT2A translocation and establish Revuforj as the preferred menin inhibitor, leveraging our first mover advantage and robust clinical data.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indicated population for Revuforj, starting with the submission of a sNDA for R/R mNPM1 AML, expected in the second quarter of 2025, based upon the positive pivotal data from the AUGMENT-101 trial.</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 robust pipeline of frontline trials of revumenib in combination with standard of care therapies to support potential additional listings in the National Comprehensive Cancer Network, or NCCN, Guidelines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and/or label expansion opportunities.</w:t>
      </w:r>
    </w:p>
    <w:p>
      <w:pPr>
        <w:spacing w:after="0" w:line="1" w:lineRule="exact"/>
        <w:rPr>
          <w:rFonts w:ascii="Times New Roman" w:cs="Times New Roman" w:eastAsia="Times New Roman" w:hAnsi="Times New Roman"/>
          <w:sz w:val="18"/>
          <w:szCs w:val="18"/>
          <w:color w:val="auto"/>
        </w:rPr>
      </w:pPr>
    </w:p>
    <w:p>
      <w:pPr>
        <w:ind w:left="1020" w:right="120" w:hanging="503"/>
        <w:spacing w:after="0" w:line="29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opportunities to commercialize Revuforj outside of the United States, potentially on our own or in collaboration with partners who have operations and expertise outside the United States.</w:t>
      </w:r>
    </w:p>
    <w:p>
      <w:pPr>
        <w:spacing w:after="0" w:line="4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Niktimvo, in partnership with Incyte, for the treatment of cGVHD patients who have failed at least two prior lines of systemic therapy.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programs designed to unlock the opportunity for Niktimvo to address newly diagnosed patients with cGVHD and other diseases, starting with IPF.</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technical, clinical, regulatory and business expertise of our management team, scientific collaborators, and organization and network of advisors to license, acquire and develop additional cancer therapies to expand our pipeline and development plans.</w:t>
      </w:r>
    </w:p>
    <w:p>
      <w:pPr>
        <w:spacing w:after="0" w:line="54" w:lineRule="exact"/>
        <w:rPr>
          <w:sz w:val="20"/>
          <w:szCs w:val="20"/>
          <w:color w:val="auto"/>
        </w:rPr>
      </w:pPr>
    </w:p>
    <w:p>
      <w:pPr>
        <w:ind w:right="820" w:firstLine="509"/>
        <w:spacing w:after="0" w:line="407" w:lineRule="auto"/>
        <w:rPr>
          <w:sz w:val="20"/>
          <w:szCs w:val="20"/>
          <w:color w:val="auto"/>
        </w:rPr>
      </w:pPr>
      <w:r>
        <w:rPr>
          <w:rFonts w:ascii="Times New Roman" w:cs="Times New Roman" w:eastAsia="Times New Roman" w:hAnsi="Times New Roman"/>
          <w:sz w:val="18"/>
          <w:szCs w:val="18"/>
          <w:color w:val="auto"/>
        </w:rPr>
        <w:t xml:space="preserve">We believe that strong execution of our strategy will position us to realize our mission to extend and improve the lives of cancer patients. </w:t>
      </w:r>
      <w:r>
        <w:rPr>
          <w:rFonts w:ascii="Times New Roman" w:cs="Times New Roman" w:eastAsia="Times New Roman" w:hAnsi="Times New Roman"/>
          <w:sz w:val="18"/>
          <w:szCs w:val="18"/>
          <w:b w:val="1"/>
          <w:bCs w:val="1"/>
          <w:color w:val="auto"/>
        </w:rPr>
        <w:t>Our Products &amp; Ongoing Development Programs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a product portfolio consisting of two FDA-approved products, Revuforj (revumenib) and Niktimvo (axatilimab-csfr), and a robust slate of clinical development programs designed to expand the opportunities for both medicines.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Revuforj (revumenib)</w:t>
      </w:r>
    </w:p>
    <w:p>
      <w:pPr>
        <w:spacing w:after="0" w:line="12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Revuforj is our oral, first-in-class menin inhibitor that was approved by the FDA in November 2024 for the treatment of R/R acute leukemia with a KMT2A translocation in adult and pediatric patients one year and older. The FDA previously granted Breakthrough Therapy and Fast Track designations as well as Priority Review to revumenib. The New Drug Application, or NDA, received approval through the FDA’s Real Time Oncology Review program.</w:t>
      </w:r>
    </w:p>
    <w:p>
      <w:pPr>
        <w:spacing w:after="0" w:line="5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efficacy evaluation of Revuforj was based on an FDA analysis of 104 patients with R/R acute leukemia with a KMT2A translocation who were treated with Revuforj in the Phase 1/2 AUGMENT-101 trial. In the efficacy population, the rate of complete remission, or CR, plus CR with partial hematological recovery, or CRh, was 21% (22/104 pts; 95% confidence interval [CI]: 13.8%, 30.3%). The median duration of CR+CRh was 6.4 months (95% CI: 2.7, not estimable) and the median time to CR or CRh was 1.9 months (range: 0.9, 5.6 months). 23% (24/104 pts) of patients underwent hematopoietic stem cell transplantation, or HSCT, following treatment with Revuforj. Results from the 104-patient efficacy analysis are consistent with the previously reported, protocol-defined Phase 2 interim analysis of patients with R/R KMT2Ar acute leukemia in the AUGMENT-101 trial (n=57) which were published in the Journal of Clinical Oncology in August 2024.</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safety evaluation of Revuforj was based on an FDA analysis of 135 patients with R/R acute leukemia with a KMT2A translocation who were treated with Revuforj. The most common adverse reactions (≥20%) including laboratory abnormalities were hemorrhage, nausea, phosphate increased, musculoskeletal pain, infection, aspartate aminotransferase increased, febrile neutropenia, alanine aminotransferase increased, parathyroid hormone intact increased, bacterial infection, diarrhea, differentiation syndrome, electrocardiogram QT prolonged, phosphate decreased, triglycerides increased, potassium decreased, decreased appetite, constipation, edema, viral infection, fatigue, and alkaline phosphatase increased.  Adverse reactions leading to dose reduction or permanent discontinuation were low at 10% and 12% of patients, respectively. The Revuforj U.S. Prescribing Information contains a boxed warning for differentiation syndrome.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late November 2024, we launched Revuforj, the first and only FDA-approved menin inhibitor, for commercial sale in the U.S.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revumenib was added to the latest NCCN Clinical Practice Guidelines in Oncology (NCCN Guidelines) for AML and acute lymphoblastic leukemia, or ALL, as a category 2A recommendation for R/R acute leukemia with a KMT2A rearrangement.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 Development Programs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revumenib for R/R mNPM1 AML and studying the use of revumenib in combination with standard-of-care agents in mNPM1 AML or KMT2Ar acute leukemia across the treatment landscape, including in newly diagnosed patients.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revumenib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5349240" cy="4869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Revumenib for the treatment of R/R mNPM1 AML</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March 2024, we announced the completion of enrollment in the pivotal Phase 2 cohort of patients with R/R mNPM1 AML in the AUGMENT-101 trial of revumenib.</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November 2024, we announced that the primary endpoint was met in the protocol-defined efficacy population of 64 adults with R/R mNPM1 AML in the Phase 2 cohort of the AUGMENT-101 trial. The primary endpoint was met with a CR/CRh rate of 23% (15/64; 95% CI: 14%, 36%; one-sided p-value =0.001). The observed median duration of CR/CRh responses was 4.7 months (95% CI: 1.2, 8.2) at the time of the data cutoff with three patients remaining in response. Minimal residual disease, or MRD, status was assessed in 14 of 15 patients who achieved CR/CRh, 64% (9/14) of whom were MRD negative. The overall response rate, or ORR, was 47% (30/64; 95% CI: 34%, 60%). 17% (5/30) of patients who achieved an overall response underwent HSCT following treatment with revumenib, with three resuming revumenib therapy post-transplant.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positive pivotal data, we expect to submit an sNDA for revumenib in R/R mNPM1 AML in the second quarter of 2025, followed by a potential FDA approval around year-end 2025. We also expect to publish the pivotal data in R/R mNPM1 AML and submit the resulting publication to the NCCN Guidelines for consideration in the second quarter of 2025.</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 w:name="page9"/>
    <w:bookmarkEnd w:id="8"/>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2024, we shared results from an expanded analysis of the R/R mNPM1 AML patients who enrolled into the Phase 2 cohort of AUGMENT-101. Among the 84 patients enrolled in the cohort, 77 met the efficacy evaluable criteria requiring patients to have blast counts &gt;5% measured within 28 days prior to treatment and a centrally confirmed NPM1 mutation. In this expanded post-hoc efficacy analysis, 48% (37/77; 95% CI: 37%, 60%) achieved an overall response, and 26% (20/77; 95% CI: 17%, 37%) achieved a CR/CRh. The median duration of CR/CRh response was 4.7 months as of the September 2024 data cut off. MRD status was assessed in 19 of 20 patients who achieved CR/CRh, 63% (12/19) of whom were MRD negative.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Revumenib in combination with standard of care agents in mNPM1 or KMT2Ar acute leukemias across the treatment landscape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Multiple trials evaluating revumenib in mNPM1 and KMT2Ar acute leukemia across the treatment landscape are ongoing. These trials include:</w:t>
      </w:r>
    </w:p>
    <w:p>
      <w:pPr>
        <w:spacing w:after="0" w:line="117" w:lineRule="exact"/>
        <w:rPr>
          <w:sz w:val="20"/>
          <w:szCs w:val="20"/>
          <w:color w:val="auto"/>
        </w:rPr>
      </w:pPr>
    </w:p>
    <w:p>
      <w:pPr>
        <w:ind w:left="1020" w:right="1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AML: A Phase 1 trial evaluating the combination of revumenib with venetoclax and azacitidine in newly diagnosed mNPM1 or KMT2Ar AML patients. The trial is being conducted as part of the Leukemia &amp; Lymphoma Society’s Beat AML® Master Clinical Trial. Updated data reported from the trial in December 2024 showed an ORR of 100% (37/37) and a composite complete remission, or CRc, rate of 95% (35/37).</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 Phase 1/2 trial evaluating an all-oral combination of revumenib with venetoclax and decitabine/cedazuridine in pediatric and adult patients with R/R AML or mixed-lineage acute leukemia, or MPAL, harboring either mNPM1, KMT2Ar, or NUP98r alterations. The trial is being conducted by investigators from MD Anderson Cancer Center. Updated data that showed an ORR of 82% (27/33) and a CR/CRh rate of 48% (16/33) were presented at the 66th American Society of Hematology, or ASH, Annual Meeting in December 2024. The trial is now enrolling a cohort of newly diagnosed patients.</w:t>
      </w:r>
    </w:p>
    <w:p>
      <w:pPr>
        <w:spacing w:after="0" w:line="7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Intensive chemotherapy: A Phase 1 trial evaluating the combination of revumenib with intensive chemotherapy (7+3) followed by revumenib maintenance treatment in newly diagnosed mNPM1 or KMT2Ar acute leukemia patients. We expect to report Phase 1 data in the second half of 2025.</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 Through Cancer: A Phase 2 trial studying whether the combination of revumenib and venetoclax can eliminate MRD in patients with AML and extend progression-free survival. The trial is being conducted by Break Through Cancer, a collaboration between leading U.S. cancer research centers.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INTERCEPT: A Phase 1 trial evaluating the use of novel therapies, including revumenib, to target MRD and early relapse in AML. The trial is being conducted by the Australasian Leukaemia and Lymphoma Group as part of the INTERCEPT AML master clinical trial. Data that showed 54% (6/11) of patients had MRD reduction at any time, including 36% (4/11) who achieved MRD negativity, were presented at the 66th ASH Annual Meeting in December 2024.</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ongoing trials described above, we plan to initiate additional trials of revumenib across the acute leukemia treatment continuum. In the first quarter of 2025, we are initiating a pivotal trial of revumenib in combination with venetoclax and azacitidine in newly diagnosed mNPM1 or KMT2Ar acute leukemia patients unfit to receive intensive chemotherapy. We also plan to initiate multiple trials of revumenib in combination with standard of care treatment regimens in newly diagnosed acute leukemia patients who are fit to receive intensive chemotherapy, starting in the second half of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Revumenib in colorectal cancer (CRC)</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are evaluating revumenib in patients with R/R metastatic microsatellite stable, or MSS, colorectal cancer, in an ongoing Phase 1/2 proof-of-concept trial designed to assess the safety, tolerability, and anti-tumor activity of revumenib.</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June 2024, we announced that we had advanced into the Phase 1b portion of the trial. The decision was supported by the trial’s Independent Data Monitoring Committee (IDMC) following its pre-planned review of initial data from the Phase 1a portion of the trial. The Phase 1a dose escalation portion of the trial enrolled a total of 19 patients who had a median of four prior therapies across three dose cohorts, including 163 mg, 226 mg, and 276 mg three times a day. Revumenib was well-tolerated at all dose levels tested and the safety profile was consistent with the Company’s previously reported data.  In addition, the initial efficacy results provide early clinical support that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revumenib may be able to impact disease progression in R/R patients with metastatic MSS CRC. At doses believed to achieve full target saturation, dose levels 2 and 3, 44% (4/9) of patients had stable disease at 8 weeks, and 33% (3/9) of patients had stable disease at 16 weeks.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Niktimvo (axatilimab-csfr) is our first-in-class CSF-1R-blocking antibody that was approved by the FDA in August 2024 for the treatment of cGVHD after failure of at least two prior lines of systemic therapy in adult and pediatric patients weighing at least 40 kg.</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FDA approval was based on data from the global AGAVE-201 study evaluating the safety and efficacy of Niktimvo in 241 adult and pediatric patients with refractory cGVHD who received at least two prior lines of systemic therapy. The trial met the primary endpoint across all cohorts receiving Niktimvo. Results from the study showed durable responses across all organs studied and patient subgroups. Among patients who received Niktimvo at the approved dose of 0.3 mg/kg every two weeks (N=79), 75% achieved an overall response rate (ORR) within the first six months of treatment, with a median time to response of 1.5 months. Additionally, 60% maintained a response at 12 months (measured from first response to new systemic therapy or death, based on the Kaplan Meier estimate). The trial also met a key exploratory endpoint, with a majority (56%) of patients achieving a ≥7-point improvement in the modified Lee Symptom Scale, or mLSS, score. Organ-specific complete and partial responses were demonstrated across all organs studied that are affected by cGVHD, including lower gastrointestinal, or GI, upper GI, esophagus, joints/fascia, mouth, lungs, liver, eyes and skin. The most common (≥15%) adverse reactions, including laboratory abnormalities, were increased aspartate aminotransferase, infection (pathogen unspecified), increased alanine aminotransferase, decreased phosphate, decreased hemoglobin, viral infection, increased gamma glutamyl transferase, musculoskeletal pain, increased lipase, fatigue, increased amylase, increased calcium, increased creatine phosphokinase, increased alkaline phosphatase, nausea, headache, diarrhea, cough, bacterial infection, pyrexia and dyspnea.</w:t>
      </w:r>
    </w:p>
    <w:p>
      <w:pPr>
        <w:spacing w:after="0" w:line="8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September 2024, the pivotal data from the AGAVE-201 trial were published in the New England Journal of Medicine. In August 2024, axatilimab-csfr was added to the latest NCCN Guidelines as a category 2A recommendation for the treatment of chronic GVHD after the failure of at least two prior lines of systemic therapy in adult and pediatric patients weighing at least 40 kg.</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launched Niktimvo for commercial sale in the U.S. in partnership with Incyte and in accordance with the collaboration agreement and license agreement with Incyte described below under the heading “Collaborations - Incyte Collaboration and License Agreement.” Under the agreement, we are co-commercializing Niktimvo along with Incyte.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 Development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Axatilimab is in development for the treatment of newly diagnosed chronic GVHD patients and for other fibrotic diseases, such as IPF.</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Axatilimab is a monoclonal antibody targeting the colony stimulating factor-1 receptor, or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axatilimab has the potential to be used to treat cGVHD as well as other fibrotic diseases where monocyte-derived macrophages have been shown to play a significant role.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2376805</wp:posOffset>
            </wp:positionH>
            <wp:positionV relativeFrom="page">
              <wp:posOffset>980440</wp:posOffset>
            </wp:positionV>
            <wp:extent cx="2794635" cy="1859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9463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Our near-term focus is to investigate the potential for axatilimab to provide meaningful clinical benefit earlier in the treatment of cGVHD and to establish proof-of-concept for the use of axatilimab to treat other fibrotic diseases where monocyte-derived macrophages have been shown to play a role.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axatilimab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5074920" cy="2486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49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Axatilimab for the treatment of newly diagnosed cGVHD patients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partner, Incyte, has initiated two clinical trials studying the use of axatilimab in combination with standard of care cGVHD therapies in the frontline setting. One trial is a Phase 2, open-label, randomized, multicenter trial of axatilimab in combination with ruxolitinib in patients 12 years of age and older with newly diagnosed cGVHD. The second trial is a Phase 3, randomized, double-blind, placebo-controlled, multi-center trial that will investigate the use of axatilimab in combination with corticosteroids as initial treatment for cGVHD.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Axatilimab for the treatment of IPF</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January 2024, we announced that our randomized, double-blind, placebo-controlled Phase 2 trial of axatilimab on top of standard of care in patients with IPF was open for enrollment. The ongoing trial, referred to as MAXPIRe, will assess the efficacy, safety and tolerability of axatilimab. We expect to complete enrollment in the trial in 2025 with topline data anticipated in 2026.</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Entinostat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Entinostat is our oral, small molecule product candidate that has direct effects on both cancer cells and immune regulatory cells, potentially enhancing the body’s immune response to tumors. We have deprioritized the development of entinostat, but maintain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 In April 2024, entinostat received marketing approval in China.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and Market Overviews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Revumenib is being developed for the treatment of R/R adult and pediatric patients with KMT2Ar ALL, KMT2Ar AML and NPM1 mutant AML. At this time, other than Revuforj, there are no drugs approved for these defined populations and patients are managed using the standard of care treatment regimens developed for general AML and ALL populations. While there are other agents in early development for similar populations, Revuforj is the first defined therapy for patients with KMT2Ar ALL and KMT2Ar AML.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KMT2A-Rearranged Acute Leukemia</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KMT2A-rearranged (KMT2Ar), also known as mixed lineage leukemia rearranged or MLLr, acute leukemias arise by rare, spontaneous translocations at the MLL1 locus (11q23). It is estimated that approximately 10% of AML and ALL harbor a KMT2A rearrangement with a worldwide incidence of approximately 5,000 to 7,000 cases per year. KMT2Ar acute leukemia is routinely diagnosed through currently available cytogenetic or molecular diagnostic techniques.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KMT2A-rearrangements give rise to an aggressive form of acute leukemia that is associated with a very poor prognosis and high relapse rates. It is estimated that more than 95% of patients with KMT2Ar acute leukemia have a KMT2A translocation, a type of rearrangement that occurs when part of one chromosome breaks and fuses to a different chromosome. More than half of patients with KMT2Ar acute leukemia will relapse after receiving conventional frontline therapies, with a median overall survival, or OS, of less than one year. With third line treatment or beyond, only 5% of patients achieve complete remission, and the median OS is less than three months.</w:t>
      </w:r>
    </w:p>
    <w:p>
      <w:pPr>
        <w:spacing w:after="0" w:line="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Revuforj is the first and only FDA-approved treatment for patients with R/R acute leukemia with a KMT2A translocation. Currently there are several other clinical-stage menin-inhibitors in development for the treatment of KMT2Ar acute leukemias.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Mutant NPM1 (mNPM1) Acute Myeloid Leukemia (AML)</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Mutations in the NPM1 gene are the most common genetic alteration in adult AML and are observed in approximately 30% of cases. Patients with relapsed or refractory mNPM1 AML have a poor prognosis and high unmet need.</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Recent preclinical research has demonstrated that mNPM1 works directly with the menin-MLL complex to induce a leukemic transcription program. As a result, mNPM1 harboring cells are sensitive to menin-MLL interaction inhibitors. In mNPM1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mNPM1 xenografts. Based on these findings, blocking the menin-MLL1 interaction represents a novel targeted strategy for the treatment of mNPM1 AML.</w:t>
      </w:r>
    </w:p>
    <w:p>
      <w:pPr>
        <w:spacing w:after="0" w:line="7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Like KMT2Ar acute leukemia, mNPM1 is readily diagnosed as part of the standard AML patient work-up today, and yet there are no targeted therapies specifically approved to treat patients with mNPM1 AML. There are several additional clinical stage agents currently advancing as potential treatments for mNPM1 AML.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Colorectal Cancer (CRC)</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CRC is the second most lethal cancer, the third most prevalent malignant tumor worldwide, and the fourth most common cancer diagnosed in the United States each year. In 2023, over 153,000 new CRC estimated cases arose, resulting in 52,500 estimated deaths, accounting for nearly 8% of new cancer cases and 9% of cancer deaths in the U.S. Meanwhile, the five-year survival rate for CRC is approximately 65% and drops to 15% for metastatic CRC.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93" w:lineRule="exact"/>
        <w:rPr>
          <w:sz w:val="20"/>
          <w:szCs w:val="20"/>
          <w:color w:val="auto"/>
        </w:rPr>
      </w:pPr>
    </w:p>
    <w:p>
      <w:pPr>
        <w:ind w:right="100" w:firstLine="509"/>
        <w:spacing w:after="0" w:line="217" w:lineRule="auto"/>
        <w:rPr>
          <w:sz w:val="20"/>
          <w:szCs w:val="20"/>
          <w:color w:val="auto"/>
        </w:rPr>
      </w:pPr>
      <w:r>
        <w:rPr>
          <w:rFonts w:ascii="Times New Roman" w:cs="Times New Roman" w:eastAsia="Times New Roman" w:hAnsi="Times New Roman"/>
          <w:sz w:val="18"/>
          <w:szCs w:val="18"/>
          <w:color w:val="auto"/>
        </w:rPr>
        <w:t>Today, physicians can choose from a number of approved chemotherapies (</w:t>
      </w:r>
      <w:r>
        <w:rPr>
          <w:rFonts w:ascii="Times New Roman" w:cs="Times New Roman" w:eastAsia="Times New Roman" w:hAnsi="Times New Roman"/>
          <w:sz w:val="18"/>
          <w:szCs w:val="18"/>
          <w:i w:val="1"/>
          <w:iCs w:val="1"/>
          <w:color w:val="auto"/>
        </w:rPr>
        <w:t>Stivarga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Lonsurf</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immunotherapies (</w:t>
      </w:r>
      <w:r>
        <w:rPr>
          <w:rFonts w:ascii="Times New Roman" w:cs="Times New Roman" w:eastAsia="Times New Roman" w:hAnsi="Times New Roman"/>
          <w:sz w:val="18"/>
          <w:szCs w:val="18"/>
          <w:i w:val="1"/>
          <w:iCs w:val="1"/>
          <w:color w:val="auto"/>
        </w:rPr>
        <w:t>Yervoy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targeted agents (</w:t>
      </w:r>
      <w:r>
        <w:rPr>
          <w:rFonts w:ascii="Times New Roman" w:cs="Times New Roman" w:eastAsia="Times New Roman" w:hAnsi="Times New Roman"/>
          <w:sz w:val="18"/>
          <w:szCs w:val="18"/>
          <w:i w:val="1"/>
          <w:iCs w:val="1"/>
          <w:color w:val="auto"/>
        </w:rPr>
        <w:t>Avastin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Cyramza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Zaltrap</w:t>
      </w:r>
      <w:r>
        <w:rPr>
          <w:rFonts w:ascii="Times New Roman" w:cs="Times New Roman" w:eastAsia="Times New Roman" w:hAnsi="Times New Roman"/>
          <w:sz w:val="18"/>
          <w:szCs w:val="18"/>
          <w:color w:val="auto"/>
        </w:rPr>
        <w:t>®, Erbitux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Vectibix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Braftovi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FRUZAQLATM</w:t>
      </w:r>
      <w:r>
        <w:rPr>
          <w:rFonts w:ascii="Times New Roman" w:cs="Times New Roman" w:eastAsia="Times New Roman" w:hAnsi="Times New Roman"/>
          <w:sz w:val="18"/>
          <w:szCs w:val="18"/>
          <w:color w:val="auto"/>
        </w:rPr>
        <w:t>™) to treat CRC. Despite these advancements, there remains a critical need for more effective therapies to address metastatic CRC.</w:t>
      </w:r>
    </w:p>
    <w:p>
      <w:pPr>
        <w:spacing w:after="0" w:line="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Nearly all colorectal tumors harbor genetic mutations that lead to the hyperactivation of b-catenin signaling, which in turn initiate the expression of various downstream targets that promote proliferation and maintain a stem cell state, highlighting the potential value of developing treatments that target b-catenin signaling in cancer. b-catenin itself, however, is an intractable drug target and the mechanisms underlying b-catenin–driven transcription remains largely elusive, underscoring the need to identify therapeutically tractable components of b-catenin transcriptional output. Recently, several researchers have utilized functional genomic screens to uncover new targets of high relevance to the oncogenic property of b-catenin. Through this process they have validated the selective dependence of KMT2A for growth of b-catenin–active CRC cells and showed KMT2A expression to be associated with malignant CRC growth in vivo and shortened survival in patients with CRC. Targeting KMT2A using menin inhibitors has been shown to selectively reduce the viability of b-catenin–active cells and CRC organoids, but not b-catenin–inactive cells and normal organoids.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Graft-Versus-Host Disease (cGVHD)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cGVHD, an immune response of the donor-derived hematopoietic cells against recipient tissues, is a serious, potentially life-threatening complication of allogeneic hematopoietic stem cell transplantation, or HSCT, that can last for years. cGVHD is a leading cause of significant morbidity and mortality after HSCT and is estimated to develop in approximately 42% of transplant recipients, affecting approximately 17,000 patients in the U.S. Of those patients who develop chronic GVHD, nearly 50% require at least three lines of treatment, emphasizing the need for additional effective treatment options. cGVHD typically manifests across multiple organ systems, with the skin and mucosa being commonly involved, and is characterized by the development of fibrotic tissue.</w:t>
      </w:r>
    </w:p>
    <w:p>
      <w:pPr>
        <w:spacing w:after="0" w:line="77"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 xml:space="preserve">cGVHD has historically been managed by off-label treatments. However, in the past several years, the FDA has approved three drugs, </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18"/>
          <w:szCs w:val="18"/>
          <w:color w:val="auto"/>
        </w:rPr>
        <w:t xml:space="preserve"> (ibrutinib), </w:t>
      </w:r>
      <w:r>
        <w:rPr>
          <w:rFonts w:ascii="Times New Roman" w:cs="Times New Roman" w:eastAsia="Times New Roman" w:hAnsi="Times New Roman"/>
          <w:sz w:val="18"/>
          <w:szCs w:val="18"/>
          <w:i w:val="1"/>
          <w:iCs w:val="1"/>
          <w:color w:val="auto"/>
        </w:rPr>
        <w:t>Rezurock®</w:t>
      </w:r>
      <w:r>
        <w:rPr>
          <w:rFonts w:ascii="Times New Roman" w:cs="Times New Roman" w:eastAsia="Times New Roman" w:hAnsi="Times New Roman"/>
          <w:sz w:val="18"/>
          <w:szCs w:val="18"/>
          <w:color w:val="auto"/>
        </w:rPr>
        <w:t xml:space="preserve"> ( belomosidil) and </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18"/>
          <w:szCs w:val="18"/>
          <w:color w:val="auto"/>
        </w:rPr>
        <w:t xml:space="preserve"> (ruxolitinib), for use in patients with cGVHD after failure of one or more prior lines of systemic therapy. All three of these drugs may compete with Niktimvo in patients diagnosed with cGVHD. The first line of therapy for cGVHD is typically corticosteroids, though approximately 50% of patients may require treatment with additional systemic therapies, such as extracorporeal photopheresis, cytostatic agents such as mycophenolate moftetil, methotrexate, and immunomodulators such as rituximab, IL-2. </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(ibrutinib), a BTK inhibitor, was the first FDA-approved therapy for cGVHD and is indicated for use after one or more lines of therapy. Imbruvica received approval based on Phase 1/2 clinical trial data that showed a 68% overall response rate, with 48% of responses lasting 20 weeks or longer and reduced dependence on steroids for most patients. Prior to the recent FDA approval of Niktimvo (axatilimab-csfr), the FDA had previously approved two other drugs, </w:t>
      </w:r>
      <w:r>
        <w:rPr>
          <w:rFonts w:ascii="Times New Roman" w:cs="Times New Roman" w:eastAsia="Times New Roman" w:hAnsi="Times New Roman"/>
          <w:sz w:val="18"/>
          <w:szCs w:val="18"/>
          <w:i w:val="1"/>
          <w:iCs w:val="1"/>
          <w:color w:val="auto"/>
        </w:rPr>
        <w:t>Rezurock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(belomosidil), for use in patients with cGVHD after failure of at least two prior lines of systemic therapy, and </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(ruxolitinib), for use in patients with cGVHD after failure of one or more prior lines of systemic therapy. While the other agents have shown a benefit in improving symptoms of this disease, none have demonstrated an improvement in long-term outcomes and a significant unmet medical need still remains for this patient population. Additionally, the other previously approved agents are believed to exert their effect through T- and B-cells, with minimal impact on macrophages. By inhibiting the work of monocyte-derived macrophages, axatilimab provides a differentiated way to treat cGVHD, which we expect to ultimately have a more pronounced impact on the fibrotic process. We also believe that shifting CSF-1R inhibition earlier in the treatment phase of cGVHD, to minimize formation of fibrotic tissue, could have a meaningful long-term impact on the disease process itself.</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Idiopathic Pulmonary Fibrosis (IPF)</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IPF is a specific form of chronic, fibrosing, interstitial pneumonia limited to the lungs with a median survival of approximately three to five years after diagnosis. IPF is a rare disease, with an estimated prevalence of 281,000 people among the seven major market countries. IPF incidence and prevalence increase with age and are higher among males. Although rare, the incidence of IPF is increasing, likely due to an increasing understanding of the disease and the recent development of uniform diagnostic criteria.</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are currently two approved therapies for IPF, nintedanib and pirfenidone. Despite these recent advances, the unmet medical need in IPF remains high, with a five-year mortality rate of 50% to 70% with deaths occurring mainly due to respiratory failure. Lung transplantation remains the only curative treatment option, but less than five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percent of IPF patients undergo lung transplantation. There is an urgent need for new and more effective treatments for IPF that can address the limitations of current treatment options, improve mortality, and quality of life.</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Growing evidence suggests macrophages are critical regulators of lung fibrosis. Recent work has established a role for monocyte-derived macrophages as the pathogenic population of cells required for the development of fibrosis and that drive the fibrotic process. Reducing the circulating levels of pathogenic monocyte-derived macrophage precursors or inhibiting their activation in tissues provides an opportunity to therapeutically intervene and directly inhibit fibrosis. Recent experiments have demonstrated that the monocyte-derived, pro-fibrotic macrophages are CSF-1-dependent and CSF-1R inhibition through anti-CSF-1R antibody can block fibrosis in fibrotic disease models. We believe that using axatilimab to inhibit the work of monocyte-derived macrophages may provide a differentiated way to treat IPF, and could result in a more pronounced impact on the fibrotic process.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Collaboration and License Agreement</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and milestone payment obligations set forth below. In the United States, Incyte and the Company are co-commercializing axatilimab as Niktimvo (axatilimab-csfr) and share equally the profits and losses from these co-commercialization efforts.</w:t>
      </w:r>
    </w:p>
    <w:p>
      <w:pPr>
        <w:spacing w:after="0" w:line="7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non-U.S. countries. All development costs related to the collaboration will be subject to a joint development plan.</w:t>
      </w:r>
    </w:p>
    <w:p>
      <w:pPr>
        <w:spacing w:after="0" w:line="7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was eligible, upon execution,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August 2024, the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September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Vitae Pharmaceuticals, Inc.</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October 2017, we entered into a license agreement, or the Vitae License Agreement, with Vitae Pharmaceuticals, LLC, or Vitae, a subsidiary of AbbVie, Inc., under which we were granted an exclusive, sublicensable, worldwide license to a portfolio of preclinical, orally available, small molecule inhibitors of the Menin–KMT2A binding interaction, or the Menin Assets. Under the Vitae License Agreement, we are required to pay AbbVie up to $99.0 million in one-time development and regulatory milestone payments over the term of the Vitae License Agreement, subject to the achievement of certain milestone events. In the event that we or any of our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affiliates or sublicensees commercializes the Menin Assets,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We are solely responsible for the development and commercialization of the Menin Assets. Each party may terminate the Vitae License Agreement for the other party’s uncured material breach or insolvency, and we may terminate the Vitae License Agreement at any time upon advance written notice to Vitae. Vitae may terminate the Vitae License Agreement if we or any of our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UCB</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Under the UCB License Agreement, the Company is required to pay UCB up to $119.5 million in one-time development and regulatory milestone payments over the term of the UCB License Agreement, subject to the achievement of certain milestone events.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 Pharma AG (formerly known as Bayer Schering Pharma AG)</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with Bayer Schering Pharma AG, or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Eddingpharm Investment Company Limited</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August 2013, the Company entered into a license agreement with Eddingpharm Investment Company, or Eddingpharm, to develop and commercialize entinostat in China and certain other Asian countries. Eddingpharm will pay the Company royalties on a sliding scale based on net sales, if any, and make future milestone payments up to $10.0 million in the event that certain specified development and regulatory goals are achieved. In April 2024, a milestone was achieved under the Eddingpharm license agreement for the marketing approval of entinostat in China. As a result, the Company recognized $3.5 million of milestone revenue in the second quarter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Financing with Royalty Pharma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November 4, 2024, we entered into a Purchase and Sale Agreement, or Purchase and Sale Agreement, with Royalty Pharma Development Funding, LLC, or Royalty Pharma, pursuant to which Royalty Pharma purchased rights to certain revenue streams from net sales of products comprising or containing axatilimab (including Niktimvo) by Syndax, its affiliates and its licensees in the United States and its respective territories, districts, commonwealths and possessions (including Guam and Puerto Rico) in exchange for an upfront fee of $350 million.</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Territory, the Revenue Participation Right. Aggregate payments made to Royalty Pharma in respect of the Revenue Participation Right will be capped at $822.5 million, the Royalty Cap.</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our assets related to the product. Upon a change of control, we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our license agreement with UCB Biopharma Srl, Royalty Pharma may require us to repurchase Royalty Pharma’s interests in the Revenue Participation Right at a repurchase price equal to the Royalty Cap.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To support the commercialization of Revuforj and Niktimvo in the United States, we have established a robust commercial field force comprising highly experienced professionals with extensive experience in hematology and oncology and new product launches. Our targeted sales force focuses on a well-defined group of medical oncologists, and transplant physicians, primarily in academic and community settings, who are responsible for the care and treatment of cancer patients. For Revuforj, we manage sales, marketing and distribution through internal resources and third-party relationships. In accordance with our agreement, Incyte leads the commercialization of axatilimab globally and we are co-commercializing Niktimvo in the United States. Outside the United States, we plan to rely on our current partners and plan to seek additional pharmaceutical partners for development as well as sales and marketing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revumenib, axatilimab, or entinostat, and we do not have plans to develop our own manufacturing operations in the foreseeable future. We currently rely on third-party contract manufacturers as well as Incyte for all of our required raw materials, active pharmaceutical ingredients and finished product for our preclinical research, clinical trials, and commercial supply.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Property Rights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 Patent Portfolio</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in-licensed from UCB a patent portfolio directed to axatilimab. As of December 31, 2024, the in-licensed axatilimab composition-of-matter patent portfolio included two granted U.S. patents, 35 granted non-U.S. patents, including a granted Eurasian patent which has been validated in 3 countries and two granted EP patent which have been validated in 37 countries each, and 7 non-U.S. pending patent applications. The in-licensed granted patents covering axatilimab, and any non-U.S. pending applications should they issue, will expire in August 2034 or later should patent term extension be granted.</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in-licensed patent portfolio also includes patents and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As of December 31, 2024, the in-licensed method of use patent family included 11 granted non-U.S. patents, including a granted EP patent which has been validated in 7 countries. The in-licensed granted patents covering axatilimab, will expire in August 2034 or later should patent term extension be granted. As of December 31, 2024, the in-licensed liquid pharmaceutical compositions of anti-CSF-1R antibodies patent family included 1 granted U.S. patent, 17 granted non-U.S. patents including a granted EP patent which has been validated in 33 countries. These in-licensed granted patents covering axatilimab, and any non-U.S. pending applications should they issue, will expire in February 2036 or later should patent term extension be granted.</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owned axatilimab patent portfolio includes one granted U.S. Patent, two granted non-U.S. patents, one pending U.S. patent application and five non-U.S. patent applications directed to combinations of entinostat and axatilimab. The granted U.S. patent will expire in January 2039 (including a patent term adjustment period of 237 days). Further, the non-U.S. granted patents and any pending applications should they issue, will expire in May 2038 or later should patent term extension be granted. Our owned axatilimab patent portfolio also consists of patent applications directed to the treatment regimens and methods of using axatilimab includes one pending U.S. patent application and 19 non-U.S. patent applications. Further, our owned axatilimab patent portfolio consists of patent applications directed to methods of treating chronic graft-versus-host disease-related bronchiolitis obliterans syndrome using an anti-colony stimulating factor 1 receptor antibody, which include one pending U.S. patent application, one pending non-U.S. patent application, and one pending international patent application (PCT). If any one of these applications were to issue as one or more patents, these patents would expire between December 2040 and May 2044 or later should patent term extension be granted.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Menin Asset Patent Portfolio</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in-licensed from Vitae Pharmaceuticals, LLC (formerly Vitae Pharmaceuticals, Inc., "Vitae") a subsidiary of AbbVie Inc., a patent portfolio directed to a series of selective preclinical inhibitors targeting the binding interaction of menin with MLL-r. As of December 31, 2024, the in-licensed portfolio includes four granted U.S. patents, U.S. Patent Nos. 11,479,557; 10,683,302; 11,739,085; and 10,899,758; 24 granted non-U.S patents, including a granted European patent, which was validated in 30 member states and another granted European patent which was validated in 15 member states; two pending U.S. applications; and 24 non-U.S. pending patent applications covering composition of matter and methods of treating, e.g., MLL. The in-licensed granted patents, and any pending application should they issue, are expected to expire between June 2037 and September 2037 or later should patent term extension be granted.</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owned menin patent portfolio consists of twelve pending non-U.S. patent applications and one pending U.S. patent application, directed to combinations of a menin inhibitor and a CYP3A inhibitor for the treatment of various cancers. Our owned menin patent portfolio also consists of one pending U.S. non-provisional application, one pending international patent application (PCT), and one pending non-U.S. patent application directed to the salts and polymorphic forms of menin inhibitors and pharmaceutical combinations thereof. Furthermore, our owned menin portfolio includes thirteen pending non-U.S. patent applications and one pending U.S. patent application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directed to methods of treating colorectal cancer in a subject in need thereof with a menin-MLL inhibitor. We also own two pending non-U.S. patent applications and one pending PCT application, covering composition of matter and methods of treating cancer and other diseases mediated by the menin-MLL interaction. If any of these pending applications were to issue as one or more patents, these patents would expire between April 2041 and November 2044 or later should patent term extension be granted.</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co-own with Vitae one granted U.S. patent, eighteen pending non-U.S. patent applications, and one pending U.S. patent application, , covering composition of matter and methods of treating cancer and other diseases mediated by the menin-MLL interaction. The granted patent and any pending applications should they issue, are expected to expire in May 2042 or later should patent term extension be granted.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co-own with Syngene Scientific Solutions Ltd. two pending U.S. provisional applications, covering composition of matter and methods of treating cancer and other diseases mediated by the menin-MLL interaction. Syngene Scientific Solutions Ltd. is obligated to assign their rights to us. Should these pending applications issue as one or more patents, these patents would expire in 2045 or later should patent term extension be granted. Should this pending application issue as one or more patents, these patents would expire in 2045 or later should patent term extension be granted.</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also co-own with St. Jude Children's Research Hospital, Inc. one pending U.S. provisional patent application, covering methods of using menin inhibitors or combinations of a menin inhibitor and a second therapeutic agent. Should this pending application issue as one or more patents, these patents would expire in 2045 or later should patent term extension be granted. We also co-own with Board of Regents, The University of Texas System six pending non-U.S. patent applications, one pending U.S. patent application, covering methods of treating cancer with combinations, including menin inhibitors and Bcl-2 inhibitors.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Entinostat Patent Portfolio</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strive to protect entinostat with multiple layers of patents. As of December 31, 2024, our portfolio included four owned pending U.S. non-provisional patent applications, five owned granted U.S. patents, U.S. Patent Nos. 10,226,472; 11,324,822; 11,397,184; 12,168,054; and 12,000,829; which expire in August 2032, March 2036, October 2036; January 2039; and September 2041, respectively, or later should patent term extension be granted, directed to methods of treating or selecting a patient for treatment with combinations comprising entinostat and another therapeutic agent, 28 granted non-U.S. patents (including one European patent validated in five countries and another European patent validated in five countries), and 29 owned non-U.S. pending patent applications. Our owned entinostat patent portfolio includes pending U.S. and/or non-U.S. patent applications directed to methods of treating cancer patients by administration of entinostat and exemestane, treatments with entinostat combined with anti PD-1 or anti PD-L1 antibodies, entinostat and CSF-1 or CSF-1R combination therapies (also discussed above in the Axatilimab Patent Portfolio) and patient selection for combination therapy comprising entinostat and a second therapeutic agent. The granted patents, and any pending applications should they issue as one or more patents, these patents would expire between August 2032 and May 2039 or later should patent term extension be granted.</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8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Of the unexpired foreign-granted patents we licensed from Bayer, there are 33 granted foreign counterparts of the ‘166 patent (now RE45,499) that cover crystalline polymorph B, including the European patent and Eurasian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patent. The granted European patent comprises 37 national countries that have all been validated, and the granted Eurasian patent comprises nine countries that have all been validated. Likewise, there are 3 pending foreign counterparts of the ‘166 crystalline polymorph B patent. Other patents and patent applications in the licensed Bayer portfolio are expired and covered methods of treatment by administration of entinostat.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are seeking for axatilimab and expect to seek for revumenib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 Information and Inventions Assignment Agreements</w:t>
      </w:r>
    </w:p>
    <w:p>
      <w:pPr>
        <w:spacing w:after="0" w:line="121"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Government Regulation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Product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biopharmaceutical products may be marketed in the United States generally involves the following: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and animal studies in accordance with applicable regulations, including the FDA’s good laboratory practice, or GLP regulations;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8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Investigational New Drug, or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 product or a Biologics License Application, or BLA, for biologics;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accept the application for filing and review;</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and/or clinical trial sites that generated the data in support of an NDA or BLA;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or BLA prior to any commercial marketing or sale of the biopharmaceutical product in the United States.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117" w:lineRule="exact"/>
        <w:rPr>
          <w:sz w:val="20"/>
          <w:szCs w:val="20"/>
          <w:color w:val="auto"/>
        </w:rPr>
      </w:pPr>
    </w:p>
    <w:p>
      <w:pPr>
        <w:ind w:left="1020" w:right="22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3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Some clinical trials are overseen by an independent group of qualified experts organized by the clinical trial sponsor, known as a data monitoring board or committee. This group provides recommendations for whether or not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trial may move forward at designated checkpoints based on access to certain data from the study. A sponsor may also suspend or terminate a clinical trial based on evolving business objectives and/or competitive climate.</w:t>
      </w:r>
    </w:p>
    <w:p>
      <w:pPr>
        <w:spacing w:after="0" w:line="16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Review and Approval Processes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Even if a product candidate receives regulatory approval, the approval may be limited to specific disease states, patient populations and dosages, or might contain significant limitations on use in the form of warnings,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Programs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may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Breakthrough therapy designation does not change the standards for approval but may expedite the development or review process.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closely regulates the labeling, marketing and promotion of drugs and biologics. While doctors are free to prescribe any drug approved by the FDA for any use based on the doctor’s independent medical judgment, a company can only make claims relating to safety and efficacy of a drug that are consistent with FDA approval, and a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can result in adverse publicity, warning letters, corrective advertising, injunctions and potential civil and criminal penalties. Government regulators recently have increased their scrutiny of the promotion and marketing of drugs.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Revuforj, Niktimvo and any other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Revuforj, Niktimvo and any other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92"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market for Revuforj, Niktimvo and any other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Revuforj, Niktimvo and any other product candidates for which we may receive regulatory approval will be considered cost-effective. This process could delay the market acceptance of any product candidates for which we may receive approval and could have a negative effect on our future revenue and operating results.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and Data Privacy and Security Laws and Regulations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68" w:lineRule="exact"/>
        <w:rPr>
          <w:sz w:val="20"/>
          <w:szCs w:val="20"/>
          <w:color w:val="auto"/>
        </w:rPr>
      </w:pPr>
    </w:p>
    <w:p>
      <w:pPr>
        <w:ind w:left="1020" w:hanging="503"/>
        <w:spacing w:after="0" w:line="25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83" w:lineRule="exact"/>
        <w:rPr>
          <w:rFonts w:ascii="Times New Roman" w:cs="Times New Roman" w:eastAsia="Times New Roman" w:hAnsi="Times New Roman"/>
          <w:sz w:val="18"/>
          <w:szCs w:val="18"/>
          <w:color w:val="auto"/>
        </w:rPr>
      </w:pPr>
    </w:p>
    <w:p>
      <w:pPr>
        <w:ind w:left="1040" w:right="20" w:hanging="517"/>
        <w:spacing w:after="0" w:line="25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79" w:lineRule="exact"/>
        <w:rPr>
          <w:rFonts w:ascii="Times New Roman" w:cs="Times New Roman" w:eastAsia="Times New Roman" w:hAnsi="Times New Roman"/>
          <w:sz w:val="18"/>
          <w:szCs w:val="18"/>
          <w:color w:val="auto"/>
        </w:rPr>
      </w:pPr>
    </w:p>
    <w:p>
      <w:pPr>
        <w:ind w:left="1040" w:right="260" w:hanging="517"/>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spacing w:after="0" w:line="67" w:lineRule="exact"/>
        <w:rPr>
          <w:rFonts w:ascii="Times New Roman" w:cs="Times New Roman" w:eastAsia="Times New Roman" w:hAnsi="Times New Roman"/>
          <w:sz w:val="18"/>
          <w:szCs w:val="18"/>
          <w:color w:val="auto"/>
        </w:rPr>
      </w:pPr>
    </w:p>
    <w:p>
      <w:pPr>
        <w:ind w:left="1040" w:right="120" w:hanging="517"/>
        <w:spacing w:after="0" w:line="25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spacing w:after="0" w:line="79" w:lineRule="exact"/>
        <w:rPr>
          <w:rFonts w:ascii="Times New Roman" w:cs="Times New Roman" w:eastAsia="Times New Roman" w:hAnsi="Times New Roman"/>
          <w:sz w:val="18"/>
          <w:szCs w:val="18"/>
          <w:color w:val="auto"/>
        </w:rPr>
      </w:pPr>
    </w:p>
    <w:p>
      <w:pPr>
        <w:ind w:left="1040" w:right="100" w:hanging="517"/>
        <w:spacing w:after="0" w:line="25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40" w:right="20" w:hanging="517"/>
        <w:spacing w:after="0" w:line="273"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We may also be subject to federal and state laws that govern the privacy and security of other personal data, including federal and state consumer protection laws, state data security laws, and data breach notification laws. A data breach affecting sensitive personal data, including health information, could result in significant legal and financial exposure and reputational damages.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For example, in March 2010, the Affordable Care Act was passed, which has changed health care financing by both governmental and private insurers and significantly affected the U.S. pharmaceutical industry. The Affordable Care Act,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additional rebate similar to an inflation penalty on new formulations of drugs, extended the Medicaid Drug Rebate Program to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and amendments to certain aspects of the Affordable Care Act. For example, on August 16, 2022, the Inflation Reduction Act of 2022, or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second Trump administration will impact the Affordable Care Act.</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federal level, the IRA, among other things (i) directs the U.S. Department of Health and Human Services, or HHS, to negotiate the price of certain high-expenditure, single-source drugs that have been on the market for at least 7 years covered under Medicare, or the Medicare Drug Price Negotiation Program, and (ii) imposes rebates under Medicare Part B and Medicare Part D to penalize price increases that outpace inflation. These provisions began to take effect progressively in fiscal year 2023. On August 15, 2024, HHS announced the agreed-upon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or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full impact on our business of these health reform measures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Outside of the United States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February 12, 2025, we had 270 full-time employees. Of the full-time employees, 99 were primarily engaged in research and development activities and 50 have an M.D., Ph.D., or PharmD degree. None of our employees are represented by labor unions or covered by collective bargaining agreements. We consider our relationship with our employees to be good. To allow us flexibility in meeting varying workflow demands, we also engage consultants and temporary workers when needed.</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All employees must adhere to a code of business conduct and ethics and our employee handbook, which combined, define standards for appropriate behavior and are annually trained to help prevent, identify, report, and stop any type of discrimination and harassment.</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robust benefits package to promote well-being across all aspects of their lives, including health care, retirement planning and paid time off. The principal purposes of our equity incentive plans are to attract, retain and motivate selected employees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we have conducted employee surveys to gauge employee engagement and identify areas of future focus for our human capital practices and benefits offerings.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2005. In 2011, we established a wholly owned subsidiary in the United Kingdom, which we dissolved in June 2024. In 2014 we established a wholly owned subsidiary in the United States, and in 2021, we established a wholly owned subsidiary in the Netherlands. There have been no material activities for these entities to date. We currently operate in one segment.</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principal office is located in New York, New York, where we lease approximately 12,000 square feet of office space pursuant to a lease that expires in August 2028. In February 2025, following the expiration of our lease, we closed our office in Waltham, Massachusetts and made New York our principal office. We also lease approximately 4,000 square feet of additional office space in New York, New York pursuant to a lease that expires in August 2025.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file electronically with the Securities and Exchange Commission, or SEC, our annual reports on Form 10-K, quarterly reports on Form 10-Q, current reports on Form 8-K, and amendments to those reports filed or furnished pursuant to Section 13(a) or 15(d) of the Exchange Act. We make available on our website at </w:t>
      </w:r>
      <w:r>
        <w:rPr>
          <w:rFonts w:ascii="Times New Roman" w:cs="Times New Roman" w:eastAsia="Times New Roman" w:hAnsi="Times New Roman"/>
          <w:sz w:val="18"/>
          <w:szCs w:val="18"/>
          <w:u w:val="single" w:color="auto"/>
          <w:color w:val="auto"/>
        </w:rPr>
        <w:t>www.syndax.com</w:t>
      </w:r>
      <w:r>
        <w:rPr>
          <w:rFonts w:ascii="Times New Roman" w:cs="Times New Roman" w:eastAsia="Times New Roman" w:hAnsi="Times New Roman"/>
          <w:sz w:val="18"/>
          <w:szCs w:val="18"/>
          <w:color w:val="auto"/>
        </w:rPr>
        <w:t>, under “Investors,” free of charge, copies of these reports as soon as reasonably practicable after filing or furnishing these reports with the SEC.</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Annual Report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as well as our other publicly available filings with the SEC.</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include, among others, the following:</w:t>
      </w:r>
    </w:p>
    <w:p>
      <w:pPr>
        <w:spacing w:after="0" w:line="9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generating revenue from product sales.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products are smaller than we believe they are, our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spacing w:after="0" w:line="53" w:lineRule="exact"/>
        <w:rPr>
          <w:rFonts w:ascii="Times New Roman" w:cs="Times New Roman" w:eastAsia="Times New Roman" w:hAnsi="Times New Roman"/>
          <w:sz w:val="18"/>
          <w:szCs w:val="18"/>
          <w:color w:val="auto"/>
        </w:rPr>
      </w:pPr>
    </w:p>
    <w:p>
      <w:pPr>
        <w:ind w:left="1020" w:right="1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any of our product candidates.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fail to perform its obligations as expected under the collaboration or may deprioritize its investment to further develop and commercialize axatilimab.</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enroll patients in clinical trials, these clinical trials may not be completed on a timely basis or at all.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regulatory requirements or unanticipated problems with Revuforj or Niktimvo may result in various adverse actions such as the suspension or withdrawal of Revuforj or Niktimvo, closure of a facility or enforcement of substantial penalties or fines.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Revuforj, Niktimvo and our future product candidates may not achieve adequate market acceptance among physicians, patients, healthcare payors and others in the medical community to be commercially successful.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face future development and regulatory difficulties.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 approved products is uncertain. Failure to obtain or maintain adequate coverage and reimbursement for Revuforj or Niktimvo or any future products could limit our ability to market those products and decrease our ability to generate revenue.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86" w:lineRule="exact"/>
        <w:rPr>
          <w:sz w:val="20"/>
          <w:szCs w:val="20"/>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each period since our inception, except in 2021, and anticipate that we will continue to incur net losses for the foreseeable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product revenue, we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we may not be able to compete effectively in our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generating revenue from product sales.</w:t>
      </w:r>
    </w:p>
    <w:p>
      <w:pPr>
        <w:spacing w:after="0" w:line="121"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Our ability to generate significant revenue from product sales depends on our ability to successfully commercialize Revuforj and Niktimvo and to obtain the regulatory and marketing approvals necessary to commercialize revumenib and axatilimab for other indications. We currently have limited commercialization expertise, including sales, marketing, or distribution capabilities, and Revuforj, Niktimvo and future approved products may not remain in the market for a number of reasons, including ineffectiveness, harmful side effects, difficulty in scaling manufacturing, political and legislative changes, or competition from existing future alternatives. Our ability to generate substantial future revenue from product sales depends heavily on our success in many areas, including, but not limited to:</w:t>
      </w:r>
    </w:p>
    <w:p>
      <w:pPr>
        <w:spacing w:after="0" w:line="79" w:lineRule="exact"/>
        <w:rPr>
          <w:sz w:val="20"/>
          <w:szCs w:val="20"/>
          <w:color w:val="auto"/>
        </w:rPr>
      </w:pPr>
    </w:p>
    <w:p>
      <w:pPr>
        <w:ind w:left="1020" w:right="1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manufacturing process for products and establishing and maintaining supply and manufacturing relationships with third parties that can conduct the processes and provide adequate (in amount and quality) product supply to support market demand for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market share, reimbursement and pricing for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patients so they can be diagnosed and begin receiving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including commercial rights, in any collaboration, licensing, or other arrangements into which we may enter, any amendments thereto or extensions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300" w:firstLine="578"/>
        <w:spacing w:after="0" w:line="282" w:lineRule="auto"/>
        <w:rPr>
          <w:sz w:val="20"/>
          <w:szCs w:val="20"/>
          <w:color w:val="auto"/>
        </w:rPr>
      </w:pPr>
      <w:r>
        <w:rPr>
          <w:rFonts w:ascii="Times New Roman" w:cs="Times New Roman" w:eastAsia="Times New Roman" w:hAnsi="Times New Roman"/>
          <w:sz w:val="18"/>
          <w:szCs w:val="18"/>
          <w:color w:val="auto"/>
        </w:rPr>
        <w:t>If the number of our addressable patients is not as significant as we estimate or the reasonably accepted population for treatment is narrowed by competition, physician choice, or treatment guidelines, we may not generate significant revenue from sales of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products are smaller than we believe they are, our revenue may be adversely affected, and our business may suffer.</w:t>
      </w:r>
    </w:p>
    <w:p>
      <w:pPr>
        <w:spacing w:after="0" w:line="121" w:lineRule="exact"/>
        <w:rPr>
          <w:sz w:val="20"/>
          <w:szCs w:val="20"/>
          <w:color w:val="auto"/>
        </w:rPr>
      </w:pPr>
    </w:p>
    <w:p>
      <w:pPr>
        <w:ind w:right="60" w:firstLine="578"/>
        <w:spacing w:after="0" w:line="282" w:lineRule="auto"/>
        <w:rPr>
          <w:sz w:val="20"/>
          <w:szCs w:val="20"/>
          <w:color w:val="auto"/>
        </w:rPr>
      </w:pPr>
      <w:r>
        <w:rPr>
          <w:rFonts w:ascii="Times New Roman" w:cs="Times New Roman" w:eastAsia="Times New Roman" w:hAnsi="Times New Roman"/>
          <w:sz w:val="18"/>
          <w:szCs w:val="18"/>
          <w:color w:val="auto"/>
        </w:rPr>
        <w:t>Our projections of the number of adult and pediatric patients who have the potential to benefit from treatment with either Revuforj or Niktimvo are based on our beliefs and estimates. These estimates have been derived from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variety of sources and may prove to be incorrect or new studies may change the estimated incidence or prevalence, and the number of patients may turn out to be lower than expected. Additionally, the potentially addressable patient population for Revuforj or Niktimvo may be limited or may not be amenable to treatment with Revuforj or Niktimvo, and new patients may become increasingly difficult to identify or access, which would adversely affect our results of operations and our business. Even if we obtain significant market share for Revuforj or Niktimvo, we may never become or remain profitable nor generate sufficient revenue growth to sustain our business.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1"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Our approved products are Revuforj and Niktimvo. Our financial success will also depend substantially on our ability to effectively and profitably commercialize our other product candidates and expand the approved indications for Revuforj and Niktimvo. In order to commercialize our product candidates and expand the approved indications for Revuforj and Niktimvo,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any future clinical trials of revumenib and axatilimab;</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in connection with public health threats or any future geopolitical tensions, such as tariffs, war or terrorism;</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foreign regulatory authorities to conduct additional clinical trials prior to receiving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drug reactions in any of our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meeting the endpoints in the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use of our product candidates to treat various cancer indications and fibrotic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our potential strategic collaborators’ marketing, sales and distribution strategy and operations in the United States and abroad;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 and of third-party contract manufacturers to produce trial supplies and to develop, validate and maintain a commercially viable manufacturing process that is compliant with current Good Manufacturing Practices, or cGMP;</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in the United States and abroad,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any significant disruptions of our information technology systems and protect the security of our data;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in and to our product candidates.</w:t>
      </w:r>
    </w:p>
    <w:p>
      <w:pPr>
        <w:spacing w:after="0" w:line="117" w:lineRule="exact"/>
        <w:rPr>
          <w:sz w:val="20"/>
          <w:szCs w:val="20"/>
          <w:color w:val="auto"/>
        </w:rPr>
      </w:pPr>
    </w:p>
    <w:p>
      <w:pPr>
        <w:ind w:firstLine="578"/>
        <w:spacing w:after="0" w:line="282" w:lineRule="auto"/>
        <w:rPr>
          <w:sz w:val="20"/>
          <w:szCs w:val="20"/>
          <w:color w:val="auto"/>
        </w:rPr>
      </w:pPr>
      <w:r>
        <w:rPr>
          <w:rFonts w:ascii="Times New Roman" w:cs="Times New Roman" w:eastAsia="Times New Roman" w:hAnsi="Times New Roman"/>
          <w:sz w:val="18"/>
          <w:szCs w:val="18"/>
          <w:color w:val="auto"/>
        </w:rPr>
        <w:t>If we fail to obtain regulatory approval for our product candidates, we will not be able to generate product sales, which will have a material adverse effect on our business and our prospects.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51"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spacing w:after="0" w:line="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collaboration with Incyte to further develop and commercialize axatilimab. If we or Incyte fail to perform as expected the potential for us to generate future revenue under the collaboration could be significantly reduced, the development and/or commercialization of axatilimab may be terminated or substantially delayed, and our business could be adversely affected.</w:t>
      </w:r>
    </w:p>
    <w:p>
      <w:pPr>
        <w:spacing w:after="0" w:line="67" w:lineRule="exact"/>
        <w:rPr>
          <w:sz w:val="20"/>
          <w:szCs w:val="20"/>
          <w:color w:val="auto"/>
        </w:rPr>
      </w:pPr>
    </w:p>
    <w:p>
      <w:pPr>
        <w:ind w:right="500" w:firstLine="578"/>
        <w:spacing w:after="0" w:line="282" w:lineRule="auto"/>
        <w:rPr>
          <w:sz w:val="20"/>
          <w:szCs w:val="20"/>
          <w:color w:val="auto"/>
        </w:rPr>
      </w:pPr>
      <w:r>
        <w:rPr>
          <w:rFonts w:ascii="Times New Roman" w:cs="Times New Roman" w:eastAsia="Times New Roman" w:hAnsi="Times New Roman"/>
          <w:sz w:val="18"/>
          <w:szCs w:val="18"/>
          <w:color w:val="auto"/>
        </w:rPr>
        <w:t>We are subject to numerous risks related to the Incyte Collaboration Agreement to collaborate on the development and commercialization of axatilimab.</w:t>
      </w:r>
    </w:p>
    <w:p>
      <w:pPr>
        <w:spacing w:after="0" w:line="54" w:lineRule="exact"/>
        <w:rPr>
          <w:sz w:val="20"/>
          <w:szCs w:val="20"/>
          <w:color w:val="auto"/>
        </w:rPr>
      </w:pPr>
    </w:p>
    <w:p>
      <w:pPr>
        <w:ind w:right="300" w:firstLine="578"/>
        <w:spacing w:after="0" w:line="258" w:lineRule="auto"/>
        <w:rPr>
          <w:sz w:val="20"/>
          <w:szCs w:val="20"/>
          <w:color w:val="auto"/>
        </w:rPr>
      </w:pPr>
      <w:r>
        <w:rPr>
          <w:rFonts w:ascii="Times New Roman" w:cs="Times New Roman" w:eastAsia="Times New Roman" w:hAnsi="Times New Roman"/>
          <w:sz w:val="18"/>
          <w:szCs w:val="18"/>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75" w:lineRule="exact"/>
        <w:rPr>
          <w:sz w:val="20"/>
          <w:szCs w:val="20"/>
          <w:color w:val="auto"/>
        </w:rPr>
      </w:pPr>
    </w:p>
    <w:p>
      <w:pPr>
        <w:ind w:left="1040" w:right="1040" w:hanging="51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53" w:lineRule="exact"/>
        <w:rPr>
          <w:rFonts w:ascii="Times New Roman" w:cs="Times New Roman" w:eastAsia="Times New Roman" w:hAnsi="Times New Roman"/>
          <w:sz w:val="18"/>
          <w:szCs w:val="18"/>
          <w:color w:val="auto"/>
        </w:rPr>
      </w:pPr>
    </w:p>
    <w:p>
      <w:pPr>
        <w:ind w:left="1040" w:right="280" w:hanging="51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change the focus of its development and commercialization efforts or prioritize other programs more highly and, accordingly, reduce the efforts and resources allocated to axatilimab</w:t>
      </w:r>
    </w:p>
    <w:p>
      <w:pPr>
        <w:spacing w:after="0" w:line="53" w:lineRule="exact"/>
        <w:rPr>
          <w:rFonts w:ascii="Times New Roman" w:cs="Times New Roman" w:eastAsia="Times New Roman" w:hAnsi="Times New Roman"/>
          <w:sz w:val="18"/>
          <w:szCs w:val="18"/>
          <w:color w:val="auto"/>
        </w:rPr>
      </w:pPr>
    </w:p>
    <w:p>
      <w:pPr>
        <w:ind w:left="1040" w:right="40" w:hanging="51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within its commercially reasonable discretion, choose not to develop and commercialize axatilimab in all relevant markets or for one or more indications, if at all; and</w:t>
      </w:r>
    </w:p>
    <w:p>
      <w:pPr>
        <w:spacing w:after="0" w:line="53" w:lineRule="exact"/>
        <w:rPr>
          <w:rFonts w:ascii="Times New Roman" w:cs="Times New Roman" w:eastAsia="Times New Roman" w:hAnsi="Times New Roman"/>
          <w:sz w:val="18"/>
          <w:szCs w:val="18"/>
          <w:color w:val="auto"/>
        </w:rPr>
      </w:pPr>
    </w:p>
    <w:p>
      <w:pPr>
        <w:ind w:left="1040" w:right="380" w:hanging="51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cannot ensure that the potential strategic benefits and opportunities expected from this collaboration with be realized on our anticipated timeline or at all.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enroll patients in clinical trials, these clinical trials may not be completed on a timely basis or at all.</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or geopolitical tensions, such as the ongoing wars involving Russia and Israel;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about the relative efficacy of our product candidates versus other compounds in clinical development or commercially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standard of care in treating cancer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especially in the case of an orphan indication,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enrolled;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organizations or our own clinical trials for clinical trial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 result of the above factors, there is a risk that our or our collaborators’ clinical trials may not be completed on a timely basis or at all.</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right="10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sales and distribution of our product candidates, limiting our potential revenue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6" w:lineRule="exact"/>
        <w:rPr>
          <w:sz w:val="20"/>
          <w:szCs w:val="20"/>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righ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never materialize or may fail.</w:t>
      </w:r>
    </w:p>
    <w:p>
      <w:pPr>
        <w:spacing w:after="0" w:line="12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requirements or unanticipated problems with Revuforj or Niktimvo may result in various adverse actions, such as the suspension or withdrawal of either product, closure of a facility or enforcement of substantial penalties or fines.</w:t>
      </w:r>
    </w:p>
    <w:p>
      <w:pPr>
        <w:spacing w:after="0" w:line="51"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Regulatory agencies will subject any marketed product(s), as well as the manufacturing facilities, to continual review and periodic inspection. If previously unknown problems with a product or with regulatory requirements are discovered, such as adverse events of unanticipated severity or frequency, serious or unexpected side effects or other safety risks, 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the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of the facility, enforcement of substantial fines, injunctions, or the imposition of civil or criminal penalties.</w:t>
      </w:r>
    </w:p>
    <w:p>
      <w:pPr>
        <w:spacing w:after="0" w:line="22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cGMP, current Good Laboratory Practices and current Good Clinical Practices, regulations, standards and guidelines during such manufacturing, testing and development. The time required to obtain approval by the FDA and foreign regulatory authorities is unpredictable, but typically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Other than the recent approval for marketing of entinostat tablets by the National Medical Products Administration, we have not obtained regulatory approval for any of our product candidates and it is possible that we will never obtain regulatory approval for any additional product candidates or any future product candidates.</w:t>
      </w:r>
    </w:p>
    <w:p>
      <w:pPr>
        <w:spacing w:after="0" w:line="75" w:lineRule="exact"/>
        <w:rPr>
          <w:sz w:val="20"/>
          <w:szCs w:val="20"/>
          <w:color w:val="auto"/>
        </w:rPr>
      </w:pPr>
    </w:p>
    <w:p>
      <w:pPr>
        <w:ind w:right="500" w:firstLine="578"/>
        <w:spacing w:after="0" w:line="282" w:lineRule="auto"/>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from the FDA or foreign regulatory authorities for other reasons, including but not limited to:</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product candidates are effective for their proposed indication and have an acceptable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primary endpoints or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clinical and other benefits of a product candidate outweigh any of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size, conduct or implementation of our or our collaborators’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trials of our product candidates to support the submission and filing of an NDA,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negative opinion from an advisory committee due to a change in the standard of care regardless of the outcome of the clinical trials;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European Union, or EU, laws governing authorization of medicinal products may result in a decrease in data and market exclusivity for our product candidates in the EU.</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Revuforj, Niktimvo and our future product candidates may not achieve adequate market acceptance among physicians, patients, healthcare payors and others in the medical community to be commercially successful</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Revuforj, Niktimvo and our future product candidates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trials and in post-marketing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w:t>
      </w:r>
    </w:p>
    <w:p>
      <w:pPr>
        <w:spacing w:after="0" w:line="117" w:lineRule="exact"/>
        <w:rPr>
          <w:sz w:val="20"/>
          <w:szCs w:val="20"/>
          <w:color w:val="auto"/>
        </w:rPr>
      </w:pPr>
    </w:p>
    <w:p>
      <w:pPr>
        <w:ind w:right="280" w:firstLine="578"/>
        <w:spacing w:after="0" w:line="282" w:lineRule="auto"/>
        <w:rPr>
          <w:sz w:val="20"/>
          <w:szCs w:val="20"/>
          <w:color w:val="auto"/>
        </w:rPr>
      </w:pPr>
      <w:r>
        <w:rPr>
          <w:rFonts w:ascii="Times New Roman" w:cs="Times New Roman" w:eastAsia="Times New Roman" w:hAnsi="Times New Roman"/>
          <w:sz w:val="18"/>
          <w:szCs w:val="18"/>
          <w:color w:val="auto"/>
        </w:rPr>
        <w:t>If Revuforj, Niktimvo or future approved product candidates do not achieve an adequate level of acceptance by physicians, hospitals, healthcare payors and patients, we may not generate sufficient revenue to become or remain profitable.</w:t>
      </w:r>
    </w:p>
    <w:p>
      <w:pPr>
        <w:spacing w:after="0" w:line="15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7"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spacing w:after="0" w:line="75"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face future development and regulatory difficulties.</w:t>
      </w:r>
    </w:p>
    <w:p>
      <w:pPr>
        <w:spacing w:after="0" w:line="121" w:lineRule="exact"/>
        <w:rPr>
          <w:sz w:val="20"/>
          <w:szCs w:val="20"/>
          <w:color w:val="auto"/>
        </w:rPr>
      </w:pPr>
    </w:p>
    <w:p>
      <w:pPr>
        <w:ind w:firstLine="578"/>
        <w:spacing w:after="0" w:line="266" w:lineRule="auto"/>
        <w:rPr>
          <w:sz w:val="20"/>
          <w:szCs w:val="20"/>
          <w:color w:val="auto"/>
        </w:rPr>
      </w:pPr>
      <w:r>
        <w:rPr>
          <w:rFonts w:ascii="Times New Roman" w:cs="Times New Roman" w:eastAsia="Times New Roman" w:hAnsi="Times New Roman"/>
          <w:sz w:val="18"/>
          <w:szCs w:val="18"/>
          <w:color w:val="auto"/>
        </w:rPr>
        <w:t>Our products and product candidates are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68" w:lineRule="exact"/>
        <w:rPr>
          <w:sz w:val="20"/>
          <w:szCs w:val="20"/>
          <w:color w:val="auto"/>
        </w:rPr>
      </w:pPr>
    </w:p>
    <w:p>
      <w:pPr>
        <w:ind w:right="260" w:firstLine="578"/>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refuse to permit the import or export of products.</w:t>
      </w:r>
    </w:p>
    <w:p>
      <w:pPr>
        <w:spacing w:after="0" w:line="117" w:lineRule="exact"/>
        <w:rPr>
          <w:sz w:val="20"/>
          <w:szCs w:val="20"/>
          <w:color w:val="auto"/>
        </w:rPr>
      </w:pPr>
    </w:p>
    <w:p>
      <w:pPr>
        <w:ind w:firstLine="578"/>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and generate revenue from the sale of our product candidates.</w:t>
      </w:r>
    </w:p>
    <w:p>
      <w:pPr>
        <w:spacing w:after="0" w:line="54"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0"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8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1"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products and product candidates could cause the interruption, delay or halting of the trials and could result in a more restrictive label or the delay or denial of regulatory approval by the FDA or other foreign regulatory authorities. For example, the Revuforj U.S. Prescribing Information label contains a boxed warning for differentiation syndrome, which can be fatal.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1"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 labels;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the product;</w:t>
      </w:r>
    </w:p>
    <w:p>
      <w:pPr>
        <w:spacing w:after="0" w:line="53"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20" w:firstLine="57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firstLine="578"/>
        <w:spacing w:after="0" w:line="239" w:lineRule="auto"/>
        <w:rPr>
          <w:sz w:val="20"/>
          <w:szCs w:val="20"/>
          <w:color w:val="auto"/>
        </w:rPr>
      </w:pPr>
      <w:r>
        <w:rPr>
          <w:rFonts w:ascii="Times New Roman" w:cs="Times New Roman" w:eastAsia="Times New Roman" w:hAnsi="Times New Roman"/>
          <w:sz w:val="18"/>
          <w:szCs w:val="18"/>
          <w:color w:val="auto"/>
        </w:rPr>
        <w:t>Revuforj, Niktimvo and any product candidate that receives approval in the future would face significant competition from other therapies in the relevant indication. For example, cGVHD has historically been managed by off-label treatments. However, in the past several years, the FDA has approved three drugs, ibrutinib (</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color w:val="auto"/>
        </w:rPr>
        <w:t>), belomosidil (</w:t>
      </w:r>
      <w:r>
        <w:rPr>
          <w:rFonts w:ascii="Times New Roman" w:cs="Times New Roman" w:eastAsia="Times New Roman" w:hAnsi="Times New Roman"/>
          <w:sz w:val="18"/>
          <w:szCs w:val="18"/>
          <w:i w:val="1"/>
          <w:iCs w:val="1"/>
          <w:color w:val="auto"/>
        </w:rPr>
        <w:t>Rezurock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ruxolitinib (</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use in patients with cGVHD after failure of one or more lines of systemic therapy. All three of these drugs may compete with Niktimvo in patients diagnosed with cGVHD.</w:t>
      </w:r>
    </w:p>
    <w:p>
      <w:pPr>
        <w:spacing w:after="0" w:line="92" w:lineRule="exact"/>
        <w:rPr>
          <w:sz w:val="20"/>
          <w:szCs w:val="20"/>
          <w:color w:val="auto"/>
        </w:rPr>
      </w:pPr>
    </w:p>
    <w:p>
      <w:pPr>
        <w:jc w:val="both"/>
        <w:ind w:right="40" w:firstLine="578"/>
        <w:spacing w:after="0" w:line="261" w:lineRule="auto"/>
        <w:rPr>
          <w:sz w:val="20"/>
          <w:szCs w:val="20"/>
          <w:color w:val="auto"/>
        </w:rPr>
      </w:pPr>
      <w:r>
        <w:rPr>
          <w:rFonts w:ascii="Times New Roman" w:cs="Times New Roman" w:eastAsia="Times New Roman" w:hAnsi="Times New Roman"/>
          <w:sz w:val="18"/>
          <w:szCs w:val="18"/>
          <w:color w:val="auto"/>
        </w:rPr>
        <w:t>Revumenib is being developed for the treatment of R/R adult and pediatric patients with KMT2Ar ALL, KMT2Ar AML and NPM1 mutant AML. At this time, other than Revuforj, there are no drugs approved for these defined populations and patients are managed using the standard of care treatment regimens developed for general AML and ALL populations. While there are other agents in early development for similar populations, Revuforj is the first defined therapy for patients with KMT2Ar ALL and KMT2Ar AML.</w:t>
      </w:r>
    </w:p>
    <w:p>
      <w:pPr>
        <w:spacing w:after="0" w:line="72" w:lineRule="exact"/>
        <w:rPr>
          <w:sz w:val="20"/>
          <w:szCs w:val="20"/>
          <w:color w:val="auto"/>
        </w:rPr>
      </w:pPr>
    </w:p>
    <w:p>
      <w:pPr>
        <w:ind w:right="180" w:firstLine="578"/>
        <w:spacing w:after="0" w:line="255" w:lineRule="auto"/>
        <w:rPr>
          <w:sz w:val="20"/>
          <w:szCs w:val="20"/>
          <w:color w:val="auto"/>
        </w:rPr>
      </w:pPr>
      <w:r>
        <w:rPr>
          <w:rFonts w:ascii="Times New Roman" w:cs="Times New Roman" w:eastAsia="Times New Roman" w:hAnsi="Times New Roman"/>
          <w:sz w:val="18"/>
          <w:szCs w:val="18"/>
          <w:color w:val="auto"/>
        </w:rPr>
        <w:t>Existing or potential competitors have or may have substantially greater financial, technical and human resources than we do and significantly greater experience in the discovery and development of product candidates, obtaining FDA and other regulatory approvals of product candidates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Revuforj, Niktimvo and our product candidates by physicians and patients;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relative to marketed products and product candidates in development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Revuforj, Niktimvo and our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Revuforj, Niktimvo and our product candidates, including in comparison to branded or generic competitors;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Revuforj, Niktimvo and our product candidates, if they receive regulatory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preferential formulary status for our product candidates.</w:t>
      </w:r>
    </w:p>
    <w:p>
      <w:pPr>
        <w:spacing w:after="0" w:line="117"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of our other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spacing w:after="0" w:line="6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UCB Biopharma Sprl, or UCB, to comply with the terms of our license agreement for axatilimab.</w:t>
      </w:r>
    </w:p>
    <w:p>
      <w:pPr>
        <w:spacing w:after="0" w:line="121" w:lineRule="exact"/>
        <w:rPr>
          <w:sz w:val="20"/>
          <w:szCs w:val="20"/>
          <w:color w:val="auto"/>
        </w:rPr>
      </w:pPr>
    </w:p>
    <w:p>
      <w:pPr>
        <w:ind w:right="16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5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We have adopted a code of conduct applicable to all of our employees, officers, directors, agents and representatives, including consultants,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actions or investigations, we could incur substantial costs, including legal fees, and divert the attention of management in defending ourselves against any of these claims or investigations.</w:t>
      </w:r>
    </w:p>
    <w:p>
      <w:pPr>
        <w:spacing w:after="0" w:line="15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Revuforj, Niktimvo or any future products could limit our ability to market those products and decrease our ability to generate revenue.</w:t>
      </w:r>
    </w:p>
    <w:p>
      <w:pPr>
        <w:spacing w:after="0" w:line="67"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Revuforj, Niktimvo, and other product candidates, if approved, must be adequate to support our commercial infrastructure. Our per-patient prices must be sufficient to recover our development and manufacturing costs and potentially achieve profitability. Accordingly, the availability and adequacy of coverage and reimbursement by governmental and private payors are essential for most patients to afford expensive treatments such as ours. Sales of Revuforj and Niktimvo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either Revuforj or Niktimvo. Even if coverage is provided, the approved reimbursement amount may not be high enough to allow us to establish or maintain pricing sufficient to sustain our overall enterprise.</w:t>
      </w:r>
    </w:p>
    <w:p>
      <w:pPr>
        <w:spacing w:after="0" w:line="84"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a product such as ours.</w:t>
      </w:r>
    </w:p>
    <w:p>
      <w:pPr>
        <w:spacing w:after="0" w:line="72"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and, as a result, they may not cover or provide adequate payment for either Revuforj or Niktimvo. We expect to experience pricing pressures in connection with the sales of both Revuforj and Niktimvo due to the trend toward managed healthcare, the increasing influence of health maintenance organizations, additional legislative changes, and statements by elected officials.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additional highly skilled employees in order to succeed.</w:t>
      </w:r>
    </w:p>
    <w:p>
      <w:pPr>
        <w:spacing w:after="0" w:line="12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79"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 candidates and affect the prices we may obtain.</w:t>
      </w:r>
    </w:p>
    <w:p>
      <w:pPr>
        <w:spacing w:after="0" w:line="121" w:lineRule="exact"/>
        <w:rPr>
          <w:sz w:val="20"/>
          <w:szCs w:val="20"/>
          <w:color w:val="auto"/>
        </w:rPr>
      </w:pPr>
    </w:p>
    <w:p>
      <w:pPr>
        <w:ind w:right="120" w:firstLine="578"/>
        <w:spacing w:after="0" w:line="282"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regulate post-approval activities and affect our ability to profitably sell any product candidate for which we obtain marketing approval.</w:t>
      </w:r>
    </w:p>
    <w:p>
      <w:pPr>
        <w:spacing w:after="0" w:line="117" w:lineRule="exact"/>
        <w:rPr>
          <w:sz w:val="20"/>
          <w:szCs w:val="20"/>
          <w:color w:val="auto"/>
        </w:rPr>
      </w:pPr>
    </w:p>
    <w:p>
      <w:pPr>
        <w:ind w:right="260" w:firstLine="578"/>
        <w:spacing w:after="0" w:line="266" w:lineRule="auto"/>
        <w:rPr>
          <w:sz w:val="20"/>
          <w:szCs w:val="20"/>
          <w:color w:val="auto"/>
        </w:rPr>
      </w:pPr>
      <w:r>
        <w:rPr>
          <w:rFonts w:ascii="Times New Roman" w:cs="Times New Roman" w:eastAsia="Times New Roman" w:hAnsi="Times New Roman"/>
          <w:sz w:val="18"/>
          <w:szCs w:val="18"/>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w:t>
      </w:r>
    </w:p>
    <w:p>
      <w:pPr>
        <w:spacing w:after="0" w:line="117" w:lineRule="exact"/>
        <w:rPr>
          <w:sz w:val="20"/>
          <w:szCs w:val="20"/>
          <w:color w:val="auto"/>
        </w:rPr>
      </w:pPr>
    </w:p>
    <w:p>
      <w:pPr>
        <w:ind w:right="120" w:firstLine="578"/>
        <w:spacing w:after="0" w:line="255" w:lineRule="auto"/>
        <w:rPr>
          <w:sz w:val="20"/>
          <w:szCs w:val="20"/>
          <w:color w:val="auto"/>
        </w:rPr>
      </w:pPr>
      <w:r>
        <w:rPr>
          <w:rFonts w:ascii="Times New Roman" w:cs="Times New Roman" w:eastAsia="Times New Roman" w:hAnsi="Times New Roman"/>
          <w:sz w:val="18"/>
          <w:szCs w:val="18"/>
          <w:color w:val="auto"/>
        </w:rPr>
        <w:t>While Congress has not passed comprehensive repeal legislation, several amendments to certain aspects of the Affordable Care Act have been signed into law. On August 16, 2022, the Inflation Reduction Act of 2022 or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second Trump administration will impact the Affordable Care Act and our business.</w:t>
      </w:r>
    </w:p>
    <w:p>
      <w:pPr>
        <w:spacing w:after="0" w:line="81" w:lineRule="exact"/>
        <w:rPr>
          <w:sz w:val="20"/>
          <w:szCs w:val="20"/>
          <w:color w:val="auto"/>
        </w:rPr>
      </w:pPr>
    </w:p>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2032 unless additional Congressional action is taken.</w:t>
      </w:r>
    </w:p>
    <w:p>
      <w:pPr>
        <w:spacing w:after="0" w:line="68"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The Quality Payment Program consists of two payment tracks that eligible clinicians can participate in: Advanced Alternative Payment Models, APMs, and the Merit-Based Incentive Payment System, MIPS. Under both APMs and MIPS the Advanced Alternative Payment Models and the Merit-Based Incentive Payment System, performance data collected each performance year will affect Medicare payments in later years, including potentially reducing payments.</w:t>
      </w:r>
    </w:p>
    <w:p>
      <w:pPr>
        <w:spacing w:after="0" w:line="79"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IRA, among other things, (i) directs the Secretary of the U.S. Department of Health and Human Services, or HHS, to negotiate the price of certain high-expenditure, single-source drugs that have been on the market for at least 7 years covered under Medicare Part B and Medicare Part D, and subjects drug manufacturers to civil monetary penalties and a potential excise tax by offering a price that is not equal to or less than the negotiated “maximum fair price” under the law, or the Medicare Drug Price Negotiation Program, and (ii) imposes rebates under Medicare Part B and Medicare Part D to penalize price increases that outpace inflation.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15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March-in rights allow a federal agency to grant a compulsory license on a privately owned patent to third parties, if the invention was developed with federal funding and the agency finds that certain statutory criteria apply.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and implemented regulations designed to control pharmaceutical and biological product pricing,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79"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These and other healthcare reform measures may be adopted in the future, particularly in light of the recent U.S. Presidential and Congressional election, any of which may result in more rigorous coverage criteria and in additional downward pressure on the price that we receive for any approved drug.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or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building our sales, marketing and distribution infrastructure.</w:t>
      </w:r>
    </w:p>
    <w:p>
      <w:pPr>
        <w:spacing w:after="0" w:line="121" w:lineRule="exact"/>
        <w:rPr>
          <w:sz w:val="20"/>
          <w:szCs w:val="20"/>
          <w:color w:val="auto"/>
        </w:rPr>
      </w:pPr>
    </w:p>
    <w:p>
      <w:pPr>
        <w:ind w:right="120" w:firstLine="578"/>
        <w:spacing w:after="0" w:line="266" w:lineRule="auto"/>
        <w:rPr>
          <w:sz w:val="20"/>
          <w:szCs w:val="20"/>
          <w:color w:val="auto"/>
        </w:rPr>
      </w:pPr>
      <w:r>
        <w:rPr>
          <w:rFonts w:ascii="Times New Roman" w:cs="Times New Roman" w:eastAsia="Times New Roman" w:hAnsi="Times New Roman"/>
          <w:sz w:val="18"/>
          <w:szCs w:val="18"/>
          <w:color w:val="auto"/>
        </w:rPr>
        <w:t>To market Revuforj and Niktimvo or any approved product candidate in the future, we must continue building our sales, marketing, distribution, managerial and other non-technical capabilities or make arrangements with third parties to perform these services, as we do not presently have all of these capabilities.</w:t>
      </w:r>
    </w:p>
    <w:p>
      <w:pPr>
        <w:spacing w:after="0" w:line="68" w:lineRule="exact"/>
        <w:rPr>
          <w:sz w:val="20"/>
          <w:szCs w:val="20"/>
          <w:color w:val="auto"/>
        </w:rPr>
      </w:pPr>
    </w:p>
    <w:p>
      <w:pPr>
        <w:ind w:right="140" w:firstLine="578"/>
        <w:spacing w:after="0" w:line="261" w:lineRule="auto"/>
        <w:rPr>
          <w:sz w:val="20"/>
          <w:szCs w:val="20"/>
          <w:color w:val="auto"/>
        </w:rPr>
      </w:pPr>
      <w:r>
        <w:rPr>
          <w:rFonts w:ascii="Times New Roman" w:cs="Times New Roman" w:eastAsia="Times New Roman" w:hAnsi="Times New Roman"/>
          <w:sz w:val="18"/>
          <w:szCs w:val="18"/>
          <w:color w:val="auto"/>
        </w:rPr>
        <w:t>To support the commercialization of Revuforj and Niktimvo in the United States, we have established a robust commercial field force comprising highly experienced professionals with extensive experience in hematology and oncology and new product launches. For Revuforj, we manage sales, marketing and distribution through internal resources and third-party relationships. In accordance with our agreement, Incyte leads the commercialization of axatilimab globally and we are co-commercializing Niktimvo in the United States.</w:t>
      </w:r>
    </w:p>
    <w:p>
      <w:pPr>
        <w:spacing w:after="0" w:line="72" w:lineRule="exact"/>
        <w:rPr>
          <w:sz w:val="20"/>
          <w:szCs w:val="20"/>
          <w:color w:val="auto"/>
        </w:rPr>
      </w:pPr>
    </w:p>
    <w:p>
      <w:pPr>
        <w:jc w:val="both"/>
        <w:ind w:right="320" w:firstLine="578"/>
        <w:spacing w:after="0" w:line="266" w:lineRule="auto"/>
        <w:rPr>
          <w:sz w:val="20"/>
          <w:szCs w:val="20"/>
          <w:color w:val="auto"/>
        </w:rPr>
      </w:pPr>
      <w:r>
        <w:rPr>
          <w:rFonts w:ascii="Times New Roman" w:cs="Times New Roman" w:eastAsia="Times New Roman" w:hAnsi="Times New Roman"/>
          <w:sz w:val="18"/>
          <w:szCs w:val="18"/>
          <w:color w:val="auto"/>
        </w:rPr>
        <w:t>To further develop our internal sales, distribution and marketing capabilities, we must invest significant amounts of financial and management resources in the future. For drug products where we decide to perform sales, marketing and distribution functions ourselves, we could face a number of challenges, including that:</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build and retain an effective marketing or sales organization;</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training and providing regulatory oversight for a marketing or sales force may not be justifiable in light of the revenue generated by any particular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or indirect sales and marketing efforts may not be successful;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68" w:lineRule="exact"/>
        <w:rPr>
          <w:sz w:val="20"/>
          <w:szCs w:val="20"/>
          <w:color w:val="auto"/>
        </w:rPr>
      </w:pPr>
    </w:p>
    <w:p>
      <w:pPr>
        <w:ind w:right="340" w:firstLine="578"/>
        <w:spacing w:after="0" w:line="266" w:lineRule="auto"/>
        <w:rPr>
          <w:sz w:val="20"/>
          <w:szCs w:val="20"/>
          <w:color w:val="auto"/>
        </w:rPr>
      </w:pPr>
      <w:r>
        <w:rPr>
          <w:rFonts w:ascii="Times New Roman" w:cs="Times New Roman" w:eastAsia="Times New Roman" w:hAnsi="Times New Roman"/>
          <w:sz w:val="18"/>
          <w:szCs w:val="18"/>
          <w:color w:val="auto"/>
        </w:rPr>
        <w:t>Alternatively, we may rely on third parties to launch and market our future product candidates, if approved. We may have limited or no control over the sales, marketing and distribution activities of these third parties and our future revenue may depend on the success of these third parties. Additionally, if these third parties fail to comply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all applicable legal or regulatory requirements, the FDA or another governmental agency could take enforcement action that could jeopardize their ability and our ability to market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21" w:lineRule="exact"/>
        <w:rPr>
          <w:sz w:val="20"/>
          <w:szCs w:val="20"/>
          <w:color w:val="auto"/>
        </w:rPr>
      </w:pPr>
    </w:p>
    <w:p>
      <w:pPr>
        <w:ind w:right="120" w:firstLine="57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40" w:firstLine="578"/>
        <w:spacing w:after="0" w:line="258"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Our current insurance coverage includes commercial sales upon marketing approval for our product candidates. A successful product liability claim or series of claims brought against us, particularly if judgments exceed our insurance coverage, could decrease our cash and adversely affect our business and financial condition.</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2"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5" w:lineRule="exact"/>
        <w:rPr>
          <w:sz w:val="20"/>
          <w:szCs w:val="20"/>
          <w:color w:val="auto"/>
        </w:rPr>
      </w:pPr>
    </w:p>
    <w:p>
      <w:pPr>
        <w:ind w:left="1020" w:right="8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has been interpreted to apply to arrangements between pharmaceutical manufacturers on the one hand, and prescribers, purchasers and formulary managers on the other;</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line="86" w:lineRule="exact"/>
        <w:rPr>
          <w:sz w:val="20"/>
          <w:szCs w:val="20"/>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79"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data, including federal and state consumer protection laws, state data security laws, and data breach notification laws (a data breach affecting sensitive personal data, including health information, could result in significant legal and financial exposure and reputational damages).</w:t>
      </w:r>
    </w:p>
    <w:p>
      <w:pPr>
        <w:spacing w:after="0" w:line="82"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or result in injuries that lead to costly product liability suits.</w:t>
      </w:r>
    </w:p>
    <w:p>
      <w:pPr>
        <w:spacing w:after="0" w:line="121" w:lineRule="exact"/>
        <w:rPr>
          <w:sz w:val="20"/>
          <w:szCs w:val="20"/>
          <w:color w:val="auto"/>
        </w:rPr>
      </w:pPr>
    </w:p>
    <w:p>
      <w:pPr>
        <w:ind w:right="40" w:firstLine="584"/>
        <w:spacing w:after="0" w:line="252" w:lineRule="auto"/>
        <w:rPr>
          <w:sz w:val="20"/>
          <w:szCs w:val="20"/>
          <w:color w:val="auto"/>
        </w:rPr>
      </w:pPr>
      <w:r>
        <w:rPr>
          <w:rFonts w:ascii="Times New Roman" w:cs="Times New Roman" w:eastAsia="Times New Roman" w:hAnsi="Times New Roman"/>
          <w:sz w:val="18"/>
          <w:szCs w:val="18"/>
          <w:color w:val="auto"/>
        </w:rPr>
        <w:t>We have received regulatory approval to market Revuforj for the treatment of R/R acute leukemia with a KMT2A translocation in adult and pediatric patients one year old and older and regulatory approval to market Niktimvo for the treatment of cGVHD after failure of at least two prior lines of systemic therapy in adult and pediatric patients weighing at least 40 kg. We may only promote or market Revuforj, Niktimvo, and our other product candidates, if approved by the FDA, for their specifically approved indications and in a manner consistent with the approved labeling. We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any off-label uses, which could lead to product liability suits that that might require significant financial and management resources and that could harm our reputation. Additionally, the FDA imposes stringent restrictions on manufacturers’ communications regarding off-label uses and if we, or our collaborators, do not promote our products in a manner consistent with the approved labeling, we, or they, may be subject to warnings or enforcement action for off-label marketing. Violation of the Federal Food, Drug, and Cosmetic Act, or FCA, and other statutes, including the FCA, relating to the promotion and advertising of prescription drugs may lead to investigations or allegations of violations of federal and state healthcare fraud and abuse laws and state consumer protection laws.</w:t>
      </w:r>
    </w:p>
    <w:p>
      <w:pPr>
        <w:spacing w:after="0" w:line="19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5"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clinical trial data and financial information or collectively, sensitive data.</w:t>
      </w:r>
    </w:p>
    <w:p>
      <w:pPr>
        <w:spacing w:after="0" w:line="72" w:lineRule="exact"/>
        <w:rPr>
          <w:sz w:val="20"/>
          <w:szCs w:val="20"/>
          <w:color w:val="auto"/>
        </w:rPr>
      </w:pPr>
    </w:p>
    <w:p>
      <w:pPr>
        <w:ind w:right="260" w:firstLine="578"/>
        <w:spacing w:after="0" w:line="312" w:lineRule="auto"/>
        <w:rPr>
          <w:sz w:val="20"/>
          <w:szCs w:val="20"/>
          <w:color w:val="auto"/>
        </w:rPr>
      </w:pPr>
      <w:r>
        <w:rPr>
          <w:rFonts w:ascii="Times New Roman" w:cs="Times New Roman" w:eastAsia="Times New Roman" w:hAnsi="Times New Roman"/>
          <w:sz w:val="17"/>
          <w:szCs w:val="17"/>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32"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protected health information. For more information regarding risks associated with HIPAA, please refer to the section above that discusses risks associated with healthcare laws and regulations.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120" w:firstLine="578"/>
        <w:spacing w:after="0" w:line="253" w:lineRule="auto"/>
        <w:rPr>
          <w:sz w:val="20"/>
          <w:szCs w:val="20"/>
          <w:color w:val="auto"/>
        </w:rPr>
      </w:pPr>
      <w:r>
        <w:rPr>
          <w:rFonts w:ascii="Times New Roman" w:cs="Times New Roman" w:eastAsia="Times New Roman" w:hAnsi="Times New Roman"/>
          <w:sz w:val="18"/>
          <w:szCs w:val="18"/>
          <w:color w:val="auto"/>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personal data, such as conducting data privacy impact assessments. These state laws allow for statutory fines for noncompliance. For example, the California Consumer Privacy Act,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there are limited exemptions for clinical trial data under the CCPA, the CCPA and other similar laws may impact (possibly significantly) our business activities depending on how it is interpreted, should we become subject to the CCPA in the future.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w:t>
      </w:r>
    </w:p>
    <w:p>
      <w:pPr>
        <w:spacing w:after="0" w:line="79" w:lineRule="exact"/>
        <w:rPr>
          <w:sz w:val="20"/>
          <w:szCs w:val="20"/>
          <w:color w:val="auto"/>
        </w:rPr>
      </w:pPr>
    </w:p>
    <w:p>
      <w:pPr>
        <w:ind w:right="100" w:firstLine="578"/>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We are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proposed, enacted or are considering similar laws.</w:t>
      </w:r>
    </w:p>
    <w:p>
      <w:pPr>
        <w:spacing w:after="0" w:line="72"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Our employees and personnel may occasionally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72"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spacing w:after="0" w:line="72" w:lineRule="exact"/>
        <w:rPr>
          <w:sz w:val="20"/>
          <w:szCs w:val="20"/>
          <w:color w:val="auto"/>
        </w:rPr>
      </w:pPr>
    </w:p>
    <w:p>
      <w:pPr>
        <w:ind w:right="120" w:firstLine="578"/>
        <w:spacing w:after="0" w:line="266" w:lineRule="auto"/>
        <w:rPr>
          <w:sz w:val="20"/>
          <w:szCs w:val="20"/>
          <w:color w:val="auto"/>
        </w:rPr>
      </w:pPr>
      <w:r>
        <w:rPr>
          <w:rFonts w:ascii="Times New Roman" w:cs="Times New Roman" w:eastAsia="Times New Roman" w:hAnsi="Times New Roman"/>
          <w:sz w:val="18"/>
          <w:szCs w:val="18"/>
          <w:color w:val="auto"/>
        </w:rPr>
        <w:t>Regulators in the United States such as the Department of Justice are also 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w:t>
      </w:r>
    </w:p>
    <w:p>
      <w:pPr>
        <w:spacing w:after="0" w:line="68" w:lineRule="exact"/>
        <w:rPr>
          <w:sz w:val="20"/>
          <w:szCs w:val="20"/>
          <w:color w:val="auto"/>
        </w:rPr>
      </w:pPr>
    </w:p>
    <w:p>
      <w:pPr>
        <w:ind w:right="160" w:firstLine="578"/>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concerning data privacy and security. Regulators are increasingly scrutinizing these statements and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5" w:lineRule="exact"/>
        <w:rPr>
          <w:sz w:val="20"/>
          <w:szCs w:val="20"/>
          <w:color w:val="auto"/>
        </w:rPr>
      </w:pPr>
    </w:p>
    <w:p>
      <w:pPr>
        <w:ind w:right="300" w:firstLine="578"/>
        <w:spacing w:after="0" w:line="261" w:lineRule="auto"/>
        <w:rPr>
          <w:sz w:val="20"/>
          <w:szCs w:val="20"/>
          <w:color w:val="auto"/>
        </w:rPr>
      </w:pPr>
      <w:r>
        <w:rPr>
          <w:rFonts w:ascii="Times New Roman" w:cs="Times New Roman" w:eastAsia="Times New Roman" w:hAnsi="Times New Roman"/>
          <w:sz w:val="18"/>
          <w:szCs w:val="18"/>
          <w:color w:val="auto"/>
        </w:rPr>
        <w:t>Our business is reliant on revenue from targeted advertising, but delivering targeted advertisements is becoming increasingly difficult due to changes to our ability to gather information about user behavior through third party platforms, new laws and regulations, and consumer resistance. As a result, we may be required to change the way we market our products, and any of these developments or changes could materially impair our ability to reach new or existing customers or otherwise negatively affect our operations.</w:t>
      </w:r>
    </w:p>
    <w:p>
      <w:pPr>
        <w:spacing w:after="0" w:line="72"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w:t>
      </w:r>
    </w:p>
    <w:p>
      <w:pPr>
        <w:spacing w:after="0" w:line="72"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(including clinical trial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p>
    <w:p>
      <w:pPr>
        <w:spacing w:after="0" w:line="67"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data, and, as a result, we and the third parties with whom we work face a variety of evolving threats that could cause security incidents. We have also outsourced elements of our operations (including elements of our information technology infrastructure) to third parties, and as a result, we manage a number of third-party vendors who may or could have access to our computer networks and our sensitive data. In addition, those third-party vendors may in turn subcontract or outsource some of their responsibilities to other parties. While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technology operations are inherently vulnerable to inadvertent or intentional security breaches, incidents, attacks and exposures, the accessibility and distributed nature of our information technology systems, and the sensitive data stored on those systems, make such systems vulnerable to unintentional or malicious, internal and external attacks on our technology environment. Furthermore, our ability to monitor the aforementioned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4" w:lineRule="exact"/>
        <w:rPr>
          <w:sz w:val="20"/>
          <w:szCs w:val="20"/>
          <w:color w:val="auto"/>
        </w:rPr>
      </w:pPr>
    </w:p>
    <w:p>
      <w:pPr>
        <w:ind w:right="60" w:firstLine="578"/>
        <w:spacing w:after="0" w:line="256" w:lineRule="auto"/>
        <w:rPr>
          <w:sz w:val="20"/>
          <w:szCs w:val="20"/>
          <w:color w:val="auto"/>
        </w:rPr>
      </w:pPr>
      <w:r>
        <w:rPr>
          <w:rFonts w:ascii="Times New Roman" w:cs="Times New Roman" w:eastAsia="Times New Roman" w:hAnsi="Times New Roman"/>
          <w:sz w:val="18"/>
          <w:szCs w:val="18"/>
          <w:color w:val="auto"/>
        </w:rPr>
        <w:t>In addition, we currently offer a hybrid-work environment, which may make us more vulnerable to cyberattacks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Potential vulnerabilities can be exploited from inadvertent or intentional actions of our employees, third-party vendors, business partners, or by malicious third parties. We take steps designed to detect, mitigate, and remediate vulnerabilities in our information systems (such as our hardware and/or software, including that of third parties with whom we work). However, we have not and may not in the future detect and remediate all such vulnerabilities including on a timely basis. Further, we have (and may in the future) experienced delays in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ind w:right="80" w:firstLine="578"/>
        <w:spacing w:after="0" w:line="269"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are increasing in their frequency, levels of persistence, sophistication and intensity, and are also being conducted by sophisticated and organized groups and individuals with a wide range of motives (including, but not limited to, industrial espionage) and expertise, including organized criminal groups, “hacktivists,” nation states and others. Such attacks could include the deployment of harmful malware (including as a result of advanced persistent threat intrusions), ransomware attacks, denial-of-service attacks, credential stuffing and/or harvesting, social engineering (including through deep fakes, which are increasingly more difficult to identify as fake, and phishing attacks), supply-chain attacks, software bugs, server malfunctions, software or hardware failures, loss of sensitive data or other information technology assets, adware, attacks enhanced or facilitated by AI, telecommunications failures, earthquakes, fires, floods and other means to affect service reliability and threaten the confidentiality, integrity and availability of our information systems and sensitive data.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4"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data, which could result in financial, legal, regulatory, business and reputational harm to us. For example, we have been the target of unsuccessful phishing attempts in the past and we expect such attempts will continue in the future.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4"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expend significant resources or modify our business activities to try to protect against security incidents. Additionally, certain data privacy and security obligations may require us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implement and maintain specific security measures or industry-standard or reasonable security measures to protect our information technology systems and sensitive data.</w:t>
      </w:r>
    </w:p>
    <w:p>
      <w:pPr>
        <w:spacing w:after="0" w:line="54" w:lineRule="exact"/>
        <w:rPr>
          <w:sz w:val="20"/>
          <w:szCs w:val="20"/>
          <w:color w:val="auto"/>
        </w:rPr>
      </w:pPr>
    </w:p>
    <w:p>
      <w:pPr>
        <w:ind w:right="160" w:firstLine="578"/>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72"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including but not limited to a security incident involving personal data regarding employees or clinical trial patients, we may experience material adverse consequences, such as disruptions to our business, harm to our reputation, government enforcement actions (for example, investigations, fines, penalties, audits, and inspections), additional reporting requirements and/or oversight, or we may otherwise be subject to liability under laws, regulations, and contractual obligations, including those that protect the privacy and security of personal data.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security incidents or other inappropriate access events resulting in the unauthorized access, release or transfer of sensitive data,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w:t>
      </w:r>
    </w:p>
    <w:p>
      <w:pPr>
        <w:spacing w:after="0" w:line="82"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to protect our information technology systems and infrastructure, there can be no assurance that such measures will be effective.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5" w:lineRule="exact"/>
        <w:rPr>
          <w:sz w:val="20"/>
          <w:szCs w:val="20"/>
          <w:color w:val="auto"/>
        </w:rPr>
      </w:pPr>
    </w:p>
    <w:p>
      <w:pPr>
        <w:ind w:right="140" w:firstLine="578"/>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AI-based platforms present new risks and challenges to our business.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data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Sensitive data of the Company or our customers could be leaked, disclosed, or revealed as a result of or in connection with our employees’, personnel’s, or vendors’ potential use of generative AI technologies. Furthermore, the use of AI platforms by third parties, including our vendors, suppliers and contractors, with access to our proprietary and confidential information, including trade secrets, may continue to</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increase and may lead to the release of such information, which may negatively impact our company, including our ability to realize the benefit of our intellectual property.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except 2021, and anticipate that we will continue to incur net losses for the foreseeable future.</w:t>
      </w:r>
    </w:p>
    <w:p>
      <w:pPr>
        <w:spacing w:after="0" w:line="12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commercial-stage biopharmaceutical company with limited operating history. We launched Revuforj and Niktimvo for commercial sale in November 2024 and January 2025, respectively. We have no other products approved for commercial sale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we reported a net loss of $318.8 million. As of December 31, 2024, we had an accumulated deficit of $1.2 billion,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 if any. Our prior losses and expected future losses have had and will continue to have an adverse effect on our stockholders’ equity and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we have product revenue, we may never achieve or maintain profitability.</w:t>
      </w:r>
    </w:p>
    <w:p>
      <w:pPr>
        <w:spacing w:after="0" w:line="121"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We have begun generating product revenue from sales of Revuforj and Niktimvo. Our ability to generate additional product revenue and become profitable depends upon our ability to successfully commercialize our product candidates. Our ability to generate future product revenue also depends on a number of additional factors, including, but not limited to, our ability to:</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Revuforj and Niktimvo;</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commercialize and achieve market acceptance of our future product candidates, and if launched independently, successfully leverage our existing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the research and clinical development of, and receive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 portfolio of product candidates through the acquisition or in-license of products,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and clinical trials for any additional product candidates that we may pursue in the future;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expand and protect our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sz w:val="20"/>
          <w:szCs w:val="20"/>
          <w:color w:val="auto"/>
        </w:rPr>
      </w:pPr>
    </w:p>
    <w:p>
      <w:pPr>
        <w:ind w:right="140" w:firstLine="578"/>
        <w:spacing w:after="0" w:line="266"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8"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Even if revenue generated from the sale of Revuforj, Niktimvo or future product candidates continue increasing,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primarily due to our research and development efforts as well as for the commercial launch of Revuforj and Niktimvo. We expect our research and development expenses to increase substantially in connection with our ongoing and development plans.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81" w:lineRule="exact"/>
        <w:rPr>
          <w:sz w:val="20"/>
          <w:szCs w:val="20"/>
          <w:color w:val="auto"/>
        </w:rPr>
      </w:pPr>
    </w:p>
    <w:p>
      <w:pPr>
        <w:ind w:right="200" w:firstLine="578"/>
        <w:spacing w:after="0" w:line="266" w:lineRule="auto"/>
        <w:rPr>
          <w:sz w:val="20"/>
          <w:szCs w:val="20"/>
          <w:color w:val="auto"/>
        </w:rPr>
      </w:pPr>
      <w:r>
        <w:rPr>
          <w:rFonts w:ascii="Times New Roman" w:cs="Times New Roman" w:eastAsia="Times New Roman" w:hAnsi="Times New Roman"/>
          <w:sz w:val="18"/>
          <w:szCs w:val="18"/>
          <w:color w:val="auto"/>
        </w:rPr>
        <w:t>In any event, we may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68"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While the long-term economic impacts associated with public health crises and global geopolitical tensions, like the ongoing wars between Russia and Ukraine and the Hamas-Israel wars as well as the conflicts in the Middle East, including between Israel and Hezbollah,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our existing product candidates on terms less favorable than might otherwise be available; or</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spacing w:after="0" w:line="54" w:lineRule="exact"/>
        <w:rPr>
          <w:sz w:val="20"/>
          <w:szCs w:val="20"/>
          <w:color w:val="auto"/>
        </w:rPr>
      </w:pPr>
    </w:p>
    <w:p>
      <w:pPr>
        <w:ind w:right="120" w:firstLine="578"/>
        <w:spacing w:after="0" w:line="282"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17" w:lineRule="exact"/>
        <w:rPr>
          <w:sz w:val="20"/>
          <w:szCs w:val="20"/>
          <w:color w:val="auto"/>
        </w:rPr>
      </w:pPr>
    </w:p>
    <w:p>
      <w:pPr>
        <w:ind w:left="5540" w:right="3660" w:hanging="5023"/>
        <w:spacing w:after="0" w:line="783" w:lineRule="auto"/>
        <w:tabs>
          <w:tab w:leader="none" w:pos="10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left="1020" w:right="3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coverage and reimbursement by third-party payors, which may require additional trials to address pharmacoeconomic benefit;</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any candidate receives regulatory approval and we determine to commercialize it ourselves;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acquire and implement additional internal systems and infrastructure, including compliance and financial and reporting systems, as we grow our company;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or the perception that hostilities may be imminent (such as the ongoing wars between Russia and Ukraine and the Hamas-Israel wars as well as the conflicts in the Middle East, including between Israel and Hezbollah), terrorism, natural disasters, including earthquakes, typhoons, floods and fires, or public health crises.</w:t>
      </w:r>
    </w:p>
    <w:p>
      <w:pPr>
        <w:spacing w:after="0" w:line="68"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12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2023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75"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80"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of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4" w:lineRule="exact"/>
        <w:rPr>
          <w:sz w:val="20"/>
          <w:szCs w:val="20"/>
          <w:color w:val="auto"/>
        </w:rPr>
      </w:pPr>
    </w:p>
    <w:p>
      <w:pPr>
        <w:ind w:right="200" w:firstLine="578"/>
        <w:spacing w:after="0" w:line="266"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40" w:firstLine="578"/>
        <w:spacing w:after="0" w:line="255" w:lineRule="auto"/>
        <w:rPr>
          <w:sz w:val="20"/>
          <w:szCs w:val="20"/>
          <w:color w:val="auto"/>
        </w:rPr>
      </w:pPr>
      <w:r>
        <w:rPr>
          <w:rFonts w:ascii="Times New Roman" w:cs="Times New Roman" w:eastAsia="Times New Roman" w:hAnsi="Times New Roman"/>
          <w:sz w:val="18"/>
          <w:szCs w:val="18"/>
          <w:color w:val="auto"/>
        </w:rPr>
        <w:t>The portfolio that we licensed from UCB includes granted patents and patent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2034 or later should patent term extension be granted. The actual term of any patents granted based on the pending applications we licensed from UCB can only be determined after such patents are granted.</w:t>
      </w:r>
    </w:p>
    <w:p>
      <w:pPr>
        <w:spacing w:after="0" w:line="81" w:lineRule="exact"/>
        <w:rPr>
          <w:sz w:val="20"/>
          <w:szCs w:val="20"/>
          <w:color w:val="auto"/>
        </w:rPr>
      </w:pPr>
    </w:p>
    <w:p>
      <w:pPr>
        <w:ind w:right="160" w:firstLine="578"/>
        <w:spacing w:after="0" w:line="254" w:lineRule="auto"/>
        <w:rPr>
          <w:sz w:val="20"/>
          <w:szCs w:val="20"/>
          <w:color w:val="auto"/>
        </w:rPr>
      </w:pPr>
      <w:r>
        <w:rPr>
          <w:rFonts w:ascii="Times New Roman" w:cs="Times New Roman" w:eastAsia="Times New Roman" w:hAnsi="Times New Roman"/>
          <w:sz w:val="18"/>
          <w:szCs w:val="18"/>
          <w:color w:val="auto"/>
        </w:rPr>
        <w:t>The portfolio that we licensed from Vitae Pharmaceuticals, or Vitae,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Vitae or even if one or more patents are granted that the claims issued in those patents would cover the desired lead compounds, compositions, and methods of use thereof. Based on the priority date and filing date of the applications in the portfolio that we licensed from Vitae, we expect that a patent, if any, granted based on the currently pending applications would expire in 2037 or later should patent term extension be granted. The actual term of any patents granted based on the pending applications that we licensed from Vitae can only be determined after such patents are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80" w:lineRule="exact"/>
        <w:rPr>
          <w:sz w:val="20"/>
          <w:szCs w:val="20"/>
          <w:color w:val="auto"/>
        </w:rPr>
      </w:pPr>
    </w:p>
    <w:p>
      <w:pPr>
        <w:ind w:right="140" w:firstLine="578"/>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5"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51"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9" w:lineRule="exact"/>
        <w:rPr>
          <w:sz w:val="20"/>
          <w:szCs w:val="20"/>
          <w:color w:val="auto"/>
        </w:rPr>
      </w:pPr>
    </w:p>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5" w:lineRule="exact"/>
        <w:rPr>
          <w:sz w:val="20"/>
          <w:szCs w:val="20"/>
          <w:color w:val="auto"/>
        </w:rPr>
      </w:pPr>
    </w:p>
    <w:p>
      <w:pPr>
        <w:ind w:right="40" w:firstLine="578"/>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75"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22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Vitae license agreement. In the event that we or any of our affiliates or sublicensees commercializes revumenib,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w:t>
      </w:r>
    </w:p>
    <w:p>
      <w:pPr>
        <w:spacing w:after="0" w:line="79"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Vitae may terminate the license agreement if we seek to revoke or challenge the validity of any patent licensed to us by Vitae under the license agreement or if we procure or assist a third party to take any such action.</w:t>
      </w:r>
    </w:p>
    <w:p>
      <w:pPr>
        <w:spacing w:after="0" w:line="75" w:lineRule="exact"/>
        <w:rPr>
          <w:sz w:val="20"/>
          <w:szCs w:val="20"/>
          <w:color w:val="auto"/>
        </w:rPr>
      </w:pPr>
    </w:p>
    <w:p>
      <w:pPr>
        <w:ind w:right="40" w:firstLine="578"/>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Vitae would expire because no commercial sales of revumenib have occurred and the last-to-expire relevant patent covering revumenib in a given country may change in the future.</w:t>
      </w:r>
    </w:p>
    <w:p>
      <w:pPr>
        <w:spacing w:after="0" w:line="75"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United States Patent and Trademark Office, or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84"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enforcement or defense of our or our licensors’ issued patents, all of which could harm our business and financial condition.</w:t>
      </w:r>
    </w:p>
    <w:p>
      <w:pPr>
        <w:spacing w:after="0" w:line="221"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51"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80" w:lineRule="exact"/>
        <w:rPr>
          <w:sz w:val="20"/>
          <w:szCs w:val="20"/>
          <w:color w:val="auto"/>
        </w:rPr>
      </w:pPr>
    </w:p>
    <w:p>
      <w:pPr>
        <w:ind w:right="60" w:firstLine="578"/>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6" w:lineRule="exact"/>
        <w:rPr>
          <w:sz w:val="20"/>
          <w:szCs w:val="20"/>
          <w:color w:val="auto"/>
        </w:rPr>
      </w:pPr>
    </w:p>
    <w:p>
      <w:pPr>
        <w:jc w:val="both"/>
        <w:ind w:right="40" w:firstLine="57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or developments. If securities analysts or investors perceive these results to be negative, it could have a downward effect on the price of shares of our common stock.</w:t>
      </w:r>
    </w:p>
    <w:p>
      <w:pPr>
        <w:spacing w:after="0" w:line="15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7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jc w:val="both"/>
        <w:ind w:right="100" w:firstLine="578"/>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9" w:lineRule="exact"/>
        <w:rPr>
          <w:sz w:val="20"/>
          <w:szCs w:val="20"/>
          <w:color w:val="auto"/>
        </w:rPr>
      </w:pPr>
    </w:p>
    <w:p>
      <w:pPr>
        <w:ind w:right="160" w:firstLine="578"/>
        <w:spacing w:after="0" w:line="266" w:lineRule="auto"/>
        <w:rPr>
          <w:sz w:val="20"/>
          <w:szCs w:val="20"/>
          <w:color w:val="auto"/>
        </w:rPr>
      </w:pPr>
      <w:r>
        <w:rPr>
          <w:rFonts w:ascii="Times New Roman" w:cs="Times New Roman" w:eastAsia="Times New Roman" w:hAnsi="Times New Roman"/>
          <w:sz w:val="18"/>
          <w:szCs w:val="18"/>
          <w:color w:val="auto"/>
        </w:rPr>
        <w:t>In addition, for some of our in-licensed patents and patent applications, we do not have access to every patent assignment or employee agreement demonstrating that all inventors have assigned their rights to the inventions or related patents. As a result, we may be subject to claims of ownership by such inventors.</w:t>
      </w:r>
    </w:p>
    <w:p>
      <w:pPr>
        <w:spacing w:after="0" w:line="68"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7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121"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In addition to the factors discussed in this “Risk Factors” section and elsewhere in this Annual Report, these factors include:</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new or ongoing public health crises and the wars between Russia and Ukraine and Hamas and Israel wars as well as the conflicts in the Middle East, including between Israel and Hezbollah.</w:t>
      </w:r>
    </w:p>
    <w:p>
      <w:pPr>
        <w:spacing w:after="0" w:line="54"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9" w:name="page60"/>
    <w:bookmarkEnd w:id="59"/>
    <w:p>
      <w:pPr>
        <w:spacing w:after="0" w:line="86"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increases in interest rates could have a material adverse effect on our business, results of operations and financial condition.</w:t>
      </w:r>
    </w:p>
    <w:p>
      <w:pPr>
        <w:spacing w:after="0" w:line="184"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51" w:lineRule="exact"/>
        <w:rPr>
          <w:sz w:val="20"/>
          <w:szCs w:val="20"/>
          <w:color w:val="auto"/>
        </w:rPr>
      </w:pPr>
    </w:p>
    <w:p>
      <w:pPr>
        <w:ind w:right="180" w:firstLine="578"/>
        <w:spacing w:after="0" w:line="258" w:lineRule="auto"/>
        <w:rPr>
          <w:sz w:val="20"/>
          <w:szCs w:val="20"/>
          <w:color w:val="auto"/>
        </w:rPr>
      </w:pPr>
      <w:r>
        <w:rPr>
          <w:rFonts w:ascii="Times New Roman" w:cs="Times New Roman" w:eastAsia="Times New Roman" w:hAnsi="Times New Roman"/>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2023, we sold a total of 12,432,431 shares of our common stock in a public offering. The issuance of these shares of our common stock resulted, and any future issuance pursuant to any future public or private equity financing or future sales under the 2023 ATM Program will result, in dilution to our stockholders.</w:t>
      </w:r>
    </w:p>
    <w:p>
      <w:pPr>
        <w:spacing w:after="0" w:line="75" w:lineRule="exact"/>
        <w:rPr>
          <w:sz w:val="20"/>
          <w:szCs w:val="20"/>
          <w:color w:val="auto"/>
        </w:rPr>
      </w:pPr>
    </w:p>
    <w:p>
      <w:pPr>
        <w:ind w:right="480" w:firstLine="578"/>
        <w:spacing w:after="0" w:line="282"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pre-funded warrants outstanding. To the extent that these have been or may be exercised, stockholders may experience further dilution.</w:t>
      </w:r>
    </w:p>
    <w:p>
      <w:pPr>
        <w:spacing w:after="0" w:line="54" w:lineRule="exact"/>
        <w:rPr>
          <w:sz w:val="20"/>
          <w:szCs w:val="20"/>
          <w:color w:val="auto"/>
        </w:rPr>
      </w:pPr>
    </w:p>
    <w:p>
      <w:pPr>
        <w:ind w:right="120" w:firstLine="578"/>
        <w:spacing w:after="0" w:line="256" w:lineRule="auto"/>
        <w:rPr>
          <w:sz w:val="20"/>
          <w:szCs w:val="20"/>
          <w:color w:val="auto"/>
        </w:rPr>
      </w:pPr>
      <w:r>
        <w:rPr>
          <w:rFonts w:ascii="Times New Roman" w:cs="Times New Roman" w:eastAsia="Times New Roman" w:hAnsi="Times New Roman"/>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79" w:lineRule="exact"/>
        <w:rPr>
          <w:sz w:val="20"/>
          <w:szCs w:val="20"/>
          <w:color w:val="auto"/>
        </w:rPr>
      </w:pPr>
    </w:p>
    <w:p>
      <w:pPr>
        <w:jc w:val="both"/>
        <w:ind w:right="100" w:firstLine="578"/>
        <w:spacing w:after="0" w:line="266" w:lineRule="auto"/>
        <w:rPr>
          <w:sz w:val="20"/>
          <w:szCs w:val="20"/>
          <w:color w:val="auto"/>
        </w:rPr>
      </w:pPr>
      <w:r>
        <w:rPr>
          <w:rFonts w:ascii="Times New Roman" w:cs="Times New Roman" w:eastAsia="Times New Roman" w:hAnsi="Times New Roman"/>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2" w:lineRule="exact"/>
        <w:rPr>
          <w:sz w:val="20"/>
          <w:szCs w:val="20"/>
          <w:color w:val="auto"/>
        </w:rPr>
      </w:pPr>
    </w:p>
    <w:p>
      <w:pPr>
        <w:ind w:right="580" w:firstLine="57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holders of 5% or more of our capital stock and their respective affiliates beneficially owned approximately 36.5%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We are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81"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spacing w:after="0" w:line="3" w:lineRule="exact"/>
        <w:rPr>
          <w:sz w:val="20"/>
          <w:szCs w:val="20"/>
          <w:color w:val="auto"/>
        </w:rPr>
      </w:pPr>
    </w:p>
    <w:p>
      <w:pPr>
        <w:ind w:right="20" w:firstLine="8"/>
        <w:spacing w:after="0" w:line="251"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 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our clinical trial and related data, or Information Systems and Data.</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information security function, which is led by our Vice President of Information Technology, or VP of IT, helps identify, assess and manage our cybersecurity threats and risks. The information security function identifies and assesses cybersecurity threats and risks by monitoring and evaluating our threat environment and our risk profile using various methods including, for example: manual and automated tools, subscribing to reports and services that identify cybersecurity threats, analyzing reports of threats, evaluating threats reported to us, internal and external audits, leveraging third party threat assessments, conducting vulnerability identification assessments, and leveraging external threat intelligence.</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Depending on the environment or system, we implement and maintain various technical, physical, and organizational measures, processes, standards and policies designed to manage and mitigate material risks from cybersecurity threats to our Information Systems and Data, including, for example: incident detection and response, disaster recovery and business continuity plans, encryption of certain data, network security controls, data segregation for certain data, access controls, physical controls, systems monitoring, penetration testing, and cybersecurity insurance. Certain information about our assessment and management of material risks from cybersecurity threats is included in risk management reports as applicable to senior leadership and the audit committee.</w:t>
      </w:r>
    </w:p>
    <w:p>
      <w:pPr>
        <w:spacing w:after="0" w:line="7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cybersecurity consultants, managed cybersecurity service providers, and professional service firms, including legal counsel, forensic investigators, and penetration testing service providers.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also use third-party service providers to perform a variety of functions throughout our business, such as software-as-a-service providers, hosting companies, supply chain resources, contract research organizations, and contract manufacturing organizations. Depending on the nature of the services provided, the sensitivity of the critical systems, information and assets at issue, and the identity of the provider, we may conduct a review of security assessments provided by the vendor and impose contractual obligations related to cybersecurity on the vendor.</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1A. “Risk Factors” in this Annual Report, including </w:t>
      </w:r>
      <w:r>
        <w:rPr>
          <w:rFonts w:ascii="Times New Roman" w:cs="Times New Roman" w:eastAsia="Times New Roman" w:hAnsi="Times New Roman"/>
          <w:sz w:val="18"/>
          <w:szCs w:val="18"/>
          <w:i w:val="1"/>
          <w:iCs w:val="1"/>
          <w:color w:val="auto"/>
        </w:rPr>
        <w:t>“If our information technology systems or those of third parties with whom we work,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Our board of directors’ audit committee is responsible for overseeing the Company’s cybersecurity risk management processes.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VP of IT, who has over 25 years of experience in information technology including IT leadership in Department of Defense Research. Our VP of IT who reports to our Chief Financial Officer, or CFO, who has 23 years of experience as a CFO, including supervisory responsibility over IT and cybersecurity functions.</w:t>
      </w:r>
    </w:p>
    <w:p>
      <w:pPr>
        <w:spacing w:after="0" w:line="7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VP of IT is responsible for hiring appropriate personnel, helping to integrate cybersecurity risk considerations into the Company’s overall risk management strategy, and communicating key priorities to relevant personnel. Our VP of IT is also responsible for approving budgets, helping prepare for cybersecurity incidents, approving cybersecurity processes, and reviewing security assessments and other security-related reports.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cybersecurity incident processes are designed to escalate certain cybersecurity incidents to members of management depending on the circumstances, including our CFO, General Counsel, or GC, and Chief Executive Officer, or CEO. Our GC, CFO, and other leadership personnel work with our incident response team to help assess impact and mitigate and remediate cybersecurity incidents of which they are notified, in addition to notifying the audit committee of our board of directors, as appropriate.</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audit committee receives annual reports from our CFO concerning our significant cybersecurity threats and risk and the processes the Company has implemented to address them. Our audit committee also has access to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principal office is located in New York, New York, where we lease approximately 12,000 square feet of office space pursuant to a lease that expires in August 2028. At the end of February 2025, following the expiration of our lease, we closed our office in Waltham, Massachusetts and made New York our principal office. We also lease approximately 4,000 square feet of additional office space in New York, New York pursuant to a lease that expires in August 2025. We believe that our existing facilities are sufficient for our foreseeable future needs. If we determine that additional or new facilities are needed in the future, we believe that appropriate alternative space would be available to us on commercially reasonable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on March 2, 2016, under the symbol “SNDX.” Prior to that time,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12, 2025, we had approximately 11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40" w:firstLine="779"/>
        <w:spacing w:after="0" w:line="254" w:lineRule="auto"/>
        <w:rPr>
          <w:sz w:val="20"/>
          <w:szCs w:val="20"/>
          <w:color w:val="auto"/>
        </w:rPr>
      </w:pPr>
      <w:r>
        <w:rPr>
          <w:rFonts w:ascii="Times New Roman" w:cs="Times New Roman" w:eastAsia="Times New Roman" w:hAnsi="Times New Roman"/>
          <w:sz w:val="18"/>
          <w:szCs w:val="18"/>
          <w:color w:val="auto"/>
        </w:rPr>
        <w:t>The performance graph shown below compares the annual change in cumulative total stockholder return on our common shares with the Nasdaq Composite Index and the Nasdaq Biotechnology Index from December 31, 2019, through the year ended December 31, 2024. The graph assumes an investment of $100 on December 31, 2019 in our common shares,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911860</wp:posOffset>
            </wp:positionV>
            <wp:extent cx="5160645" cy="4286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160645"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75"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For the discussion of the financial condition and results of operations for the year ended December 31, 2023 compared to the year ended December 31, 2022, refer to "Management's Discussion and Analysis of Financial Condition and Results of Operations—Results of Operations" and "—Liquidity and Capital Resources" included in the Annual Report on Form 10-K filed with the SEC on February 27,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are a commercial-stage biopharmaceutical company developing an innovative pipeline of cancer therapies. We currently have two commercially approved products,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a robust slate of clinical development programs designed to unlock their full potential. Revuforj is our first-in-class menin inhibitor that was approved by the FDA in November 2024 for the treatment of relapsed or refractory, or R/R, acute leukemia with a lysine methyltransferase 2A gene, or KMT2A, translocation in adult and pediatric patients one year old and older. In the second quarter of 2025, we expect to submit a supplemental New Drug Application, or sNDA, for revumenib as a treatment for R/R acute myeloid leukemia, or AML, with a nucleophosmin 1 mutation, or mNPM1, based on the positive pivotal data from our AUGMENT-101 trial. We are also studying revumenib in combination with standard-of-care agents in mNPM1 AML or KMT2A-rearranged acute leukemia across the treatment landscape, including in newly diagnosed patients. Additionally, we are exploring the use of revumenib as a treatment in solid tumors, specifically its activity in metastatic colorectal cancer. 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 of care therapies, as well for the treatment of idiopathic pulmonary fibrosis, or IPF. We plan to continue to leverage the technical and business expertise of our management team and scientific collaborators to license, acquire and develop additional therapeutics to expand our pipeline.</w:t>
      </w:r>
    </w:p>
    <w:p>
      <w:pPr>
        <w:spacing w:after="0" w:line="19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begun generating product revenue from sales of Revuforj and Niktimvo. We continue to incur significant research and development and other expenses related to our ongoing operations. Except for 2021, we have not been profitable and have incurred losses in each period since our inception in 2005. For the years ended December 31, 2024, 2023, and 2022, we reported a net loss of $318.8 million and $209.4 million, and $149.3 million, respectively. As of December 31, 2024, we had an accumulated deficit of $1.2 billion, which included non-cash charges for stock-based compensation, preferred stock accretion and extinguishment charges. As of December 31, 2024, we had cash, cash equivalents and short-term and long-term investments of $692.4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Ongoing high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global geopolitical tensions as a result of the ongoing wars between Russia and Ukraine and Israel and Hamas as well as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7" w:name="page68"/>
    <w:bookmarkEnd w:id="67"/>
    <w:p>
      <w:pPr>
        <w:spacing w:after="0" w:line="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conflicts in the Middle East, including between Israel and Hezbollah, worsening macroeconomic conditions and employee availability and wage increases, which may result in additional stress on our working capital.</w:t>
      </w:r>
    </w:p>
    <w:p>
      <w:pPr>
        <w:spacing w:after="0" w:line="5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second FDA-approved product, Revuforj, was approved by the FDA for commercial sale in the U.S. on November 15, 2024. Net product revenue from sales of Revuforj was $7.7 million for the twelve months ended December 31, 2024. In accordance with GAAP, we determine net product revenue for Revuforj, with specific assumptions for variable consideration components including, but not limited to, trade discounts and allowances, co-pay assistance programs and payor rebates.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generated no product revenue during the years ended December 31, 2023 and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and License Revenue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enter into license agreements for the development and commercialization of our product candidates. License agreements may include non-refundable upfront payments, contingent milestone and/or royalty payments based on the occurrence of specified events under our license arrangements, partial or complete reimbursement of research and development expenses, license fees and royalties on sales if they are successfully approved and commercialized. Our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Revenue is recognized when, or as, performance obligations are satisfied, which occurs when control of the promised products or services is transferred to customers. Revenue is measured as the amount of consideration we expect to receive in exchange for transferring products or services to a customer, or the transaction price. To the extent that the transaction price includes variable consideration, we estimate the amount of variable consideration that should be included in the transaction price utilizing the most likely amount method.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assessed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7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April 2024, a milestone was achieved under the Eddingpharm license agreement for the marketing approval of entinostat in China. As a result, we recognized $3.5 million of milestone revenue in the second quarter of 2024.</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August 2024, a milestone was achieved under the Incyte Collaboration Agreement for the approval of Niktimvo. As a result, we recognized $12.5 million of milestone revenue in the third quarter of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generated no milestone or license revenue during the years ended December 31, 2023 and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4" w:lineRule="exact"/>
        <w:rPr>
          <w:sz w:val="20"/>
          <w:szCs w:val="20"/>
          <w:color w:val="auto"/>
        </w:rPr>
      </w:pPr>
    </w:p>
    <w:p>
      <w:pPr>
        <w:ind w:left="1020" w:righ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or CROs,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products and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probability of success for each drug candidate will depend on numerous factors, including competition, manufacturing capability and commercial viability. The successful development of our products and additional product candidates is highly uncertain. At this time, we cannot reasonably estimate the nature, timing or costs of the efforts that will be necessary to complete the remainder of the development of our products and additional product candidates for the period, if any, in which material net cash inflows from these potential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may commence. Clinical development timelines, the probability of success and development costs can differ materially from expectations.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expenses, including salaries, benefits, non-cash stock-based compensation and travel expenses, for our employees in executive, finance, human resources,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 We anticipate that our selling, general and administrative expenses will increase in the future as we continue to increase our headcount to support our continued research and development and commercialization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expense related to the purchase and sale agreement with Royalty Pharma Development Funding, LLC, or Royalty Pharma, and our operational and capital leases and in prior years consisted of our term loan, which was paid off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income, net includes income (expense), net consisting of revaluation of foreign currency related to trade payables.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standard setting bodies and adopted by us as of the specified effective date. Unless otherwise discussed in "Summary of Significant Accounting Policies" (Note 3) to our audited consolidated financial statements included in this Annual Report, we believe that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which have been prepared in accordance with accounting principles generally accepted in the United States, or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Other significant accounting policies are outlined in "Summary of Significant Accounting Policies" (Note 3) to our consolidated financial statements included in this Annual Report.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listed below our critical accounting estimates that we believe to have the greatest potential impact on our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estimates have not differed materially from actual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Recognition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recognize revenue when our customer obtains control of the promised goods or services, in an amount that reflects the consideration which we expect to receive in exchange for those goods or services. We recognize revenue following the five – step model prescribed under FASB Accounting Standards Codification (ASC 606), Revenue from Contracts with Customers: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 We only recognize revenue when it is probable that it will collect the consideration to which it is entitled in exchange for the goods or services that will be transferred to the customer.</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sell Revuforj to Specialty Distributors and Specialty Pharmacies (collectively, Customers). These Customers subsequently resell Revuforj to healthcare providers, patients and other pharmacies. In addition to agreements with Customers, we enter into arrangements with healthcare providers and payors that provide for government-mandated and/or privately-negotiated rebates, chargebacks and discounts for the purchase of Revuforj.</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from product sales at the point Customers obtain control of the product, which generally occurs upon delivery. The transaction price that is recognized as product revenue includes an estimate of variable consideration which is described below. Payment terms with Customers do not exceed one year and, therefore, we do not account for a financing component in its arrangements. We expense incremental costs of obtaining a contract with a Customer (for example, sales commissions) when incurred as the period of benefit is less than one year. Shipping and handling costs for product shipments to Customers are recorded as selling, general and administrative expenses.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Revenue from products is recognized at the estimated net sales price (transaction price), which includes estimates of variable consideration. We include estimated amounts in the transaction price to the extent it is determined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its anticipated performance and all information (historical, current and forecasted) that is reasonably available. The components of our variable consideration around product revenue include provider chargebacks and discounts, trade discounts and allowances, product returns, government rebates, patient assistance, and distribution and other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and prepaid clinical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clinical study and trial costs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2024 - 2023 Increase</w:t>
            </w:r>
          </w:p>
        </w:tc>
        <w:tc>
          <w:tcPr>
            <w:tcW w:w="0" w:type="dxa"/>
            <w:vAlign w:val="bottom"/>
          </w:tcPr>
          <w:p>
            <w:pPr>
              <w:spacing w:after="0"/>
              <w:rPr>
                <w:sz w:val="1"/>
                <w:szCs w:val="1"/>
                <w:color w:val="auto"/>
              </w:rPr>
            </w:pPr>
          </w:p>
        </w:tc>
      </w:tr>
      <w:tr>
        <w:trPr>
          <w:trHeight w:val="17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Pr>
          <w:p>
            <w:pPr>
              <w:spacing w:after="0"/>
              <w:rPr>
                <w:sz w:val="15"/>
                <w:szCs w:val="15"/>
                <w:color w:val="auto"/>
              </w:rPr>
            </w:pPr>
          </w:p>
        </w:tc>
        <w:tc>
          <w:tcPr>
            <w:tcW w:w="19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revenue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4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Milestone revenue</w:t>
            </w: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-156845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-156845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wp:posOffset>
            </wp:positionV>
            <wp:extent cx="31718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Cost of product sales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60" w:type="dxa"/>
            <w:vAlign w:val="bottom"/>
          </w:tcPr>
          <w:p>
            <w:pPr>
              <w:spacing w:after="0"/>
              <w:rPr>
                <w:sz w:val="20"/>
                <w:szCs w:val="20"/>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20"/>
                <w:szCs w:val="20"/>
                <w:color w:val="auto"/>
              </w:rPr>
            </w:pPr>
          </w:p>
        </w:tc>
      </w:tr>
      <w:tr>
        <w:trPr>
          <w:trHeight w:val="23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241,647</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163,032</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78,615</w:t>
            </w:r>
          </w:p>
        </w:tc>
        <w:tc>
          <w:tcPr>
            <w:tcW w:w="60" w:type="dxa"/>
            <w:vAlign w:val="bottom"/>
          </w:tcPr>
          <w:p>
            <w:pPr>
              <w:spacing w:after="0"/>
              <w:rPr>
                <w:sz w:val="20"/>
                <w:szCs w:val="20"/>
                <w:color w:val="auto"/>
              </w:rPr>
            </w:pPr>
          </w:p>
        </w:tc>
      </w:tr>
      <w:tr>
        <w:trPr>
          <w:trHeight w:val="234"/>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120,879</w:t>
            </w:r>
          </w:p>
        </w:tc>
        <w:tc>
          <w:tcPr>
            <w:tcW w:w="3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3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w:t>
            </w:r>
          </w:p>
        </w:tc>
        <w:tc>
          <w:tcPr>
            <w:tcW w:w="60" w:type="dxa"/>
            <w:vAlign w:val="bottom"/>
          </w:tcPr>
          <w:p>
            <w:pPr>
              <w:spacing w:after="0"/>
              <w:rPr>
                <w:sz w:val="20"/>
                <w:szCs w:val="20"/>
                <w:color w:val="auto"/>
              </w:rPr>
            </w:pPr>
          </w:p>
        </w:tc>
      </w:tr>
      <w:tr>
        <w:trPr>
          <w:trHeight w:val="223"/>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363,352</w:t>
            </w:r>
          </w:p>
        </w:tc>
        <w:tc>
          <w:tcPr>
            <w:tcW w:w="3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229,954</w:t>
            </w:r>
          </w:p>
        </w:tc>
        <w:tc>
          <w:tcPr>
            <w:tcW w:w="3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133,398</w:t>
            </w:r>
          </w:p>
        </w:tc>
        <w:tc>
          <w:tcPr>
            <w:tcW w:w="60" w:type="dxa"/>
            <w:vAlign w:val="bottom"/>
          </w:tcPr>
          <w:p>
            <w:pPr>
              <w:spacing w:after="0"/>
              <w:rPr>
                <w:sz w:val="19"/>
                <w:szCs w:val="19"/>
                <w:color w:val="auto"/>
              </w:rPr>
            </w:pPr>
          </w:p>
        </w:tc>
      </w:tr>
      <w:tr>
        <w:trPr>
          <w:trHeight w:val="237"/>
        </w:trPr>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(339,672 )</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(229,954 )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(109,718 )</w:t>
            </w:r>
          </w:p>
        </w:tc>
      </w:tr>
      <w:tr>
        <w:trPr>
          <w:trHeight w:val="486"/>
        </w:trPr>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(4,929 )</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(4,721 )</w:t>
            </w:r>
          </w:p>
        </w:tc>
      </w:tr>
      <w:tr>
        <w:trPr>
          <w:trHeight w:val="23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60" w:type="dxa"/>
            <w:vAlign w:val="bottom"/>
          </w:tcPr>
          <w:p>
            <w:pPr>
              <w:spacing w:after="0"/>
              <w:rPr>
                <w:sz w:val="20"/>
                <w:szCs w:val="20"/>
                <w:color w:val="auto"/>
              </w:rPr>
            </w:pPr>
          </w:p>
        </w:tc>
      </w:tr>
      <w:tr>
        <w:trPr>
          <w:trHeight w:val="234"/>
        </w:trPr>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(247 )</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-1534160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-1225550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-607695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-299720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-916305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20" w:space="720"/>
            <w:col w:w="51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20,594</w:t>
            </w: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(318,758 )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(209,360 )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(109,398 )</w:t>
            </w:r>
          </w:p>
        </w:tc>
      </w:tr>
      <w:tr>
        <w:trPr>
          <w:trHeight w:val="20"/>
        </w:trPr>
        <w:tc>
          <w:tcPr>
            <w:tcW w:w="6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31" w:lineRule="exact"/>
        <w:rPr>
          <w:sz w:val="20"/>
          <w:szCs w:val="20"/>
          <w:color w:val="auto"/>
        </w:rPr>
      </w:pPr>
    </w:p>
    <w:p>
      <w:pPr>
        <w:ind w:right="660" w:firstLine="749"/>
        <w:spacing w:after="0" w:line="260" w:lineRule="auto"/>
        <w:rPr>
          <w:sz w:val="20"/>
          <w:szCs w:val="20"/>
          <w:color w:val="auto"/>
        </w:rPr>
      </w:pPr>
      <w:r>
        <w:rPr>
          <w:rFonts w:ascii="Times New Roman" w:cs="Times New Roman" w:eastAsia="Times New Roman" w:hAnsi="Times New Roman"/>
          <w:sz w:val="18"/>
          <w:szCs w:val="18"/>
          <w:color w:val="auto"/>
        </w:rPr>
        <w:t>In November 2024, we began to generate product revenue from sales of Revuforj in the United States. We record product revenue net of estimated discounts, chargebacks, rebates, product returns, and other gross-to-net revenue deductions.</w:t>
      </w:r>
    </w:p>
    <w:p>
      <w:pPr>
        <w:spacing w:after="0" w:line="2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Milestone revenue</w:t>
      </w:r>
    </w:p>
    <w:p>
      <w:pPr>
        <w:spacing w:after="0" w:line="33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Milestone revenue for the fiscal year ended December 31, 2024 includes milestones achieved as part of our collaboration agreement with Incyte of $12.5 million and $3.5 million achieved as part of our licensing agreement with Eddingpharm Investment company limited</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cost of product sales includes the cost of goods sold for Revuforj and royalties associated with sales in the United States.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full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2024 - 2023 Increase</w:t>
            </w:r>
          </w:p>
        </w:tc>
        <w:tc>
          <w:tcPr>
            <w:tcW w:w="0" w:type="dxa"/>
            <w:vAlign w:val="bottom"/>
          </w:tcPr>
          <w:p>
            <w:pPr>
              <w:spacing w:after="0"/>
              <w:rPr>
                <w:sz w:val="1"/>
                <w:szCs w:val="1"/>
                <w:color w:val="auto"/>
              </w:rPr>
            </w:pPr>
          </w:p>
        </w:tc>
      </w:tr>
      <w:tr>
        <w:trPr>
          <w:trHeight w:val="17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5"/>
                <w:szCs w:val="15"/>
                <w:color w:val="auto"/>
              </w:rPr>
            </w:pPr>
          </w:p>
        </w:tc>
        <w:tc>
          <w:tcPr>
            <w:tcW w:w="18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Revumenib-related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107,909</w:t>
            </w: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64,122</w:t>
            </w:r>
          </w:p>
        </w:tc>
        <w:tc>
          <w:tcPr>
            <w:tcW w:w="360" w:type="dxa"/>
            <w:vAlign w:val="bottom"/>
            <w:gridSpan w:val="2"/>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Axatilimab-related costs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R&amp;D programs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(2,877 )</w:t>
            </w:r>
          </w:p>
        </w:tc>
        <w:tc>
          <w:tcPr>
            <w:tcW w:w="0" w:type="dxa"/>
            <w:vAlign w:val="bottom"/>
          </w:tcPr>
          <w:p>
            <w:pPr>
              <w:spacing w:after="0"/>
              <w:rPr>
                <w:sz w:val="1"/>
                <w:szCs w:val="1"/>
                <w:color w:val="auto"/>
              </w:rPr>
            </w:pPr>
          </w:p>
        </w:tc>
      </w:tr>
      <w:tr>
        <w:trPr>
          <w:trHeight w:val="243"/>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241,647</w:t>
            </w:r>
          </w:p>
        </w:tc>
        <w:tc>
          <w:tcPr>
            <w:tcW w:w="3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163,032</w:t>
            </w:r>
          </w:p>
        </w:tc>
        <w:tc>
          <w:tcPr>
            <w:tcW w:w="36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our total research and development expenses increased by $78.6 million from the prior year. The increase is primarily due to:</w:t>
      </w:r>
    </w:p>
    <w:p>
      <w:pPr>
        <w:spacing w:after="0" w:line="54" w:lineRule="exact"/>
        <w:rPr>
          <w:sz w:val="20"/>
          <w:szCs w:val="20"/>
          <w:color w:val="auto"/>
        </w:rPr>
      </w:pPr>
    </w:p>
    <w:p>
      <w:pPr>
        <w:ind w:left="1020" w:right="12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$43.8 million in revumenib related costs due to start up activities for a pivotal frontline / combo trial, continuation of trials to expand revumenib use across the mNPM1 and KMT2A acute leukemia landscape, pre-commercial manufacturing activities, and medical affairs activities in preparation for commercialization. In addition, $18.0 million of milestone expense was recognized in 2024, comprising an $8.0 million milestone payment to AbbVie in the first quarter of 2024 for the successful completion of the first pivotal trial in the first indication as well as a $10.0 million milestone payment to AbbVie upon the first commercial sale of Revuforj in the U.S.</w:t>
      </w:r>
    </w:p>
    <w:p>
      <w:pPr>
        <w:spacing w:after="0" w:line="7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$17.5 million in axatilimab-related costs due to the continuation of the IPF trial, initiation of the co-development combination study of axatilimab and ruxolitinib for the treatment of cGVHD in the frontline, pre-commercial manufacturing activities, and a $15.0 million milestone payment to UCB as a result of the approval of Niktimvo in the third quarter of 2024.</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research and development program related costs of $2.9 million due to the de-prioritization of programs not pertaining to revumenib and axatilimab.</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$20.2 million in personnel costs and other expenses, including non-cash stock-based compensation which includes salaries, overhead and related expenses, primarily driven by increased support for ongoing clinical trials, and NDA/sNDA activities.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selling, general and administrative expenses for the full years ended December 31, 2024 and 2023:</w:t>
      </w:r>
    </w:p>
    <w:p>
      <w:pPr>
        <w:sectPr>
          <w:pgSz w:w="11900" w:h="16838" w:orient="portrait"/>
          <w:cols w:equalWidth="0" w:num="1">
            <w:col w:w="11240"/>
          </w:cols>
          <w:pgMar w:left="320" w:top="13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Commercial related expenses</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SG&amp;A expenses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34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2024 - 2023 Increase</w:t>
            </w:r>
          </w:p>
        </w:tc>
      </w:tr>
      <w:tr>
        <w:trPr>
          <w:trHeight w:val="173"/>
        </w:trPr>
        <w:tc>
          <w:tcPr>
            <w:tcW w:w="3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26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60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r>
      <w:tr>
        <w:trPr>
          <w:trHeight w:val="243"/>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38"/>
        </w:trPr>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w:t>
            </w:r>
          </w:p>
        </w:tc>
      </w:tr>
      <w:tr>
        <w:trPr>
          <w:trHeight w:val="234"/>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3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120,879</w:t>
            </w:r>
          </w:p>
        </w:tc>
        <w:tc>
          <w:tcPr>
            <w:tcW w:w="36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36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-770890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-462280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-153670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720"/>
            <w:col w:w="5100"/>
          </w:cols>
          <w:pgMar w:left="320" w:top="1398" w:right="339" w:bottom="1440" w:gutter="0" w:footer="0" w:header="0"/>
          <w:type w:val="continuous"/>
        </w:sectPr>
      </w:pPr>
    </w:p>
    <w:p>
      <w:pPr>
        <w:spacing w:after="0" w:line="21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E2E2E"/>
        </w:rPr>
        <w:t xml:space="preserve">For the year ended December 31, 2024, our total selling, general and administrative expenses increased by $54.0 million </w:t>
      </w:r>
      <w:r>
        <w:rPr>
          <w:rFonts w:ascii="Times New Roman" w:cs="Times New Roman" w:eastAsia="Times New Roman" w:hAnsi="Times New Roman"/>
          <w:sz w:val="18"/>
          <w:szCs w:val="18"/>
          <w:color w:val="000000"/>
        </w:rPr>
        <w:t>from the prior year. The</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increase primarily is due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type w:val="continuous"/>
        </w:sectPr>
      </w:pPr>
    </w:p>
    <w:bookmarkStart w:id="73" w:name="page74"/>
    <w:bookmarkEnd w:id="73"/>
    <w:p>
      <w:pPr>
        <w:spacing w:after="0" w:line="86" w:lineRule="exact"/>
        <w:rPr>
          <w:sz w:val="20"/>
          <w:szCs w:val="20"/>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$30.3 million in personnel costs and other expenses, including non-cash stock-based compensation, which includes salaries, overhead and related expenses primarily due to increased headcount to support commercial readiness.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$20.4 million in sales and marketing related expenses due to commercial readiness and launch activities for Revuforj and Niktimvo.</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in other SG&amp;A expenses related to increases in IT related expenses, corporate communications, legal and recruiting costs in support of commercialization and ongoing R&amp;D activities.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year end December 31, 2024, interest income, net of interest expense, increased from the comparable period. The increase of interest income was primarily due to higher interest rates and an increased average balance on cash equivalents and short and long-term investments, partially offset by $4.9 million of interest expense recognized related to the Royalty Pharma Purchase and Sale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total other (expense) income, net decreased from the comparable prior year period primarily due to the decrease in foreign currency losses on short and long-term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we had cash, cash equivalents and short-term and long-term investments totaling $692.4 million. Since our inception, our operations have been primarily financed by net proceeds from our public stock offerings, revenue from our license agreements, and through our purchase and sale agreement with Royalty Pharma. We believe that our cash, cash equivalents and short and long-term investments as of December 31, 2024, will fund our projected operating expenses and capital expenditure requirements for at least the next 12 months. In addition to our existing cash, cash equivalents, short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2020, we entered into a loan and security agreement, with Hercules, as amended in December 2021, which we refer to as the Amended Loan Agreement. We terminated the Amended Loan Agreement in September 2022. On September 23, 2022, we made a prepayment of $21.5 million to satisfy in full all of our principal and interest obligations and related fees under the Amended Loan Agreement. The payoff amount paid by us in connection with the termination of the Amended Loan Agreement was pursuant to a payoff letter with Hercules and included payment of (a) $1.0 million as an end-of term fee and (b) $0.4 million as a pre-payment fee. Hercules released all security interests held on our assets.</w:t>
      </w:r>
    </w:p>
    <w:p>
      <w:pPr>
        <w:spacing w:after="0" w:line="7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For additional details on our Amended Loan Agreement, see "Loan Payable" (Note 15) to our consolidated financial statements in this Annual Report.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Agreement</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October 2024, we entered into a purchase and sale agreement with Royalty Pharma, pursuant to which Royalty Pharma purchased the right to receive 13.8% on quarterly net sales of Niktimvo in the United States of America and its respective territories, districts, commonwealths and possessions (including Guam and Puerto Rico) in exchange for an upfront payment of $350.0 million (gross) at closing, received in November 2024. Aggregate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Royalty Pharma pursuant to the Royalty Agreement will be capped at $822.5 million or 2.35 times the funded amount.</w:t>
      </w:r>
    </w:p>
    <w:p>
      <w:pPr>
        <w:spacing w:after="0" w:line="117" w:lineRule="exact"/>
        <w:rPr>
          <w:sz w:val="20"/>
          <w:szCs w:val="20"/>
          <w:color w:val="auto"/>
        </w:rPr>
      </w:pPr>
    </w:p>
    <w:p>
      <w:pPr>
        <w:ind w:right="86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our purchase and sale agreement with Royalty Pharma, see "Purchase and Sale Agreement" (Note 16) to our consolidated financial statements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cash equivalents, short-term and long-term investments are sufficient to fund existing and planned cash requirements.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product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either candidate receives regulatory approval and we determine, in the case of revumenib to commercialize it ourselves, or in the case of axatilimab to co-commercialize it with Incyte;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Although we have two FDA products available for commercial sale, we have not generated substantial product revenue to date. Until such time, if ever, we expect to finance our cash needs through a combination of equity offerings, debt financings and additional funding from license and collaboration arrangements. Except for 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obligations of our collaborators to reimburse us for research and development expenses or to make milestone or royalty payments under our agreements with them, we will not have any committed external source of liquidity.</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the following contractual obligations as of December 31, 2024, and the effects that such obligations are expected to have on our liquidity and cash flows in future periods. For additional information, see our consolidated financial statements.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r>
      <w:tr>
        <w:trPr>
          <w:trHeight w:val="210"/>
        </w:trPr>
        <w:tc>
          <w:tcPr>
            <w:tcW w:w="37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Operating leases for office space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Capital lease for office equipment </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7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-25400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left="520" w:right="140" w:hanging="512"/>
        <w:spacing w:after="0" w:line="231" w:lineRule="auto"/>
        <w:tabs>
          <w:tab w:leader="none" w:pos="5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August 2022, we signed a 36-month extension of the lease for the office space in New York, NY. In May 2023, we signed a 27-month lease for an additional space in New York, NY. In October 2024, we signed a 36-month extension for the New York, NY office space. The minimum lease payments above do not include any related common area maintenance charges or real estate taxes.</w:t>
      </w:r>
    </w:p>
    <w:p>
      <w:pPr>
        <w:spacing w:after="0" w:line="24" w:lineRule="exact"/>
        <w:rPr>
          <w:rFonts w:ascii="Times New Roman" w:cs="Times New Roman" w:eastAsia="Times New Roman" w:hAnsi="Times New Roman"/>
          <w:sz w:val="24"/>
          <w:szCs w:val="24"/>
          <w:color w:val="auto"/>
          <w:vertAlign w:val="superscript"/>
        </w:rPr>
      </w:pPr>
    </w:p>
    <w:p>
      <w:pPr>
        <w:ind w:left="520" w:right="580" w:hanging="512"/>
        <w:spacing w:after="0" w:line="223" w:lineRule="auto"/>
        <w:tabs>
          <w:tab w:leader="none" w:pos="5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January 2022, we entered into two four-year non-cancelable leases for office equipment. In June 2023, we entered into one two-year non-cancelable lease for office equipment. All three leases are accounted for as a capital lease.</w:t>
      </w:r>
    </w:p>
    <w:p>
      <w:pPr>
        <w:spacing w:after="0" w:line="19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year ending December 31, 2021. As of December 31, 2024, we had an accumulated deficit of $1.2 billion. We anticipate that we will continue to incur significant losses for at least the next several years. We expect that our research and development and selling,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March 2021, we entered into a sales agreement with Cowen and Company, LLC, or TD Cowen, under which we could, from time to time, issue and sell shares of our common stock having aggregate sales proceeds of up to $75.0 million, in a series of one or more at-the-market, or ATM, equity offerings, or the 2021 ATM Program. On May 26, 2023, we terminated the 2021 ATM Program. Prior to termination, we sold shares under the 2021 ATM Program for aggregate net proceeds of approximately $25.0 million.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we entered into a new sales agreement with TD Cowen under which we could, from time to time, issue and sell shares of our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333-254661), which became automatically effective upon the filing on March 24, 2021. Our common stock will be sold at prevailing market prices at the time of the sale, and as a result, prices may vary. As of December 31, 2023, we sold 2,719,744 shares of common stock under the 2023 ATM Program for net proceeds of approximately $42.1 million. There was no ATM equity activity during the twelve months ended December 31, 2024.</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cash flows: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(274,903 )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(160,601 )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(133,675 )</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(219,775 )</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(186,188 )</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353,367</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264,132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(141,311 )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221,140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(147,609 )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$274.9 million and primarily consisted of our net loss of $318.8 million adjusted for non-cash items including stock-based compensation of $43.0 million, an investment increase of $13.5 million, a net increase in operating assets and liabilities of 13.3 million and non-cash operating lease expense of $1.0 million. The significant items in the increase in operating assets and liabilities include an increase in accrued expenses and other liabilities of $19.1 million, an increase in collaboration payable of $12.0 million, an increase in accounts payable of $1.7 million, and an increase in prepaid expenses and other assets of $8.3 million.</w:t>
      </w:r>
    </w:p>
    <w:p>
      <w:pPr>
        <w:spacing w:after="0" w:line="75"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$160.6 million and primarily consisted of our net loss of $209.4 million adjusted for non-cash items including stock-based compensation of $31.0 million, an investment increase of $14.8 million, a net increase in operating assets and liabilities of $31.9 million, and non-cash operating lease expense of $0.7 million. The significant items in the increase in operating assets and</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liabilities include an increase in accrued expenses and other liabilities of $14.9 million, an increase in collaboration payable of $10.7 million, an increase in accounts payable of $5.7 million, and an increase in prepaid expenses and other assets of $0.7 million.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was $219.8 million and was due to $337.3 million in proceeds from the maturities of available-for-sale marketable securities, partially offset by the purchase of $557.1 million of available-for-sale marketable securities.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and was due to $472.2 million in proceeds from the maturities of available-for-sale marketable securities, partially offset by the purchase of $354.6 million of available-for-sale marketable securities.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2024, was $353.4 million and was primarily due to proceeds of $343.7 million from the Royalty Pharma Purchase and Sale agreement and $9.7 million of proceeds from the stock option exercises and ESPP purchases.</w:t>
      </w:r>
    </w:p>
    <w:p>
      <w:pPr>
        <w:spacing w:after="0" w:line="3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$264.1 million and was primarily due proceeds of $216.0 million from the issuance of common stock in a public offering, $42.1 million of proceeds from at-the-market offerings, and $6.0 million of proceeds from the stock option exercises and ESPP purchases.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and Research and Development Tax Credit Carryforwards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we had federal and state tax net operating loss carryforwards, or NOLs, of approximately $181.0 million and $97.5 million, respectively. We have generated federal NOLs of $158.9 million and state NOLs of $1.9 million which have an indefinite carryforward period. The remaining $22.1 million of federal NOLs and the $95.6 million of state NOLs will begin to expire at various dates starting in 2026. At December 31, 2023, we had available income tax credits of approximately $12.7 million. These income tax credits began to expire in 2024.</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December 31, 2024, we had cash, cash equivalents and short-term and long-term investments of $692.4 million, consisting of overnight investments, interest-bearing money market funds and highly rated federal bonds and short and long-term investments including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our independent registered public accounting firm, appear in this Annual Report beginning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our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December 31,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an evaluation of our disclosure controls and procedures as of December 31, 2024, our principal executive officer and principal financial officer concluded that, as of such date,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promulgated under the Exchange Act as a process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2024. In making this assessment, management used the criteria set forth by the Committee of Sponsoring Organizations of the Treadway Commission (COSO) in Internal Control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that assessment, our management concluded that, as of December 31, 2024,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that audited the consolidated financial statements included in this Annual Report, has issued an attestation report on the effectiveness of internal control over financial reporting as of December 31, 2024, included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December 31, 2024 that has materially affected, or is reasonably likely to materially affect, our internal control over financial reporting.</w:t>
      </w:r>
    </w:p>
    <w:p>
      <w:pPr>
        <w:spacing w:after="0" w:line="172" w:lineRule="exact"/>
        <w:rPr>
          <w:sz w:val="20"/>
          <w:szCs w:val="20"/>
          <w:color w:val="auto"/>
        </w:rPr>
      </w:pPr>
    </w:p>
    <w:p>
      <w:pPr>
        <w:ind w:right="5040"/>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Syndax 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Syndax Pharmaceuticals,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March 3,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inadequate because of changes in conditions, or that the degree of compliance with the policies or procedures may deteriorate.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During our last fiscal quarter, none of our directors and officers (as defined in Rule 16a-1(f) under the Exchange Act) adopted or terminated a “Rule 10b5-1 trading arrangement” or a “non-Rule 10b5-1 trading arrangement,” as defined in Regulation S-K Item 408 for the purchase or sale of our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with the SEC a definitive proxy statement pursuant to Regulation 14A, or the 2025 Proxy Statement, no later than 120 days after the end of our fiscal year ended December 31, 2024, and certain information included therein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“Information About Our Board of Directors,” “Executive Officers” and “The Board of Directors and Its Committees” and “Delinquent Section 16(a) Reports,” if applicable, in our 2025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“Compensation Discussion and Analysis”, “Executive Officer” and “Director Compensation”, “Pay Versus Performance” and “The Board of Directors and Its Committees - Compensation Committee Interlocks and Insider Participation” in our 2025 Proxy Statement.</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www.syndax.com. The reference to our website address does not constitute incorporation by reference of the information contained at or available through our website, and you should not consider it to be a part of this Annual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“Security Ownership of Certain Beneficial Owners and Management and Related Stockholder Matters” and “Securities Authorized for Issuance Under Equity Compensation Plans” in our 2025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“The Board of Directors and Its Committees – Board Independence” and “Certain Relationships and Related Party Transactions” in our 2025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“Independent Registered Public Accounting Firm Fees” and “Pre-Approval Policies and Procedures” contained in Proposal 3 in our 2025 Proxy Statement.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(a)(1) Financial Statements.</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221"/>
        </w:trPr>
        <w:tc>
          <w:tcPr>
            <w:tcW w:w="104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60" w:type="dxa"/>
            <w:vAlign w:val="bottom"/>
            <w:gridSpan w:val="7"/>
            <w:vMerge w:val="continue"/>
          </w:tcPr>
          <w:p>
            <w:pPr>
              <w:spacing w:after="0"/>
              <w:rPr>
                <w:sz w:val="14"/>
                <w:szCs w:val="14"/>
                <w:color w:val="auto"/>
              </w:rPr>
            </w:pPr>
          </w:p>
        </w:tc>
        <w:tc>
          <w:tcPr>
            <w:tcW w:w="7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000" w:type="dxa"/>
            <w:vAlign w:val="bottom"/>
            <w:gridSpan w:val="4"/>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w:t>
            </w:r>
            <w:r>
              <w:rPr>
                <w:rFonts w:ascii="Times New Roman" w:cs="Times New Roman" w:eastAsia="Times New Roman" w:hAnsi="Times New Roman"/>
                <w:sz w:val="18"/>
                <w:szCs w:val="18"/>
                <w:color w:val="000000"/>
              </w:rPr>
              <w:t>2</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0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2024, 2023 and 2022</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2780" w:type="dxa"/>
            <w:vAlign w:val="bottom"/>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460" w:type="dxa"/>
            <w:vAlign w:val="bottom"/>
            <w:gridSpan w:val="2"/>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4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0"/>
        </w:trPr>
        <w:tc>
          <w:tcPr>
            <w:tcW w:w="3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120" w:type="dxa"/>
            <w:vAlign w:val="bottom"/>
            <w:gridSpan w:val="18"/>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Certificate of Incorporation of the Company (incorporated herein by reference to Exhibit 3.1 to the Company’s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Current Report on Form 8-K (File No. 001-37708), as filed with the SEC on March 8,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7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to Exhibit 3.1 to the Company’s Current Report on Form 8-K (File No. 001-37708), as filed with the SEC on May 18, 2023).</w:t>
              </w:r>
            </w:hyperlink>
          </w:p>
        </w:tc>
        <w:tc>
          <w:tcPr>
            <w:tcW w:w="20" w:type="dxa"/>
            <w:vAlign w:val="bottom"/>
            <w:tcBorders>
              <w:bottom w:val="single" w:sz="8" w:color="0000EE"/>
            </w:tcBorders>
          </w:tcPr>
          <w:p>
            <w:pPr>
              <w:spacing w:after="0"/>
              <w:rPr>
                <w:sz w:val="17"/>
                <w:szCs w:val="17"/>
                <w:color w:val="auto"/>
              </w:rPr>
            </w:pPr>
          </w:p>
        </w:tc>
        <w:tc>
          <w:tcPr>
            <w:tcW w:w="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Bylaws of the Company (incorporated herein by reference to Exhibit 3.2 to the Company’s Current Report on</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4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9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Specimen Common Stock Certificate of the Company (incorporated herein by reference to Exhibit 4.1 to the Company’s Registration</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Statement on Form S-1/A (File No. 333-208861), as filed with the SEC on February 20, 2016).</w:t>
              </w:r>
            </w:hyperlink>
          </w:p>
        </w:tc>
        <w:tc>
          <w:tcPr>
            <w:tcW w:w="30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Pre-Funded Warrant issued pursuant to the securities purchase agreement between the Company and Certain Purchasers, dated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December 16, 2021 (incorporated by reference to Exhibit 4.1 to the Company’s Current Report on Form 8-K (File No. 001-37708), as</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filed with the SEC on December 17, 2021).</w:t>
              </w:r>
            </w:hyperlink>
          </w:p>
        </w:tc>
        <w:tc>
          <w:tcPr>
            <w:tcW w:w="67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20" w:type="dxa"/>
            <w:vAlign w:val="bottom"/>
            <w:tcBorders>
              <w:bottom w:val="single" w:sz="8" w:color="0000EE"/>
            </w:tcBorders>
          </w:tcPr>
          <w:p>
            <w:pPr>
              <w:spacing w:after="0"/>
              <w:rPr>
                <w:sz w:val="24"/>
                <w:szCs w:val="24"/>
                <w:color w:val="auto"/>
              </w:rPr>
            </w:pPr>
          </w:p>
        </w:tc>
        <w:tc>
          <w:tcPr>
            <w:tcW w:w="77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7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2007 Stock Plan (incorporated herein by reference to Exhibit 10.3 to the Company’s Registration Statement on Form S-1 (File No. 333-</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208861)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740" w:type="dxa"/>
            <w:vAlign w:val="bottom"/>
            <w:tcBorders>
              <w:right w:val="single" w:sz="8" w:color="0000EE"/>
            </w:tcBorders>
            <w:gridSpan w:val="4"/>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0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2007 Stock Plan Amendment, dated as of March 8, 2013 (incorporated herein by reference to Exhibit 10.4 to the Company’s</w:t>
              </w:r>
            </w:hyperlink>
          </w:p>
        </w:tc>
        <w:tc>
          <w:tcPr>
            <w:tcW w:w="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2007 Stock Plan Amendment, dated as of July 10, 2013 (incorporated herein by reference to Exhibit 10.5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Statement on Form S-1 (File No. 333-208861), as filed with the SEC on January 4, 2016).</w:t>
              </w:r>
            </w:hyperlink>
          </w:p>
        </w:tc>
        <w:tc>
          <w:tcPr>
            <w:tcW w:w="3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40" w:type="dxa"/>
            <w:vAlign w:val="bottom"/>
          </w:tcPr>
          <w:p>
            <w:pPr>
              <w:spacing w:after="0"/>
              <w:rPr>
                <w:sz w:val="24"/>
                <w:szCs w:val="24"/>
                <w:color w:val="auto"/>
              </w:rPr>
            </w:pPr>
          </w:p>
        </w:tc>
        <w:tc>
          <w:tcPr>
            <w:tcW w:w="5480" w:type="dxa"/>
            <w:vAlign w:val="bottom"/>
            <w:gridSpan w:val="6"/>
          </w:tcPr>
          <w:p>
            <w:pPr>
              <w:jc w:val="right"/>
              <w:ind w:right="928"/>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gridSpan w:val="27"/>
            <w:vMerge w:val="restart"/>
          </w:tcPr>
          <w:p>
            <w:pPr>
              <w:ind w:left="4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380" w:type="dxa"/>
            <w:vAlign w:val="bottom"/>
            <w:tcBorders>
              <w:bottom w:val="single" w:sz="8" w:color="auto"/>
            </w:tcBorders>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2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2007 Stock Plan Amendment, dated as of January 23, 2014 (incorporated herein by reference to Exhibit 10.6 to the Company’s</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3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2007 Stock Plan Amendment, dated as of December 17, 2014 (incorporated herein by reference to Exhibit 10.7 to the Company’s</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2007 Stock Plan Amendment, dated as of May 28, 2015 (incorporated herein by reference to Exhibit 10.8 to the Company’s Registration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91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2007 Stock Plan Amendment, dated as of August 20, 2015 (incorporated herein by reference to Exhibit 10.9 to the Company’s</w:t>
              </w:r>
            </w:hyperlink>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Incentive Stock Option Agreement under 2007 Stock Plan (incorporated herein by reference to Exhibit 10.10 to the Company’s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93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Non-Statutory Stock Option Agreement under 2007 Stock Plan (incorporated herein by reference to Exhibit 10.11 to the</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Company’s 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98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2015 Omnibus Incentive Plan (incorporated herein by reference to Exhibit 10.12 to the Company’s Registration Statement on Form S-8</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(File No. 333-210412), as filed with the SEC on March 25, 2016).</w:t>
              </w:r>
            </w:hyperlink>
          </w:p>
        </w:tc>
        <w:tc>
          <w:tcPr>
            <w:tcW w:w="20" w:type="dxa"/>
            <w:vAlign w:val="bottom"/>
            <w:tcBorders>
              <w:bottom w:val="single" w:sz="8" w:color="0000EE"/>
            </w:tcBorders>
          </w:tcPr>
          <w:p>
            <w:pPr>
              <w:spacing w:after="0"/>
              <w:rPr>
                <w:sz w:val="17"/>
                <w:szCs w:val="17"/>
                <w:color w:val="auto"/>
              </w:rPr>
            </w:pPr>
          </w:p>
        </w:tc>
        <w:tc>
          <w:tcPr>
            <w:tcW w:w="50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Incentive Stock Option Agreement under 2015 Omnibus Incentive Plan (incorporated herein by reference to Exhibit 4.13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Company’s Registration Statement on Form S-8 (File No. 333-210412),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Non-Qualified Option Agreement under 2015 Omnibus Incentive Plan (incorporated herein by reference to Exhibit 10.14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Company’s Registration Statement on Form S-1 (File No. 333-208861), as filed with the SEC on March 25, 2016).</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Stock Unit Agreement under 2015 Omnibus Incentive Plan (incorporated herein by reference to Exhibit 10.1 to the Company’s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Quarterly Report on Form 10-Q (File No. 001-37708), as filed with the SEC on August 6,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9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Deferred Settlement Stock Unit Agreement under 2015 Omnibus Incentive Plan (incorporated herein by reference to Exhibit</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FF"/>
                </w:rPr>
                <w:t xml:space="preserve"> to the Company’s Annual Report on Form 10-K (file No. 001-37708), as filed with the SEC on March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20" w:type="dxa"/>
            <w:vAlign w:val="bottom"/>
            <w:tcBorders>
              <w:right w:val="single" w:sz="8" w:color="0000EE"/>
            </w:tcBorders>
            <w:gridSpan w:val="8"/>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9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2015 Employee Stock Purchase Plan (incorporated herein by reference to Exhibit 4.16 to the Company’s Registration Statement on</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S-8 (File No. 333-210412), as filed with the SEC on March 25, 2016).</w:t>
              </w:r>
            </w:hyperlink>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47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Syndax Pharmaceuticals, Inc. 2023 Inducement Plan, as amended.</w:t>
            </w:r>
          </w:p>
        </w:tc>
        <w:tc>
          <w:tcPr>
            <w:tcW w:w="20" w:type="dxa"/>
            <w:vAlign w:val="bottom"/>
            <w:tcBorders>
              <w:top w:val="single" w:sz="8" w:color="0000FF"/>
              <w:bottom w:val="single" w:sz="8" w:color="0000EE"/>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3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96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Option Agreement pursuant to the Syndax Pharmaceuticals, Inc. 2023 Inducement Plan (incorporated herein by reference to</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Exhibit 10.2 to the Company’s Current Report on Form 8-K (File No. 001-37708), as filed with the SEC on February 8,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4460" w:type="dxa"/>
            <w:vAlign w:val="bottom"/>
            <w:tcBorders>
              <w:right w:val="single" w:sz="8" w:color="0000EE"/>
            </w:tcBorders>
            <w:gridSpan w:val="13"/>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Unit Agreement pursuant to the Syndax Pharmaceuticals, Inc. 2023 Inducement Plan (incorporated herein by</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to Exhibit 10.2 to the Company’s Quarterly Report on Form 10-Q (File No. 001-37708), as filed with the SEC on May 8,</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154">
              <w:r>
                <w:rPr>
                  <w:rFonts w:ascii="Times New Roman" w:cs="Times New Roman" w:eastAsia="Times New Roman" w:hAnsi="Times New Roman"/>
                  <w:sz w:val="18"/>
                  <w:szCs w:val="18"/>
                  <w:color w:val="0000FF"/>
                  <w:w w:val="94"/>
                </w:rPr>
                <w:t>2023).</w:t>
              </w:r>
            </w:hyperlink>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160" w:type="dxa"/>
            <w:vAlign w:val="bottom"/>
            <w:gridSpan w:val="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98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Executive Employment Agreement by and between the Company and Michael A. Metzger, dated as of February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 2022 (incorporated herein by reference to Exhibit 10.17 to the</w:t>
              </w:r>
            </w:hyperlink>
          </w:p>
        </w:tc>
        <w:tc>
          <w:tcPr>
            <w:tcW w:w="51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40" w:type="dxa"/>
            <w:vAlign w:val="bottom"/>
          </w:tcPr>
          <w:p>
            <w:pPr>
              <w:spacing w:after="0"/>
              <w:rPr>
                <w:sz w:val="24"/>
                <w:szCs w:val="24"/>
                <w:color w:val="auto"/>
              </w:rPr>
            </w:pPr>
          </w:p>
        </w:tc>
        <w:tc>
          <w:tcPr>
            <w:tcW w:w="48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gridSpan w:val="24"/>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60" w:type="dxa"/>
            <w:vAlign w:val="bottom"/>
            <w:gridSpan w:val="3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Company's Annual Report on Form 10-K (File No. 001-37708), as filed with the SEC on March 1,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94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to Amended and Restated Executive Employment by and between the Company and Michael A. Metzger, dated as of</w:t>
              </w:r>
            </w:hyperlink>
          </w:p>
        </w:tc>
        <w:tc>
          <w:tcPr>
            <w:tcW w:w="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February 26, 2024 (incorporated herein by reference to Exhibit 10.20 to the Company's Annual Report on Form 10-K (File No. 001-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37708)</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filed with the SEC on February 27,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5680" w:type="dxa"/>
            <w:vAlign w:val="bottom"/>
            <w:tcBorders>
              <w:top w:val="single" w:sz="8" w:color="0000FF"/>
            </w:tcBorders>
            <w:gridSpan w:val="10"/>
          </w:tcPr>
          <w:p>
            <w:pPr>
              <w:spacing w:after="0"/>
              <w:rPr>
                <w:sz w:val="17"/>
                <w:szCs w:val="17"/>
                <w:color w:val="auto"/>
              </w:rPr>
            </w:pPr>
          </w:p>
        </w:tc>
        <w:tc>
          <w:tcPr>
            <w:tcW w:w="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9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Executive Employment Agreement by and between the Company and Luke J. Albrecht, dated as of April 27,</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2020 (incorporated herein by reference to Exhibit 10.22 to the Company's Annual Report on Form 10-K (File No. 001-37708), as filed</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with the SEC on February 27, 2024).</w:t>
              </w:r>
            </w:hyperlink>
          </w:p>
        </w:tc>
        <w:tc>
          <w:tcPr>
            <w:tcW w:w="20" w:type="dxa"/>
            <w:vAlign w:val="bottom"/>
            <w:tcBorders>
              <w:bottom w:val="single" w:sz="8" w:color="0000EE"/>
            </w:tcBorders>
          </w:tcPr>
          <w:p>
            <w:pPr>
              <w:spacing w:after="0"/>
              <w:rPr>
                <w:sz w:val="17"/>
                <w:szCs w:val="17"/>
                <w:color w:val="auto"/>
              </w:rPr>
            </w:pPr>
          </w:p>
        </w:tc>
        <w:tc>
          <w:tcPr>
            <w:tcW w:w="71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98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to Amended and Restated Executive Employment by and between the Company and Luke J. Albrecht, dated as of February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26, 2024 (incorporated herein by reference to Exhibit 10.23 to the Company's Annual Report on Form 10-K (File No. 001-37708), as</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filed with the SEC on February 27,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98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Executive Employment Agreement by and between the Company and Keith A. Goldan, dated as of June 8, 2022 (incorporated herein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reference to Exhibit 10.1 to the Company’s Current Report on Form 8-K (File No. 001-37708), as filed with the SEC on June 13, 2022).</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98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to Executive Employment by and between the Company and Keith A. Goldan, dated as of February 26, 2024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herein by reference to Exhibit 10.27 to the Company's Annual Report on Form 10-K (File No. 001-37708), as filed with the SEC on</w:t>
              </w:r>
            </w:hyperlink>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February 27,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9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Executive Employment Agreement by and between the Company and Neil Gallagher, M.D., Ph.D., dated as of March 30, 2023</w:t>
              </w:r>
            </w:hyperlink>
          </w:p>
        </w:tc>
        <w:tc>
          <w:tcPr>
            <w:tcW w:w="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herein by reference to Exhibit 10.1 to the Company’s Current Report on Form 8-K (File No. 001-37708), as filed with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SEC on March 30,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96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to Executive Employment by and between the Company and Neil Gallagher, M.D., Ph.D., dated as of February 26, 2024</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herein by reference to Exhibit 10.30 to the Company's Annual Report on Form 10-K (File No. 001-37708), as filed with</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the SEC on February 27,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24"/>
                <w:szCs w:val="24"/>
                <w:color w:val="auto"/>
              </w:rPr>
            </w:pPr>
          </w:p>
        </w:tc>
        <w:tc>
          <w:tcPr>
            <w:tcW w:w="97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Executive Employment Agreement by and between the Company and Steven Closter, dated as of March 18, 2024 (incorporated herein</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by reference to Exhibit 10.1 to the Company’s Current Report on Form 8-K (File No. 001-37708), as filed with the SEC on March 18,</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165">
              <w:r>
                <w:rPr>
                  <w:rFonts w:ascii="Times New Roman" w:cs="Times New Roman" w:eastAsia="Times New Roman" w:hAnsi="Times New Roman"/>
                  <w:sz w:val="18"/>
                  <w:szCs w:val="18"/>
                  <w:color w:val="0000FF"/>
                  <w:w w:val="94"/>
                </w:rPr>
                <w:t>2024).</w:t>
              </w:r>
            </w:hyperlink>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 as amended, dated as of February 5, 2025.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7"/>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92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Indemnification Agreement by and between the company and each of its directors and officers (incorporated herein by</w:t>
              </w:r>
            </w:hyperlink>
          </w:p>
        </w:tc>
        <w:tc>
          <w:tcPr>
            <w:tcW w:w="6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reference to Exhibit 10.21 to the Company’s Registration Statement on Form S-1 (File No. 333-208861), as filed with the SEC on</w:t>
              </w:r>
            </w:hyperlink>
          </w:p>
        </w:tc>
        <w:tc>
          <w:tcPr>
            <w:tcW w:w="4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9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License, Development and Commercialization Agreement by and between the company and Bayer Schering Pharma AG, dated as of</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March 26, 2007 (incorporated herein by reference to Exhibit 10.22 to the Company’s Registration Statement on Form S-1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208861)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740" w:type="dxa"/>
            <w:vAlign w:val="bottom"/>
            <w:tcBorders>
              <w:right w:val="single" w:sz="8" w:color="0000EE"/>
            </w:tcBorders>
            <w:gridSpan w:val="9"/>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6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4"/>
                <w:szCs w:val="24"/>
                <w:color w:val="auto"/>
              </w:rPr>
            </w:pPr>
          </w:p>
        </w:tc>
        <w:tc>
          <w:tcPr>
            <w:tcW w:w="98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First Amendment to the License, Development and Commercialization Agreement by and between the company and Bayer Pharma AG,</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dated as of October 13, 2012 (incorporated herein by reference to Exhibit 10.23 to the Company’s Registration Statement on Form S-1</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50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24"/>
                <w:szCs w:val="24"/>
                <w:color w:val="auto"/>
              </w:rPr>
            </w:pPr>
          </w:p>
        </w:tc>
        <w:tc>
          <w:tcPr>
            <w:tcW w:w="97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Second Amendment to the License, Development and Commercialization Agreement by and between the company and Bayer Pharma</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AG, dated as of February 1, 2013 (incorporated herein by reference to Exhibit 10.24 to the Company’s Registration Statement on Form</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S-1 (File No. 333-208861), as filed with the SEC on January 4, 2016).</w:t>
              </w:r>
            </w:hyperlink>
          </w:p>
        </w:tc>
        <w:tc>
          <w:tcPr>
            <w:tcW w:w="0" w:type="dxa"/>
            <w:vAlign w:val="bottom"/>
          </w:tcPr>
          <w:p>
            <w:pPr>
              <w:spacing w:after="0"/>
              <w:rPr>
                <w:sz w:val="1"/>
                <w:szCs w:val="1"/>
                <w:color w:val="auto"/>
              </w:rPr>
            </w:pPr>
          </w:p>
        </w:tc>
      </w:tr>
      <w:tr>
        <w:trPr>
          <w:trHeight w:val="668"/>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Borders>
              <w:top w:val="single" w:sz="8" w:color="0000FF"/>
            </w:tcBorders>
            <w:gridSpan w:val="12"/>
          </w:tcPr>
          <w:p>
            <w:pPr>
              <w:ind w:left="416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20"/>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4"/>
                <w:szCs w:val="24"/>
                <w:color w:val="auto"/>
              </w:rPr>
            </w:pPr>
          </w:p>
        </w:tc>
        <w:tc>
          <w:tcPr>
            <w:tcW w:w="95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Third Amendment to the License, Development and Commercialization Agreement by and between the company and Bayer Pharma</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AG, dated as of October 9, 2013 (incorporated herein by reference to Exhibit 10.25 to the Company’s Registration Statement on Form</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4"/>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24"/>
                <w:szCs w:val="24"/>
                <w:color w:val="auto"/>
              </w:rPr>
            </w:pPr>
          </w:p>
        </w:tc>
        <w:tc>
          <w:tcPr>
            <w:tcW w:w="92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Letter Agreement by and between the company and Bayer Pharma AG, dated as of September 18, 2014 (incorporated herein by</w:t>
              </w:r>
            </w:hyperlink>
          </w:p>
        </w:tc>
        <w:tc>
          <w:tcPr>
            <w:tcW w:w="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reference to Exhibit 10.26 to the Company’s Registration Statement on Form S-1 (File No. 333-208861), as filed with the SEC on</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4"/>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4"/>
                <w:szCs w:val="24"/>
                <w:color w:val="auto"/>
              </w:rPr>
            </w:pPr>
          </w:p>
        </w:tc>
        <w:tc>
          <w:tcPr>
            <w:tcW w:w="97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License Agreement by and between the Company and UCB Biopharma Sprl, dated as of July 1, 2016 (incorporated herein by reference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4"/>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to Exhibit 10.1 to the Company’s Current Report on Form 8-K (File No. 001- 37708), as filed with the SEC on October 7,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24"/>
                <w:szCs w:val="24"/>
                <w:color w:val="auto"/>
              </w:rPr>
            </w:pPr>
          </w:p>
        </w:tc>
        <w:tc>
          <w:tcPr>
            <w:tcW w:w="9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Side Agreement by and between the Company and UCB Biopharma Sprl, dated March 8, 2017 (incorporated herein by reference to</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Exhibit 10.4 to the Company’s Quarterly Report on Form 10-Q (File No. 001-37708), as filed with the SEC on May 9, 2017).</w:t>
              </w:r>
            </w:hyperlink>
          </w:p>
        </w:tc>
        <w:tc>
          <w:tcPr>
            <w:tcW w:w="8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24"/>
                <w:szCs w:val="24"/>
                <w:color w:val="auto"/>
              </w:rPr>
            </w:pPr>
          </w:p>
        </w:tc>
        <w:tc>
          <w:tcPr>
            <w:tcW w:w="8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No. 1 to License Agreement by and between the Company and UCB Biopharma Sprl, dated as of July 9, 2019</w:t>
              </w:r>
            </w:hyperlink>
          </w:p>
        </w:tc>
        <w:tc>
          <w:tcPr>
            <w:tcW w:w="9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(incorporated herein by reference to Exhibit 10.2 to the Company’s Quarterly Report on Form 10-Q (File No. 001-37708), as filed with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4"/>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 SEC on November 7, 2019).</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24"/>
                <w:szCs w:val="24"/>
                <w:color w:val="auto"/>
              </w:rPr>
            </w:pPr>
          </w:p>
        </w:tc>
        <w:tc>
          <w:tcPr>
            <w:tcW w:w="9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Mutual Release and Settlement Agreement by and between the Company and UCB Biopharma SRL, dated as of June 6, 2022</w:t>
              </w:r>
            </w:hyperlink>
          </w:p>
        </w:tc>
        <w:tc>
          <w:tcPr>
            <w:tcW w:w="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(incorporated herein by reference to Exhibit 10.1 to the Company’s Quarterly Report on Form 10-Q (File No. 001-37708), as filed with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4"/>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 SEC on August 8,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4"/>
                <w:szCs w:val="24"/>
                <w:color w:val="auto"/>
              </w:rPr>
            </w:pPr>
          </w:p>
        </w:tc>
        <w:tc>
          <w:tcPr>
            <w:tcW w:w="98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License Agreement by and between the Company and Vitae Pharmaceuticals, Inc., dated as of October 13, 2017 (incorporated herein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reference to Exhibit 10.47 to the Company’s Annual Report on Form 10-K (File No. 001-37708), as filed with the SEC on March 8,</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line="196" w:lineRule="exact"/>
              <w:rPr>
                <w:rFonts w:ascii="Times New Roman" w:cs="Times New Roman" w:eastAsia="Times New Roman" w:hAnsi="Times New Roman"/>
                <w:sz w:val="18"/>
                <w:szCs w:val="18"/>
                <w:color w:val="0000FF"/>
                <w:w w:val="81"/>
              </w:rPr>
            </w:pPr>
            <w:hyperlink r:id="rId178">
              <w:r>
                <w:rPr>
                  <w:rFonts w:ascii="Times New Roman" w:cs="Times New Roman" w:eastAsia="Times New Roman" w:hAnsi="Times New Roman"/>
                  <w:sz w:val="18"/>
                  <w:szCs w:val="18"/>
                  <w:color w:val="0000FF"/>
                  <w:w w:val="81"/>
                </w:rPr>
                <w:t>2018).</w:t>
              </w:r>
            </w:hyperlink>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24"/>
                <w:szCs w:val="24"/>
                <w:color w:val="auto"/>
              </w:rPr>
            </w:pPr>
          </w:p>
        </w:tc>
        <w:tc>
          <w:tcPr>
            <w:tcW w:w="96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Amendment No. 1 to License Agreement by and between the Company and Vitae Pharmaceuticals, Inc., dated as of January 25, 2019</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herein by reference to Exhibit 10.1 to the Company’s Quarterly Report on Form 10-Q (File No. 001-37708), as filed with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the SEC on May 8, 2019).</w:t>
              </w:r>
            </w:hyperlink>
          </w:p>
        </w:tc>
        <w:tc>
          <w:tcPr>
            <w:tcW w:w="20" w:type="dxa"/>
            <w:vAlign w:val="bottom"/>
            <w:tcBorders>
              <w:bottom w:val="single" w:sz="8" w:color="0000EE"/>
            </w:tcBorders>
          </w:tcPr>
          <w:p>
            <w:pPr>
              <w:spacing w:after="0"/>
              <w:rPr>
                <w:sz w:val="17"/>
                <w:szCs w:val="17"/>
                <w:color w:val="auto"/>
              </w:rPr>
            </w:pPr>
          </w:p>
        </w:tc>
        <w:tc>
          <w:tcPr>
            <w:tcW w:w="79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24"/>
                <w:szCs w:val="24"/>
                <w:color w:val="auto"/>
              </w:rPr>
            </w:pPr>
          </w:p>
        </w:tc>
        <w:tc>
          <w:tcPr>
            <w:tcW w:w="90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Collaboration and License Agreement by and between the Company and Incyte Corporation, dated as of September 24, 2021</w:t>
              </w:r>
            </w:hyperlink>
          </w:p>
        </w:tc>
        <w:tc>
          <w:tcPr>
            <w:tcW w:w="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(incorporated herein by reference to Exhibit 10.1 to the Company’s Quarterly Report on Form 10-Q (File No. 001-37708), as filed with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the SEC on November 15, 2021).</w:t>
              </w:r>
            </w:hyperlink>
          </w:p>
        </w:tc>
        <w:tc>
          <w:tcPr>
            <w:tcW w:w="20" w:type="dxa"/>
            <w:vAlign w:val="bottom"/>
            <w:tcBorders>
              <w:bottom w:val="single" w:sz="8" w:color="0000EE"/>
            </w:tcBorders>
          </w:tcPr>
          <w:p>
            <w:pPr>
              <w:spacing w:after="0"/>
              <w:rPr>
                <w:sz w:val="17"/>
                <w:szCs w:val="17"/>
                <w:color w:val="auto"/>
              </w:rPr>
            </w:pPr>
          </w:p>
        </w:tc>
        <w:tc>
          <w:tcPr>
            <w:tcW w:w="74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24"/>
                <w:szCs w:val="24"/>
                <w:color w:val="auto"/>
              </w:rPr>
            </w:pPr>
          </w:p>
        </w:tc>
        <w:tc>
          <w:tcPr>
            <w:tcW w:w="9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Purchase Agreement by and between the Company and Incyte Corporation, dated as of September 24, 2021 (incorporated herein by</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reference to Exhibit 10.2 to the Company’s Quarterly Report on Form 10-Q (File No. 001-37708), as filed with the SEC on November</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spacing w:after="0" w:line="196" w:lineRule="exact"/>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15, 2021).</w:t>
              </w:r>
            </w:hyperlink>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24"/>
                <w:szCs w:val="24"/>
                <w:color w:val="auto"/>
              </w:rPr>
            </w:pPr>
          </w:p>
        </w:tc>
        <w:tc>
          <w:tcPr>
            <w:tcW w:w="98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Purchase and Sale Agreement by and between the Company and with Royalty Pharma Development Funding, LLC, dated November 4,</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2024.</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4"/>
                <w:szCs w:val="24"/>
                <w:color w:val="auto"/>
              </w:rPr>
            </w:pPr>
          </w:p>
        </w:tc>
        <w:tc>
          <w:tcPr>
            <w:tcW w:w="1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0" w:type="dxa"/>
            <w:vAlign w:val="bottom"/>
            <w:tcBorders>
              <w:bottom w:val="single" w:sz="8" w:color="0000EE"/>
            </w:tcBorders>
          </w:tcPr>
          <w:p>
            <w:pPr>
              <w:spacing w:after="0"/>
              <w:rPr>
                <w:sz w:val="24"/>
                <w:szCs w:val="24"/>
                <w:color w:val="auto"/>
              </w:rPr>
            </w:pPr>
          </w:p>
        </w:tc>
        <w:tc>
          <w:tcPr>
            <w:tcW w:w="818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98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gridSpan w:val="9"/>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54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4"/>
                <w:szCs w:val="24"/>
                <w:color w:val="auto"/>
              </w:rPr>
            </w:pPr>
          </w:p>
        </w:tc>
        <w:tc>
          <w:tcPr>
            <w:tcW w:w="98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to this report).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gridSpan w:val="12"/>
            <w:shd w:val="clear" w:color="auto" w:fill="0000FF"/>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8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13a-14(a) or 15d-14(a) of the Securities Exchange Act of 1934.</w:t>
            </w:r>
          </w:p>
        </w:tc>
        <w:tc>
          <w:tcPr>
            <w:tcW w:w="0" w:type="dxa"/>
            <w:vAlign w:val="bottom"/>
          </w:tcPr>
          <w:p>
            <w:pPr>
              <w:spacing w:after="0"/>
              <w:rPr>
                <w:sz w:val="1"/>
                <w:szCs w:val="1"/>
                <w:color w:val="auto"/>
              </w:rPr>
            </w:pPr>
          </w:p>
        </w:tc>
      </w:tr>
      <w:tr>
        <w:trPr>
          <w:trHeight w:val="345"/>
        </w:trPr>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20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and Principal Accounting Officer pursuant to Rule 13a-14(a) or 15d-14(a) of the</w:t>
            </w:r>
          </w:p>
        </w:tc>
        <w:tc>
          <w:tcPr>
            <w:tcW w:w="80" w:type="dxa"/>
            <w:vAlign w:val="bottom"/>
            <w:tcBorders>
              <w:top w:val="single" w:sz="8" w:color="0000FF"/>
            </w:tcBorders>
          </w:tcPr>
          <w:p>
            <w:pPr>
              <w:spacing w:after="0"/>
              <w:rPr>
                <w:sz w:val="24"/>
                <w:szCs w:val="24"/>
                <w:color w:val="auto"/>
              </w:rPr>
            </w:pPr>
          </w:p>
        </w:tc>
        <w:tc>
          <w:tcPr>
            <w:tcW w:w="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74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40" w:type="dxa"/>
            <w:vAlign w:val="bottom"/>
          </w:tcPr>
          <w:p>
            <w:pPr>
              <w:spacing w:after="0"/>
              <w:rPr>
                <w:sz w:val="24"/>
                <w:szCs w:val="24"/>
                <w:color w:val="auto"/>
              </w:rPr>
            </w:pPr>
          </w:p>
        </w:tc>
        <w:tc>
          <w:tcPr>
            <w:tcW w:w="4500" w:type="dxa"/>
            <w:vAlign w:val="bottom"/>
            <w:gridSpan w:val="14"/>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860" w:type="dxa"/>
            <w:vAlign w:val="bottom"/>
            <w:gridSpan w:val="3"/>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98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4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 13a-14(b) or 15d-14(b) of the Exchange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Act and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5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80" w:hanging="1242"/>
        <w:spacing w:after="0"/>
        <w:tabs>
          <w:tab w:leader="none" w:pos="1380" w:val="left"/>
        </w:tabs>
        <w:numPr>
          <w:ilvl w:val="0"/>
          <w:numId w:val="40"/>
        </w:numPr>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Incentive Compensation Recoupment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20688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940" w:type="dxa"/>
            <w:vAlign w:val="bottom"/>
          </w:tcPr>
          <w:p>
            <w:pPr>
              <w:spacing w:after="0"/>
              <w:rPr>
                <w:sz w:val="20"/>
                <w:szCs w:val="20"/>
                <w:color w:val="auto"/>
              </w:rPr>
            </w:pP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bl>
    <w:p>
      <w:pPr>
        <w:spacing w:after="0" w:line="103" w:lineRule="exact"/>
        <w:rPr>
          <w:sz w:val="20"/>
          <w:szCs w:val="20"/>
          <w:color w:val="auto"/>
        </w:rPr>
      </w:pPr>
    </w:p>
    <w:p>
      <w:pPr>
        <w:ind w:right="4980" w:firstLine="130"/>
        <w:spacing w:after="0" w:line="347" w:lineRule="auto"/>
        <w:rPr>
          <w:sz w:val="20"/>
          <w:szCs w:val="20"/>
          <w:color w:val="auto"/>
        </w:rPr>
      </w:pPr>
      <w:r>
        <w:rPr>
          <w:rFonts w:ascii="Times New Roman" w:cs="Times New Roman" w:eastAsia="Times New Roman" w:hAnsi="Times New Roman"/>
          <w:sz w:val="18"/>
          <w:szCs w:val="18"/>
          <w:color w:val="auto"/>
        </w:rPr>
        <w:t>104 Cover Page formatted as Inline 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51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right="180" w:firstLine="8"/>
        <w:spacing w:after="0" w:line="250" w:lineRule="auto"/>
        <w:tabs>
          <w:tab w:leader="none" w:pos="1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for certain portions of this exhibit. These portions have been omitted and filed separately with the SEC.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7" w:name="page88"/>
    <w:bookmarkEnd w:id="8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73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Michael A. Metzger</w:t>
            </w:r>
          </w:p>
        </w:tc>
      </w:tr>
      <w:tr>
        <w:trPr>
          <w:trHeight w:val="189"/>
        </w:trPr>
        <w:tc>
          <w:tcPr>
            <w:tcW w:w="3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6"/>
        </w:trPr>
        <w:tc>
          <w:tcPr>
            <w:tcW w:w="38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Michael A. Metzger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3880" w:type="dxa"/>
            <w:vAlign w:val="bottom"/>
            <w:tcBorders>
              <w:bottom w:val="single" w:sz="8" w:color="auto"/>
            </w:tcBorders>
          </w:tcPr>
          <w:p>
            <w:pPr>
              <w:jc w:val="right"/>
              <w:ind w:right="1652"/>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4"/>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 Metzger</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A. Metzger</w:t>
            </w:r>
          </w:p>
        </w:tc>
        <w:tc>
          <w:tcPr>
            <w:tcW w:w="2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9"/>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A. Goldan</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A. Goldan</w:t>
            </w:r>
          </w:p>
        </w:tc>
        <w:tc>
          <w:tcPr>
            <w:tcW w:w="2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19"/>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G. Podlesak</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Dennis G. Podlesak</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4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H. Huber, M.D.</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 H. Huber, M.D.</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4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Jennifer Jarrett</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Jennifer Jarrett</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4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A. Katkin</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A. Katkin</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4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Pierre Legault</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Pierre Legault</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4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Meury</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Meury</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4"/>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Aleksandra Rizo, M.D., Ph.D.</w:t>
            </w:r>
          </w:p>
        </w:tc>
        <w:tc>
          <w:tcPr>
            <w:tcW w:w="2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Aleksandra Rizo, M.D., Ph.D.</w:t>
            </w:r>
          </w:p>
        </w:tc>
        <w:tc>
          <w:tcPr>
            <w:tcW w:w="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846"/>
        </w:trPr>
        <w:tc>
          <w:tcPr>
            <w:tcW w:w="4780" w:type="dxa"/>
            <w:vAlign w:val="bottom"/>
          </w:tcPr>
          <w:p>
            <w:pPr>
              <w:spacing w:after="0"/>
              <w:rPr>
                <w:sz w:val="24"/>
                <w:szCs w:val="24"/>
                <w:color w:val="auto"/>
              </w:rPr>
            </w:pPr>
          </w:p>
        </w:tc>
        <w:tc>
          <w:tcPr>
            <w:tcW w:w="4120" w:type="dxa"/>
            <w:vAlign w:val="bottom"/>
            <w:gridSpan w:val="2"/>
          </w:tcPr>
          <w:p>
            <w:pPr>
              <w:jc w:val="right"/>
              <w:ind w:right="309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169"/>
        </w:trPr>
        <w:tc>
          <w:tcPr>
            <w:tcW w:w="10440" w:type="dxa"/>
            <w:vAlign w:val="bottom"/>
            <w:gridSpan w:val="9"/>
            <w:vMerge w:val="continue"/>
          </w:tcPr>
          <w:p>
            <w:pPr>
              <w:spacing w:after="0"/>
              <w:rPr>
                <w:sz w:val="14"/>
                <w:szCs w:val="14"/>
                <w:color w:val="auto"/>
              </w:rPr>
            </w:pPr>
          </w:p>
        </w:tc>
        <w:tc>
          <w:tcPr>
            <w:tcW w:w="7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2024, 2023 and 202</w:t>
            </w:r>
            <w:r>
              <w:rPr>
                <w:rFonts w:ascii="Times New Roman" w:cs="Times New Roman" w:eastAsia="Times New Roman" w:hAnsi="Times New Roman"/>
                <w:sz w:val="18"/>
                <w:szCs w:val="18"/>
                <w:color w:val="000000"/>
              </w:rPr>
              <w:t>2</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89" w:name="page90"/>
    <w:bookmarkEnd w:id="8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Syndax Pharmaceuticals,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Syndax Pharmaceuticals, Inc. and subsidiaries (the "Company") as of December 31, 2024 and 2023, the related consolidated statements of operations,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3,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Clinical Costs— Refer to Notes 3 and 12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recognizes research and development expenses as incurred, which include costs relating to clinical trial and clinical study activities performed by the contract research organizations ("CROs"). Expenses related to clinical trials and studies are based on estimates of the services received and efforts expended pursuant to contracts with each of the CROs. Tracking the progress of the clinical study and trial activities, including payments made by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and by the CROs, allows the Company to record the appropriate expense, prepayments, and accruals under the terms of the agreements with the CROs.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identified the estimates for research and development accrued and prepaid CRO expenses, including costs incurred by CROs as a critical audit matter due to the judgments necessary for management to estimate the level of services provided and the costs incurred for the service when the Company has not yet been invoiced or otherwise notified of actual costs. Prepaid CRO expenses are recorded within the balance of short-term deposits on the consolidated balance sheet, while accrued CRO expenses are recorded within the balance of accrued expenses and other current liabilities on the consolidated balance sheet. This required a high degree of auditor judgment and an increased extent of effort when performing audit procedures to audit management's estimates of such accrued and prepaid CRO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prepaid and accrued clinical costs included the following, among others:</w:t>
      </w:r>
    </w:p>
    <w:p>
      <w:pPr>
        <w:spacing w:after="0" w:line="225" w:lineRule="exact"/>
        <w:rPr>
          <w:sz w:val="20"/>
          <w:szCs w:val="20"/>
          <w:color w:val="auto"/>
        </w:rPr>
      </w:pPr>
    </w:p>
    <w:p>
      <w:pPr>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estimation of accrued CRO and prepaid CRO expense calculations, including management’s controls over the assessment and estimation of the costs incurred for significant research and development activities performed by CROs.</w:t>
      </w:r>
    </w:p>
    <w:p>
      <w:pPr>
        <w:spacing w:after="0" w:line="175"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contracts, we read the related contracts, purchase orders, statements of work and other contractual documentation. We tested the completeness and accuracy of the information used to develop the estimates and evaluated the significant assumptions used by management to estimate the recorded amounts by performing the following:</w:t>
      </w:r>
    </w:p>
    <w:p>
      <w:pPr>
        <w:spacing w:after="0" w:line="68" w:lineRule="exact"/>
        <w:rPr>
          <w:sz w:val="20"/>
          <w:szCs w:val="20"/>
          <w:color w:val="auto"/>
        </w:rPr>
      </w:pPr>
    </w:p>
    <w:p>
      <w:pPr>
        <w:ind w:left="1500" w:right="140" w:hanging="369"/>
        <w:spacing w:after="0" w:line="282"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corroborating inquiries with the Company’s research and development personnel to understand the nature and progress of the studies conducted by the CROs.</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Inspected information from third-party service provider CRO.</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corresponding invoices and evidence of payment to third-party service provider CROs.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77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580,876</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FF0FC"/>
          </w:tcPr>
          <w:p>
            <w:pPr>
              <w:spacing w:after="0"/>
              <w:rPr>
                <w:sz w:val="18"/>
                <w:szCs w:val="18"/>
                <w:color w:val="auto"/>
              </w:rPr>
            </w:pPr>
          </w:p>
        </w:tc>
      </w:tr>
      <w:tr>
        <w:trPr>
          <w:trHeight w:val="209"/>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80" w:type="dxa"/>
            <w:vAlign w:val="bottom"/>
            <w:tcBorders>
              <w:top w:val="single" w:sz="8" w:color="CFF0FC"/>
            </w:tcBorders>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payable,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Royalty payable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term loan payable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80" w:type="dxa"/>
            <w:vAlign w:val="bottom"/>
          </w:tcPr>
          <w:p>
            <w:pPr>
              <w:spacing w:after="0"/>
              <w:rPr>
                <w:sz w:val="18"/>
                <w:szCs w:val="18"/>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payable, less current portion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less current portion</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436,692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58,684</w:t>
            </w:r>
          </w:p>
        </w:tc>
        <w:tc>
          <w:tcPr>
            <w:tcW w:w="80" w:type="dxa"/>
            <w:vAlign w:val="bottom"/>
          </w:tcPr>
          <w:p>
            <w:pPr>
              <w:spacing w:after="0"/>
              <w:rPr>
                <w:sz w:val="18"/>
                <w:szCs w:val="18"/>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76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77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0 shares outstanding at December 31, 2024 and December 31, 2023</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at December 31, 2024 and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85,694,443 and 84,826,632 shares outstanding at December 31, 2024 and December 31, 2023,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1,509,110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80" w:type="dxa"/>
            <w:vAlign w:val="bottom"/>
            <w:shd w:val="clear" w:color="auto" w:fill="CFF0FC"/>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8"/>
                <w:szCs w:val="18"/>
                <w:color w:val="auto"/>
              </w:rPr>
            </w:pPr>
          </w:p>
        </w:tc>
      </w:tr>
      <w:tr>
        <w:trPr>
          <w:trHeight w:val="216"/>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(1,221,158 )</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(902,400 )</w:t>
            </w:r>
          </w:p>
        </w:tc>
      </w:tr>
      <w:tr>
        <w:trPr>
          <w:trHeight w:val="210"/>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288,124</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80" w:type="dxa"/>
            <w:vAlign w:val="bottom"/>
            <w:tcBorders>
              <w:top w:val="single" w:sz="8" w:color="CFF0FC"/>
            </w:tcBorders>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724,816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-5065395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-5065395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-4234180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-4234180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-2828290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-2828290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-1979295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-1979295</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-316865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-316865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-24765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-8255</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-24765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-8255</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413" w:right="739" w:bottom="1440" w:gutter="0" w:footer="0" w:header="0"/>
        </w:sectPr>
      </w:pPr>
    </w:p>
    <w:bookmarkStart w:id="92" w:name="page93"/>
    <w:bookmarkEnd w:id="92"/>
    <w:p>
      <w:pPr>
        <w:ind w:left="362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product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163,032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118,499</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100" w:type="dxa"/>
            <w:vAlign w:val="bottom"/>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363,352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229,954</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(339,672 )</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(229,954 )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(151,757 )</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(4,929 )</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(3,137 )</w:t>
            </w:r>
          </w:p>
        </w:tc>
      </w:tr>
      <w:tr>
        <w:trPr>
          <w:trHeight w:val="216"/>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(247 )</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(316 )</w:t>
            </w: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20,594</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(318,758 )</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(209,360 )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(149,338 )</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(318,758 )</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(209,360 )</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(149,338 )</w:t>
            </w:r>
          </w:p>
        </w:tc>
      </w:tr>
      <w:tr>
        <w:trPr>
          <w:trHeight w:val="197"/>
        </w:trPr>
        <w:tc>
          <w:tcPr>
            <w:tcW w:w="58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(3.72 )</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common stockholders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(3.72 )</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used in calculating:</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common stockholders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85,622,065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70,370,519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60,760,906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common stockholders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85,622,065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70,370,519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60,760,906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-3119755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-3119755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-3119755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-2270760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-2270760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-2270760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-1431290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-1431290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-1431290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-1122680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-1104900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-1122680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-1104900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-1122680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-1104900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413" w:right="739" w:bottom="1440" w:gutter="0" w:footer="0" w:header="0"/>
        </w:sectPr>
      </w:pPr>
    </w:p>
    <w:bookmarkStart w:id="93" w:name="page94"/>
    <w:bookmarkEnd w:id="93"/>
    <w:p>
      <w:pPr>
        <w:spacing w:after="0" w:line="19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(318,758 )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(209,360 )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(149,338 )</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(851 )</w:t>
            </w:r>
          </w:p>
        </w:tc>
      </w:tr>
      <w:tr>
        <w:trPr>
          <w:trHeight w:val="20"/>
        </w:trPr>
        <w:tc>
          <w:tcPr>
            <w:tcW w:w="6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(318,813 )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(208,336 )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(150,189 )</w:t>
            </w: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-170815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1440" w:right="779" w:bottom="1440" w:gutter="0" w:footer="0" w:header="0"/>
        </w:sectPr>
      </w:pPr>
    </w:p>
    <w:bookmarkStart w:id="94" w:name="page95"/>
    <w:bookmarkEnd w:id="94"/>
    <w:p>
      <w:pPr>
        <w:ind w:left="380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1760" w:type="dxa"/>
            <w:vAlign w:val="bottom"/>
            <w:gridSpan w:val="3"/>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760" w:type="dxa"/>
            <w:vAlign w:val="bottom"/>
            <w:gridSpan w:val="3"/>
          </w:tcPr>
          <w:p>
            <w:pPr>
              <w:jc w:val="right"/>
              <w:ind w:right="517"/>
              <w:spacing w:after="0" w:line="135" w:lineRule="exact"/>
              <w:rPr>
                <w:sz w:val="20"/>
                <w:szCs w:val="20"/>
                <w:color w:val="auto"/>
              </w:rPr>
            </w:pPr>
            <w:r>
              <w:rPr>
                <w:rFonts w:ascii="Times New Roman" w:cs="Times New Roman" w:eastAsia="Times New Roman" w:hAnsi="Times New Roman"/>
                <w:sz w:val="13"/>
                <w:szCs w:val="13"/>
                <w:b w:val="1"/>
                <w:bCs w:val="1"/>
                <w:color w:val="auto"/>
              </w:rPr>
              <w:t>$0.0001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6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e</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88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1"/>
                <w:szCs w:val="11"/>
                <w:color w:val="auto"/>
              </w:rPr>
            </w:pPr>
          </w:p>
        </w:tc>
        <w:tc>
          <w:tcPr>
            <w:tcW w:w="840" w:type="dxa"/>
            <w:vAlign w:val="bottom"/>
            <w:tcBorders>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(Loss) Income</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Balance—January 1, 2022</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54,983,105</w:t>
            </w:r>
          </w:p>
        </w:tc>
        <w:tc>
          <w:tcPr>
            <w:tcW w:w="880" w:type="dxa"/>
            <w:vAlign w:val="bottom"/>
            <w:gridSpan w:val="2"/>
            <w:shd w:val="clear" w:color="auto" w:fill="CFF0FC"/>
          </w:tcPr>
          <w:p>
            <w:pPr>
              <w:jc w:val="right"/>
              <w:ind w:right="5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340" w:type="dxa"/>
            <w:vAlign w:val="bottom"/>
            <w:gridSpan w:val="2"/>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952,019</w:t>
            </w:r>
          </w:p>
        </w:tc>
        <w:tc>
          <w:tcPr>
            <w:tcW w:w="380" w:type="dxa"/>
            <w:vAlign w:val="bottom"/>
            <w:gridSpan w:val="2"/>
            <w:shd w:val="clear" w:color="auto" w:fill="CFF0FC"/>
          </w:tcPr>
          <w:p>
            <w:pPr>
              <w:ind w:lef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(543,702 )</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408,368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4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Proceeds from at-the-market offering, net of $600</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offering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1,111,111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direct offering, net of $10,535 offering expenses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7,840,909</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161,965</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161,966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purchase under ESPP</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28,999</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Pre-funded warrant cashless exercise</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2,832,151</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Vesting of RSU</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38,749</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(851 )</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(851 )</w:t>
            </w: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withholdings ESPP</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401</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1,276,361</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11,459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(149,338 )</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(149,338 )</w:t>
            </w: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Balance—December 31, 2022</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68,111,385</w:t>
            </w:r>
          </w:p>
        </w:tc>
        <w:tc>
          <w:tcPr>
            <w:tcW w:w="220" w:type="dxa"/>
            <w:vAlign w:val="bottom"/>
          </w:tcPr>
          <w:p>
            <w:pPr>
              <w:spacing w:after="0"/>
              <w:rPr>
                <w:sz w:val="11"/>
                <w:szCs w:val="11"/>
                <w:color w:val="auto"/>
              </w:rPr>
            </w:pPr>
          </w:p>
        </w:tc>
        <w:tc>
          <w:tcPr>
            <w:tcW w:w="660" w:type="dxa"/>
            <w:vAlign w:val="bottom"/>
          </w:tcPr>
          <w:p>
            <w:pPr>
              <w:jc w:val="right"/>
              <w:ind w:right="5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1,161,288</w:t>
            </w:r>
          </w:p>
        </w:tc>
        <w:tc>
          <w:tcPr>
            <w:tcW w:w="200" w:type="dxa"/>
            <w:vAlign w:val="bottom"/>
          </w:tcPr>
          <w:p>
            <w:pPr>
              <w:spacing w:after="0"/>
              <w:rPr>
                <w:sz w:val="11"/>
                <w:szCs w:val="11"/>
                <w:color w:val="auto"/>
              </w:rPr>
            </w:pPr>
          </w:p>
        </w:tc>
        <w:tc>
          <w:tcPr>
            <w:tcW w:w="1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(806 )</w:t>
            </w: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(693,040 )</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467,449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direct offering, net of $14,044 offering expenses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12,432,431</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215,954</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215,955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at-the-market offerings, net of $1,086 offering expense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2,719,744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42,139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30,951</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30,951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purchase under ESPP</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34,797</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withholdings ESPP</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Pre-funded warrant cashless exercise</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857,131</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Vesting of RSU</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9,102</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662,042</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5,128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(209,360 )</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(209,360 )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Balance—December 31, 2023</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84,826,632</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1,456,370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(902,400 )</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554,196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(loss) gain on investments</w:t>
            </w: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(55 )</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(55 )</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purchase under ESPP</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64,903</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Employee withholdings ESPP</w:t>
            </w: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1,715</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Vesting of RSU</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85,495</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4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717,413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7,999</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(318,758 )</w:t>
            </w:r>
          </w:p>
        </w:tc>
        <w:tc>
          <w:tcPr>
            <w:tcW w:w="12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(318,758 )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Balance—December 31, 2024</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85,694,443</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1,509,110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(1,221,158 )</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288,124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-1765300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-1765300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-1765300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-1765300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-1765300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-1765300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-24765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1413" w:right="559" w:bottom="1440" w:gutter="0" w:footer="0" w:header="0"/>
        </w:sectPr>
      </w:pPr>
    </w:p>
    <w:bookmarkStart w:id="95" w:name="page96"/>
    <w:bookmarkEnd w:id="95"/>
    <w:p>
      <w:pPr>
        <w:ind w:left="346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56"/>
        </w:trPr>
        <w:tc>
          <w:tcPr>
            <w:tcW w:w="64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4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2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(318,758 )</w:t>
            </w:r>
          </w:p>
        </w:tc>
        <w:tc>
          <w:tcPr>
            <w:tcW w:w="2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(209,360 )</w:t>
            </w:r>
          </w:p>
        </w:tc>
        <w:tc>
          <w:tcPr>
            <w:tcW w:w="2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(149,338 )</w:t>
            </w:r>
          </w:p>
        </w:tc>
      </w:tr>
      <w:tr>
        <w:trPr>
          <w:trHeight w:val="145"/>
        </w:trPr>
        <w:tc>
          <w:tcPr>
            <w:tcW w:w="6400" w:type="dxa"/>
            <w:vAlign w:val="bottom"/>
            <w:shd w:val="clear" w:color="auto" w:fill="CFF0FC"/>
          </w:tcPr>
          <w:p>
            <w:pPr>
              <w:ind w:left="180"/>
              <w:spacing w:after="0" w:line="145" w:lineRule="exact"/>
              <w:rPr>
                <w:sz w:val="20"/>
                <w:szCs w:val="20"/>
                <w:color w:val="auto"/>
              </w:rPr>
            </w:pPr>
            <w:r>
              <w:rPr>
                <w:rFonts w:ascii="Times New Roman" w:cs="Times New Roman" w:eastAsia="Times New Roman" w:hAnsi="Times New Roman"/>
                <w:sz w:val="15"/>
                <w:szCs w:val="15"/>
                <w:color w:val="auto"/>
              </w:rPr>
              <w:t>Adjustments to reconcile net loss to net cash provided (used in) provided by</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6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operating activities: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64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Depreciation</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4"/>
                <w:szCs w:val="14"/>
                <w:color w:val="auto"/>
              </w:rPr>
            </w:pPr>
          </w:p>
        </w:tc>
      </w:tr>
      <w:tr>
        <w:trPr>
          <w:trHeight w:val="162"/>
        </w:trPr>
        <w:tc>
          <w:tcPr>
            <w:tcW w:w="64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Accretion of investments</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(13,468 )</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(14,803 )</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(3,382 )</w:t>
            </w:r>
          </w:p>
        </w:tc>
      </w:tr>
      <w:tr>
        <w:trPr>
          <w:trHeight w:val="162"/>
        </w:trPr>
        <w:tc>
          <w:tcPr>
            <w:tcW w:w="64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Non-cash operating lease expense</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421</w:t>
            </w:r>
          </w:p>
        </w:tc>
        <w:tc>
          <w:tcPr>
            <w:tcW w:w="100" w:type="dxa"/>
            <w:vAlign w:val="bottom"/>
          </w:tcPr>
          <w:p>
            <w:pPr>
              <w:spacing w:after="0"/>
              <w:rPr>
                <w:sz w:val="14"/>
                <w:szCs w:val="14"/>
                <w:color w:val="auto"/>
              </w:rPr>
            </w:pPr>
          </w:p>
        </w:tc>
      </w:tr>
      <w:tr>
        <w:trPr>
          <w:trHeight w:val="162"/>
        </w:trPr>
        <w:tc>
          <w:tcPr>
            <w:tcW w:w="64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Non-cash interest income (expense)</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1,103</w:t>
            </w:r>
          </w:p>
        </w:tc>
        <w:tc>
          <w:tcPr>
            <w:tcW w:w="100" w:type="dxa"/>
            <w:vAlign w:val="bottom"/>
            <w:shd w:val="clear" w:color="auto" w:fill="CFF0FC"/>
          </w:tcPr>
          <w:p>
            <w:pPr>
              <w:spacing w:after="0"/>
              <w:rPr>
                <w:sz w:val="14"/>
                <w:szCs w:val="14"/>
                <w:color w:val="auto"/>
              </w:rPr>
            </w:pPr>
          </w:p>
        </w:tc>
      </w:tr>
      <w:tr>
        <w:trPr>
          <w:trHeight w:val="162"/>
        </w:trPr>
        <w:tc>
          <w:tcPr>
            <w:tcW w:w="64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Changes in fair value of derivative liability</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(187 )</w:t>
            </w:r>
          </w:p>
        </w:tc>
      </w:tr>
      <w:tr>
        <w:trPr>
          <w:trHeight w:val="162"/>
        </w:trPr>
        <w:tc>
          <w:tcPr>
            <w:tcW w:w="64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43,026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30,951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16,019</w:t>
            </w:r>
          </w:p>
        </w:tc>
        <w:tc>
          <w:tcPr>
            <w:tcW w:w="100" w:type="dxa"/>
            <w:vAlign w:val="bottom"/>
            <w:shd w:val="clear" w:color="auto" w:fill="CFF0FC"/>
          </w:tcPr>
          <w:p>
            <w:pPr>
              <w:spacing w:after="0"/>
              <w:rPr>
                <w:sz w:val="14"/>
                <w:szCs w:val="14"/>
                <w:color w:val="auto"/>
              </w:rPr>
            </w:pPr>
          </w:p>
        </w:tc>
      </w:tr>
      <w:tr>
        <w:trPr>
          <w:trHeight w:val="162"/>
        </w:trPr>
        <w:tc>
          <w:tcPr>
            <w:tcW w:w="64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40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4"/>
                <w:szCs w:val="14"/>
                <w:color w:val="auto"/>
              </w:rPr>
            </w:pPr>
          </w:p>
        </w:tc>
        <w:tc>
          <w:tcPr>
            <w:tcW w:w="10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(7,602 )</w:t>
            </w:r>
          </w:p>
        </w:tc>
        <w:tc>
          <w:tcPr>
            <w:tcW w:w="24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00" w:type="dxa"/>
            <w:vAlign w:val="bottom"/>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(366 )</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0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tcPr>
          <w:p>
            <w:pPr>
              <w:spacing w:after="0"/>
              <w:rPr>
                <w:sz w:val="14"/>
                <w:szCs w:val="14"/>
                <w:color w:val="auto"/>
              </w:rPr>
            </w:pPr>
          </w:p>
        </w:tc>
        <w:tc>
          <w:tcPr>
            <w:tcW w:w="10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(8,393 )</w:t>
            </w: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(2,972 )</w:t>
            </w:r>
          </w:p>
        </w:tc>
      </w:tr>
      <w:tr>
        <w:trPr>
          <w:trHeight w:val="162"/>
        </w:trPr>
        <w:tc>
          <w:tcPr>
            <w:tcW w:w="6400" w:type="dxa"/>
            <w:vAlign w:val="bottom"/>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color w:val="auto"/>
              </w:rPr>
              <w:t>Collaboration payable/receivable, net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11,999</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(3,474 )</w:t>
            </w:r>
          </w:p>
        </w:tc>
      </w:tr>
      <w:tr>
        <w:trPr>
          <w:trHeight w:val="162"/>
        </w:trPr>
        <w:tc>
          <w:tcPr>
            <w:tcW w:w="640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Other receivable</w:t>
            </w:r>
          </w:p>
        </w:tc>
        <w:tc>
          <w:tcPr>
            <w:tcW w:w="240" w:type="dxa"/>
            <w:vAlign w:val="bottom"/>
          </w:tcPr>
          <w:p>
            <w:pPr>
              <w:spacing w:after="0"/>
              <w:rPr>
                <w:sz w:val="14"/>
                <w:szCs w:val="14"/>
                <w:color w:val="auto"/>
              </w:rPr>
            </w:pPr>
          </w:p>
        </w:tc>
        <w:tc>
          <w:tcPr>
            <w:tcW w:w="10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(3,635 )</w:t>
            </w:r>
          </w:p>
        </w:tc>
        <w:tc>
          <w:tcPr>
            <w:tcW w:w="24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00" w:type="dxa"/>
            <w:vAlign w:val="bottom"/>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463</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0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5,611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(1,319 )</w:t>
            </w:r>
          </w:p>
        </w:tc>
      </w:tr>
      <w:tr>
        <w:trPr>
          <w:trHeight w:val="162"/>
        </w:trPr>
        <w:tc>
          <w:tcPr>
            <w:tcW w:w="6400" w:type="dxa"/>
            <w:vAlign w:val="bottom"/>
            <w:tcBorders>
              <w:bottom w:val="single" w:sz="8" w:color="CFF0FC"/>
            </w:tcBorders>
            <w:shd w:val="clear" w:color="auto" w:fill="CFF0FC"/>
          </w:tcPr>
          <w:p>
            <w:pPr>
              <w:ind w:left="54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19,139</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14,867</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9,421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40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240" w:type="dxa"/>
            <w:vAlign w:val="bottom"/>
          </w:tcPr>
          <w:p>
            <w:pPr>
              <w:spacing w:after="0"/>
              <w:rPr>
                <w:sz w:val="13"/>
                <w:szCs w:val="13"/>
                <w:color w:val="auto"/>
              </w:rPr>
            </w:pPr>
          </w:p>
        </w:tc>
        <w:tc>
          <w:tcPr>
            <w:tcW w:w="10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(274,903 )</w:t>
            </w:r>
          </w:p>
        </w:tc>
        <w:tc>
          <w:tcPr>
            <w:tcW w:w="240" w:type="dxa"/>
            <w:vAlign w:val="bottom"/>
          </w:tcPr>
          <w:p>
            <w:pPr>
              <w:spacing w:after="0"/>
              <w:rPr>
                <w:sz w:val="13"/>
                <w:szCs w:val="13"/>
                <w:color w:val="auto"/>
              </w:rPr>
            </w:pPr>
          </w:p>
        </w:tc>
        <w:tc>
          <w:tcPr>
            <w:tcW w:w="104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(160,601 )</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(133,675 )</w:t>
            </w:r>
          </w:p>
        </w:tc>
      </w:tr>
      <w:tr>
        <w:trPr>
          <w:trHeight w:val="156"/>
        </w:trPr>
        <w:tc>
          <w:tcPr>
            <w:tcW w:w="64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4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Proceeds from sales of equipment</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100" w:type="dxa"/>
            <w:vAlign w:val="bottom"/>
          </w:tcPr>
          <w:p>
            <w:pPr>
              <w:spacing w:after="0"/>
              <w:rPr>
                <w:sz w:val="14"/>
                <w:szCs w:val="14"/>
                <w:color w:val="auto"/>
              </w:rPr>
            </w:pPr>
          </w:p>
        </w:tc>
      </w:tr>
      <w:tr>
        <w:trPr>
          <w:trHeight w:val="162"/>
        </w:trPr>
        <w:tc>
          <w:tcPr>
            <w:tcW w:w="64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Purchases of short and long-term investments</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(557,052 )</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(354,606 )</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(495,346 )</w:t>
            </w:r>
          </w:p>
        </w:tc>
      </w:tr>
      <w:tr>
        <w:trPr>
          <w:trHeight w:val="162"/>
        </w:trPr>
        <w:tc>
          <w:tcPr>
            <w:tcW w:w="64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Proceeds from maturities of short-term investments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337,277</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472,215</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308,933</w:t>
            </w:r>
          </w:p>
        </w:tc>
        <w:tc>
          <w:tcPr>
            <w:tcW w:w="100" w:type="dxa"/>
            <w:vAlign w:val="bottom"/>
          </w:tcPr>
          <w:p>
            <w:pPr>
              <w:spacing w:after="0"/>
              <w:rPr>
                <w:sz w:val="14"/>
                <w:szCs w:val="14"/>
                <w:color w:val="auto"/>
              </w:rPr>
            </w:pPr>
          </w:p>
        </w:tc>
      </w:tr>
      <w:tr>
        <w:trPr>
          <w:trHeight w:val="156"/>
        </w:trPr>
        <w:tc>
          <w:tcPr>
            <w:tcW w:w="6400" w:type="dxa"/>
            <w:vAlign w:val="bottom"/>
            <w:shd w:val="clear" w:color="auto" w:fill="CFF0FC"/>
          </w:tcPr>
          <w:p>
            <w:pPr>
              <w:ind w:left="360"/>
              <w:spacing w:after="0" w:line="156" w:lineRule="exact"/>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(219,775 )</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117,609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(186,188 )</w:t>
            </w:r>
          </w:p>
        </w:tc>
      </w:tr>
      <w:tr>
        <w:trPr>
          <w:trHeight w:val="155"/>
        </w:trPr>
        <w:tc>
          <w:tcPr>
            <w:tcW w:w="64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45"/>
        </w:trPr>
        <w:tc>
          <w:tcPr>
            <w:tcW w:w="6400" w:type="dxa"/>
            <w:vAlign w:val="bottom"/>
            <w:shd w:val="clear" w:color="auto" w:fill="CFF0FC"/>
          </w:tcPr>
          <w:p>
            <w:pPr>
              <w:ind w:left="180"/>
              <w:spacing w:after="0" w:line="145" w:lineRule="exact"/>
              <w:rPr>
                <w:sz w:val="20"/>
                <w:szCs w:val="20"/>
                <w:color w:val="auto"/>
              </w:rPr>
            </w:pPr>
            <w:r>
              <w:rPr>
                <w:rFonts w:ascii="Times New Roman" w:cs="Times New Roman" w:eastAsia="Times New Roman" w:hAnsi="Times New Roman"/>
                <w:sz w:val="15"/>
                <w:szCs w:val="15"/>
                <w:color w:val="auto"/>
              </w:rPr>
              <w:t>Proceeds from issuance of common stock in follow on public</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6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offerings, net</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215,955</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161,965</w:t>
            </w:r>
          </w:p>
        </w:tc>
        <w:tc>
          <w:tcPr>
            <w:tcW w:w="100" w:type="dxa"/>
            <w:vAlign w:val="bottom"/>
            <w:shd w:val="clear" w:color="auto" w:fill="CFF0FC"/>
          </w:tcPr>
          <w:p>
            <w:pPr>
              <w:spacing w:after="0"/>
              <w:rPr>
                <w:sz w:val="15"/>
                <w:szCs w:val="15"/>
                <w:color w:val="auto"/>
              </w:rPr>
            </w:pPr>
          </w:p>
        </w:tc>
      </w:tr>
      <w:tr>
        <w:trPr>
          <w:trHeight w:val="145"/>
        </w:trPr>
        <w:tc>
          <w:tcPr>
            <w:tcW w:w="6400" w:type="dxa"/>
            <w:vAlign w:val="bottom"/>
          </w:tcPr>
          <w:p>
            <w:pPr>
              <w:ind w:left="180"/>
              <w:spacing w:after="0" w:line="145" w:lineRule="exact"/>
              <w:rPr>
                <w:sz w:val="20"/>
                <w:szCs w:val="20"/>
                <w:color w:val="auto"/>
              </w:rPr>
            </w:pPr>
            <w:r>
              <w:rPr>
                <w:rFonts w:ascii="Times New Roman" w:cs="Times New Roman" w:eastAsia="Times New Roman" w:hAnsi="Times New Roman"/>
                <w:sz w:val="15"/>
                <w:szCs w:val="15"/>
                <w:color w:val="auto"/>
              </w:rPr>
              <w:t>Proceeds from issuance of common stock in at-the-market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64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offering, net</w:t>
            </w:r>
          </w:p>
        </w:tc>
        <w:tc>
          <w:tcPr>
            <w:tcW w:w="2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42,139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19,425</w:t>
            </w:r>
          </w:p>
        </w:tc>
        <w:tc>
          <w:tcPr>
            <w:tcW w:w="100" w:type="dxa"/>
            <w:vAlign w:val="bottom"/>
          </w:tcPr>
          <w:p>
            <w:pPr>
              <w:spacing w:after="0"/>
              <w:rPr>
                <w:sz w:val="15"/>
                <w:szCs w:val="15"/>
                <w:color w:val="auto"/>
              </w:rPr>
            </w:pPr>
          </w:p>
        </w:tc>
      </w:tr>
      <w:tr>
        <w:trPr>
          <w:trHeight w:val="162"/>
        </w:trPr>
        <w:tc>
          <w:tcPr>
            <w:tcW w:w="64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Proceeds from Purchase and Sale agreement, net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343,652</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Payment on term loan</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(20,996 )</w:t>
            </w:r>
          </w:p>
        </w:tc>
      </w:tr>
      <w:tr>
        <w:trPr>
          <w:trHeight w:val="162"/>
        </w:trPr>
        <w:tc>
          <w:tcPr>
            <w:tcW w:w="640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5"/>
                <w:szCs w:val="15"/>
                <w:color w:val="auto"/>
              </w:rPr>
              <w:t>Proceeds from ESPP</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910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401</w:t>
            </w:r>
          </w:p>
        </w:tc>
        <w:tc>
          <w:tcPr>
            <w:tcW w:w="100" w:type="dxa"/>
            <w:vAlign w:val="bottom"/>
            <w:shd w:val="clear" w:color="auto" w:fill="CFF0FC"/>
          </w:tcPr>
          <w:p>
            <w:pPr>
              <w:spacing w:after="0"/>
              <w:rPr>
                <w:sz w:val="14"/>
                <w:szCs w:val="14"/>
                <w:color w:val="auto"/>
              </w:rPr>
            </w:pPr>
          </w:p>
        </w:tc>
      </w:tr>
      <w:tr>
        <w:trPr>
          <w:trHeight w:val="162"/>
        </w:trPr>
        <w:tc>
          <w:tcPr>
            <w:tcW w:w="64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Proceeds from stock option exercises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5,128</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11,459</w:t>
            </w:r>
          </w:p>
        </w:tc>
        <w:tc>
          <w:tcPr>
            <w:tcW w:w="100" w:type="dxa"/>
            <w:vAlign w:val="bottom"/>
          </w:tcPr>
          <w:p>
            <w:pPr>
              <w:spacing w:after="0"/>
              <w:rPr>
                <w:sz w:val="14"/>
                <w:szCs w:val="14"/>
                <w:color w:val="auto"/>
              </w:rPr>
            </w:pPr>
          </w:p>
        </w:tc>
      </w:tr>
      <w:tr>
        <w:trPr>
          <w:trHeight w:val="155"/>
        </w:trPr>
        <w:tc>
          <w:tcPr>
            <w:tcW w:w="6400" w:type="dxa"/>
            <w:vAlign w:val="bottom"/>
          </w:tcPr>
          <w:p>
            <w:pPr>
              <w:ind w:left="36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353,367</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264,132</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172,254</w:t>
            </w:r>
          </w:p>
        </w:tc>
        <w:tc>
          <w:tcPr>
            <w:tcW w:w="100" w:type="dxa"/>
            <w:vAlign w:val="bottom"/>
          </w:tcPr>
          <w:p>
            <w:pPr>
              <w:spacing w:after="0"/>
              <w:rPr>
                <w:sz w:val="13"/>
                <w:szCs w:val="13"/>
                <w:color w:val="auto"/>
              </w:rPr>
            </w:pPr>
          </w:p>
        </w:tc>
      </w:tr>
      <w:tr>
        <w:trPr>
          <w:trHeight w:val="138"/>
        </w:trPr>
        <w:tc>
          <w:tcPr>
            <w:tcW w:w="6400" w:type="dxa"/>
            <w:vAlign w:val="bottom"/>
            <w:shd w:val="clear" w:color="auto" w:fill="CFF0FC"/>
          </w:tcPr>
          <w:p>
            <w:pPr>
              <w:spacing w:after="0" w:line="138" w:lineRule="exact"/>
              <w:rPr>
                <w:sz w:val="20"/>
                <w:szCs w:val="20"/>
                <w:color w:val="auto"/>
              </w:rPr>
            </w:pPr>
            <w:r>
              <w:rPr>
                <w:rFonts w:ascii="Times New Roman" w:cs="Times New Roman" w:eastAsia="Times New Roman" w:hAnsi="Times New Roman"/>
                <w:sz w:val="15"/>
                <w:szCs w:val="15"/>
                <w:color w:val="auto"/>
              </w:rPr>
              <w:t>NET INCREASE (DECREASE) IN CASH, CASH EQUIVALENTS</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AND RESTRICTED CASH</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(141,311 )</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221,140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(147,609 )</w:t>
            </w: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CASH—beginning of year</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295,611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74,471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222,080</w:t>
            </w:r>
          </w:p>
        </w:tc>
        <w:tc>
          <w:tcPr>
            <w:tcW w:w="100" w:type="dxa"/>
            <w:vAlign w:val="bottom"/>
          </w:tcPr>
          <w:p>
            <w:pPr>
              <w:spacing w:after="0"/>
              <w:rPr>
                <w:sz w:val="14"/>
                <w:szCs w:val="14"/>
                <w:color w:val="auto"/>
              </w:rPr>
            </w:pPr>
          </w:p>
        </w:tc>
      </w:tr>
      <w:tr>
        <w:trPr>
          <w:trHeight w:val="195"/>
        </w:trPr>
        <w:tc>
          <w:tcPr>
            <w:tcW w:w="64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CASH—end of year</w:t>
            </w:r>
          </w:p>
        </w:tc>
        <w:tc>
          <w:tcPr>
            <w:tcW w:w="24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154,300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295,611</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74,471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40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Schedule of Cash Flow Information: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4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24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2,059</w:t>
            </w:r>
          </w:p>
        </w:tc>
        <w:tc>
          <w:tcPr>
            <w:tcW w:w="100" w:type="dxa"/>
            <w:vAlign w:val="bottom"/>
            <w:shd w:val="clear" w:color="auto" w:fill="CFF0FC"/>
          </w:tcPr>
          <w:p>
            <w:pPr>
              <w:spacing w:after="0"/>
              <w:rPr>
                <w:sz w:val="14"/>
                <w:szCs w:val="14"/>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costs in accounts payable and accrued expenses</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14"/>
                <w:szCs w:val="14"/>
                <w:color w:val="auto"/>
              </w:rPr>
            </w:pPr>
          </w:p>
        </w:tc>
      </w:tr>
      <w:tr>
        <w:trPr>
          <w:trHeight w:val="162"/>
        </w:trPr>
        <w:tc>
          <w:tcPr>
            <w:tcW w:w="64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Lease assets recognized upon lease remeasurement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1,524</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-2553970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-2553970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-2553970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-1910715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-1910715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-1910715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-436245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-419100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-436245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-419100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-436245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-419100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13" w:right="899" w:bottom="1440" w:gutter="0" w:footer="0" w:header="0"/>
        </w:sectPr>
      </w:pPr>
    </w:p>
    <w:bookmarkStart w:id="96" w:name="page97"/>
    <w:bookmarkEnd w:id="96"/>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equivalents reported within the consolidated balance sheets that sum to the total of the amounts shown in the consolidated statements of cash flows: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5"/>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6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154,083</w:t>
            </w:r>
          </w:p>
        </w:tc>
        <w:tc>
          <w:tcPr>
            <w:tcW w:w="3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295,394</w:t>
            </w:r>
          </w:p>
        </w:tc>
        <w:tc>
          <w:tcPr>
            <w:tcW w:w="5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74,356</w:t>
            </w:r>
          </w:p>
        </w:tc>
        <w:tc>
          <w:tcPr>
            <w:tcW w:w="120" w:type="dxa"/>
            <w:vAlign w:val="bottom"/>
            <w:shd w:val="clear" w:color="auto" w:fill="CFF0FC"/>
          </w:tcPr>
          <w:p>
            <w:pPr>
              <w:spacing w:after="0"/>
              <w:rPr>
                <w:sz w:val="14"/>
                <w:szCs w:val="14"/>
                <w:color w:val="auto"/>
              </w:rPr>
            </w:pPr>
          </w:p>
        </w:tc>
      </w:tr>
      <w:tr>
        <w:trPr>
          <w:trHeight w:val="162"/>
        </w:trPr>
        <w:tc>
          <w:tcPr>
            <w:tcW w:w="62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217</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115</w:t>
            </w:r>
          </w:p>
        </w:tc>
        <w:tc>
          <w:tcPr>
            <w:tcW w:w="120" w:type="dxa"/>
            <w:vAlign w:val="bottom"/>
          </w:tcPr>
          <w:p>
            <w:pPr>
              <w:spacing w:after="0"/>
              <w:rPr>
                <w:sz w:val="14"/>
                <w:szCs w:val="14"/>
                <w:color w:val="auto"/>
              </w:rPr>
            </w:pPr>
          </w:p>
        </w:tc>
      </w:tr>
      <w:tr>
        <w:trPr>
          <w:trHeight w:val="195"/>
        </w:trPr>
        <w:tc>
          <w:tcPr>
            <w:tcW w:w="62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w:t>
            </w:r>
          </w:p>
        </w:tc>
        <w:tc>
          <w:tcPr>
            <w:tcW w:w="2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154,300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295,611</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74,471</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Syndax Pharmaceuticals, Inc. (the “Company” or “Syndax”) is a commercial-stage biopharmaceutical company developing an innovative pipeline of cancer therapies. The Company currently has two commercially approved medicines and a robust slate of clinical development programs.</w:t>
      </w:r>
    </w:p>
    <w:p>
      <w:pPr>
        <w:spacing w:after="0" w:line="61" w:lineRule="exact"/>
        <w:rPr>
          <w:sz w:val="20"/>
          <w:szCs w:val="20"/>
          <w:color w:val="auto"/>
        </w:rPr>
      </w:pPr>
    </w:p>
    <w:p>
      <w:pPr>
        <w:ind w:right="200" w:firstLine="509"/>
        <w:spacing w:after="0"/>
        <w:rPr>
          <w:sz w:val="20"/>
          <w:szCs w:val="20"/>
          <w:color w:val="auto"/>
        </w:rPr>
      </w:pPr>
      <w:r>
        <w:rPr>
          <w:rFonts w:ascii="Times New Roman" w:cs="Times New Roman" w:eastAsia="Times New Roman" w:hAnsi="Times New Roman"/>
          <w:sz w:val="18"/>
          <w:szCs w:val="18"/>
          <w:color w:val="auto"/>
        </w:rPr>
        <w:t>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is a first-in-class menin inhibitor that was FDA-approved in November 2024 for the treatment of relapsed or refractory, or R/R, acute leukemia with a lysine methyltransferase 2A gene, or KMT2A, translocation in adult and pediatric patients one year old and older. The Company is also studying revumenib in combination with standard-of-care agents in mNPM1 AML or KMT2A-rearranged acute leukemia across the treatment landscape, including in newly diagnosed patients. Additionally, the Company is exploring the use of revumenib as a treatment in solid tumors, specifically its activity in metastatic colorectal cancer.</w:t>
      </w:r>
    </w:p>
    <w:p>
      <w:pPr>
        <w:spacing w:after="0" w:line="9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Niktimvo™ (axatilimab-csfr) is a first-in-class colony stimulating factor-1 receptor, or CSF-1R, blocking antibody that was FDA-approved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 of care therapies, as well for the treatment of idiopathic pulmonary fibrosis, or IPF. The Company plans to continue to leverage the technical and business expertise of its management team and scientific collaborators to license, acquire and develop additional therapeutics to expand its pipeline.</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with newly approved products and robust ongoing clinical programs, including, but not limited to, successful commercialization of its medicines, successful development of additional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market its current products, develop new product candidates, expand its oncology drug pipeline, earn revenue, obtain additional capital when needed, and ultimately, achieve profitable operations. Management expects to incur substantial losses on the ongoing development of its product candidates and the Company may not achieve positive cash flow from operations in the foreseeable future, if ever. As a result, the Company may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management believes that the cash, cash equivalents and short-term investments balances as of December 31, 2024, should enable the Company to maintain its planned operations for at least 12 months from the issuance date of these financial statements. The Company’s ability to fund all of its planned operations internally beyond that date, including the successful commercialization of its products and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selling, general and administrative activities.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8" w:name="page99"/>
    <w:bookmarkEnd w:id="98"/>
    <w:p>
      <w:pPr>
        <w:spacing w:after="0" w:line="19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successfully launching the Company's products; obtaining regulatory approval for additional indications for the Company's products and product candidates;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120" w:firstLine="509"/>
        <w:spacing w:after="0" w:line="313" w:lineRule="auto"/>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conformity with accounting principles generally accepted in the United States of America (“U.S. GAAP”).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CODM, or decision-making group, in making decisions regarding resource allocation and assessing performance. The CODM is the Company's Chief Executive Officer. The Company has one operating and reportable segment.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Cash and cash equivalents, restricted cash, and short and long-term investments are financial instruments that potentially subject the Company to concentrations of credit risk. Substantially all of the Company’s cash, cash equivalents, and short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and Supplier Concentration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has exposure to credit risk in accounts receivable from sales of product. Revuforj is sold to Specialty Distributors and Specialty Pharmacies, who subsequently sell Revuforj to pharmacies, hospitals and other customers. Five customers represented 100% of the Company's accounts receivable and net product sales for the year ended December 31, 2024</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outsources the manufacturing of its products to contract manufacturers. In addition, the Company currently relies on a sole supplier or a limited number of suppliers for the active pharmaceutical ingredients in its products. Accordingly, the Company has concentration risk associated with its commercial manufacturing.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primarily relates to amounts due from customers, which are typically due within 45 to 65 days. The Company analyzes accounts that are past due for collectability. To date, the Company has not experienced any credit losses with respect to the collection of its accounts receivable and has not recorded an allowance for credit losses as of December 31, 2024. The Company has no financial instruments with off balance sheet risk of loss.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Costs of inventories, which include amounts related to materials and manufacturing overhead, are determined on a first-in, first-out basis. An assessment of the recoverability of capitalized inventory is performed during each reporting period and any excess and obsolete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inventories are written down to their estimated net realizable value in the period in which the impairment is first identified. Inventory for the year ended December 31, 2024 represents manufacturing cost realized from the time of Revuforj approval through year end. The Company has recognized prepaid inventory within prepaid expenses and other current assets for the year ended December 31, 2024, representing the cost of goods purchased in advance from vendors, which will be recognized as inventory upon delivery and acceptance to the Company's designated location.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we expect to receive in exchange for those goods or services. The Company recognize revenue following the five – step model prescribed under FASB Accounting Standards Codification (ASC 606), Revenue from Contracts with Customers: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 The Company only recognizes revenue when it is probable that it will collect the consideration to which it is entitled in exchange for the goods or services that will be transferred to the customer.</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sells Revuforj to Specialty Distributors and Specialty Pharmacies (collectively, Customers). These Customers subsequently resell Revuforj to healthcare providers, patients and other pharmacies. In addition to agreements with Customers, the Company enters into arrangements with healthcare providers and payors that provide for government-mandated and/or privately-negotiated rebates, chargebacks and discounts for the purchase of Revuforj.</w:t>
      </w:r>
    </w:p>
    <w:p>
      <w:pPr>
        <w:spacing w:after="0" w:line="72"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at the point Customers obtain control of the product, which generally occurs upon delivery. The transaction price that is recognized as product revenue includes an estimate of variable consideration which is described below. Payment terms with Customers do not exceed one year and, therefore, the Company does not account for a financing component in its arrangements. The Company expenses incremental costs of obtaining a contract with a Customer (for example, sales commissions) when incurred as the period of benefit is less than one year. Shipping and handling costs for product shipments to Customers are recorded as selling, general and administrative expenses.</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Revenue from products is recognized at the estimated net sales price (transaction price), which includes estimates of variable consideration. The Company includes estimated amounts in the transaction price to the extent it is determined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 components of the Company's variable consideration include the following: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Provider Chargebacks and Discounts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Chargebacks for fees and discounts to providers represent the estimated obligations resulting from 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components of variable consideration are established in the same period that the related revenue is recognized, resulting in a reduction of product revenue and accounts receivable. These reserves are recorded as a reduction of revenue and accounts receivable in the period in which the related product revenue is recognized.</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Trade Discounts and Allowances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provides Customers with discounts that include incentive fees which are explicitly stated in the Company’s contracts. These discounts are recorded as a reduction of revenue and accounts receivable in the period in which the related product revenue is recognized. These reserves are recorded as a reduction of revenue and accounts receivable in the period in which the related product revenue is recognized.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the Company has a product returns policy that provides Customers a right of return for product purchased within a specified period prior to and subsequent to the product’s expiration date. The Company estimates the amount of its products that may be returned and presents this amount as a reduction of revenue in the period the related product revenue is recognized, in addition to establishing a current liability. The Company considers several factors in the estimation process, including expiration dates of product shipped to Customers, inventory levels within the distribution channel, product shelf life, prescription trends and other relevant factors. These reserves are recorded as a reduction of revenue in the period in which the related product revenue is recognized.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1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is subject to discount obligations under state Medicaid programs and Medicare. Reserves related to these discount obligations are recorded in the same period the related revenue is recognized, resulting in a reduction of product revenue and the establishment of a current liability. The Company’s liability for these rebates consists of estimates of claims for the current reporting period and estimated future claims that will be made for product that has been recognized as revenue but remains in the distribution channel inventories at the end of the reporting period. These reserves are recorded as a reduction of revenue in the period in which the related product revenue is recognized.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Patient Assistance</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Other programs that the Company offers include voluntary co-pay patient assistance programs intended to provide financial assistance to eligible patients with prescription drug co-payments required by payors and coupon programs for cash payors. The calculation of the current liability for this assistance is based on an estimate of claims and the cost per claim that the Company expects to receive associated with product that has been recognized as revenue but remain as in the distribution channel inventories at the end of each reporting period. These reserves are recorded as a reduction of revenue in the period in which the related product revenue is recognized.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Distribution and Other Fees</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pay distribution and other fees to certain customers in connection with the sales of our products. We record distribution and other fees paid to our customers as a reduction of revenue, unless the payment is for a distinct good or service from the customer and we can reasonably estimate the fair value of the goods or services received. If both conditions are met, we record the consideration paid to the customer as an operating expense. These costs are typically known at the time of sale, resulting in minimal adjustments subsequent to the period of sale. These reserves are recorded as a reduction of revenue in the period in which the related product revenue is recognized.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Development Milestone Payments</w:t>
      </w:r>
      <w:r>
        <w:rPr>
          <w:rFonts w:ascii="Times New Roman" w:cs="Times New Roman" w:eastAsia="Times New Roman" w:hAnsi="Times New Roman"/>
          <w:sz w:val="18"/>
          <w:szCs w:val="18"/>
          <w:color w:val="auto"/>
        </w:rPr>
        <w:t>: The Company evaluates whether milestones are considered probable of being reached and estimates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w:t>
      </w:r>
    </w:p>
    <w:p>
      <w:pPr>
        <w:spacing w:after="0" w:line="18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Commercial Milestone Payments and Royalties</w:t>
      </w:r>
      <w:r>
        <w:rPr>
          <w:rFonts w:ascii="Times New Roman" w:cs="Times New Roman" w:eastAsia="Times New Roman" w:hAnsi="Times New Roman"/>
          <w:sz w:val="18"/>
          <w:szCs w:val="18"/>
          <w:color w:val="auto"/>
        </w:rPr>
        <w:t>: For arrangements that include sales-based royalties, including milestone payments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8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181"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collaboration and license arrangements, please read </w:t>
      </w:r>
      <w:r>
        <w:rPr>
          <w:rFonts w:ascii="Times New Roman" w:cs="Times New Roman" w:eastAsia="Times New Roman" w:hAnsi="Times New Roman"/>
          <w:sz w:val="18"/>
          <w:szCs w:val="18"/>
          <w:i w:val="1"/>
          <w:iCs w:val="1"/>
          <w:color w:val="auto"/>
        </w:rPr>
        <w:t>Note 4, Collaborative Research and License Agreements</w:t>
      </w:r>
      <w:r>
        <w:rPr>
          <w:rFonts w:ascii="Times New Roman" w:cs="Times New Roman" w:eastAsia="Times New Roman" w:hAnsi="Times New Roman"/>
          <w:sz w:val="18"/>
          <w:szCs w:val="18"/>
          <w:color w:val="auto"/>
        </w:rPr>
        <w:t>, to these consolidated financial statements.</w:t>
      </w: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including promotional expenses, as incurred. Advertising expenses were $7.3 million, $6.1 million, and $1.5 million for the years ended December 31, 2024, 2023, and 2022,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instances where the Company enters into cost-sharing arrangements, all research and development costs reimbursed by the collaborators are accounted for as reductions to research and development expense. During the years ended December 31, 2024, 2023 and 2022 the Company has incurred external costs related to Incyte cost-sharing collaboration.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Costs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Clinical study and trial costs are a component of research and development expenses. The Company expenses clinical trial activities performed by third parties based on an evaluation of the progress to completion of specific contract tasks using data such as patient enrollment, clinical site activations, or other information provided to us by our vendors. Depending on the progression of the contract and timing of invoicing and payment the research and development expense can be an accrued expense or a prepaid expense. Prepaid clinical study and trial costs are included in short-term deposits on the accompanying consolidated balance sheet.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these consolidated financial statements) that require it to indemnify the landlord against all costs, expenses, fines, suits, claims, demands, liabilities, and actions directly resulting from any breach, violation, or nonperformance of any covenant or condition of the Company’s lease. Through December 31,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 Earnings Per Share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undistributed net income attributable to Syndax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The amendments in ASU 2023-07 are effective for all public entities for fiscal years beginning after December 15, 2023 and interim periods within fiscal years beginning after December 15, 2024. ASU 2023-07 did not change how a public entity identifies its operating segments, aggregates those operating segments, or applies the quantitative thresholds to determine its reportable segments. Under ASU 2023-07, public entities with a single reportable segment must apply all of the ASU’s disclosure requirements and the existing segment disclosure and reconciliation requirements in ASC 280 - Segment Reporting on an annual and interim basis. The Company implemented this ASU in 2024 and its impact was immaterial.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Collaborative Research and License Agreements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Incyte Collaboration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axatilimab as Niktimvo™ (axatilimab-csfr), which was approved in August 2024. The Company and Incyte share equally the profits and losses from co-commercialization efforts in the United States.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Incyte is responsible for leading all aspects of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non-U.S. countries. All development costs related to the collaboration with Incyte will be subject to a joint development plan.</w:t>
      </w:r>
    </w:p>
    <w:p>
      <w:pPr>
        <w:spacing w:after="0" w:line="187"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1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Incyte Agreement and the Incyte Share Purchase Agreement were executed on the same date and negotiated simultaneously. Management therefore concluded that the Incyte Agreements are to be combined for accounting purposes and therefore allocated the total consideration to the units of account identified. The common stock issued to Incyte was recorded at fair value of $24.8 million. Pursuant to the Letter Agreement, Incyte is permitted to terminate the Incyte Agreement, under circumstances under which the upfront payment of $117 million would be returned to Incyte and a cash settlement on the sale of the Company's common stock would be made to make the parties whole (the “Letter Agreement”). In connection with the closing of this transaction in December 2021, the Company determined that the cash settlement feature of the Letter Agreement represented an embedded derivative requiring bifurcation and separate accounting recognition at fair value. The Letter Agreement terminated in March 2022. Accordingly, the Company initially allocated $0.6 million of the total consideration received to the derivative liability. As of December 31, 2022, the fair value of the derivative was zero.</w:t>
      </w:r>
    </w:p>
    <w:p>
      <w:pPr>
        <w:spacing w:after="0" w:line="186"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Company evaluated the terms of the Incyte Agreement and determined it is within the scope of Accounting Standard Update </w:t>
      </w:r>
      <w:r>
        <w:rPr>
          <w:rFonts w:ascii="Times New Roman" w:cs="Times New Roman" w:eastAsia="Times New Roman" w:hAnsi="Times New Roman"/>
          <w:sz w:val="18"/>
          <w:szCs w:val="18"/>
          <w:i w:val="1"/>
          <w:iCs w:val="1"/>
          <w:color w:val="auto"/>
        </w:rPr>
        <w:t>2018-18,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and has elements that are within the scope of</w:t>
      </w:r>
      <w:r>
        <w:rPr>
          <w:rFonts w:ascii="Times New Roman" w:cs="Times New Roman" w:eastAsia="Times New Roman" w:hAnsi="Times New Roman"/>
          <w:sz w:val="18"/>
          <w:szCs w:val="18"/>
          <w:i w:val="1"/>
          <w:iCs w:val="1"/>
          <w:color w:val="auto"/>
        </w:rPr>
        <w:t xml:space="preserve"> Topic 606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Topic 808</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identified the following promises in the Incyte Agreements that were evaluated under the scope of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(i) delivery of a license for axatilimab to develop, commercialize, and conduct medical affairs and (ii) services to be performed in accordance with the development plan. The Company also evaluated whether certain options outlined within the Incyte Agreements represented material rights that would give rise to a performance obligation and concluded that none of the options convey a material right to Incyte and therefore are not considered separate performance obligations within the Incyte Agreements.</w:t>
      </w:r>
    </w:p>
    <w:p>
      <w:pPr>
        <w:spacing w:after="0" w:line="21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assessed the above promises and determined that the license for axatilimab represents the only performance obligation within the scope of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xml:space="preserve">. The license for axatilimab is considered functional intellectual property and distinct from other promises under the contract as Incyte can benefit from the license on its own or together with other readily available resources. The services performed by the Company to obtain regulatory approval of axatilimab are not complex or specialized, could be performed by another qualified third party, are not expected to significantly modify or customize the license given that axatilimab is late-stage intellectual property that has completed its Phase 1/2 trial and is currently enrolling in a global pivotal Phase 2 trial, and the services are expected to be performed over a short period of time. Therefore, the license represents a separate performance obligation within a contract with a customer under the scope of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xml:space="preserve"> at contract inception.</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considers the collaborative research and development activities and manufacturing activities to be separate units of account within the scope of </w:t>
      </w:r>
      <w:r>
        <w:rPr>
          <w:rFonts w:ascii="Times New Roman" w:cs="Times New Roman" w:eastAsia="Times New Roman" w:hAnsi="Times New Roman"/>
          <w:sz w:val="18"/>
          <w:szCs w:val="18"/>
          <w:i w:val="1"/>
          <w:iCs w:val="1"/>
          <w:color w:val="auto"/>
        </w:rPr>
        <w:t>Topic 808</w:t>
      </w:r>
      <w:r>
        <w:rPr>
          <w:rFonts w:ascii="Times New Roman" w:cs="Times New Roman" w:eastAsia="Times New Roman" w:hAnsi="Times New Roman"/>
          <w:sz w:val="18"/>
          <w:szCs w:val="18"/>
          <w:color w:val="auto"/>
        </w:rPr>
        <w:t xml:space="preserve"> and are not deliverables under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The Company and Incyte are both active participants in the activities and are exposed to significant risks and rewards that are dependent on the commercial success of the activities in the arrangement.</w:t>
      </w:r>
    </w:p>
    <w:p>
      <w:pPr>
        <w:spacing w:after="0" w:line="176"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The Company used the most likely amount method to estimate variable consideration and estimated that the most likely amount for each potential preclinical, development, and regulatory variable consideration milestone payment under this agreement is zero, as achievement of those milestones is uncertain and highly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royalties, including milestones based on the level of sales, were also excluded from the transaction price, as the license is deemed to be the predominant item to which the royalties relate. The Company will recognize such revenue at the later of (i) when the related sales occur, or (ii) when the performance obligation to which some or all of the royalty has been allocated has been satisfied (or partially satisfied).</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considers the collaborative research and development activities and manufacturing activities to be separate units of account within the scope of </w:t>
      </w:r>
      <w:r>
        <w:rPr>
          <w:rFonts w:ascii="Times New Roman" w:cs="Times New Roman" w:eastAsia="Times New Roman" w:hAnsi="Times New Roman"/>
          <w:sz w:val="18"/>
          <w:szCs w:val="18"/>
          <w:i w:val="1"/>
          <w:iCs w:val="1"/>
          <w:color w:val="auto"/>
        </w:rPr>
        <w:t>Topic 808</w:t>
      </w:r>
      <w:r>
        <w:rPr>
          <w:rFonts w:ascii="Times New Roman" w:cs="Times New Roman" w:eastAsia="Times New Roman" w:hAnsi="Times New Roman"/>
          <w:sz w:val="18"/>
          <w:szCs w:val="18"/>
          <w:color w:val="auto"/>
        </w:rPr>
        <w:t xml:space="preserve"> and are not deliverables under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The Company and Incyte are both active participants in the activities and are exposed to significant risks and rewards that are dependent on the commercial success of the activities in the arrangement.</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U.S. Food and Drug Administration, or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the third quarter of 2024.</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recorded $1.3 million as a collaboration receivable due from Incyte related to the Company's development and pre-commercialization costs under the Incyte Agreements and has recorded approximately $20.5 million as a collaboration payable due to Incyte for development and pre-commercialization costs incurred by Incyte as of December 31, 2024. Both expenses and cost offset are recorded as part of research and development and selling, general and administrative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and determines whether an arrangement is a lease at inception. Operating lease right-of-use (“ROU”) assets and lease liabilities are recognized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three existing building leases under ASC 842 that are classified as operating leases. In September 2016, the Company entered into a five-year operating lease for 12,207 square feet of office space in Waltham, MA, with a lease commencement date of March 1, 2017. On August 17, 2021, the Company signed a 36-month extension to the lease for the Waltham, MA office with aggregate payments of $1.6 million, with a lease commencement date of March 1, 2022. The remaining lease term as of December 31, 2024 was 2 months.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2015, the Company entered into a 62-month operating lease for 4,039 square feet of space in New York, NY, which commenced on January 1, 2016. In February 2021, the Company signed an 18-month extension to the lease for the New York office, which commenced on March 1, 2021. In August 2022, the Company signed a 36-month extension to the lease for the New York office, with aggregate payments of $0.7 million, with a lease commencement date of September 1, 2022. The remaining lease term as of December 31, 2024 was 8 months.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May 2023, the Company entered into a 27-month operating lease for an additional 12,217 square feet of space in New York, NY, with aggregate payments of $1.6 million, with a lease commencement date of June 1, 2023. In October 2024, the Company signed a 36-month extension to the lease for the New York office, with aggregate payments of $2.5 million, with a lease commencement date of October 23, 2024. The Company recognized $1.5 million of ROU asset and lease liability upon the remeasurement of the lease as a result of the extension. The remaining lease term as of December 31, 2024 was 44 months.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consolidated balance sheet includes a $2.0 million operating lease ROU asset and a $2.0 million ROU liability. The Company used an incremental borrowing rate of 10%-14% to calculate its lease obligations, and an increase or decrease in the rate does not have a significant impact on the ROU asset or ROU liability. The ROU asset is amortized on a straight-line basis over the remainder of the lease term. For the year ended December 31, 2024, the Company recorded approximately $1.1 million in operating lease expense and made approximately $1.2 million in lease payments.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operating leases, were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gridSpan w:val="2"/>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0" w:type="dxa"/>
            <w:vAlign w:val="bottom"/>
            <w:gridSpan w:val="2"/>
          </w:tcPr>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2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4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40" w:type="dxa"/>
            <w:vAlign w:val="bottom"/>
          </w:tcPr>
          <w:p>
            <w:pPr>
              <w:spacing w:after="0"/>
              <w:rPr>
                <w:sz w:val="18"/>
                <w:szCs w:val="18"/>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4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40" w:type="dxa"/>
            <w:vAlign w:val="bottom"/>
          </w:tcPr>
          <w:p>
            <w:pPr>
              <w:spacing w:after="0"/>
              <w:rPr>
                <w:sz w:val="18"/>
                <w:szCs w:val="18"/>
                <w:color w:val="auto"/>
              </w:rPr>
            </w:pPr>
          </w:p>
        </w:tc>
      </w:tr>
      <w:tr>
        <w:trPr>
          <w:trHeight w:val="210"/>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0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440" w:type="dxa"/>
            <w:vAlign w:val="bottom"/>
            <w:shd w:val="clear" w:color="auto" w:fill="CFF0FC"/>
          </w:tcPr>
          <w:p>
            <w:pPr>
              <w:spacing w:after="0"/>
              <w:rPr>
                <w:sz w:val="18"/>
                <w:szCs w:val="18"/>
                <w:color w:val="auto"/>
              </w:rPr>
            </w:pPr>
          </w:p>
        </w:tc>
      </w:tr>
      <w:tr>
        <w:trPr>
          <w:trHeight w:val="216"/>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(399 )</w:t>
            </w:r>
          </w:p>
        </w:tc>
      </w:tr>
      <w:tr>
        <w:trPr>
          <w:trHeight w:val="250"/>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4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-24765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capital leases as of December 31, 2024 and 2023, were $9,435 and $25,864,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(Loss) 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(loss) earnings per share are calculated as follows (in 000s):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 - basic and dulited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(318,758 )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(209,360 )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(149,338 )</w:t>
            </w:r>
          </w:p>
        </w:tc>
      </w:tr>
      <w:tr>
        <w:trPr>
          <w:trHeight w:val="20"/>
        </w:trPr>
        <w:tc>
          <w:tcPr>
            <w:tcW w:w="6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dulited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(318,758 )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(209,360 )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(149,338 )</w:t>
            </w:r>
          </w:p>
        </w:tc>
      </w:tr>
      <w:tr>
        <w:trPr>
          <w:trHeight w:val="197"/>
        </w:trPr>
        <w:tc>
          <w:tcPr>
            <w:tcW w:w="6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 - basic and diluted:</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dulited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-299720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-281940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 in 000s):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Options to purchase common</w:t>
            </w:r>
          </w:p>
        </w:tc>
        <w:tc>
          <w:tcPr>
            <w:tcW w:w="12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to purchase common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additional information related to the Company's common stock see </w:t>
      </w:r>
      <w:r>
        <w:rPr>
          <w:rFonts w:ascii="Times New Roman" w:cs="Times New Roman" w:eastAsia="Times New Roman" w:hAnsi="Times New Roman"/>
          <w:sz w:val="18"/>
          <w:szCs w:val="18"/>
          <w:i w:val="1"/>
          <w:iCs w:val="1"/>
          <w:color w:val="auto"/>
        </w:rPr>
        <w:t>Note 13, Common Stock</w:t>
      </w:r>
      <w:r>
        <w:rPr>
          <w:rFonts w:ascii="Times New Roman" w:cs="Times New Roman" w:eastAsia="Times New Roman" w:hAnsi="Times New Roman"/>
          <w:sz w:val="18"/>
          <w:szCs w:val="18"/>
          <w:color w:val="auto"/>
        </w:rPr>
        <w:t xml:space="preserve"> to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Significant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Vitae Pharmaceuticals, Inc.</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October 2017, the Company entered into a license agreement (the “Vitae License Agreement”) with Vitae Pharmaceuticals, Inc., a subsidiary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 (“AbbVie”), under which Vitae granted the Company an exclusive, sublicensable, worldwide license to a portfolio of preclinical, orally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molecule inhibitors of the interaction of menin with Mixed Lineage Leukemia (“MLL”) protein (the “Menin Assets”). The Company made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nonrefundable upfront payment of $5.0 million to Vitae in the fourth quarter of 2017. Additionally, subject to the achievement of certain milestone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required to pay AbbVie up to $99.0 million in one-time development and regulatory milestone payments over the term of the Vitae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 In the event that the Company or any of its affiliates or sublicensees commercializes the Menin Assets, the Company will also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to pay AbbVie low single to low double-digit royalties on sales, subject to reduction in certain circumstances, as well as up to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in potential one-time, sales-based milestone payments based on achievement of certain annual sales thresholds. Under certain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required to share a percentage of non-royalty income from sublicensees, subject to certain deductions, with AbbVie. The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responsible for the development and commercialization of the Menin Assets. Each party may terminate the Vitae License Agreement for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uncured material breach or insolvency; and the Company may terminate the Vitae License Agreement at will at any time upon advance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AbbVie. AbbVie may terminate the Vitae License Agreement if the Company or any of its affiliates or sublicensees institutes a legal challenge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enforceability, or patentability of the licensed patent rights. Unless terminated earlier in accordance with its terms, the Vitae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will continue on a country-by-country and product-by-product basis until the later of: (i) the expiration of all of the licensed patent rights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country; (ii) the expiration of all regulatory exclusivity applicable to the product in such country; and (iii) 10 years from the date of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sale of the product in such country.</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agreement, the Company achieved certain development and regulatory milestones resulting in $28.0 million in expense, which includes an $8.0 million milestone paid in the first quarter of 2024 and a $10.0 million milestone paid in the first quarter of 2025.</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UCB Biopharma Sprl</w:t>
      </w:r>
    </w:p>
    <w:p>
      <w:pPr>
        <w:spacing w:after="0" w:line="12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In July 2016, the Company entered into a license agreement (the “UCB License Agreement”) with UCB Biopharma Sprl (“UCB”), under which UCB granted to the Company a worldwide, sublicensable, exclusive license to UCB6352, which the Company refers to as axatilimab, an Investigational New Drug Application-ready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w:t>
      </w:r>
    </w:p>
    <w:p>
      <w:pPr>
        <w:spacing w:after="0" w:line="11" w:lineRule="exact"/>
        <w:rPr>
          <w:sz w:val="20"/>
          <w:szCs w:val="20"/>
          <w:color w:val="auto"/>
        </w:rPr>
      </w:pPr>
    </w:p>
    <w:p>
      <w:pPr>
        <w:ind w:left="5460" w:right="5020" w:hanging="5452"/>
        <w:spacing w:after="0" w:line="820" w:lineRule="auto"/>
        <w:tabs>
          <w:tab w:leader="none" w:pos="32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years from the date of the first commercial sale of the product in such country.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86"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$31.0 million as research and development expense, which includes a $15.0 million milestone paid during the third quarter of 2024 upon the approval of Niktimvo.</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Bayer Pharma AG (formerly known as Bayer Schering Pharma AG)</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19" w:lineRule="exact"/>
        <w:rPr>
          <w:sz w:val="20"/>
          <w:szCs w:val="20"/>
          <w:color w:val="auto"/>
        </w:rPr>
      </w:pPr>
    </w:p>
    <w:tbl>
      <w:tblPr>
        <w:tblLayout w:type="fixed"/>
        <w:tblInd w:w="192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06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-170815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as determined on a first-in, first-out basis.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Equipment</w:t>
            </w:r>
          </w:p>
        </w:tc>
        <w:tc>
          <w:tcPr>
            <w:tcW w:w="40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40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(419 )</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4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20" w:type="dxa"/>
            <w:vAlign w:val="bottom"/>
            <w:gridSpan w:val="2"/>
          </w:tcPr>
          <w:p>
            <w:pPr>
              <w:jc w:val="right"/>
              <w:ind w:right="3016"/>
              <w:spacing w:after="0"/>
              <w:rPr>
                <w:sz w:val="20"/>
                <w:szCs w:val="20"/>
                <w:color w:val="auto"/>
              </w:rPr>
            </w:pPr>
            <w:r>
              <w:rPr>
                <w:rFonts w:ascii="Times New Roman" w:cs="Times New Roman" w:eastAsia="Times New Roman" w:hAnsi="Times New Roman"/>
                <w:sz w:val="18"/>
                <w:szCs w:val="18"/>
                <w:color w:val="auto"/>
              </w:rPr>
              <w:t>F-22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-1499235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-1499235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-1216660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-1216660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$8,000 and $12,000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7"/>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84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33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692,404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shd w:val="clear" w:color="auto" w:fill="CFF0FC"/>
          </w:tcPr>
          <w:p>
            <w:pPr>
              <w:spacing w:after="0"/>
              <w:rPr>
                <w:sz w:val="17"/>
                <w:szCs w:val="17"/>
                <w:color w:val="auto"/>
              </w:rPr>
            </w:pPr>
          </w:p>
        </w:tc>
        <w:tc>
          <w:tcPr>
            <w:tcW w:w="3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33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600,527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-1302385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-1302385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-1302385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years ended December 31, 2024, and 2023. In addition, there have been no changes in valuation techniques during the years ended December 31, 2024, and 2023. The fair value of Level 1 instruments classified as cash equivalents are valued using quoted market prices in active markets. The fair value of Level 2 instruments classified as cash equivalents and short and long-term investments was determined other than quoted prices in active markets, which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either directly or indirectly observable as of the reporting date and fair value is determined using models or other valuation methodologies.</w:t>
      </w:r>
    </w:p>
    <w:p>
      <w:pPr>
        <w:spacing w:after="0" w:line="3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short-term and long-term investments are classified as available-for-sale securities. As of December 31, 2024, the remaining contractual maturities of the available-for-sale securities were 1 to 21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2024. As a result, the Company did not reclassify any amounts out of accumulated other comprehensive income for the same periods. The Company has a limited number of available-for-sale securities in insignificant loss positions as of December 31, 2024, which the Company does not intend to sell and has concluded will not be required to sell before recovery of the amortized cost for the investment at maturity.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1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9"/>
        </w:trPr>
        <w:tc>
          <w:tcPr>
            <w:tcW w:w="434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
        </w:trPr>
        <w:tc>
          <w:tcPr>
            <w:tcW w:w="1460" w:type="dxa"/>
            <w:vAlign w:val="bottom"/>
            <w:tcBorders>
              <w:top w:val="single" w:sz="8" w:color="auto"/>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263,896</w:t>
            </w:r>
          </w:p>
        </w:tc>
        <w:tc>
          <w:tcPr>
            <w:tcW w:w="100" w:type="dxa"/>
            <w:vAlign w:val="bottom"/>
          </w:tcPr>
          <w:p>
            <w:pPr>
              <w:spacing w:after="0"/>
              <w:rPr>
                <w:sz w:val="18"/>
                <w:szCs w:val="18"/>
                <w:color w:val="auto"/>
              </w:rPr>
            </w:pPr>
          </w:p>
        </w:tc>
      </w:tr>
      <w:tr>
        <w:trPr>
          <w:trHeight w:val="216"/>
        </w:trPr>
        <w:tc>
          <w:tcPr>
            <w:tcW w:w="4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233,945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234,164</w:t>
            </w:r>
          </w:p>
        </w:tc>
        <w:tc>
          <w:tcPr>
            <w:tcW w:w="100" w:type="dxa"/>
            <w:vAlign w:val="bottom"/>
          </w:tcPr>
          <w:p>
            <w:pPr>
              <w:spacing w:after="0"/>
              <w:rPr>
                <w:sz w:val="18"/>
                <w:szCs w:val="18"/>
                <w:color w:val="auto"/>
              </w:rPr>
            </w:pPr>
          </w:p>
        </w:tc>
      </w:tr>
      <w:tr>
        <w:trPr>
          <w:trHeight w:val="250"/>
        </w:trPr>
        <w:tc>
          <w:tcPr>
            <w:tcW w:w="1460" w:type="dxa"/>
            <w:vAlign w:val="bottom"/>
            <w:shd w:val="clear" w:color="auto" w:fill="CFF0FC"/>
          </w:tcPr>
          <w:p>
            <w:pPr>
              <w:spacing w:after="0"/>
              <w:rPr>
                <w:sz w:val="21"/>
                <w:szCs w:val="21"/>
                <w:color w:val="auto"/>
              </w:rPr>
            </w:pPr>
          </w:p>
        </w:tc>
        <w:tc>
          <w:tcPr>
            <w:tcW w:w="28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538,158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538,321</w:t>
            </w:r>
          </w:p>
        </w:tc>
        <w:tc>
          <w:tcPr>
            <w:tcW w:w="100" w:type="dxa"/>
            <w:vAlign w:val="bottom"/>
            <w:shd w:val="clear" w:color="auto" w:fill="CFF0FC"/>
          </w:tcPr>
          <w:p>
            <w:pPr>
              <w:spacing w:after="0"/>
              <w:rPr>
                <w:sz w:val="21"/>
                <w:szCs w:val="21"/>
                <w:color w:val="auto"/>
              </w:rPr>
            </w:pPr>
          </w:p>
        </w:tc>
      </w:tr>
      <w:tr>
        <w:trPr>
          <w:trHeight w:val="156"/>
        </w:trPr>
        <w:tc>
          <w:tcPr>
            <w:tcW w:w="4340" w:type="dxa"/>
            <w:vAlign w:val="bottom"/>
            <w:tcBorders>
              <w:top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160,657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160,806</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tcPr>
          <w:p>
            <w:pPr>
              <w:spacing w:after="0"/>
              <w:rPr>
                <w:sz w:val="18"/>
                <w:szCs w:val="18"/>
                <w:color w:val="auto"/>
              </w:rPr>
            </w:pPr>
          </w:p>
        </w:tc>
      </w:tr>
      <w:tr>
        <w:trPr>
          <w:trHeight w:val="216"/>
        </w:trPr>
        <w:tc>
          <w:tcPr>
            <w:tcW w:w="4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68,157</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0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4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304,916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100" w:type="dxa"/>
            <w:vAlign w:val="bottom"/>
            <w:shd w:val="clear" w:color="auto" w:fill="CFF0FC"/>
          </w:tcPr>
          <w:p>
            <w:pPr>
              <w:spacing w:after="0"/>
              <w:rPr>
                <w:sz w:val="19"/>
                <w:szCs w:val="19"/>
                <w:color w:val="auto"/>
              </w:rPr>
            </w:pPr>
          </w:p>
        </w:tc>
      </w:tr>
      <w:tr>
        <w:trPr>
          <w:trHeight w:val="20"/>
        </w:trPr>
        <w:tc>
          <w:tcPr>
            <w:tcW w:w="146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-882015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-864870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-882015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-864870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-882015</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-864870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-882015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64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7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2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27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2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7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76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40" w:type="dxa"/>
            <w:vAlign w:val="bottom"/>
            <w:gridSpan w:val="2"/>
          </w:tcPr>
          <w:p>
            <w:pPr>
              <w:jc w:val="right"/>
              <w:ind w:right="2479"/>
              <w:spacing w:after="0"/>
              <w:rPr>
                <w:sz w:val="20"/>
                <w:szCs w:val="20"/>
                <w:color w:val="auto"/>
              </w:rPr>
            </w:pPr>
            <w:r>
              <w:rPr>
                <w:rFonts w:ascii="Times New Roman" w:cs="Times New Roman" w:eastAsia="Times New Roman" w:hAnsi="Times New Roman"/>
                <w:sz w:val="18"/>
                <w:szCs w:val="18"/>
                <w:color w:val="auto"/>
              </w:rPr>
              <w:t>F-24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-1216660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-1216660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90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 costs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Accrued milestone costs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 debt</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r>
      <w:tr>
        <w:trPr>
          <w:trHeight w:val="25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 and other current liabilities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59,789</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Stock</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sales agreement with Cowen and Company, LLC, or TD Cowen, under which the Company could, from time to time, issue and sell shares of its common stock having aggregate sales proceeds of up to $75.0 million, in a series of one or more at-the-market, or ATM, equity offerings, or the 2021 ATM Program. On May 26, 2023, the Company terminated the 2021 ATM Program. Prior to termination the Company sold shares under the 2021 ATM Program for net proceeds of approximately $25.0 million.</w:t>
      </w:r>
    </w:p>
    <w:p>
      <w:pPr>
        <w:spacing w:after="0" w:line="7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entered into a new sales agreement with TD Cowen under which the Company could, from time to time, issue and sell shares of its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new sales agreement, shares will be sold pursuant to the previous shelf registration statement on Form S-3ASR (Registration No. 333-254661), which became automatically effective upon filing on March 24, 2021. The Company’s common stock will be sold at prevailing market prices at the time of the sale, and as a result, prices may vary. In the year ended December 31, 2023, the Company sold 2,719,744 common shares of common stock under the 2023 ATM Program, with net proceeds of approximately $42.1 million.</w:t>
      </w:r>
    </w:p>
    <w:p>
      <w:pPr>
        <w:spacing w:after="0" w:line="18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In December 2021, the Company issued 3,802,144 shares of common stock and pre-funded warrants to purchase 1,142,856 shares of common stock. The offering price for the securities was $17.50 per share or $17.4999 for each Pre-Funded Warrant, with net proceeds of approximately $81.2 million. On January 24, 2023, 86,000 pre-funded warrants were exercised for 85,998 shares of common stock, under a cashless exercise. On April 12, 2023, 273,000 pre-funded warrants were exercised for 272,996 shares of common stock, under a cashless exercise. On May 9, 2023, 498,142 pre-funded warrants were exercised for 498,137 shares of common stock, under a cashless exercise. As of December 31, 2024, 285,714 pre-funded warrants were considered issued and outstanding.</w:t>
      </w:r>
    </w:p>
    <w:p>
      <w:pPr>
        <w:spacing w:after="0" w:line="17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December 2022, the Company issued 7,840,909 shares of common stock. The offering price for the securities was $22.00 per share, with gross proceeds of approximately $172.5 million, offset by $10.5 million of issuance cost.</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December 2023, the Company issued 12,432,431 shares of common stock. The offering price for the securities was $18.50 per share, with gross proceeds of approximately $230.0 million, offset by $14.0 million of issuance cost.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pursuant to the following outstanding securities or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2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285,714</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At-the-market program</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7,280,256</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Options to purchase common stock</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12,992,166</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Equity plans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4,705,667</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 Employee Stock Purchase Plan (the “ESPP”)</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1,917,711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27,181,514</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continue to govern the terms of any equity grants that remain outstanding under the 2007 Plan.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2025, the shares available for issuance under the 2015 was increased to 7,447,028.</w:t>
      </w:r>
    </w:p>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2023, the Company's board of directors adopted its 2023 Inducement Plan (the “2023 Inducement Plan”), which became effective March 1, 2023. The 2023 Inducement Plan allows for the granting of nonqualified stock options, restricted stock units, and other awards under the 2023 Inducement Plan to persons not previously an employee or director of the Company, or following a bona fide period of non-employment, an inducement material to such persons entering into employment with the Company. The Company initially reserved 1,900,000 shares of its common stock for the issuance of awards under the 2023 Inducement Plan. In December 2024 and 2023, the Company's board of directors approved the increase of the reserve by 1,200,000 and 1,100,000 shares respectfully, effective the following year.</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4,019,250 shares available for issuance under the 2015 Plan and 686,417 shares available for issuance under the 2023 Inducement Plan.</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19,934</w:t>
            </w:r>
          </w:p>
        </w:tc>
        <w:tc>
          <w:tcPr>
            <w:tcW w:w="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23,092</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43,026</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30,951</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844"/>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F-26</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-1071245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-1053465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-1071245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-1053465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-1071245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 Units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$81.6 million of unrecognized compensation cost related to employee and non-employee unvested stock options and RSUs granted under the 2015 Plan and the 2023 Inducement Plan, which is expected to be recognized over a weighted-average remaining service period of 2.6 years. Stock compensation costs have not been capitalized by the Company.</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2019, the Company granted to certain employees 583,000 stock options that contain performance-based vesting criteria (“2019 Performance Awards”), primarily related to the achievement of certain clinical and regulatory development milestones related to product candidates. In the fourth quarter of 2020, one performance milestone, for the 2019 Performance Awards, was achieved. The Company recorded approximately $128,000 of stock compensation related to the achievement of the performance milestone for years ended December 31, 2022. As of December 31, 2022, all other performance milestones were not achieved, and the associated awards have been cancelled.</w:t>
      </w:r>
    </w:p>
    <w:p>
      <w:pPr>
        <w:spacing w:after="0" w:line="18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2022, the Company granted to certain employees 140,000 performance-based stock options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first quarter of 2022, management estimated one of the milestones, for the 2022 Performance Awards, was probable of achievement. The second performance milestone was achieved in November 2024 and 40,000 options were vested. The Company recorded approximately $0.4 million, $0.3 million, and $0.5 million of stock compensation expense for these awards for the year ended December 31, 2024, 2023 and 2022, respectively. As of December 31, 2024, 40,000 stock options outstanding were unvested, and 60,000 options had been cancelled related to employee terminations.</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Company granted to certain employees 129,550 performance-based RSUs ("2023 Performance Awards"), primarily related to the achievement of certain regulatory development milestones related to product candidates. The Company recorded approximately $1.0 million of stock compensation related to the achievement of the performance milestones during the year ended December 31, 2024. The remaining unvested shares will vest in one full year from the date of the respective performance milestone achievements.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first quarter of 2024, the Company granted to certain employees 35,500 performance-based RSUs ("2024 Performance Awards"), primarily related to the achievement of certain regulatory development milestones related to product candidates. The Company recorded approximately $0.5 million of stock compensation related to the achievement of the performance milestones during the year ended December 31, 2024. As of December 31, 2024, the remaining performance milestones were not achieved.</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termination of eight employees, the Company entered into severance and consulting agreements. Under these agreements, the Company extended the vesting term for unvested options, which would not have otherwise vested, and extended the exercise period of the vested options post termination of the consulting agreement. For one employee, the Company accelerated the vesting of unvested options that otherwise would have vested in the following twelve month period and extended the exercise period of the vested options post termination of employment. The Company accounted for the change as a modification of an equity award under ASC 718. As a result of the modifications, the Company recognized approximately $1.2 million of incremental stock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 2024 with unrecognized stock compensation expense of $0.1 million to be recognized over the weighted average period of 0.6 years.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the Company's public stock price.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18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209"/>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FF0FC"/>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71.64 %</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75.13 %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77.87 %</w:t>
            </w:r>
          </w:p>
        </w:tc>
      </w:tr>
      <w:tr>
        <w:trPr>
          <w:trHeight w:val="216"/>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3.65 %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2.52 %</w:t>
            </w: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employee and non-employee option activity under the Company’s equity award plans is presented below (in thousands, except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January 1,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10,684,858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2,886,975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(717,413 )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forfeited or expired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(1,166,341 )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FF0FC"/>
            </w:tcBorders>
            <w:shd w:val="clear" w:color="auto" w:fill="CFF0FC"/>
          </w:tcPr>
          <w:p>
            <w:pPr>
              <w:spacing w:after="0" w:line="209" w:lineRule="exact"/>
              <w:rPr>
                <w:sz w:val="20"/>
                <w:szCs w:val="20"/>
                <w:color w:val="auto"/>
              </w:rPr>
            </w:pPr>
            <w:r>
              <w:rPr>
                <w:rFonts w:ascii="Times New Roman" w:cs="Times New Roman" w:eastAsia="Times New Roman" w:hAnsi="Times New Roman"/>
                <w:sz w:val="18"/>
                <w:szCs w:val="18"/>
                <w:color w:val="auto"/>
              </w:rPr>
              <w:t>Outstanding</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December 31, 2024</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11,688,079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December 31, 2024</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6,652,655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4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-187960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2024, 2023 and 2022, was $14.37, $16.20, and $12.64 per share, respectively. The fair value is being expensed over the vesting period of the options (usually three to four years) on a straight-line basis as the services are being provided.</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were 717,413 options exercised for the year ended December 31, 2024, resulting in total proceeds of $8.0 million; 662,042 options exercised for the year ended December 31, 2023, resulting in total proceeds of $5.1 million; and 1.3 million options exercised for the year ended December 31, 2022, resulting in total proceeds of $11.5 million. The intrinsic value of options exercised during the years ended December 31, 2024, 2023 and 2022 was $7.2 million, $9.5 million, and $17.0 million, respectively. In accordance with the Company’s policy, the shares were issued from a pool of shares reserved for issuance under the 2015 Plan and 2023 Inducement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RSUs awarded to Board of Directors or employees vest on either i) one – year anniversary date of the related grant or ii) 25% on each anniversary for 4 years. The following table summarizes our RSU activity: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500" w:type="dxa"/>
            <w:vAlign w:val="bottom"/>
            <w:gridSpan w:val="2"/>
            <w:vMerge w:val="restart"/>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2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2500" w:type="dxa"/>
            <w:vAlign w:val="bottom"/>
            <w:gridSpan w:val="2"/>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2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December 31, 2023</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519,436</w:t>
            </w:r>
          </w:p>
        </w:tc>
        <w:tc>
          <w:tcPr>
            <w:tcW w:w="4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2"/>
                <w:szCs w:val="12"/>
                <w:color w:val="auto"/>
              </w:rPr>
              <w:t>(1)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1,034,313</w:t>
            </w:r>
          </w:p>
        </w:tc>
        <w:tc>
          <w:tcPr>
            <w:tcW w:w="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(85,495 )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(164,167 )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Unvested—December 31, 2024</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1,304,087</w:t>
            </w:r>
          </w:p>
        </w:tc>
        <w:tc>
          <w:tcPr>
            <w:tcW w:w="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4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00" w:firstLine="517"/>
        <w:spacing w:after="0" w:line="282" w:lineRule="auto"/>
        <w:tabs>
          <w:tab w:leader="none" w:pos="732"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RSUs granted in 2024 and 2023 had a weighted average grant date fair value of $18.80 and $24.94, respectively. The fair values of RSUs vested in 2024 and 2023 totaled $1.8 million and $126,000,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2015, the Company’s Board adopted the ESPP, which was subsequently approved by the Company’s stockholders and became effective in 2016. The ESPP authorized the initial issuance of up to a total of 250,000 shares of common stock to the Company’s employees. The number of shares of common stock available under the ESPP will automatically increase on January 1st of each year, continuing until the expiration of the ESPP, in an amount equal to the lesser of (a) 1% of the total number of shares of common stock outstanding on December 31st of the preceding calendar year, or (b) 250,000 shares. On January 1, 2025, the shares of common stock reserved for issuance under the ESPP was increased to 2,167,711. Under the terms of the ESPP, eligible employees can elect to acquire shares of the Company’s common stock through periodic payroll deductions during a series of six-month offering periods. Purchases under the ESPP are affected on the last business day of each offering period at a 15% discount to the lower of closing price on that day or the closing price on the first day of the offering period. The Company issued 64,903 and 34,797 shares during 2024 and 2023, respectively.</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ESPP is considered a compensatory plan with the related compensation cost expensed over the six-month offering period. For the years ended December 31, 2024, 2023 and 2022 the Company recorded stock-based compensation expense related to the ESPP of $0.6 million, $0.3 million, and $0.2 million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2024, 2023 and 2022, the Company made $2.7 million, $1.3 million, and $0.7 million contributions to the plan, respectively.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Loan Payable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February 2020, the Company entered into a loan and security agreement (the “Loan Agreement”) with Hercules Capital, Inc. (“Hercules”). In December 2021, the Company entered into Amendment No. 1 to the Company’s Loan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September 23, 2022, the Company made a prepayment of $21.5 million to satisfy in full all of the Company's principal and interest obligations and related fees under the Amended Loan Agreement. The payoff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amount paid by the Company in connection with the termination of the Amended Loan Agreement was pursuant to a payoff letter with Hercules and included payment of (a) $1.0 million as an end-of term fee and (b) $0.4 million as a pre-payment fee. Hercules released all security interests held on the assets of the Company and its subsidiaries. The Amended Loan Agreement was fully terminated as of September 23, 2022.</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$2.1 million, which included $0.4 million of pre-payment fee, of interest expense related to the initial advance pursuant to the Amended Loan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Purchase and Sale Agreement</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November 4, 2024, the Company entered into a Purchase and Sale Agreement (the “Purchase and Sale Agreement”) with Royalty Pharma Development Funding, LLC (“Royalty Pharma”), pursuant to which Royalty Pharma purchased rights to certain revenue streams from net sales of products comprising or containing axatilimab (including Niktimvo™) by Syndax, its affiliates and its licensees in the United States and its respective territories, districts, commonwealths and possessions (including Guam and Puerto Rico) in exchange for an upfront fee of $350 million.</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Territory (the “Revenue Participation Right”). Aggregate payments made to Royalty Pharma in respect of the Revenue Participation Right will be capped at $822.5 million (the “Royalty Cap”).</w:t>
      </w:r>
    </w:p>
    <w:p>
      <w:pPr>
        <w:spacing w:after="0" w:line="180"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w:t>
      </w:r>
    </w:p>
    <w:p>
      <w:pPr>
        <w:spacing w:after="0" w:line="158"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7"/>
          <w:szCs w:val="17"/>
          <w:color w:val="auto"/>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spacing w:after="0" w:line="16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 assessed the Purchase and Sale Agreement and identified it as a sale of future revenue in the form of a debt instrument to be accounted for as debt under ASC 470. The Company has elected to use the prospective method in its calculation of its effective interest rate and will update this calculation quarterly when there are changes in the projected sales. The debt is allocated on the balance sheet as short term and long term. The short term portion represents the royalty payments owed over the next 12 months. The long term portion is recorded on the balance sheet as net of issuance costs. Issuance costs pursuance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For the year ended December 31, 2024, the Company estimated an effective annual interest rate of approximately 9.21%.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As of December 31, 2024, the Company recognized interest expense of $5.0 million related to the Purchase and Sale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term loan payable</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payable, less current portion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337,884</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9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(6,319 )</w:t>
            </w:r>
          </w:p>
        </w:tc>
        <w:tc>
          <w:tcPr>
            <w:tcW w:w="3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term loan payable, net</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343,681</w:t>
            </w:r>
          </w:p>
        </w:tc>
        <w:tc>
          <w:tcPr>
            <w:tcW w:w="5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ending December 31, 2024, and December 31, 2023, the Company recognized current state income tax expense of $0.3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respectively, as a result of investment income earned in Syndax Securities Corporation. The Company recognized no income taxes in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2022, due to the utilization of tax attributes to offset current year federal and state taxable income, immaterial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at Syndax Securities Corporation, the historical losses incurred and the need for a full valuation allowance on deferred tax assets.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year profit and historical losses before income tax for the periods presented was generated entirely in the United States.</w:t>
      </w:r>
    </w:p>
    <w:p>
      <w:pPr>
        <w:spacing w:after="0" w:line="20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computed at the statutory federal income tax rate to the provision for income taxes as reflected in the financial statements is as follows: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72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3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13.2 %</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business credit carryovers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-34.9 %</w:t>
            </w:r>
          </w:p>
        </w:tc>
        <w:tc>
          <w:tcPr>
            <w:tcW w:w="3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true up</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are as follows (in thousands):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43,362</w:t>
            </w:r>
          </w:p>
        </w:tc>
        <w:tc>
          <w:tcPr>
            <w:tcW w:w="3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3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start-up and other costs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97,780</w:t>
            </w:r>
          </w:p>
        </w:tc>
        <w:tc>
          <w:tcPr>
            <w:tcW w:w="3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Accruals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3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258,638</w:t>
            </w:r>
          </w:p>
        </w:tc>
        <w:tc>
          <w:tcPr>
            <w:tcW w:w="3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(258,638 )</w:t>
            </w:r>
          </w:p>
        </w:tc>
        <w:tc>
          <w:tcPr>
            <w:tcW w:w="3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(205,957 )</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-2451100</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-2451100</wp:posOffset>
            </wp:positionV>
            <wp:extent cx="1200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-2451100</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provided a valuation allowance for the full amount of the net deferred tax assets as the realization of the deferred tax assets is not determined to be more likely than not. The valuation allowance increased by $52.7 million in 2024 due to the increase in deferred tax assets, primarily driven by the generation of net operating losses and capitalized research expenses, and capitalized start-up costs. The valuation allowance increased by $72.9 million in 2023 due to the increase in deferred tax assets, primarily driven by the generation of net operating losses and capitalized start-up costs, partially offset by a decrease to other deferred tax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approximately $181.0 million and $97.5 million in federal and state Net Operating Losses (“NOLs”), respectively, which may be available to offset future taxable income. The Company has generated federal NOLs of $158.9 million and state NOLs of $1.9 million which have indefinite carryforward period. The remaining $22.1 million of federal NOLs and $95.6 million the Company’s state NOLs will begin to expire at various dates starting in 2026.</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federal and state research credits of $12.4 million and $4.8 million, respectively, which began to expire in 2024.</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last completed an analysis from January 1, 2023 through December 31, 2023 and determined that no ownership changes had occurred in that period. Prior analyses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 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had uncertain tax positions of $0.1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2024 and 2023. The Company expects none of the unrecognized tax benefits to decrease within the next 12 months related to expired statutes or settlement with the taxing authorities. Due to the Company’s valuation allowance as of December 31, 2024, none of the Company’s unrecognized tax benefits, if recognized, would affect the effective tax rate.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unrecognized tax benefits is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7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benefit--beginning of year</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143</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period positions</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50"/>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benefit--end of year</w:t>
            </w:r>
          </w:p>
        </w:tc>
        <w:tc>
          <w:tcPr>
            <w:tcW w:w="620" w:type="dxa"/>
            <w:vAlign w:val="bottom"/>
            <w:tcBorders>
              <w:top w:val="single" w:sz="8" w:color="auto"/>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U.S. and various states.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Eddingpharm - 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Eddingpharm, and Eddingpharm is required to reimburse the Company for any out-of-pocket expenses incurred in providing this assistance, including reimbursement for person-hours above a certain cap.</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pay royalties pursuant to a license agreement with Vitae Pharmaceuticals, Inc., a subsidiary of AbbVie plc, or the Vitae License Agreement, as a percentage of net product sales for direct licensed products, such as Revuforj. The obligation to pay royalties expires, on a country-by-country basis and licensed product-by-licensed product basis until the later of expiration of the last valid claim of a patent right, the expiration of the applicable regulatory exclusivity for such licensed product in such county, or 10 years from the first commercial sale of a licensed product in each country. These fees were recorded as cost of product sales.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December 31, 2024, or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33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 as a single operating and reportable segment: Syndax Pharmaceuticals. The Company primarily derives revenue in the United States through milestone revenue and product sales on the recently approved products, Revuforj and Niktimvo. The accounting policies of the segment are the same as those described in Note 3 – Summary of Significant Accounting Policies.</w:t>
      </w:r>
    </w:p>
    <w:p>
      <w:pPr>
        <w:spacing w:after="0" w:line="288"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To assess performance, the Company's Chief Operating Decision Maker (CODM), the Chief Executive Officer (CEO), Michael Metzger, uses consolidated net loss as the segment's measure of segment profit or loss. The CODM uses net loss in the budget and forecasting process and considers budget-to actual variances on a quarterly bases when making decisions about the allocation of operating and capital resources.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biopharmaceutical cancer therapeutics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900" w:type="dxa"/>
            <w:vAlign w:val="bottom"/>
            <w:tcBorders>
              <w:bottom w:val="single" w:sz="8" w:color="CFF0FC"/>
            </w:tcBorders>
            <w:shd w:val="clear" w:color="auto" w:fill="CFF0FC"/>
          </w:tcPr>
          <w:p>
            <w:pPr>
              <w:spacing w:after="0"/>
              <w:rPr>
                <w:sz w:val="16"/>
                <w:szCs w:val="16"/>
                <w:color w:val="auto"/>
              </w:rPr>
            </w:pPr>
          </w:p>
        </w:tc>
        <w:tc>
          <w:tcPr>
            <w:tcW w:w="18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1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Revumenib-related costs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47,315</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Axatilimab-related costs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R&amp;D programs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25,522</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Commercial related expenses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SG&amp;A expenses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2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(21,161 )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(20,955 )</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(2,735 )</w:t>
            </w: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r>
      <w:tr>
        <w:trPr>
          <w:trHeight w:val="250"/>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Segment net loss</w:t>
            </w:r>
          </w:p>
        </w:tc>
        <w:tc>
          <w:tcPr>
            <w:tcW w:w="18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(318,758 )</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(209,360 )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(149,338 )</w:t>
            </w:r>
          </w:p>
        </w:tc>
      </w:tr>
      <w:tr>
        <w:trPr>
          <w:trHeight w:val="844"/>
        </w:trPr>
        <w:tc>
          <w:tcPr>
            <w:tcW w:w="2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spacing w:after="0"/>
              <w:rPr>
                <w:sz w:val="24"/>
                <w:szCs w:val="24"/>
                <w:color w:val="auto"/>
              </w:rPr>
            </w:pPr>
          </w:p>
        </w:tc>
        <w:tc>
          <w:tcPr>
            <w:tcW w:w="1860" w:type="dxa"/>
            <w:vAlign w:val="bottom"/>
            <w:tcBorders>
              <w:top w:val="single" w:sz="8" w:color="CFF0FC"/>
            </w:tcBorders>
          </w:tcPr>
          <w:p>
            <w:pPr>
              <w:ind w:left="1080"/>
              <w:spacing w:after="0"/>
              <w:rPr>
                <w:sz w:val="20"/>
                <w:szCs w:val="20"/>
                <w:color w:val="auto"/>
              </w:rPr>
            </w:pPr>
            <w:r>
              <w:rPr>
                <w:rFonts w:ascii="Times New Roman" w:cs="Times New Roman" w:eastAsia="Times New Roman" w:hAnsi="Times New Roman"/>
                <w:sz w:val="18"/>
                <w:szCs w:val="18"/>
                <w:color w:val="auto"/>
              </w:rPr>
              <w:t>F-33</w:t>
            </w: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-1070610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-1053465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-1070610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included as an exhibit to our Annual Report on Form 10-K. All references to the “we,” “our,” or “us” refer to Syndax Pharmaceuticals, Inc.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 to 200,000,000 shares of common stock, par value</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$0.0001 per share, and 10,000,000 shares of preferred stock, par value $0.001 per share, all of which shares of preferred stock are undesignated. Our board of directors may establish the rights and preferences of the preferred stock from time to time.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The affirmative vote of holders of at least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or other corporate action, or make the removal of management more difficult.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50" w:lineRule="exact"/>
        <w:rPr>
          <w:sz w:val="20"/>
          <w:szCs w:val="20"/>
          <w:color w:val="auto"/>
        </w:rPr>
      </w:pPr>
    </w:p>
    <w:p>
      <w:pPr>
        <w:ind w:left="780" w:right="140" w:hanging="368"/>
        <w:spacing w:after="0" w:line="26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enables our board of directors to make it more difficult or to discourage an attempt to obtain control of us by means of a merger, tender offer, proxy contest or otherwise.</w:t>
      </w:r>
    </w:p>
    <w:p>
      <w:pPr>
        <w:spacing w:after="0" w:line="68" w:lineRule="exact"/>
        <w:rPr>
          <w:rFonts w:ascii="Times New Roman" w:cs="Times New Roman" w:eastAsia="Times New Roman" w:hAnsi="Times New Roman"/>
          <w:sz w:val="18"/>
          <w:szCs w:val="18"/>
          <w:color w:val="auto"/>
        </w:rPr>
      </w:pPr>
    </w:p>
    <w:p>
      <w:pPr>
        <w:ind w:left="780" w:right="60" w:hanging="368"/>
        <w:spacing w:after="0" w:line="26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provides for a classified board of directors consisting of three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68" w:lineRule="exact"/>
        <w:rPr>
          <w:rFonts w:ascii="Times New Roman" w:cs="Times New Roman" w:eastAsia="Times New Roman" w:hAnsi="Times New Roman"/>
          <w:sz w:val="18"/>
          <w:szCs w:val="18"/>
          <w:color w:val="auto"/>
        </w:rPr>
      </w:pPr>
    </w:p>
    <w:p>
      <w:pPr>
        <w:ind w:left="780" w:right="40" w:hanging="368"/>
        <w:spacing w:after="0" w:line="26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authorize only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w:t>
      </w:r>
    </w:p>
    <w:p>
      <w:pPr>
        <w:spacing w:after="0" w:line="68" w:lineRule="exact"/>
        <w:rPr>
          <w:rFonts w:ascii="Times New Roman" w:cs="Times New Roman" w:eastAsia="Times New Roman" w:hAnsi="Times New Roman"/>
          <w:sz w:val="18"/>
          <w:szCs w:val="18"/>
          <w:color w:val="auto"/>
        </w:rPr>
      </w:pPr>
    </w:p>
    <w:p>
      <w:pPr>
        <w:ind w:left="780" w:right="240" w:hanging="368"/>
        <w:spacing w:after="0" w:line="26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Action; Special Meetings of Stockholders. </w:t>
      </w:r>
      <w:r>
        <w:rPr>
          <w:rFonts w:ascii="Times New Roman" w:cs="Times New Roman" w:eastAsia="Times New Roman" w:hAnsi="Times New Roman"/>
          <w:sz w:val="18"/>
          <w:szCs w:val="18"/>
          <w:color w:val="auto"/>
        </w:rPr>
        <w:t>Our amended and restated certificate of incorporation provides that our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spacing w:after="0" w:line="68" w:lineRule="exact"/>
        <w:rPr>
          <w:rFonts w:ascii="Times New Roman" w:cs="Times New Roman" w:eastAsia="Times New Roman" w:hAnsi="Times New Roman"/>
          <w:sz w:val="18"/>
          <w:szCs w:val="18"/>
          <w:color w:val="auto"/>
        </w:rPr>
      </w:pPr>
    </w:p>
    <w:p>
      <w:pPr>
        <w:ind w:left="780" w:hanging="368"/>
        <w:spacing w:after="0" w:line="259"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provide advance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54" w:lineRule="exact"/>
        <w:rPr>
          <w:sz w:val="20"/>
          <w:szCs w:val="20"/>
          <w:color w:val="auto"/>
        </w:rPr>
      </w:pPr>
    </w:p>
    <w:p>
      <w:pPr>
        <w:ind w:left="780" w:right="600" w:hanging="368"/>
        <w:spacing w:after="0" w:line="282"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6" w:lineRule="exact"/>
        <w:rPr>
          <w:sz w:val="20"/>
          <w:szCs w:val="20"/>
          <w:color w:val="auto"/>
        </w:rPr>
      </w:pPr>
    </w:p>
    <w:p>
      <w:pPr>
        <w:ind w:left="780" w:right="40" w:hanging="368"/>
        <w:spacing w:after="0" w:line="258"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rFonts w:ascii="Times New Roman" w:cs="Times New Roman" w:eastAsia="Times New Roman" w:hAnsi="Times New Roman"/>
          <w:sz w:val="18"/>
          <w:szCs w:val="18"/>
          <w:color w:val="auto"/>
        </w:rPr>
      </w:pPr>
    </w:p>
    <w:p>
      <w:pPr>
        <w:jc w:val="both"/>
        <w:ind w:left="780" w:right="460" w:hanging="368"/>
        <w:spacing w:after="0" w:line="257"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780" w:hanging="368"/>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780" w:hanging="368"/>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17" w:lineRule="exact"/>
        <w:rPr>
          <w:rFonts w:ascii="Times New Roman" w:cs="Times New Roman" w:eastAsia="Times New Roman" w:hAnsi="Times New Roman"/>
          <w:sz w:val="18"/>
          <w:szCs w:val="18"/>
          <w:color w:val="auto"/>
        </w:rPr>
      </w:pPr>
    </w:p>
    <w:p>
      <w:pPr>
        <w:ind w:left="780" w:right="400" w:hanging="368"/>
        <w:spacing w:after="0" w:line="282"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ind w:left="780" w:right="560" w:hanging="368"/>
        <w:spacing w:after="0" w:line="282"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53" w:lineRule="exact"/>
        <w:rPr>
          <w:rFonts w:ascii="Times New Roman" w:cs="Times New Roman" w:eastAsia="Times New Roman" w:hAnsi="Times New Roman"/>
          <w:sz w:val="18"/>
          <w:szCs w:val="18"/>
          <w:color w:val="auto"/>
        </w:rPr>
      </w:pPr>
    </w:p>
    <w:p>
      <w:pPr>
        <w:ind w:left="780" w:right="180" w:hanging="368"/>
        <w:spacing w:after="0" w:line="282"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67" w:lineRule="exact"/>
        <w:rPr>
          <w:sz w:val="20"/>
          <w:szCs w:val="20"/>
          <w:color w:val="auto"/>
        </w:rPr>
      </w:pPr>
    </w:p>
    <w:p>
      <w:pPr>
        <w:ind w:right="100" w:firstLine="409"/>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entity or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the Court of Chancery of the State of Delaware will be the exclusive forum for (1) any derivative action or proceeding brought on our behalf, (2) any action or proceeding commenced by any of our stockholders (including any class action) asserting a breach of fiduciary duty owed, or other wrongdoing, by any director, officer, employee or agent to us or our stockholders, (3) any action or proceeding commenced by any of our stockholders (including any class action) asserting a claim against us arising pursuant to the DGCL or our amended and restated certificate of incorporation or our amended and restated bylaws, (4) any action or proceeding commenced by any of our stockholders (including any class action) to interpret, apply, enforce or determine the validity of our amended and restated certificate of incorporation or our amended and restated bylaws, or (5) any action or proceeding commenced by any of our stockholders (including any class action) asserting a claim against us that is governed by the internal affairs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Amended: December 6, 2023, July 22, 2024, December 19, 2024</w:t>
      </w:r>
    </w:p>
    <w:p>
      <w:pPr>
        <w:spacing w:after="0" w:line="154" w:lineRule="exact"/>
        <w:rPr>
          <w:sz w:val="20"/>
          <w:szCs w:val="20"/>
          <w:color w:val="auto"/>
        </w:rPr>
      </w:pPr>
    </w:p>
    <w:p>
      <w:pPr>
        <w:ind w:right="20" w:firstLine="374"/>
        <w:spacing w:after="0" w:line="286" w:lineRule="auto"/>
        <w:rPr>
          <w:sz w:val="20"/>
          <w:szCs w:val="20"/>
          <w:color w:val="auto"/>
        </w:rPr>
      </w:pPr>
      <w:r>
        <w:rPr>
          <w:rFonts w:ascii="Times New Roman" w:cs="Times New Roman" w:eastAsia="Times New Roman" w:hAnsi="Times New Roman"/>
          <w:sz w:val="18"/>
          <w:szCs w:val="18"/>
          <w:color w:val="auto"/>
        </w:rPr>
        <w:t>Syndax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sets forth herein the terms of its 2023 Inducement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follows:</w:t>
      </w:r>
    </w:p>
    <w:p>
      <w:pPr>
        <w:spacing w:after="0" w:line="87"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3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  Purpose.</w:t>
      </w:r>
    </w:p>
    <w:p>
      <w:pPr>
        <w:spacing w:after="0" w:line="2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Plan is intended to provide (a) an inducement material for certain individuals to enter into employment with the Company within the meaning of Rule 5635(c)(4) of the NASDAQ Marketplace Rules, and (b) incentives to Eligible Employees to stimulate their efforts towards the success of the Company and to operate and manage its business in a manner that will provide for the long-term growth and profitability of the Company. To that end, the Plan provides for the grant of Awards of Options, Stock Appreciation Rights, Restricted Stock, Unrestricted Stock, Stock Units, Dividend Equivalent Rights, Performance Awards, and Other Equity-Based Awards.</w:t>
      </w:r>
    </w:p>
    <w:p>
      <w:pPr>
        <w:spacing w:after="0" w:line="19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tab/>
        <w:t>Eligible Award Recipients.</w:t>
      </w:r>
    </w:p>
    <w:p>
      <w:pPr>
        <w:spacing w:after="0" w:line="24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period of non-employment. Persons eligible to receive grants of Awards under this Plan are referred to in this Plan as “</w:t>
      </w:r>
      <w:r>
        <w:rPr>
          <w:rFonts w:ascii="Times New Roman" w:cs="Times New Roman" w:eastAsia="Times New Roman" w:hAnsi="Times New Roman"/>
          <w:sz w:val="18"/>
          <w:szCs w:val="18"/>
          <w:b w:val="1"/>
          <w:bCs w:val="1"/>
          <w:color w:val="auto"/>
        </w:rPr>
        <w:t>Eligible Employees</w:t>
      </w:r>
      <w:r>
        <w:rPr>
          <w:rFonts w:ascii="Times New Roman" w:cs="Times New Roman" w:eastAsia="Times New Roman" w:hAnsi="Times New Roman"/>
          <w:sz w:val="18"/>
          <w:szCs w:val="18"/>
          <w:color w:val="auto"/>
        </w:rPr>
        <w:t>.” These Awards must be approved by either a majority of the Company’s “Independent Directors” (as such term is defined in NASDAQ Marketplace Rule 5605(a)(2))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or the Company’s compensation committee, provided such committee is comprised solely of Independent Directors of the Company (the “</w:t>
      </w:r>
      <w:r>
        <w:rPr>
          <w:rFonts w:ascii="Times New Roman" w:cs="Times New Roman" w:eastAsia="Times New Roman" w:hAnsi="Times New Roman"/>
          <w:sz w:val="18"/>
          <w:szCs w:val="18"/>
          <w:b w:val="1"/>
          <w:bCs w:val="1"/>
          <w:color w:val="auto"/>
        </w:rPr>
        <w:t>Independent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in order to comply with the exemption from the stockholder approval requirement for “inducement grants” provided under Rule 5635(c)(4)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NASDAQ Marketplace Rules. NASDAQ Marketplace Rule 5635(c)(4) and the related guidance under NASDAQ IM 5635-1 (together with any analogous rules or guidance effective after the date hereof, the “</w:t>
      </w:r>
      <w:r>
        <w:rPr>
          <w:rFonts w:ascii="Times New Roman" w:cs="Times New Roman" w:eastAsia="Times New Roman" w:hAnsi="Times New Roman"/>
          <w:sz w:val="18"/>
          <w:szCs w:val="18"/>
          <w:b w:val="1"/>
          <w:bCs w:val="1"/>
          <w:color w:val="auto"/>
        </w:rPr>
        <w:t>Inducement Award Rules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hanging="432"/>
        <w:spacing w:after="0"/>
        <w:tabs>
          <w:tab w:leader="none" w:pos="4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purposes of interpreting the Plan and related documents (including Award Agreements), the following definitions shall apply:</w:t>
      </w:r>
    </w:p>
    <w:p>
      <w:pPr>
        <w:spacing w:after="0" w:line="221" w:lineRule="exact"/>
        <w:rPr>
          <w:sz w:val="20"/>
          <w:szCs w:val="20"/>
          <w:color w:val="auto"/>
        </w:rPr>
      </w:pPr>
    </w:p>
    <w:p>
      <w:pPr>
        <w:jc w:val="both"/>
        <w:ind w:right="180"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the Company, any company or other trade or business that controls,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the Company within the meaning of Rule 405 of Regulation C under the Securities Act, including, without limitation, any Subsidiary. For purposes of grants of Options or Stock Appreciation Rights, an entity may not be considered an Affiliate of the Company unless the Company holds a “controlling interest” in such entity, where the term “controlling interest” has the same meaning as provided in Treasury Regulation Section 1.414(c)-2(b)(2)(i), provided that the language “at least 50 percent” is used instead of “at least 80 percent” and, provided further, that where granting of Options or Stock Appreciation Rights is based upon a legitimate business criteria, the language “at least 20 percent” is used instead of “at least 80 percent” each place it appears in Treasury Regulation Section 1.414(c)-2(b)(2)(i).</w:t>
      </w:r>
    </w:p>
    <w:p>
      <w:pPr>
        <w:spacing w:after="0" w:line="183" w:lineRule="exact"/>
        <w:rPr>
          <w:sz w:val="20"/>
          <w:szCs w:val="20"/>
          <w:color w:val="auto"/>
        </w:rPr>
      </w:pPr>
    </w:p>
    <w:p>
      <w:pPr>
        <w:jc w:val="both"/>
        <w:ind w:right="26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requirements relating to the Plan and the Awards under (a) applicable provisions of the Code,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the Exchange Act, any rules or regulations thereunder, and any other laws, rules, regulations, and government orders of any jurisdiction applicable to the Company or its Affiliates, (b) applicable provisions of the corporate, securities, tax and other laws, rules, regulations and government orders of any jurisdiction applicable to Awards granted to residents thereof, and (c) the rules of any Stock Exchange or Securities Market on which the Stock is listed or publicly traded.</w:t>
      </w:r>
    </w:p>
    <w:p>
      <w:pPr>
        <w:spacing w:after="0" w:line="193" w:lineRule="exact"/>
        <w:rPr>
          <w:sz w:val="20"/>
          <w:szCs w:val="20"/>
          <w:color w:val="auto"/>
        </w:rPr>
      </w:pPr>
    </w:p>
    <w:p>
      <w:pPr>
        <w:ind w:right="4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 grant of an Option, Stock Appreciation Right, Restricted Stock, Unrestricted Stock, Stock Units, Dividend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Performance Award, or Other Equity-Based Award under the Plan.</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agreement, in such written, electronic, or other form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determined by the Committee, between the Company and a Grantee that evidences and sets forth the terms and conditions of an Award.</w:t>
      </w: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Arrangement</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15</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39" w:lineRule="exact"/>
        <w:rPr>
          <w:sz w:val="20"/>
          <w:szCs w:val="20"/>
          <w:color w:val="auto"/>
        </w:rPr>
      </w:pPr>
    </w:p>
    <w:p>
      <w:pPr>
        <w:jc w:val="both"/>
        <w:ind w:right="38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shall mean, with respect to any Person, any and all shares, interests, participations, or other equivalents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whether voting or non-voting) in equity of such Person, whether outstanding on the Effective Date or issued thereafter, including, without limitation, all shares of Stock.</w:t>
      </w:r>
    </w:p>
    <w:p>
      <w:pPr>
        <w:spacing w:after="0" w:line="184" w:lineRule="exact"/>
        <w:rPr>
          <w:sz w:val="20"/>
          <w:szCs w:val="20"/>
          <w:color w:val="auto"/>
        </w:rPr>
      </w:pPr>
    </w:p>
    <w:p>
      <w:pPr>
        <w:jc w:val="both"/>
        <w:ind w:right="200" w:firstLine="374"/>
        <w:spacing w:after="0" w:line="257" w:lineRule="auto"/>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have the meaning set forth in an applicable agreement between a Grantee and the Company or an Affiliate, and in the absence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agreement, shall mean, with respect to any Grantee and as determined by the Board, (i) gross negligence or willful misconduct in connection with the performance of duties; (ii) conviction of, or pleading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criminal offense (other than minor traffic offenses); (iii) a material violation of a Company policy; or (iv) a material breach of any term of any employment, consulting, or other services, confidentiality, intellectual property, or non-competition agreements, if any, between such Grantee and the Company or an Affiliate. Any determination by the Committee regarding whether an event constituting Cause shall have occurred shall be final, binding, and conclusive.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subject to</w:t>
      </w:r>
      <w:r>
        <w:rPr>
          <w:rFonts w:ascii="Times New Roman" w:cs="Times New Roman" w:eastAsia="Times New Roman" w:hAnsi="Times New Roman"/>
          <w:sz w:val="18"/>
          <w:szCs w:val="18"/>
          <w:b w:val="1"/>
          <w:bCs w:val="1"/>
          <w:color w:val="auto"/>
        </w:rPr>
        <w:t xml:space="preserve"> Section 18.9</w:t>
      </w:r>
      <w:r>
        <w:rPr>
          <w:rFonts w:ascii="Times New Roman" w:cs="Times New Roman" w:eastAsia="Times New Roman" w:hAnsi="Times New Roman"/>
          <w:sz w:val="18"/>
          <w:szCs w:val="18"/>
          <w:color w:val="auto"/>
        </w:rPr>
        <w:t>, the occurrence of any of the following:</w:t>
      </w:r>
    </w:p>
    <w:p>
      <w:pPr>
        <w:spacing w:after="0" w:line="31"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A transaction or a series of related transactions whereby any person (as defined in Sections 13(d) and 14(d)(2) of the Exchange Act) or Group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(other than the Company or any Affiliate) becomes the Beneficial Owner of more than fifty percent (50%) of the total voting power of the Voting Stock of the Company, on a Fully Diluted Basis;</w:t>
      </w:r>
    </w:p>
    <w:p>
      <w:pPr>
        <w:jc w:val="both"/>
        <w:ind w:right="60" w:firstLine="374"/>
        <w:spacing w:after="0" w:line="265"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7"/>
          <w:szCs w:val="17"/>
          <w:color w:val="auto"/>
        </w:rPr>
        <w:t>Individuals who, as of the Effective Date, constitute the Board (the “</w:t>
      </w:r>
      <w:r>
        <w:rPr>
          <w:rFonts w:ascii="Times New Roman" w:cs="Times New Roman" w:eastAsia="Times New Roman" w:hAnsi="Times New Roman"/>
          <w:sz w:val="17"/>
          <w:szCs w:val="17"/>
          <w:b w:val="1"/>
          <w:bCs w:val="1"/>
          <w:color w:val="auto"/>
        </w:rPr>
        <w:t>Incumbent Board</w:t>
      </w:r>
      <w:r>
        <w:rPr>
          <w:rFonts w:ascii="Times New Roman" w:cs="Times New Roman" w:eastAsia="Times New Roman" w:hAnsi="Times New Roman"/>
          <w:sz w:val="17"/>
          <w:szCs w:val="17"/>
          <w:color w:val="auto"/>
        </w:rPr>
        <w:t>”) (together with any new directors whose election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such Incumbent Board or whose nomination by such Incumbent Board for election by the stockholders of the Company was approved by a vote of at least a majority of the members of such Incumbent Board then in office who either were members of such Incumbent Board or whose election or nomination for election was previously so approved) cease for any reason to constitute a majority of the members of such Board then in office;</w:t>
      </w:r>
    </w:p>
    <w:p>
      <w:pPr>
        <w:spacing w:after="0" w:line="1" w:lineRule="exact"/>
        <w:rPr>
          <w:sz w:val="20"/>
          <w:szCs w:val="20"/>
          <w:color w:val="auto"/>
        </w:rPr>
      </w:pPr>
    </w:p>
    <w:p>
      <w:pPr>
        <w:jc w:val="both"/>
        <w:ind w:right="80" w:firstLine="374"/>
        <w:spacing w:after="0" w:line="277" w:lineRule="auto"/>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7"/>
          <w:szCs w:val="17"/>
          <w:color w:val="auto"/>
        </w:rPr>
        <w:t>The Company consolidates with, or merges with or into, any Person, or any Person consolidates with, or merges with or into, the 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(regardless of whether the Company is the surviving Person), other than any such transaction in which the Prior Stockholders own directly or indirectly at least a majority of the voting power of the Voting Stock of the surviving Person in such reorganization, merger, or consolidation transaction immediately after such transaction;</w:t>
      </w:r>
    </w:p>
    <w:p>
      <w:pPr>
        <w:spacing w:after="0" w:line="187" w:lineRule="exact"/>
        <w:rPr>
          <w:sz w:val="20"/>
          <w:szCs w:val="20"/>
          <w:color w:val="auto"/>
        </w:rPr>
      </w:pPr>
    </w:p>
    <w:p>
      <w:pPr>
        <w:jc w:val="both"/>
        <w:ind w:right="280" w:firstLine="374"/>
        <w:spacing w:after="0" w:line="277" w:lineRule="auto"/>
        <w:rPr>
          <w:sz w:val="20"/>
          <w:szCs w:val="20"/>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17"/>
          <w:szCs w:val="17"/>
          <w:color w:val="auto"/>
        </w:rPr>
        <w:t>The consummation of any direct or indirect sale, lease, transfer, conveyance, or other disposition (other than by way of reorganization,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merger, or consolidation), in one transaction or a series of related transactions, of all or substantially all of the assets of the Company and its Subsidiaries, taken as a whole, to any person (as defined in Sections 13(d) and 14(d)(2) of the Exchange Act) or Group (other than the Company or any Affiliate); or</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7"/>
          <w:szCs w:val="17"/>
          <w:color w:val="auto"/>
        </w:rPr>
        <w:t>The stockholders of the Company adopt a plan or proposal for the liquidation, winding up, or dissolution of the Company.</w:t>
      </w:r>
    </w:p>
    <w:p>
      <w:pPr>
        <w:spacing w:after="0" w:line="21"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as now in effect or as hereafter amended, and any successor thereto.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the Plan to any Code Section shall be deemed to include, as applicable, regulations and guidance promulgated under such Code Section.</w:t>
      </w:r>
    </w:p>
    <w:p>
      <w:pPr>
        <w:spacing w:after="0" w:line="216" w:lineRule="exact"/>
        <w:rPr>
          <w:sz w:val="20"/>
          <w:szCs w:val="20"/>
          <w:color w:val="auto"/>
        </w:rPr>
      </w:pPr>
    </w:p>
    <w:p>
      <w:pPr>
        <w:ind w:right="8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and designated from time to time by resolution of, the Board, which shall be constituted as provided in</w:t>
      </w:r>
      <w:r>
        <w:rPr>
          <w:rFonts w:ascii="Times New Roman" w:cs="Times New Roman" w:eastAsia="Times New Roman" w:hAnsi="Times New Roman"/>
          <w:sz w:val="18"/>
          <w:szCs w:val="18"/>
          <w:b w:val="1"/>
          <w:bCs w:val="1"/>
          <w:color w:val="auto"/>
        </w:rPr>
        <w:t xml:space="preserve"> Section 3.3 </w:t>
      </w:r>
      <w:r>
        <w:rPr>
          <w:rFonts w:ascii="Times New Roman" w:cs="Times New Roman" w:eastAsia="Times New Roman" w:hAnsi="Times New Roman"/>
          <w:sz w:val="18"/>
          <w:szCs w:val="18"/>
          <w:color w:val="auto"/>
        </w:rPr>
        <w:t>(or, if no Committee has been designated, the Board itself).</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Syndax Pharmaceuticals, Inc., a Delaware corporation,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126" w:name="page127"/>
    <w:bookmarkEnd w:id="126"/>
    <w:p>
      <w:pPr>
        <w:ind w:right="46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means the Grant Date or such other date as of which the Fair Market Value of a share of Stock is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for purposes of the Plan.</w:t>
      </w:r>
    </w:p>
    <w:p>
      <w:pPr>
        <w:spacing w:after="0" w:line="168" w:lineRule="exact"/>
        <w:rPr>
          <w:sz w:val="20"/>
          <w:szCs w:val="20"/>
          <w:color w:val="auto"/>
        </w:rPr>
      </w:pPr>
    </w:p>
    <w:p>
      <w:pPr>
        <w:jc w:val="both"/>
        <w:ind w:right="20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 Directors are not eligible to receive Awards under the Plan with respect to their service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w:t>
      </w:r>
    </w:p>
    <w:p>
      <w:pPr>
        <w:spacing w:after="0" w:line="168" w:lineRule="exact"/>
        <w:rPr>
          <w:sz w:val="20"/>
          <w:szCs w:val="20"/>
          <w:color w:val="auto"/>
        </w:rPr>
      </w:pPr>
    </w:p>
    <w:p>
      <w:pPr>
        <w:jc w:val="both"/>
        <w:ind w:right="18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2.15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the inability of the Grantee to perform each of the essential duties of such Grantee’s position by reason of a medically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determinable physical or mental impairment which is potentially permanent in character or which can be expected to last for a continuous period of not less than 12 months.</w:t>
      </w:r>
    </w:p>
    <w:p>
      <w:pPr>
        <w:spacing w:after="0" w:line="184" w:lineRule="exact"/>
        <w:rPr>
          <w:sz w:val="20"/>
          <w:szCs w:val="20"/>
          <w:color w:val="auto"/>
        </w:rPr>
      </w:pPr>
    </w:p>
    <w:p>
      <w:pPr>
        <w:jc w:val="both"/>
        <w:ind w:right="180"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2.16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 Right</w:t>
      </w:r>
      <w:r>
        <w:rPr>
          <w:rFonts w:ascii="Times New Roman" w:cs="Times New Roman" w:eastAsia="Times New Roman" w:hAnsi="Times New Roman"/>
          <w:sz w:val="18"/>
          <w:szCs w:val="18"/>
          <w:color w:val="auto"/>
        </w:rPr>
        <w:t>” means a right, granted to a Grantee under</w:t>
      </w:r>
      <w:r>
        <w:rPr>
          <w:rFonts w:ascii="Times New Roman" w:cs="Times New Roman" w:eastAsia="Times New Roman" w:hAnsi="Times New Roman"/>
          <w:sz w:val="18"/>
          <w:szCs w:val="18"/>
          <w:b w:val="1"/>
          <w:bCs w:val="1"/>
          <w:color w:val="auto"/>
        </w:rPr>
        <w:t xml:space="preserve"> Section 13</w:t>
      </w:r>
      <w:r>
        <w:rPr>
          <w:rFonts w:ascii="Times New Roman" w:cs="Times New Roman" w:eastAsia="Times New Roman" w:hAnsi="Times New Roman"/>
          <w:sz w:val="18"/>
          <w:szCs w:val="18"/>
          <w:color w:val="auto"/>
        </w:rPr>
        <w:t>, to receive, or to receive credits for the future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Stock, other Awards or other property equal in value to dividend payments or distributions or other periodic payments, declared or paid with respect to a specified number of shares of Stock, as if such shares of Stock had been issued to and held by the Grantee of such Dividend Equivalent Right as of the record date.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February 2, 2023.</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will not cause a Director to be considered an “Employee” for purposes of the Plan.</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now in effect or as hereafter amended.</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fair market value of a share of Stock for purposes of the Plan, which shall be determined as of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Date as follows:</w:t>
      </w:r>
    </w:p>
    <w:p>
      <w:pPr>
        <w:spacing w:after="0" w:line="9" w:lineRule="exact"/>
        <w:rPr>
          <w:sz w:val="20"/>
          <w:szCs w:val="20"/>
          <w:color w:val="auto"/>
        </w:rPr>
      </w:pPr>
    </w:p>
    <w:p>
      <w:pPr>
        <w:jc w:val="both"/>
        <w:ind w:right="300" w:firstLine="374"/>
        <w:spacing w:after="0" w:line="271"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If on such Determination Date the shares of Stock are listed on a Stock Exchange, or are publicly traded on another Securities Market, the Fair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Market Value of a share of Stock shall be the closing price of the Stock as reported on such Stock Exchange or such Securities Market (provided that, if there is more than one such Stock Exchange or Securities Market, the Committee shall designate the appropriate Stock Exchange or Securities Market for purposes of the Fair Market Value determination). If there is no such reported closing price on such Determination Date, the Fair Market Value of a share of Stock shall be the closing price of the Stock on the next preceding day on which any sale of Stock shall have been reported on such Stock Exchange or such Securities Market.</w:t>
      </w:r>
    </w:p>
    <w:p>
      <w:pPr>
        <w:spacing w:after="0" w:line="192" w:lineRule="exact"/>
        <w:rPr>
          <w:sz w:val="20"/>
          <w:szCs w:val="20"/>
          <w:color w:val="auto"/>
        </w:rPr>
      </w:pPr>
    </w:p>
    <w:p>
      <w:pPr>
        <w:jc w:val="both"/>
        <w:ind w:right="300" w:firstLine="374"/>
        <w:spacing w:after="0" w:line="277"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7"/>
          <w:szCs w:val="17"/>
          <w:color w:val="auto"/>
        </w:rPr>
        <w:t>If on such Determination Date the shares of Stock are not listed on a Stock Exchange or publicly traded on a Securities Market, the Fair Market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Value of a share of Stock shall be the value of the Stock as determined by the Committee by the reasonable application of a reasonable valuation method, in a manner consistent with Code Section 409A.</w:t>
      </w:r>
    </w:p>
    <w:p>
      <w:pPr>
        <w:spacing w:after="0" w:line="97" w:lineRule="exact"/>
        <w:rPr>
          <w:sz w:val="20"/>
          <w:szCs w:val="20"/>
          <w:color w:val="auto"/>
        </w:rPr>
      </w:pPr>
    </w:p>
    <w:p>
      <w:pPr>
        <w:jc w:val="both"/>
        <w:ind w:right="220" w:firstLine="374"/>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b w:val="1"/>
          <w:bCs w:val="1"/>
          <w:color w:val="auto"/>
        </w:rPr>
        <w:t>Section 2.21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18.3</w:t>
      </w:r>
      <w:r>
        <w:rPr>
          <w:rFonts w:ascii="Times New Roman" w:cs="Times New Roman" w:eastAsia="Times New Roman" w:hAnsi="Times New Roman"/>
          <w:sz w:val="18"/>
          <w:szCs w:val="18"/>
          <w:color w:val="auto"/>
        </w:rPr>
        <w:t xml:space="preserve">, for purposes of determining taxable income and the amount of the related tax withholding obligation pursuant to </w:t>
      </w:r>
      <w:r>
        <w:rPr>
          <w:rFonts w:ascii="Times New Roman" w:cs="Times New Roman" w:eastAsia="Times New Roman" w:hAnsi="Times New Roman"/>
          <w:sz w:val="18"/>
          <w:szCs w:val="18"/>
          <w:b w:val="1"/>
          <w:bCs w:val="1"/>
          <w:color w:val="auto"/>
        </w:rPr>
        <w:t>Section 18.3</w:t>
      </w:r>
      <w:r>
        <w:rPr>
          <w:rFonts w:ascii="Times New Roman" w:cs="Times New Roman" w:eastAsia="Times New Roman" w:hAnsi="Times New Roman"/>
          <w:sz w:val="18"/>
          <w:szCs w:val="18"/>
          <w:color w:val="auto"/>
        </w:rPr>
        <w:t xml:space="preserve">, the Fair Market Value will be determined by the Committee in good faith using any reasonable method as it deems appropriate, to be applied consistently with respect to Grantees;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Committee shall determine the Fair Market Value of shares of Stock for tax withholding obligations due in connection with sales, by or on behalf of a Grantee, of such shares of Stock subject to an Award to pay the Option Price, SAR Exercise Price, and/or any tax withholding obligation on the same date on which such shares may first be sold pursuant to the terms of the applicable Award Agreement (including broker-assisted cashless exercises of Options and Stock Appreciation Rights, as described in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and sell-to-cover transactions) in any manner consistent with applicable provisions of the Code, including but not limited to using the sale price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shares on such date (or if sales of such shares are effectuated at more than one sale price, the weighted average sale price of such shares on such date) as the Fair Market Value of such shares, so long as such Grantee has provided to the Company, or its designee or agent, with advance written notice of such sale.</w:t>
      </w:r>
    </w:p>
    <w:p>
      <w:pPr>
        <w:spacing w:after="0" w:line="199" w:lineRule="exact"/>
        <w:rPr>
          <w:sz w:val="20"/>
          <w:szCs w:val="20"/>
          <w:color w:val="auto"/>
        </w:rPr>
      </w:pPr>
    </w:p>
    <w:p>
      <w:pPr>
        <w:jc w:val="both"/>
        <w:ind w:right="20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2.22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with respect to any Grantee as of any date of determination, (a) a person who is a spouse, former spouse, child,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stepchild, grandchild, parent, stepparent, grandparent, niece, nephew, mother-in-law, father-in-law, son-in-law, daughter-in-law, brother, sister, brother-in-law, or sister-in-law, including adoptive relationships, of the Grantee, (b) any person sharing the Grantee’s household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than a tenant or employee), (c) a trust in which any one or more of the persons specified in clauses (a) and (b) above (and such Grantee) own more than fifty percent (50%) of the beneficial interest, (d) a foundation in which any one or more of the persons specified in clauses (a) and (b) above and (and such Grantee) control the management of assets, and (e) any other entity in which one or more of the persons specified in clauses (a) and (b) above and (and such Grantee) own more than fifty percent (50%) of the voting interests.</w:t>
      </w:r>
    </w:p>
    <w:p>
      <w:pPr>
        <w:spacing w:after="0" w:line="189" w:lineRule="exact"/>
        <w:rPr>
          <w:sz w:val="20"/>
          <w:szCs w:val="20"/>
          <w:color w:val="auto"/>
        </w:rPr>
      </w:pPr>
    </w:p>
    <w:p>
      <w:pPr>
        <w:jc w:val="both"/>
        <w:ind w:right="26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2.23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Basis</w:t>
      </w:r>
      <w:r>
        <w:rPr>
          <w:rFonts w:ascii="Times New Roman" w:cs="Times New Roman" w:eastAsia="Times New Roman" w:hAnsi="Times New Roman"/>
          <w:sz w:val="18"/>
          <w:szCs w:val="18"/>
          <w:color w:val="auto"/>
        </w:rPr>
        <w:t>” shall mean, as of any date of determination, the sum of (x) the number of shares of Voting Stock outstanding as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determination plus (y) the number of shares of Voting Stock issuable upon the exercise, conversion, or exchange of all then- outstanding warrants, options, convertible Capital Stock or indebtedness, exchangeable Capital Stock or indebtedness, or other rights exercisable for or convertible or exchangeable into, directly or indirectly, shares of Voting Stock, whether at the time of issue or upon the passage of time or upon the occurrence of some future event, and whether or not in-the-money as of such date of determination.</w:t>
      </w:r>
    </w:p>
    <w:p>
      <w:pPr>
        <w:spacing w:after="0" w:line="193" w:lineRule="exact"/>
        <w:rPr>
          <w:sz w:val="20"/>
          <w:szCs w:val="20"/>
          <w:color w:val="auto"/>
        </w:rPr>
      </w:pPr>
    </w:p>
    <w:p>
      <w:pPr>
        <w:jc w:val="both"/>
        <w:ind w:right="46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2.24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as determined by the Board, the latest to occur of (i) the date as of which the Board approves the Award, (ii)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which the recipient of an Award first becomes eligible to receive an Award under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or (iii) such subsequent date as may be specified by the Board in a corporate action approving the Award.</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means a person who receives or holds an Award under the Plan.</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set forth in Sections 13(d) and 14(d)(2) of the Exchange Act.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Compensation Committee</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2.29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Inducement Award Rules</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2.30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shall have the meaning set forth in Rule 16b-3 under the Exchange Act.</w:t>
      </w:r>
    </w:p>
    <w:p>
      <w:pPr>
        <w:spacing w:after="0" w:line="239"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option to purchase one or more shares of Stock at a specified Option Price awarded to a Grantee pursuant to</w:t>
      </w:r>
      <w:r>
        <w:rPr>
          <w:rFonts w:ascii="Times New Roman" w:cs="Times New Roman" w:eastAsia="Times New Roman" w:hAnsi="Times New Roman"/>
          <w:sz w:val="18"/>
          <w:szCs w:val="18"/>
          <w:b w:val="1"/>
          <w:bCs w:val="1"/>
          <w:color w:val="auto"/>
        </w:rPr>
        <w:t xml:space="preserve"> Section 8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qualify as an “incentive stock option” within the meaning of Section 422 of the Code.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per share exercise price for shares of Stock subject to an Option.</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Agreement</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15</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2.34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member of the Board who is not an officer or Employee of the Company.</w:t>
      </w:r>
    </w:p>
    <w:p>
      <w:pPr>
        <w:spacing w:after="0" w:line="239"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2.35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Equity-Based Award</w:t>
      </w:r>
      <w:r>
        <w:rPr>
          <w:rFonts w:ascii="Times New Roman" w:cs="Times New Roman" w:eastAsia="Times New Roman" w:hAnsi="Times New Roman"/>
          <w:sz w:val="18"/>
          <w:szCs w:val="18"/>
          <w:color w:val="auto"/>
        </w:rPr>
        <w:t>” means an Award representing a right or other interest that may be denominated or payable in, valued in whole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part by reference to, or otherwise based on, or related to, Stock, other than an Option, Stock Appreciation Right, Restricted Stock, a Stock Unit, Unrestricted Stock, a Dividend Equivalent Right, or a Performance Award.</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2.36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Parachute Payment</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15.</w:t>
      </w:r>
    </w:p>
    <w:p>
      <w:pPr>
        <w:spacing w:after="0" w:line="239" w:lineRule="exact"/>
        <w:rPr>
          <w:sz w:val="20"/>
          <w:szCs w:val="20"/>
          <w:color w:val="auto"/>
        </w:rPr>
      </w:pPr>
    </w:p>
    <w:p>
      <w:pPr>
        <w:ind w:right="80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2.37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made subject to the attainment of performance goals (as determined by the Board) over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of up to ten (10) years.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2.38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Measures</w:t>
      </w:r>
      <w:r>
        <w:rPr>
          <w:rFonts w:ascii="Times New Roman" w:cs="Times New Roman" w:eastAsia="Times New Roman" w:hAnsi="Times New Roman"/>
          <w:sz w:val="18"/>
          <w:szCs w:val="18"/>
          <w:color w:val="auto"/>
        </w:rPr>
        <w:t>” means measures as specified in</w:t>
      </w:r>
      <w:r>
        <w:rPr>
          <w:rFonts w:ascii="Times New Roman" w:cs="Times New Roman" w:eastAsia="Times New Roman" w:hAnsi="Times New Roman"/>
          <w:sz w:val="18"/>
          <w:szCs w:val="18"/>
          <w:b w:val="1"/>
          <w:bCs w:val="1"/>
          <w:color w:val="auto"/>
        </w:rPr>
        <w:t xml:space="preserve"> Section 14.</w:t>
      </w:r>
    </w:p>
    <w:p>
      <w:pPr>
        <w:spacing w:after="0" w:line="239" w:lineRule="exact"/>
        <w:rPr>
          <w:sz w:val="20"/>
          <w:szCs w:val="20"/>
          <w:color w:val="auto"/>
        </w:rPr>
      </w:pPr>
    </w:p>
    <w:p>
      <w:pPr>
        <w:ind w:right="7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2.39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of time, up to ten (10) years, during which the performance goals must be met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the degree of payout and/or vesting with respect to a Performance Award.</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Syndax Pharmaceuticals, Inc. 2023 Inducement Plan,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8" w:name="page129"/>
    <w:bookmarkEnd w:id="128"/>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the purchase price for each share of Stock pursuant to a grant of Restricted Stock, Stock Units or Unrestricted Stock.</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of Stock awarded to a Grantee pursuant to</w:t>
      </w:r>
      <w:r>
        <w:rPr>
          <w:rFonts w:ascii="Times New Roman" w:cs="Times New Roman" w:eastAsia="Times New Roman" w:hAnsi="Times New Roman"/>
          <w:sz w:val="18"/>
          <w:szCs w:val="18"/>
          <w:b w:val="1"/>
          <w:bCs w:val="1"/>
          <w:color w:val="auto"/>
        </w:rPr>
        <w:t xml:space="preserve"> Section 10</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 Exercise Price</w:t>
      </w:r>
      <w:r>
        <w:rPr>
          <w:rFonts w:ascii="Times New Roman" w:cs="Times New Roman" w:eastAsia="Times New Roman" w:hAnsi="Times New Roman"/>
          <w:sz w:val="18"/>
          <w:szCs w:val="18"/>
          <w:color w:val="auto"/>
        </w:rPr>
        <w:t>” means the per share exercise price of a SAR.</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now in effect or as hereafter amended.</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Market</w:t>
      </w:r>
      <w:r>
        <w:rPr>
          <w:rFonts w:ascii="Times New Roman" w:cs="Times New Roman" w:eastAsia="Times New Roman" w:hAnsi="Times New Roman"/>
          <w:sz w:val="18"/>
          <w:szCs w:val="18"/>
          <w:color w:val="auto"/>
        </w:rPr>
        <w:t>” shall mean an established securities market.</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shall have the meaning set forth in Code Section 409A.</w:t>
      </w:r>
    </w:p>
    <w:p>
      <w:pPr>
        <w:spacing w:after="0" w:line="239" w:lineRule="exact"/>
        <w:rPr>
          <w:sz w:val="20"/>
          <w:szCs w:val="20"/>
          <w:color w:val="auto"/>
        </w:rPr>
      </w:pPr>
    </w:p>
    <w:p>
      <w:pPr>
        <w:jc w:val="both"/>
        <w:ind w:right="220"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2.47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means service qualifying a Grantee as a Service Provider to the Company or any Affiliate. Unless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Award Agreement, a Grantee’s change in position or duties shall not result in interrupted or terminated Service, so long as such Grantee continues to be a Service Provider to the Company or any Affiliate. Subject to the preceding sentence, any determination by the Board whether a termination of Service shall have occurred for purposes of the Plan shall be final, binding, and conclusive. If a Service Provider’s employment or other Service relationship is with an Affiliate of the Company and the applicable entity ceases to be an Affiliate of the Company, a termination of Service shall be deemed to have occurred when such entity ceases to be an Affiliate unless the Service Provider transfers his or her employment or other Service relationship to the Company or any of its other Affiliates.</w:t>
      </w:r>
    </w:p>
    <w:p>
      <w:pPr>
        <w:spacing w:after="0" w:line="196" w:lineRule="exact"/>
        <w:rPr>
          <w:sz w:val="20"/>
          <w:szCs w:val="20"/>
          <w:color w:val="auto"/>
        </w:rPr>
      </w:pPr>
    </w:p>
    <w:p>
      <w:pPr>
        <w:jc w:val="both"/>
        <w:ind w:right="28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2.48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shall mean (a) an Employee or Director of the Company or an Affiliate, or (b) a consultant or adviser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Affiliate (i) who is a natural person, (ii) who is currently providing bona fide services to the Company or an Affiliate, and (iii) whose services are not in connection with the Company’s sale of securities in a capital-raising transaction and do not directly or indirectly promote or maintain a market for the Company’s Capital Stock; provided, that consultants and advisers are not eligible to receive Awards under the Plan with respect to their service in such capacity.</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2.49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Recipient Stock</w:t>
      </w:r>
      <w:r>
        <w:rPr>
          <w:rFonts w:ascii="Times New Roman" w:cs="Times New Roman" w:eastAsia="Times New Roman" w:hAnsi="Times New Roman"/>
          <w:sz w:val="18"/>
          <w:szCs w:val="18"/>
          <w:color w:val="auto"/>
        </w:rPr>
        <w:t>” shall have the meaning set forth in Code Section 409A.</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Section 4.1.</w:t>
      </w:r>
    </w:p>
    <w:p>
      <w:pPr>
        <w:spacing w:after="0" w:line="239" w:lineRule="exact"/>
        <w:rPr>
          <w:sz w:val="20"/>
          <w:szCs w:val="20"/>
          <w:color w:val="auto"/>
        </w:rPr>
      </w:pPr>
    </w:p>
    <w:p>
      <w:pPr>
        <w:ind w:right="66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2.51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common stock, par value $0.0001 per share, of the Company, or any security into which shares of Stock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changed or for which shares of Stock may be exchanged as provided in </w:t>
      </w:r>
      <w:r>
        <w:rPr>
          <w:rFonts w:ascii="Times New Roman" w:cs="Times New Roman" w:eastAsia="Times New Roman" w:hAnsi="Times New Roman"/>
          <w:sz w:val="18"/>
          <w:szCs w:val="18"/>
          <w:b w:val="1"/>
          <w:bCs w:val="1"/>
          <w:color w:val="auto"/>
        </w:rPr>
        <w:t>Section 17.1</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2.52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right awarded to a Grantee under</w:t>
      </w:r>
      <w:r>
        <w:rPr>
          <w:rFonts w:ascii="Times New Roman" w:cs="Times New Roman" w:eastAsia="Times New Roman" w:hAnsi="Times New Roman"/>
          <w:sz w:val="18"/>
          <w:szCs w:val="18"/>
          <w:b w:val="1"/>
          <w:bCs w:val="1"/>
          <w:color w:val="auto"/>
        </w:rPr>
        <w:t xml:space="preserve"> Section 9</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54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2.53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Stock Market LLC, any successor thereto, or another established national or regional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w:t>
      </w:r>
    </w:p>
    <w:p>
      <w:pPr>
        <w:spacing w:after="0" w:line="168" w:lineRule="exact"/>
        <w:rPr>
          <w:sz w:val="20"/>
          <w:szCs w:val="20"/>
          <w:color w:val="auto"/>
        </w:rPr>
      </w:pPr>
    </w:p>
    <w:p>
      <w:pPr>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2.54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Unit</w:t>
      </w:r>
      <w:r>
        <w:rPr>
          <w:rFonts w:ascii="Times New Roman" w:cs="Times New Roman" w:eastAsia="Times New Roman" w:hAnsi="Times New Roman"/>
          <w:sz w:val="18"/>
          <w:szCs w:val="18"/>
          <w:color w:val="auto"/>
        </w:rPr>
        <w:t>” means a bookkeeping entry representing the equivalent of one share of Stock awarded to a Grantee pursuant to</w:t>
      </w:r>
      <w:r>
        <w:rPr>
          <w:rFonts w:ascii="Times New Roman" w:cs="Times New Roman" w:eastAsia="Times New Roman" w:hAnsi="Times New Roman"/>
          <w:sz w:val="18"/>
          <w:szCs w:val="18"/>
          <w:b w:val="1"/>
          <w:bCs w:val="1"/>
          <w:color w:val="auto"/>
        </w:rPr>
        <w:t xml:space="preserve"> Section 10 </w:t>
      </w:r>
      <w:r>
        <w:rPr>
          <w:rFonts w:ascii="Times New Roman" w:cs="Times New Roman" w:eastAsia="Times New Roman" w:hAnsi="Times New Roman"/>
          <w:sz w:val="18"/>
          <w:szCs w:val="18"/>
          <w:color w:val="auto"/>
        </w:rPr>
        <w:t>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settled, subject to the terms and conditions of the applicable Award Agreement, in shares of Stock, cash, or a combination thereof.</w:t>
      </w:r>
    </w:p>
    <w:p>
      <w:pPr>
        <w:spacing w:after="0" w:line="168" w:lineRule="exact"/>
        <w:rPr>
          <w:sz w:val="20"/>
          <w:szCs w:val="20"/>
          <w:color w:val="auto"/>
        </w:rPr>
      </w:pPr>
    </w:p>
    <w:p>
      <w:pPr>
        <w:jc w:val="both"/>
        <w:ind w:right="24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2.55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or non-corporate entity with respect to which the Company owns,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fifty percent (50%) or more of the total combined voting power of all classes of Voting Stock. In addition, any other entity may be designated by the Committee as a Subsidiary, provided that (a) such entity could be considered as a subsidiary according to generally accepted accounting principles in the United States of America and (b) in the case of an Award of Options or Stock Appreciation Rights, such Award would be considered to be granted in respect of Service Recipient Stock under Code Section 409A.</w:t>
      </w:r>
    </w:p>
    <w:p>
      <w:pPr>
        <w:spacing w:after="0" w:line="193" w:lineRule="exact"/>
        <w:rPr>
          <w:sz w:val="20"/>
          <w:szCs w:val="20"/>
          <w:color w:val="auto"/>
        </w:rPr>
      </w:pPr>
    </w:p>
    <w:p>
      <w:pPr>
        <w:ind w:right="44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2.56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Award</w:t>
      </w:r>
      <w:r>
        <w:rPr>
          <w:rFonts w:ascii="Times New Roman" w:cs="Times New Roman" w:eastAsia="Times New Roman" w:hAnsi="Times New Roman"/>
          <w:sz w:val="18"/>
          <w:szCs w:val="18"/>
          <w:color w:val="auto"/>
        </w:rPr>
        <w:t>” means an Award granted upon assumption of, or in substitution for, outstanding awards previously granted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other entity acquired by the Company or an Affiliate or with which the Company or an Affiliate combines.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2.57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Stock</w:t>
      </w:r>
      <w:r>
        <w:rPr>
          <w:rFonts w:ascii="Times New Roman" w:cs="Times New Roman" w:eastAsia="Times New Roman" w:hAnsi="Times New Roman"/>
          <w:sz w:val="18"/>
          <w:szCs w:val="18"/>
          <w:color w:val="auto"/>
        </w:rPr>
        <w:t>” shall mean Stock that is free of any restrictions.</w:t>
      </w:r>
    </w:p>
    <w:p>
      <w:pPr>
        <w:spacing w:after="0" w:line="239" w:lineRule="exact"/>
        <w:rPr>
          <w:sz w:val="20"/>
          <w:szCs w:val="20"/>
          <w:color w:val="auto"/>
        </w:rPr>
      </w:pPr>
    </w:p>
    <w:p>
      <w:pPr>
        <w:ind w:right="5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2.58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with respect to any Person, Capital Stock of any class or kind ordinarily having the power to vote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managers, or other voting members of the governing body of such Person.</w:t>
      </w:r>
    </w:p>
    <w:p>
      <w:pPr>
        <w:spacing w:after="0" w:line="87" w:lineRule="exact"/>
        <w:rPr>
          <w:sz w:val="20"/>
          <w:szCs w:val="20"/>
          <w:color w:val="auto"/>
        </w:rPr>
      </w:pPr>
    </w:p>
    <w:p>
      <w:pPr>
        <w:ind w:left="360" w:right="9220" w:hanging="352"/>
        <w:spacing w:after="0" w:line="518" w:lineRule="auto"/>
        <w:tabs>
          <w:tab w:leader="none" w:pos="37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3.1. Board.</w:t>
      </w:r>
    </w:p>
    <w:p>
      <w:pPr>
        <w:spacing w:after="0" w:line="2" w:lineRule="exact"/>
        <w:rPr>
          <w:sz w:val="20"/>
          <w:szCs w:val="20"/>
          <w:color w:val="auto"/>
        </w:rPr>
      </w:pPr>
    </w:p>
    <w:p>
      <w:pPr>
        <w:jc w:val="both"/>
        <w:ind w:right="20"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The Board shall have such powers and authorities related to the administration of the Plan as are consistent with the Company’s certificate of incorporation and by-laws, Applicable Laws, and the Inducement Award Rules. The Board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that the Board deems to be necessary or appropriate to the administration of the Plan, any Award, or any Award Agreement; provided, however, that Awards may only be granted by either (a) a majority of the Company’s Independent Directors or (b) the Independent Compensation Committee. Subject to those constraints and the other constraints of the Inducement Award Rules, the Board may delegate some of its powers of administration of the Plan to a Committee or Committees, as provided in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All such actions and determinations shall be made by the affirmative vote of a majority of the members of the Board present at a meeting at which a quorum is present or by unanimous consent of the members of the Board executed in writing or evidenced by electronic transmission in accordance with the Company’s certificate of incorporation and by-laws and Applicable Laws. The Board shall have the authority to interpret and construe all provisions of the Plan, any Award, and any Award Agreement, and any such interpretation and construction, and any other determination contemplated to be made under the Plan, any Award, or any Award Agreement, by the Board shall be final, binding, and conclusive on all persons, whether or not expressly provided for in any provision of the Plan, such Award, or such Award Agreement.</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3.2. Committee.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Board from time to time may delegate to the Committee such powers and authorities related to the administration and implementation of the Plan, as set forth in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xml:space="preserve"> above and other applicable provisions, as the Board shall determine, consistent with the Company’s certificate of incorporation and by-laws, Applicable Laws, and the Inducement Award Rules.</w:t>
      </w:r>
    </w:p>
    <w:p>
      <w:pPr>
        <w:spacing w:after="0" w:line="68" w:lineRule="exact"/>
        <w:rPr>
          <w:sz w:val="20"/>
          <w:szCs w:val="20"/>
          <w:color w:val="auto"/>
        </w:rPr>
      </w:pPr>
    </w:p>
    <w:p>
      <w:pPr>
        <w:jc w:val="both"/>
        <w:ind w:firstLine="757"/>
        <w:spacing w:after="0" w:line="261" w:lineRule="auto"/>
        <w:tabs>
          <w:tab w:leader="none" w:pos="10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Subsection (ii) and except as the Board may otherwise determine, the Committee, if any, appointed by the Board to administer the Plan shall consist of two or more Outside Directors of the Company who: (a) meet such requirements as may be established from time to time by the Securities and Exchange Commission for plans intended to qualify for exemption under Rule 16b-3 (or its successor) under the Exchange Act, and (b) comply with the independence requirements of the Stock Exchange or Securities Market on which the shares of Stock are listed or publicly traded.</w:t>
      </w:r>
    </w:p>
    <w:p>
      <w:pPr>
        <w:spacing w:after="0" w:line="7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appoint one or more separate committees of the Board, each composed of one or more directors of the Company who need not be Outside Directors, who may administer the Plan with respect to Employees or other Service Providers who are not executive officers (as defined under Rule 3b-7 or the Exchange Act) or Directors of the Company, may grant Awards under the Plan to Eligible Employees (provided that Awards may only be granted by either (x) a majority of the Company’s Independent Directors or (y) the Independent Compensation Committee), and may determine all terms of such Awards, subject to the requirements of the Inducement Award Rules, Rule 16b-3 and the rules of the Stock Exchange or Securities Market on which the shares of Stock are listed or publicly traded.</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event that the Plan, any Award, or any Award Agreement entered into hereunder provides for any action to be taken by or determination to be made by the Board, such action may be taken or such determination may be made by a Committee if the power and authority to do so has been delegated (and such delegated authority has not been revoked) to such Committee by the Board as provided for in this Section. Unless otherwise expressly determined by the Board, any such action or determination by the Committee shall be final, binding, and conclusive. To the extent permitted by Applicable Laws, the Committee may delegate its authority under the Plan to a member of the Board, provided, that such member of the Board to whom the Committee delegates authority under the Plan must be an Outside Director who satisfies the requirements of Subsection (i) (a)-(b) of this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3.3. Terms of Awards.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Subject to the other terms and conditions of the Plan and the Inducement Award Rules, the Board shall have full and final authority to:</w:t>
      </w:r>
    </w:p>
    <w:p>
      <w:pPr>
        <w:spacing w:after="0" w:line="117" w:lineRule="exact"/>
        <w:rPr>
          <w:sz w:val="20"/>
          <w:szCs w:val="20"/>
          <w:color w:val="auto"/>
        </w:rPr>
      </w:pPr>
    </w:p>
    <w:p>
      <w:pPr>
        <w:ind w:firstLine="742"/>
        <w:spacing w:after="0" w:line="282" w:lineRule="auto"/>
        <w:tabs>
          <w:tab w:leader="none" w:pos="10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Grantees (provided that Awards may only be granted by either (x) a majority of the Company’s Independent Directors or (y) the Independent Compensation Committee);</w:t>
      </w:r>
    </w:p>
    <w:p>
      <w:pPr>
        <w:spacing w:after="0" w:line="53" w:lineRule="exact"/>
        <w:rPr>
          <w:rFonts w:ascii="Times New Roman" w:cs="Times New Roman" w:eastAsia="Times New Roman" w:hAnsi="Times New Roman"/>
          <w:sz w:val="18"/>
          <w:szCs w:val="18"/>
          <w:color w:val="auto"/>
        </w:rPr>
      </w:pPr>
    </w:p>
    <w:p>
      <w:pPr>
        <w:ind w:left="1020" w:hanging="278"/>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made to a Grantee;</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(iii)determine the number of shares of Stock to be subject to an Award or to which an Award relates;</w:t>
      </w:r>
    </w:p>
    <w:p>
      <w:pPr>
        <w:spacing w:after="0" w:line="117" w:lineRule="exact"/>
        <w:rPr>
          <w:sz w:val="20"/>
          <w:szCs w:val="20"/>
          <w:color w:val="auto"/>
        </w:rPr>
      </w:pPr>
    </w:p>
    <w:p>
      <w:pPr>
        <w:jc w:val="both"/>
        <w:ind w:firstLine="742"/>
        <w:spacing w:after="0" w:line="266" w:lineRule="auto"/>
        <w:tabs>
          <w:tab w:leader="none" w:pos="10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terms and conditions of each Award (including, but not limited to, the Option Price, SAR Exercise Price, the Purchase Price, the nature and duration of any restriction or condition (or provision for lapse thereof) relating to the vesting, exercise, transfer, or forfeiture of an Award or the shares of Stock subject thereto, the treatment of an Award in the event of a Change in Control (subject to applicable agreements);</w:t>
      </w:r>
    </w:p>
    <w:p>
      <w:pPr>
        <w:spacing w:after="0" w:line="67" w:lineRule="exact"/>
        <w:rPr>
          <w:rFonts w:ascii="Times New Roman" w:cs="Times New Roman" w:eastAsia="Times New Roman" w:hAnsi="Times New Roman"/>
          <w:sz w:val="18"/>
          <w:szCs w:val="18"/>
          <w:color w:val="auto"/>
        </w:rPr>
      </w:pPr>
    </w:p>
    <w:p>
      <w:pPr>
        <w:ind w:left="1020" w:hanging="278"/>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evidencing an Award;</w:t>
      </w:r>
    </w:p>
    <w:p>
      <w:pPr>
        <w:spacing w:after="0" w:line="99" w:lineRule="exact"/>
        <w:rPr>
          <w:rFonts w:ascii="Times New Roman" w:cs="Times New Roman" w:eastAsia="Times New Roman" w:hAnsi="Times New Roman"/>
          <w:sz w:val="18"/>
          <w:szCs w:val="18"/>
          <w:color w:val="auto"/>
        </w:rPr>
      </w:pPr>
    </w:p>
    <w:p>
      <w:pPr>
        <w:jc w:val="both"/>
        <w:ind w:firstLine="742"/>
        <w:spacing w:after="0" w:line="259" w:lineRule="auto"/>
        <w:tabs>
          <w:tab w:leader="none" w:pos="10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on repricing in </w:t>
      </w: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amend, modify or supplement the terms of any outstanding Award. Such authority specifically includes the authority, in order to effectuate the purposes of the Plan but without amending the Plan, to make or modify outstanding Awards made to Eligible Employees who are foreign nationals or are individuals who are employed outside the United States to recognize differences in local law, tax policy, or custom. Notwithstanding the foregoing, no amendment, modification, or supplement of the terms of any outstanding Award shall, without the consent of the Grantee thereof, impair the Grantee’s rights under such Award; and</w:t>
      </w:r>
    </w:p>
    <w:p>
      <w:pPr>
        <w:spacing w:after="0" w:line="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(vii)make Substitute Awards.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3.4. Effect of Board’s Decision.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3.5. Forfeiture; Recoupment.</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Board may reserve the right in an Award Agreement to cause a forfeiture of the gain realized by a Grantee with respect to an Award thereunder on account of actions taken by, or failed to be taken by, such Grantee in violation or breach of, or in conflict with, any (a) employment agreement, (b) non-competition agreement, (c) agreement prohibiting solicitation of employees or clients of the Company or any Affiliate, (d) confidentiality obligation with respect to the Company or any Affiliate, or (e) Company or Affiliate policy or procedure, (f) other agreement, or (g) other obligation of such Grantee to the Company or an Affiliate, as and to the extent specified in such Award Agreement. If the Grantee of an outstanding Award is an employee of the Company or any Affiliate and such Grantee’s Service is terminated for Cause, the Committee may annul such Grantee’s outstanding Award as of the date of the Grantee’s termination of Service for Cause.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Any Award granted pursuant to the Plan shall be subject to mandatory repayment by the Grantee to the Company (x) to the extent set forth in this Plan or an Award Agreement or (y) to the extent the Grantee is, or in the future becomes, subject to (i) any Company “clawback” or recoupment policy that is adopted to comply with the requirements of any Applicable Laws or (ii) any Applicable Laws which impose mandatory recoupment, under circumstances set forth in such Applicable Laws.</w:t>
      </w:r>
    </w:p>
    <w:p>
      <w:pPr>
        <w:spacing w:after="0" w:line="11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Furthermore, if the Company is required to prepare an accounting restatement due to the material noncompliance of the Company, as a result of misconduct, with any financial reporting requirement under the federal securities laws, and any Award Agreement so provides, any Grantee of an Award under such Award Agreement who knowingly engaged in such misconduct, was grossly negligent in engaging in such misconduct, knowingly failed to prevent such misconduct, or was grossly negligent in failing to prevent such misconduct, shall reimburse the Company the amount of any payment in settlement of an Award earned or accrued during the 12-month period following the first public issuance or filing with the United States Securities and Exchange Commission (whichever first occurred) of the financial document that contained information affected by such material noncompliance.</w:t>
      </w:r>
    </w:p>
    <w:p>
      <w:pPr>
        <w:spacing w:after="0" w:line="12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or any provision of any Award Agreement, if the Company is required to prepare an accounting restatement, then a Grantee shall forfeit any cash or shares of Stock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an Award (or an amount equal to the Fair Market Value of such shares of Stock on the date of delivery if the Grantee no longer holds the shares of Stock) if pursuant to the terms of the Award Agreement for such Award, the amount of the Award earned or the vesting in the Award was explicitly based on the achievement of pre- established performance goals set forth in the Award Agreement (including earnings, gains, or other performance goals) that are later determined, as a result of the accounting restatement, not to have been achieved.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3.6.No Repricing Without Stockholder Approval.</w:t>
      </w:r>
    </w:p>
    <w:p>
      <w:pPr>
        <w:spacing w:after="0" w:line="24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Except in connection with a corporate transaction involving the Company (including, without limitation, any stock dividend, distribution (whether in the form of cash, shares of Stock, other securities, or other property), stock split, extraordinary dividend, recapitalization, Change in Control, reorganization, merger, consolidation, split-up, spin-off, combination, repurchase or exchange of shares of Stock, or other securities or similar transaction), the Company may not: (a) amend the terms of outstanding Options or SARs to reduce the Option Price or SAR Exercise Price, as applicable, of such outstanding Options or SARs; (b) cancel outstanding Options or SARs in exchange for or substitution of Options or SARs with an Option Price or SAR Exercise Price, as applicable, that is less than the Option Price or SAR Exercise Price of the original Options or SARs; or (c) cancel outstanding Options or SARs with an Option Price or SAR Exercise Price, as applicable, above the current per share Fair Market Value in exchange for cash or other securities, in each case unless such action (i) is subject to and approved by the Company’s stockholders or (ii) would not be deemed to be a repricing under the rules of any Stock Exchange or Securities Market on which the Stock is listed or publicly traded.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3.7.Deferral Arrangement.</w:t>
      </w:r>
    </w:p>
    <w:p>
      <w:pPr>
        <w:spacing w:after="0" w:line="121" w:lineRule="exact"/>
        <w:rPr>
          <w:sz w:val="20"/>
          <w:szCs w:val="20"/>
          <w:color w:val="auto"/>
        </w:rPr>
      </w:pPr>
    </w:p>
    <w:p>
      <w:pPr>
        <w:jc w:val="both"/>
        <w:ind w:right="20" w:firstLine="374"/>
        <w:spacing w:after="0" w:line="256" w:lineRule="auto"/>
        <w:rPr>
          <w:sz w:val="20"/>
          <w:szCs w:val="20"/>
          <w:color w:val="auto"/>
        </w:rPr>
      </w:pPr>
      <w:r>
        <w:rPr>
          <w:rFonts w:ascii="Times New Roman" w:cs="Times New Roman" w:eastAsia="Times New Roman" w:hAnsi="Times New Roman"/>
          <w:sz w:val="18"/>
          <w:szCs w:val="18"/>
          <w:color w:val="auto"/>
        </w:rPr>
        <w:t>The Board may permit or require the deferral of any payment pursuant to an Award into a deferred compensation arrangement, subject to such rules and procedures as it may establish, which may include provisions for the payment or crediting of interest or Dividend Equivalent Rights and, in connection therewith, provisions for converting such credits into deferred Stock Units and for restricting deferrals to comply with hardship distribution rules affecting tax-qualified retirement plans subject to Code Section 401(k)(2)(B)(IV); provided that no Dividend Equivalent Rights may be granted in connection with, or related to, an Award of Options or SARs. Any such deferrals shall be made in a manner that complies with Code Section 409A, including, if applicable, with respect to when a Separation from Service occurs.</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3.8.Limitation on Liability.</w:t>
      </w:r>
    </w:p>
    <w:p>
      <w:pPr>
        <w:spacing w:after="0" w:line="121" w:lineRule="exact"/>
        <w:rPr>
          <w:sz w:val="20"/>
          <w:szCs w:val="20"/>
          <w:color w:val="auto"/>
        </w:rPr>
      </w:pPr>
    </w:p>
    <w:p>
      <w:pPr>
        <w:jc w:val="both"/>
        <w:ind w:right="20" w:firstLine="374"/>
        <w:spacing w:after="0" w:line="255" w:lineRule="auto"/>
        <w:rPr>
          <w:sz w:val="20"/>
          <w:szCs w:val="20"/>
          <w:color w:val="auto"/>
        </w:rPr>
      </w:pPr>
      <w:r>
        <w:rPr>
          <w:rFonts w:ascii="Times New Roman" w:cs="Times New Roman" w:eastAsia="Times New Roman" w:hAnsi="Times New Roman"/>
          <w:sz w:val="18"/>
          <w:szCs w:val="18"/>
          <w:color w:val="auto"/>
        </w:rPr>
        <w:t xml:space="preserve">No member of the Board or the Committee shall be liable for any action or determination made in good faith with respect to the Plan, any Award, or any Award Agreement. Notwithstanding any provision of the Plan to the contrary, neither the Company, any of its Affiliates, the Board, the Committee, nor any person acting on behalf of the Company, any of its Affiliates, the Board, or the Committee will be liable to any Grantee or to the estate or beneficiary of any Grantee or to any other holder of an Award under the Plan by reason of any acceleration of income, or any additional tax (including any interest and penalties), asserted by reason of the failure of an Award to satisfy the requirements of Code Section 409A or by reason of Code Section 4999, or otherwise asserted with respect to the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3.8</w:t>
      </w:r>
      <w:r>
        <w:rPr>
          <w:rFonts w:ascii="Times New Roman" w:cs="Times New Roman" w:eastAsia="Times New Roman" w:hAnsi="Times New Roman"/>
          <w:sz w:val="18"/>
          <w:szCs w:val="18"/>
          <w:color w:val="auto"/>
        </w:rPr>
        <w:t xml:space="preserve"> shall not affect any of the rights or obligations set forth in an applicable agreement between the Grantee and the Company or any of its Affiliates.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3.9.Stock Issuance/Book-Entry.</w:t>
      </w:r>
    </w:p>
    <w:p>
      <w:pPr>
        <w:spacing w:after="0" w:line="121"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Plan to the contrary, the issuance of the shares of Stock under the Plan may be evidenced in such a manner as the Board, in its discretion, deems appropriate, including by book-entry or direct registration (including transaction advices) or the issuance of one or more share certificates.</w:t>
      </w:r>
    </w:p>
    <w:p>
      <w:pPr>
        <w:spacing w:after="0" w:line="104" w:lineRule="exact"/>
        <w:rPr>
          <w:sz w:val="20"/>
          <w:szCs w:val="20"/>
          <w:color w:val="auto"/>
        </w:rPr>
      </w:pPr>
    </w:p>
    <w:p>
      <w:pPr>
        <w:ind w:left="380" w:hanging="342"/>
        <w:spacing w:after="0"/>
        <w:tabs>
          <w:tab w:leader="none" w:pos="3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SUBJECT TO THE PLAN</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4.1. Number of Shares of Stock Available for Awards.</w:t>
      </w:r>
    </w:p>
    <w:p>
      <w:pPr>
        <w:spacing w:after="0" w:line="158" w:lineRule="exact"/>
        <w:rPr>
          <w:sz w:val="20"/>
          <w:szCs w:val="20"/>
          <w:color w:val="auto"/>
        </w:rPr>
      </w:pPr>
    </w:p>
    <w:p>
      <w:pPr>
        <w:jc w:val="both"/>
        <w:ind w:right="20" w:firstLine="407"/>
        <w:spacing w:after="0" w:line="286"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and subject to adjustment as provided under </w:t>
      </w:r>
      <w:r>
        <w:rPr>
          <w:rFonts w:ascii="Times New Roman" w:cs="Times New Roman" w:eastAsia="Times New Roman" w:hAnsi="Times New Roman"/>
          <w:sz w:val="18"/>
          <w:szCs w:val="18"/>
          <w:b w:val="1"/>
          <w:bCs w:val="1"/>
          <w:color w:val="auto"/>
        </w:rPr>
        <w:t>Section 17.1</w:t>
      </w:r>
      <w:r>
        <w:rPr>
          <w:rFonts w:ascii="Times New Roman" w:cs="Times New Roman" w:eastAsia="Times New Roman" w:hAnsi="Times New Roman"/>
          <w:sz w:val="18"/>
          <w:szCs w:val="18"/>
          <w:color w:val="auto"/>
        </w:rPr>
        <w:t>, 4,700,000 shares of Stock shall be authorized for issuance pursuant to Awards under the Plan (the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4.2.Adjustments in Authorized Shares of Stock.</w:t>
      </w:r>
    </w:p>
    <w:p>
      <w:pPr>
        <w:spacing w:after="0" w:line="162" w:lineRule="exact"/>
        <w:rPr>
          <w:sz w:val="20"/>
          <w:szCs w:val="20"/>
          <w:color w:val="auto"/>
        </w:rPr>
      </w:pPr>
    </w:p>
    <w:p>
      <w:pPr>
        <w:jc w:val="both"/>
        <w:ind w:right="20" w:firstLine="407"/>
        <w:spacing w:after="0" w:line="266" w:lineRule="auto"/>
        <w:rPr>
          <w:sz w:val="20"/>
          <w:szCs w:val="20"/>
          <w:color w:val="auto"/>
        </w:rPr>
      </w:pPr>
      <w:r>
        <w:rPr>
          <w:rFonts w:ascii="Times New Roman" w:cs="Times New Roman" w:eastAsia="Times New Roman" w:hAnsi="Times New Roman"/>
          <w:sz w:val="18"/>
          <w:szCs w:val="18"/>
          <w:color w:val="auto"/>
        </w:rPr>
        <w:t>The Board shall have the right to substitute or assume awards in connection with mergers, reorganizations, separations, or other transactions. The Share Reserve shall be increased by the corresponding number of awards assumed and, in the case of a substitution, by the net increase in the number of shares of Stock subject to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before and after the substitution. Shares available for issuance under a stockholder-approved plan of a business entity that is party to such transaction (as appropriately adjusted, if necessary, to reflect the transaction) may be used for Awards under the Plan and shall not reduce the number of shares of Stock otherwise available for issuance under the Plan, subject to applicable rules of any Stock Exchange or Securities Market on which the Stock is listed or publicly traded.</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4.3.Share Usage.</w:t>
      </w:r>
    </w:p>
    <w:p>
      <w:pPr>
        <w:spacing w:after="0" w:line="162" w:lineRule="exact"/>
        <w:rPr>
          <w:sz w:val="20"/>
          <w:szCs w:val="20"/>
          <w:color w:val="auto"/>
        </w:rPr>
      </w:pPr>
    </w:p>
    <w:p>
      <w:pPr>
        <w:jc w:val="both"/>
        <w:ind w:firstLine="407"/>
        <w:spacing w:after="0" w:line="253" w:lineRule="auto"/>
        <w:rPr>
          <w:sz w:val="20"/>
          <w:szCs w:val="20"/>
          <w:color w:val="auto"/>
        </w:rPr>
      </w:pPr>
      <w:r>
        <w:rPr>
          <w:rFonts w:ascii="Times New Roman" w:cs="Times New Roman" w:eastAsia="Times New Roman" w:hAnsi="Times New Roman"/>
          <w:sz w:val="18"/>
          <w:szCs w:val="18"/>
          <w:color w:val="auto"/>
        </w:rPr>
        <w:t xml:space="preserve">Shares of Stock covered by an Award shall be counted as used as of the Grant Date for purposes of calculating the number of shares of Stock available for issuance under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Any shares of Stock that are subject to Awards, including shares of Stock acquired through dividend reinvestment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will be counted against the limit set forth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as one (1) share of Stock for every one (1) share of Stock subject to an Award. With respect to SARs, the number of shares of Stock subject to an award of SARs will be counted against the aggregate number of shares of Stock available for issuance under the Plan regardless of the number of shares of Stock actually issued to settle the SAR upon exercise. The target number of shares issuable under a Performance Award grant shall be counted against the limit set forth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as of the Grant Date, but such number shall be adjusted to equal the actual number of shares issued upon settlement of the Performance Award to the extent different from such target number of shares. If any shares of Stock covered by an Award granted under the Plan are not purchased or are forfeited or expire, or if an Award otherwise terminates without delivery of any shares of Stock subject thereto or is settled in cash in lieu of shares of Stock, then the number of shares of Stock counted against the aggregate number of shares of Stock available under the Plan with respect to such Award shall, to the extent of any such forfeiture, termination, expiration, or settlement, again be available for making Awards under the Plan in the same amount as such shares of Stock were counted against the limit set forth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number of shares of Stock available for issuance under the Plan will not be increased by the number of shares of Stock (i) tendered, withheld, or subject to an Award granted under the Plan surrendered in connection with the purchase of shares of Stock upon exercise of an Option, (ii) that were not issued upon the net settlement or net exercise of a Stock-settled SAR granted under the Plan, (iii) deducted or delivered from payment of an Award granted under the Plan in connection with the Company’s tax withholding obligations as provided in </w:t>
      </w:r>
      <w:r>
        <w:rPr>
          <w:rFonts w:ascii="Times New Roman" w:cs="Times New Roman" w:eastAsia="Times New Roman" w:hAnsi="Times New Roman"/>
          <w:sz w:val="18"/>
          <w:szCs w:val="18"/>
          <w:b w:val="1"/>
          <w:bCs w:val="1"/>
          <w:color w:val="auto"/>
        </w:rPr>
        <w:t>Section 18.3</w:t>
      </w:r>
      <w:r>
        <w:rPr>
          <w:rFonts w:ascii="Times New Roman" w:cs="Times New Roman" w:eastAsia="Times New Roman" w:hAnsi="Times New Roman"/>
          <w:sz w:val="18"/>
          <w:szCs w:val="18"/>
          <w:color w:val="auto"/>
        </w:rPr>
        <w:t>, or (iv) purchased by the Company with proceeds from Option exercises.</w:t>
      </w:r>
    </w:p>
    <w:p>
      <w:pPr>
        <w:spacing w:after="0" w:line="112" w:lineRule="exact"/>
        <w:rPr>
          <w:sz w:val="20"/>
          <w:szCs w:val="20"/>
          <w:color w:val="auto"/>
        </w:rPr>
      </w:pPr>
    </w:p>
    <w:p>
      <w:pPr>
        <w:ind w:left="380" w:right="6400" w:hanging="372"/>
        <w:spacing w:after="0" w:line="518" w:lineRule="auto"/>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DURATION AND AMENDMENTS 5.1.Effective Date.</w:t>
      </w:r>
    </w:p>
    <w:p>
      <w:pPr>
        <w:spacing w:after="0" w:line="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shall be effective as of the Effective Date.</w:t>
      </w:r>
    </w:p>
    <w:p>
      <w:pPr>
        <w:spacing w:after="0" w:line="153"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5.2.Term.</w:t>
      </w:r>
    </w:p>
    <w:p>
      <w:pPr>
        <w:spacing w:after="0" w:line="162" w:lineRule="exact"/>
        <w:rPr>
          <w:sz w:val="20"/>
          <w:szCs w:val="20"/>
          <w:color w:val="auto"/>
        </w:rPr>
      </w:pPr>
    </w:p>
    <w:p>
      <w:pPr>
        <w:jc w:val="both"/>
        <w:ind w:right="1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The Plan shall terminate on the first to occur of (a) the tenth (10th) anniversary of the Effective Date, (b) the date determined in accordance with </w:t>
      </w: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 and (c) the date determined in accordance with</w:t>
      </w:r>
      <w:r>
        <w:rPr>
          <w:rFonts w:ascii="Times New Roman" w:cs="Times New Roman" w:eastAsia="Times New Roman" w:hAnsi="Times New Roman"/>
          <w:sz w:val="18"/>
          <w:szCs w:val="18"/>
          <w:b w:val="1"/>
          <w:bCs w:val="1"/>
          <w:color w:val="auto"/>
        </w:rPr>
        <w:t xml:space="preserve"> Section 17.3</w:t>
      </w:r>
      <w:r>
        <w:rPr>
          <w:rFonts w:ascii="Times New Roman" w:cs="Times New Roman" w:eastAsia="Times New Roman" w:hAnsi="Times New Roman"/>
          <w:sz w:val="18"/>
          <w:szCs w:val="18"/>
          <w:color w:val="auto"/>
        </w:rPr>
        <w:t>. Upon such termination of the Plan, all outstanding Awards shall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full force and effect in accordance with the provisions of the terminated Plan and the applicable Award Agreement (or other documents evidencing such Awards).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5.3.Amendment, Suspension and Termination of the Plan.</w:t>
      </w:r>
    </w:p>
    <w:p>
      <w:pPr>
        <w:spacing w:after="0" w:line="162" w:lineRule="exact"/>
        <w:rPr>
          <w:sz w:val="20"/>
          <w:szCs w:val="20"/>
          <w:color w:val="auto"/>
        </w:rPr>
      </w:pPr>
    </w:p>
    <w:p>
      <w:pPr>
        <w:jc w:val="both"/>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Board may, at any time and from time to time, amend, suspend, or terminate the Plan; provided that, with respect to Awards theretofore granted under the Plan, no amendment, suspension, or termination of the Plan shall, without the consent of the Grantee, impair rights or obligations under any such Award theretofore awarded under the Plan. The effectiveness of any amendment to the Plan shall be contingent on approval of such amendment by the Company’s stockholders to the extent stated by the Board, required by Applicable Laws, or required by the Stock Exchange or Securities Market on which the shares of Stock are listed or publicly traded.</w:t>
      </w:r>
    </w:p>
    <w:p>
      <w:pPr>
        <w:spacing w:after="0" w:line="112" w:lineRule="exact"/>
        <w:rPr>
          <w:sz w:val="20"/>
          <w:szCs w:val="20"/>
          <w:color w:val="auto"/>
        </w:rPr>
      </w:pPr>
    </w:p>
    <w:p>
      <w:pPr>
        <w:ind w:left="380" w:right="7220" w:hanging="372"/>
        <w:spacing w:after="0" w:line="469" w:lineRule="auto"/>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ELIGIBILITY AND LIMITATIONS 6.1.Eligibility for Awards.</w:t>
      </w:r>
    </w:p>
    <w:p>
      <w:pPr>
        <w:spacing w:after="0" w:line="1" w:lineRule="exact"/>
        <w:rPr>
          <w:sz w:val="20"/>
          <w:szCs w:val="20"/>
          <w:color w:val="auto"/>
        </w:rPr>
      </w:pPr>
    </w:p>
    <w:p>
      <w:pPr>
        <w:ind w:right="460" w:firstLine="374"/>
        <w:spacing w:after="0" w:line="286" w:lineRule="auto"/>
        <w:rPr>
          <w:sz w:val="20"/>
          <w:szCs w:val="20"/>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Awards may only be granted to persons who are Eligible Employees described in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of the Plan, where the Award is an inducement material to the individual’s entering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3" w:name="page134"/>
    <w:bookmarkEnd w:id="133"/>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employment with the Company or an Affiliate within the meaning of Rule 5635(c)(4) of the NASDAQ Marketplace Rules, provided however, that Awards may not be granted to Employees who are providing Service only to any “parent” of the Company, as such term is defined in Rule 405 of the Securities Act, unless (i) the stock underlying such Awards is treated as “service recipient stock” under Section 409A of the Code (for example, because the Awards are granted pursuant to a corporate transaction such as a spin off transaction), or (ii) the Company, in consultation with its legal counsel, has determined that such Awards are otherwise exempt from or comply with the distribution requirements of Section 409A of the Code.</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6.2.Stand-Alone, Additional, Tandem, and Substitute Awards.</w:t>
      </w:r>
    </w:p>
    <w:p>
      <w:pPr>
        <w:spacing w:after="0" w:line="158"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xml:space="preserve">, Awards granted under the Plan may, in the discretion of the Board,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exchange, or Substitute Awards may be granted at any time. If an Award is granted in substitution or exchange for another Award, or for an award granted under another plan of the Company, an Affiliate, or any business entity that has been a party to a transaction with the Company or an Affiliate, the Board shall require the surrender of such other Award or award under such other plan in consideration for such exchange or grant of the Substitute Award. In addition, Awards may be granted in lieu of cash compensation, including in lieu of cash amounts payable under other plans of the Company or any Affiliate. Notwithstanding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the Option Price of an Option or the SAR Exercise Price of an SAR that is a Substitute Award may be less than one hundred percent (100%) of the Fair Market Value of a share of Stock on the original Grant Date; provided, that, the Option Price or SAR Exercise Price is consistent with Code Section 409A for any Option or SAR.</w:t>
      </w:r>
    </w:p>
    <w:p>
      <w:pPr>
        <w:spacing w:after="0" w:line="118"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AGREEMENT</w:t>
      </w:r>
    </w:p>
    <w:p>
      <w:pPr>
        <w:spacing w:after="0" w:line="162" w:lineRule="exact"/>
        <w:rPr>
          <w:sz w:val="20"/>
          <w:szCs w:val="20"/>
          <w:color w:val="auto"/>
        </w:rPr>
      </w:pPr>
    </w:p>
    <w:p>
      <w:pPr>
        <w:jc w:val="both"/>
        <w:ind w:right="40" w:firstLine="374"/>
        <w:spacing w:after="0" w:line="258" w:lineRule="auto"/>
        <w:rPr>
          <w:sz w:val="20"/>
          <w:szCs w:val="20"/>
          <w:color w:val="auto"/>
        </w:rPr>
      </w:pPr>
      <w:r>
        <w:rPr>
          <w:rFonts w:ascii="Times New Roman" w:cs="Times New Roman" w:eastAsia="Times New Roman" w:hAnsi="Times New Roman"/>
          <w:sz w:val="18"/>
          <w:szCs w:val="18"/>
          <w:color w:val="auto"/>
        </w:rPr>
        <w:t>Each Award granted pursuant to the Plan shall be evidenced by an Award Agreement, in such form or forms as the Board shall from time to time determine. Award Agreements utilized under the Plan from time to time or at the same time need not contain similar provisions but shall be consistent with the terms of the Plan. Each Award Agreement evidencing an Award of Options shall specify that such Options are intended to be nonqualified, and, in the absence of such specification, such Options shall be deemed to be nonqualified. In the event of any inconsistency between the Plan and an Award Agreement, the provisions of the Plan shall control.</w:t>
      </w:r>
    </w:p>
    <w:p>
      <w:pPr>
        <w:spacing w:after="0" w:line="112" w:lineRule="exact"/>
        <w:rPr>
          <w:sz w:val="20"/>
          <w:szCs w:val="20"/>
          <w:color w:val="auto"/>
        </w:rPr>
      </w:pPr>
    </w:p>
    <w:p>
      <w:pPr>
        <w:ind w:left="380" w:right="7240" w:hanging="372"/>
        <w:spacing w:after="0" w:line="471" w:lineRule="auto"/>
        <w:tabs>
          <w:tab w:leader="none" w:pos="3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OPTIONS 8.1.Option Price.</w:t>
      </w:r>
    </w:p>
    <w:p>
      <w:pPr>
        <w:spacing w:after="0" w:line="2"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The Option Price of each Option shall be fixed by the Board and stated in the Award Agreement evidencing such Option. Except in the case of Substitute Awards, the Option Price of each Option shall be at least the Fair Market Value of one (1) share of Stock on the Grant Date. In no case shall the Option Price of any Option be less than the par value of one (1) share of Stock.</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8.2.Vesting and Exercisability.</w:t>
      </w:r>
    </w:p>
    <w:p>
      <w:pPr>
        <w:spacing w:after="0" w:line="158"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Sections 8.3 and 17.3</w:t>
      </w:r>
      <w:r>
        <w:rPr>
          <w:rFonts w:ascii="Times New Roman" w:cs="Times New Roman" w:eastAsia="Times New Roman" w:hAnsi="Times New Roman"/>
          <w:sz w:val="18"/>
          <w:szCs w:val="18"/>
          <w:color w:val="auto"/>
        </w:rPr>
        <w:t>, each Option granted under the Plan shall become vested and/or exercisable at such times and under such conditions as shall be determined by the Board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8.3.Term.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Option granted under the Plan shall terminate, and all rights to purchase shares of Stock thereunder shall cease, upon the expiration of ten</w:t>
      </w:r>
    </w:p>
    <w:p>
      <w:pPr>
        <w:spacing w:after="0" w:line="27" w:lineRule="exact"/>
        <w:rPr>
          <w:sz w:val="20"/>
          <w:szCs w:val="20"/>
          <w:color w:val="auto"/>
        </w:rPr>
      </w:pPr>
    </w:p>
    <w:p>
      <w:pPr>
        <w:jc w:val="both"/>
        <w:ind w:right="40" w:firstLine="8"/>
        <w:spacing w:after="0" w:line="253" w:lineRule="auto"/>
        <w:tabs>
          <w:tab w:leader="none" w:pos="3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from the Grant Date of such Option, or under such circumstances and on such date prior thereto as is set forth in the Plan or as may be fixed by the Board and stated in the Award Agreement relating to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deemed necessary or appropriate by the Board to reflect differences in local law, tax policy, or custom with respect to any Option granted to a Grantee who is a foreign national or is a natural Person who is employed outside the United States, such Option may terminate, and all rights to purchase shares of Stock thereunder may cease, upon the expiration of a period longer than ten (10) years from the Grant Date of such Option as the Board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134" w:name="page135"/>
    <w:bookmarkEnd w:id="134"/>
    <w:p>
      <w:pPr>
        <w:ind w:left="380"/>
        <w:spacing w:after="0"/>
        <w:rPr>
          <w:sz w:val="20"/>
          <w:szCs w:val="20"/>
          <w:color w:val="auto"/>
        </w:rPr>
      </w:pPr>
      <w:r>
        <w:rPr>
          <w:rFonts w:ascii="Times New Roman" w:cs="Times New Roman" w:eastAsia="Times New Roman" w:hAnsi="Times New Roman"/>
          <w:sz w:val="18"/>
          <w:szCs w:val="18"/>
          <w:b w:val="1"/>
          <w:bCs w:val="1"/>
          <w:color w:val="auto"/>
        </w:rPr>
        <w:t>8.4.Termination of Service.</w:t>
      </w:r>
    </w:p>
    <w:p>
      <w:pPr>
        <w:spacing w:after="0" w:line="162"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Each Award Agreement with respect to the grant of an Option shall set forth the extent to which the Grantee thereof, if at all, shall have the right to exercise such Option following termination of such Grantee’s Service. Such provisions shall be determined in the sole discretion of the Board, need not be uniform among all Options issued pursuant to the Plan, and may reflect distinctions based on the reasons for termination of Service.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8.5.Limitations on Exercise of Option.</w:t>
      </w:r>
    </w:p>
    <w:p>
      <w:pPr>
        <w:spacing w:after="0" w:line="162"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in no event may any Option be exercised, in whole or in part, after the occurrence of an event referred to in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which results in the termination of the Option.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8.6.Method of Exercise.</w:t>
      </w:r>
    </w:p>
    <w:p>
      <w:pPr>
        <w:spacing w:after="0" w:line="15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18.3</w:t>
      </w:r>
      <w:r>
        <w:rPr>
          <w:rFonts w:ascii="Times New Roman" w:cs="Times New Roman" w:eastAsia="Times New Roman" w:hAnsi="Times New Roman"/>
          <w:sz w:val="18"/>
          <w:szCs w:val="18"/>
          <w:color w:val="auto"/>
        </w:rPr>
        <w:t>, an Option that is exercisable may be exercised by the Grantee’s delivery to the Company or its designee or agent of notice of exercise on any business day, at the Company’s principal office, or the office of such designee or agent, on the form specified by the Company and in accordance with any additional procedures specified by the Board. Such notice shall specify the number of shares of Stock with respect to which the Option is being exercised and shall be accompanied by payment in full of the Option Price of the shares of Stock for which the Option is being exercised plus the amount (if any) of federal and/or other taxes which the Company may, in its judgment, be required to withhold with respect to the exercise of such Option.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8.7.Rights of Holders of Options.</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stated in the applicable Award Agreement, a Grantee or other person holding or exercising an Option shall have none of the rights of a stockholder of the Company (for example, the right to receive cash or dividend payments or distributions attributable to the subject shares of Stock or to direct the voting of the subject shares of Stock subject to such Option, or to receive notice of any meeting of the Company’s stockholders) until the shares of Stock subject thereto are fully paid and issued to such Grantee or other person. Except as provided in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no adjustment shall be made for dividends, distributions or other rights with respect to any shares of Stock subject to an Option for which the record date is prior to the date of issuance of such shares of Stock.</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8.8.Delivery of Stock Certificates.</w:t>
      </w:r>
    </w:p>
    <w:p>
      <w:pPr>
        <w:spacing w:after="0" w:line="162"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 xml:space="preserve">Promptly after the exercise of an Option by a Grantee and the payment in full of the Option Price, such Grantee shall be entitled to the issuance of a stock certificate or certificates evidencing his or her ownership of the shares of Stock subject to the Option, as shall be consistent with </w:t>
      </w:r>
      <w:r>
        <w:rPr>
          <w:rFonts w:ascii="Times New Roman" w:cs="Times New Roman" w:eastAsia="Times New Roman" w:hAnsi="Times New Roman"/>
          <w:sz w:val="18"/>
          <w:szCs w:val="18"/>
          <w:b w:val="1"/>
          <w:bCs w:val="1"/>
          <w:color w:val="auto"/>
        </w:rPr>
        <w:t>Section 3.9</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8.9.Transferability of Options.</w:t>
      </w:r>
    </w:p>
    <w:p>
      <w:pPr>
        <w:spacing w:after="0" w:line="158" w:lineRule="exact"/>
        <w:rPr>
          <w:sz w:val="20"/>
          <w:szCs w:val="20"/>
          <w:color w:val="auto"/>
        </w:rPr>
      </w:pPr>
    </w:p>
    <w:p>
      <w:pPr>
        <w:jc w:val="both"/>
        <w:ind w:right="300" w:firstLine="374"/>
        <w:spacing w:after="0" w:line="268"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during the lifetime of a Grantee of an Option, only the Grantee (or, in the event of such Grantee’s legal incapacity or incompetency, the Grantee’s guardian or legal representative) may exercise such Option. Except as provided in </w:t>
      </w: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no Option shall be assignable or transferable by the Grantee to whom it is granted, other than by will or the laws of descent and distribution.</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8.10.Family Transfers.</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If authorized in the applicable Award Agreement and by the Board, in its sole discretion, a Grantee may transfer, not for value, all or part of an Option to any Family Member. For the purpose of this </w:t>
      </w: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a “not for value” transfer is a transfer which is (i) a gift, (ii) a transfer under a domestic relations order in settlement of marital property rights; or (iii) unless Applicable Laws do not permit such transfer, a transfer to an entity in which more than fifty percent (50%) of the voting interests are owned by Family Members (or the Grantee) in exchange for an interest in that entity. Following a transfer under this </w:t>
      </w: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any such Option shall continue to be subject to the same terms and conditions as were applicable immediately prior to such transfer. Subsequent transfers of transferred Options are prohibited except to Family Members of the original Grantee in accordance with this </w:t>
      </w: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or by will or the laws of descent and distribution. The events of termination of Service of </w:t>
      </w:r>
      <w:r>
        <w:rPr>
          <w:rFonts w:ascii="Times New Roman" w:cs="Times New Roman" w:eastAsia="Times New Roman" w:hAnsi="Times New Roman"/>
          <w:sz w:val="18"/>
          <w:szCs w:val="18"/>
          <w:b w:val="1"/>
          <w:bCs w:val="1"/>
          <w:color w:val="auto"/>
        </w:rPr>
        <w:t>Section 8.4</w:t>
      </w:r>
      <w:r>
        <w:rPr>
          <w:rFonts w:ascii="Times New Roman" w:cs="Times New Roman" w:eastAsia="Times New Roman" w:hAnsi="Times New Roman"/>
          <w:sz w:val="18"/>
          <w:szCs w:val="18"/>
          <w:color w:val="auto"/>
        </w:rPr>
        <w:t xml:space="preserve"> shall continue to be applied with respect to the original Grantee, following which such Option shall be exercisable by the transferee only to the extent, and for the periods specified, in </w:t>
      </w:r>
      <w:r>
        <w:rPr>
          <w:rFonts w:ascii="Times New Roman" w:cs="Times New Roman" w:eastAsia="Times New Roman" w:hAnsi="Times New Roman"/>
          <w:sz w:val="18"/>
          <w:szCs w:val="18"/>
          <w:b w:val="1"/>
          <w:bCs w:val="1"/>
          <w:color w:val="auto"/>
        </w:rPr>
        <w:t>Section 8.4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hanging="342"/>
        <w:spacing w:after="0"/>
        <w:tabs>
          <w:tab w:leader="none" w:pos="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3" w:right="499" w:bottom="1440" w:gutter="0" w:footer="0" w:header="0"/>
        </w:sectPr>
      </w:pPr>
    </w:p>
    <w:bookmarkStart w:id="135" w:name="page136"/>
    <w:bookmarkEnd w:id="135"/>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9.1.Right to Payment and SAR Exercise Price.</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SAR shall confer on the Grantee to whom it is granted a right to receive, upon exercise thereof, the excess of (A) the Fair Market Value of one</w:t>
      </w:r>
    </w:p>
    <w:p>
      <w:pPr>
        <w:spacing w:after="0" w:line="27" w:lineRule="exact"/>
        <w:rPr>
          <w:sz w:val="20"/>
          <w:szCs w:val="20"/>
          <w:color w:val="auto"/>
        </w:rPr>
      </w:pPr>
    </w:p>
    <w:p>
      <w:pPr>
        <w:jc w:val="both"/>
        <w:ind w:right="20" w:firstLine="8"/>
        <w:spacing w:after="0" w:line="252" w:lineRule="auto"/>
        <w:tabs>
          <w:tab w:leader="none" w:pos="2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Stock on the date of exercise over (B) the SAR Exercise Price as determined by the Board. The Award Agreement for a SAR shall specify the SAR Exercise Price, which shall be no less than the Fair Market Value of one (1) share of Stock on the Grant Date. SARs may be granted in conjunction with all or part of an Option granted under the Plan or at any subsequent time during the term of such Option, in conjunction with all or any part of any other Award or without regard to any Option or other Award; provided that a SAR that is granted in tandem with all or part of an Option will have the same term, and expire at the same time, as the related Option; provided, further, that a SAR that is granted subsequent to the Grant Date of a related Option must have a SAR Exercise Price that is no less than the Fair Market Value of one share of Stock on the SAR Grant Date.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9.2.Other Terms.</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Board shall determine on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Stock will be delivered or deemed to be delivered to Grantees, whether or not a SAR shall be granted in tandem or in combination with any other Award; and any and all other terms and conditions of any SAR; provided that no SARs shall be granted to Grantees who are entitled to overtime under Applicable Laws that will vest or be exercisable within a six (6)-month period starting on the Grant Date.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9.3.Term.</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Each SAR granted under the Plan shall terminate, and all rights thereunder shall cease, upon the expiration of ten (10) years from the Grant Date of such SAR, or under such circumstances and on such date prior thereto as is set forth in the Plan or as may be fixed by the Board and stated in the Award Agreement relating to such SAR.</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9.4.Rights of Holders of SARs.</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stated in the applicable Award Agreement, a Grantee or other Person holding or exercising a SAR shall have none of the rights of a stockholder of the Company (for example, the right to receive cash or dividend payments or distributions attributable to the shares of Stock underlying such SAR, to direct the voting of the shares of Stock underlying such SAR, or to receive notice of any meeting of the Company’s stockholders) until the shares of Stock underlying such SAR, if any, are issued to such Grantee or other Person. Except as provided in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no adjustment shall be made for dividends, distributions, or other rights with respect to any shares of Stock underlying a SAR for which the record date is prior to the date of issuance of such shares of Stock, if any.</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9.5.Transferability of SARs.</w:t>
      </w:r>
    </w:p>
    <w:p>
      <w:pPr>
        <w:spacing w:after="0" w:line="158" w:lineRule="exact"/>
        <w:rPr>
          <w:sz w:val="20"/>
          <w:szCs w:val="20"/>
          <w:color w:val="auto"/>
        </w:rPr>
      </w:pPr>
    </w:p>
    <w:p>
      <w:pPr>
        <w:jc w:val="both"/>
        <w:ind w:right="320" w:firstLine="374"/>
        <w:spacing w:after="0" w:line="268"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 xml:space="preserve">, during the lifetime of a Grantee of a SAR, only the Grantee (or, in the event of such Grantee’s legal incapacity or incompetency, such Grantee’s guardian or legal representative) may exercise such SAR. Except as provided in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 no SAR shall be assignable or transferable by the Grantee to whom it is granted, other than by will or the laws of descent and distribution.</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9.6.Family Transfers.</w:t>
      </w:r>
    </w:p>
    <w:p>
      <w:pPr>
        <w:spacing w:after="0" w:line="162" w:lineRule="exact"/>
        <w:rPr>
          <w:sz w:val="20"/>
          <w:szCs w:val="20"/>
          <w:color w:val="auto"/>
        </w:rPr>
      </w:pPr>
    </w:p>
    <w:p>
      <w:pPr>
        <w:jc w:val="both"/>
        <w:ind w:right="20" w:firstLine="374"/>
        <w:spacing w:after="0" w:line="255" w:lineRule="auto"/>
        <w:rPr>
          <w:sz w:val="20"/>
          <w:szCs w:val="20"/>
          <w:color w:val="auto"/>
        </w:rPr>
      </w:pPr>
      <w:r>
        <w:rPr>
          <w:rFonts w:ascii="Times New Roman" w:cs="Times New Roman" w:eastAsia="Times New Roman" w:hAnsi="Times New Roman"/>
          <w:sz w:val="18"/>
          <w:szCs w:val="18"/>
          <w:color w:val="auto"/>
        </w:rPr>
        <w:t xml:space="preserve">If authorized in the applicable Award Agreement and by the Board, in its sole discretion, a Grantee may transfer, not for value, all or part of a SAR to any Family Member. For the purpose of this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 xml:space="preserve">, a “not for value” transfer is a transfer which is (i) a gift, (ii) a transfer under a domestic relations order in settlement of marital property rights; or (iii) unless Applicable Laws do not permit such transfers, a transfer to an entity in which more than fifty percent (50%) of the voting interests are owned by Family Members (and/or the Grantee) in exchange for an interest in that entity. Following a transfer under this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 xml:space="preserve">, any such SAR shall continue to be subject to the same terms and conditions as were applicable immediately prior to such transfer. Subsequent transfers of transferred SARs are prohibited except to Family Members of the original Grantee in accordance with this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 xml:space="preserve"> or by will or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36" w:name="page137"/>
    <w:bookmarkEnd w:id="136"/>
    <w:p>
      <w:pPr>
        <w:spacing w:after="0" w:line="122"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RESTRICTED STOCK AND STOCK UNITS</w:t>
      </w:r>
    </w:p>
    <w:p>
      <w:pPr>
        <w:spacing w:after="0" w:line="23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10.1.Grant of Restricted Stock or Stock Units.</w:t>
      </w:r>
    </w:p>
    <w:p>
      <w:pPr>
        <w:spacing w:after="0" w:line="16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 of Restricted Stock or Stock Units may be made in consideration for the promise to perform future Service to the Company or an Affiliate.</w:t>
      </w:r>
    </w:p>
    <w:p>
      <w:pPr>
        <w:spacing w:after="0" w:line="153"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10.2.Restrictions.</w:t>
      </w:r>
    </w:p>
    <w:p>
      <w:pPr>
        <w:spacing w:after="0" w:line="162" w:lineRule="exact"/>
        <w:rPr>
          <w:sz w:val="20"/>
          <w:szCs w:val="20"/>
          <w:color w:val="auto"/>
        </w:rPr>
      </w:pPr>
    </w:p>
    <w:p>
      <w:pPr>
        <w:jc w:val="both"/>
        <w:ind w:right="120" w:firstLine="374"/>
        <w:spacing w:after="0" w:line="255" w:lineRule="auto"/>
        <w:rPr>
          <w:sz w:val="20"/>
          <w:szCs w:val="20"/>
          <w:color w:val="auto"/>
        </w:rPr>
      </w:pPr>
      <w:r>
        <w:rPr>
          <w:rFonts w:ascii="Times New Roman" w:cs="Times New Roman" w:eastAsia="Times New Roman" w:hAnsi="Times New Roman"/>
          <w:sz w:val="18"/>
          <w:szCs w:val="18"/>
          <w:color w:val="auto"/>
        </w:rPr>
        <w:t xml:space="preserve">At the time a grant of Restricted Stock or Stock Units is made, the Board may, in its sole discretion, establish a period of time (a “restricted period”) applicable to such Restricted Stock or Stock Units. Each Award of Restricted Stock or Stock Units may be subject to a different restricted period. The Board may in its sole discretion, at the time a grant of Restricted Stock or Stock Units is made, prescribe restrictions in addition to or other than the expiration of the restricted period, including the achievement of corporate or individual performance objectives, which may be applicable to all or any portion of the Restricted Stock or Stock Units as described in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Neither Restricted Stock nor Stock Units may be sold, transferred, assigned, pledged or otherwise encumbered or disposed of during the restricted period or prior to the satisfaction of any other restrictions prescribed by the Board with respect to such Restricted Stock or Stock Units.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10.3.Restricted Stock Certificates.</w:t>
      </w:r>
    </w:p>
    <w:p>
      <w:pPr>
        <w:spacing w:after="0" w:line="158" w:lineRule="exact"/>
        <w:rPr>
          <w:sz w:val="20"/>
          <w:szCs w:val="20"/>
          <w:color w:val="auto"/>
        </w:rPr>
      </w:pPr>
    </w:p>
    <w:p>
      <w:pPr>
        <w:jc w:val="both"/>
        <w:ind w:right="20" w:firstLine="374"/>
        <w:spacing w:after="0" w:line="254"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b w:val="1"/>
          <w:bCs w:val="1"/>
          <w:color w:val="auto"/>
        </w:rPr>
        <w:t>Section 3.9</w:t>
      </w:r>
      <w:r>
        <w:rPr>
          <w:rFonts w:ascii="Times New Roman" w:cs="Times New Roman" w:eastAsia="Times New Roman" w:hAnsi="Times New Roman"/>
          <w:sz w:val="18"/>
          <w:szCs w:val="18"/>
          <w:color w:val="auto"/>
        </w:rPr>
        <w:t xml:space="preserve">, to the extent that ownership of Restricted Stock is evidenced by a book-entry registration or direct registration (including transaction advices), such registration shall be notated to evidence the restrictions imposed on such Award of Restricted Stock under the Plan and the applicable Award Agreement. Subject to </w:t>
      </w:r>
      <w:r>
        <w:rPr>
          <w:rFonts w:ascii="Times New Roman" w:cs="Times New Roman" w:eastAsia="Times New Roman" w:hAnsi="Times New Roman"/>
          <w:sz w:val="18"/>
          <w:szCs w:val="18"/>
          <w:b w:val="1"/>
          <w:bCs w:val="1"/>
          <w:color w:val="auto"/>
        </w:rPr>
        <w:t>Section 3.9</w:t>
      </w:r>
      <w:r>
        <w:rPr>
          <w:rFonts w:ascii="Times New Roman" w:cs="Times New Roman" w:eastAsia="Times New Roman" w:hAnsi="Times New Roman"/>
          <w:sz w:val="18"/>
          <w:szCs w:val="18"/>
          <w:color w:val="auto"/>
        </w:rPr>
        <w:t xml:space="preserve">, and the immediately following sentence, the Company may issue, in the name of each Grantee to whom Restricted Stock has been granted, certificates representing the total number of shares of Restricted Stock granted to the Grantee, as soon as reasonably practicable after the Grant Date of such Restricted Stock. The Board may provide in an Award Agreement with respect to an Award of Restricted Stock that either (i) the Secretary of the Company shall hold such certificates for the Grantee’s benefit until such time as the shares of Restricted Stock are forfeited to the Company or the restrictions applicable thereto lapse and such Grantee shall deliver a stock power to the Company with respect to each certificate, or (ii) such certificates shall be delivered to such Grantee,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certificates shall bear a legend or legends that comply with the applicable securities laws and regulations and makes appropriate reference to the restrictions imposed on such Award of Restricted Stock under the Plan and such Award Agreement.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10.4.Rights of Holders of Restricted Stock.</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Unless the Board otherwise provides in an Award Agreement, holders of Restricted Stock shall have the right to vote such shares of Stock and the right to receive any dividend payments or distributions declared or paid with respect to such shares of Restricted Stock. The Board may provide in an Award Agreement evidencing a grant of Restricted Stock that that (a) any cash dividend payments or distributions paid on Restricted Stock must be reinvested in shares of Stock, which may or may not be subject to the same vesting conditions and restrictions as applicable to such underlying shares of Restricted Stock or (b) any dividend payments or distributions declared or paid on shares of Restricted Stock shall only be made or paid upon satisfaction of the vesting conditions and restrictions applicable to such shares of Restricted Stock. Dividend payments or distributions declared or paid on shares of Restricted Stock which vest or are earned based upon the achievement of performance goals shall not vest unless such performance goals for such shares of Restricted Stock are achieved, and if such performance goals are not achieved, the Grantee of such shares of Restricted Stock shall promptly forfeit and, to the extent already paid or distributed, repay to the Company such dividend payments or distributions. All stock dividend payments or distributions, if any received by a Grantee with respect to shares of Restricted Stock as a result of any stock split, stock dividend, combination of stock, or other similar transaction shall be subject to the same vesting conditions and restrictions as applicable to such underlying shares of Restricted Stock.</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10.5.Rights of Holders of Stock Units.</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10.5.1.Voting and Dividend Rights.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Holders of Stock Units shall have no rights as stockholders of the Company. The Board may provide in an Award Agreement evidencing a grant of Stock Units that the holder of such Stock Units shall be entitled to receive, upon the Company’s payment of a cash dividend on its outstanding shares of Stock, a cash payment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each Stock Unit held equal to the per-stock dividend paid on the shares of Stock. Such Award Agreement may also provide that such cash payment will be deemed reinvested in additional Stock Units at a price per unit equal to the Fair Market Value of a share of Stock on the date on which such dividend is paid.</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10.5.2.Creditor’s Rights.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holder of Stock Units shall have no rights other than those of a general unsecured creditor of the Company. Stock Units represent an unfunded and unsecured obligation of the Company, subject to the terms and conditions of the applicable Award Agreement.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10.6.Termination of Service.</w:t>
      </w:r>
    </w:p>
    <w:p>
      <w:pPr>
        <w:spacing w:after="0" w:line="162" w:lineRule="exact"/>
        <w:rPr>
          <w:sz w:val="20"/>
          <w:szCs w:val="20"/>
          <w:color w:val="auto"/>
        </w:rPr>
      </w:pPr>
    </w:p>
    <w:p>
      <w:pPr>
        <w:jc w:val="both"/>
        <w:ind w:right="20" w:firstLine="374"/>
        <w:spacing w:after="0" w:line="256" w:lineRule="auto"/>
        <w:rPr>
          <w:sz w:val="20"/>
          <w:szCs w:val="20"/>
          <w:color w:val="auto"/>
        </w:rPr>
      </w:pPr>
      <w:r>
        <w:rPr>
          <w:rFonts w:ascii="Times New Roman" w:cs="Times New Roman" w:eastAsia="Times New Roman" w:hAnsi="Times New Roman"/>
          <w:sz w:val="18"/>
          <w:szCs w:val="18"/>
          <w:color w:val="auto"/>
        </w:rPr>
        <w:t>Unless the Board otherwise provides in an Award Agreement, in another agreement with the Grantee, or otherwise in writing after such Award Agreement is issued, but prior to the termination of a Grantee’s Service, upon the termination of such Grantee’s Service, any Restricted Stock or Stock Units held by such Grantee that have not vested, or with respect to which all applicable restrictions and conditions have not lapsed, shall immediately be deemed forfeited. Upon forfeiture of Restricted Stock or Stock Units, the Grantee shall have no further rights with respect to such Award, including but not limited to any right to vote Restricted Stock or any right to receive dividends or Dividend Equivalent Rights, as applicable, with respect to Restricted Stock or Stock Units.</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10.7.Purchase of Restricted Stock and Shares of Stock Subject to Stock Units.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Grantee of an Award of Restricted Stock or vested Stock Units shall be required, to the extent required by Applicable Laws, to purchase such Restricted Stock or shares of Stock subject to such vested Stock Units from the Company at a Purchase Price equal to the greater of (i) the aggregate par value of the shares of Stock represented by such Restricted Stock or such vested Stock Units or (ii) the Purchase Price, if any, specified in the Award Agreement relating to such Restricted Stock or such vested Stock Units. The Purchase Price shall be payable in a form described in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or in consideration for future Service to be rendered by the Grantee to the Company or an Affiliate.</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10.8.Delivery of Shares of Stock.</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Upon the expiration or termination of any restricted period and the satisfaction of any other conditions prescribed by the Board, the restrictions applicable to Restricted Stock or Stock Units settled in shares of Stock shall lapse, and, unless otherwise provided in the Award Agreement, a book-entry or direct registration (including transaction advices) or a certificate evidencing ownership of such shares of Stock shall, consistent with </w:t>
      </w:r>
      <w:r>
        <w:rPr>
          <w:rFonts w:ascii="Times New Roman" w:cs="Times New Roman" w:eastAsia="Times New Roman" w:hAnsi="Times New Roman"/>
          <w:sz w:val="18"/>
          <w:szCs w:val="18"/>
          <w:b w:val="1"/>
          <w:bCs w:val="1"/>
          <w:color w:val="auto"/>
        </w:rPr>
        <w:t>Section 3.9</w:t>
      </w:r>
      <w:r>
        <w:rPr>
          <w:rFonts w:ascii="Times New Roman" w:cs="Times New Roman" w:eastAsia="Times New Roman" w:hAnsi="Times New Roman"/>
          <w:sz w:val="18"/>
          <w:szCs w:val="18"/>
          <w:color w:val="auto"/>
        </w:rPr>
        <w:t xml:space="preserve">, be issued, free of all such restrictions, to the Grantee thereof or the Grantee’s beneficiary or estate, as the case may be. Neither the Grantee, nor the Grantee’s beneficiary or estate, shall have any further rights with regard to a Stock Unit once the shares of Stock represented by such Stock Unit have been delivered in accordance with this </w:t>
      </w:r>
      <w:r>
        <w:rPr>
          <w:rFonts w:ascii="Times New Roman" w:cs="Times New Roman" w:eastAsia="Times New Roman" w:hAnsi="Times New Roman"/>
          <w:sz w:val="18"/>
          <w:szCs w:val="18"/>
          <w:b w:val="1"/>
          <w:bCs w:val="1"/>
          <w:color w:val="auto"/>
        </w:rPr>
        <w:t>Section 10.8</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380" w:right="1740" w:hanging="372"/>
        <w:spacing w:after="0" w:line="471" w:lineRule="auto"/>
        <w:tabs>
          <w:tab w:leader="none" w:pos="3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UNRESTRICTED STOCK AWARDS AND OTHER EQUITY-BASED AWARDS 11.1.Unrestricted Stock Awards.</w:t>
      </w:r>
    </w:p>
    <w:p>
      <w:pPr>
        <w:spacing w:after="0" w:line="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Board may, in its sole discretion, grant (or sell at par value or at such other higher purchase price determined by the Board) an Unrestricted Stock Award to any Grantee pursuant to which such Grantee may receive shares of Unrestricted Stock under the Plan. Unrestricted Stock Awards may be granted or sold as described in the preceding sentence in respect of Service rendered or, if so provided in the related Award Agreement or a separate agreement, to be rendered by the Grantee to the Company or an Affiliate or other valid consideration, in lieu of, or in addition to, any cash compensation due to such Grantee.</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11.2.Other Equity-Based Awards.</w:t>
      </w:r>
    </w:p>
    <w:p>
      <w:pPr>
        <w:spacing w:after="0" w:line="162"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Board may, in its sole discretion, grant Awards to Participants in the form of Other Equity-Based Awards, as deemed by the Board to be consistent with the purposes of the Plan. Awards granted pursuant to this </w:t>
      </w:r>
      <w:r>
        <w:rPr>
          <w:rFonts w:ascii="Times New Roman" w:cs="Times New Roman" w:eastAsia="Times New Roman" w:hAnsi="Times New Roman"/>
          <w:sz w:val="18"/>
          <w:szCs w:val="18"/>
          <w:b w:val="1"/>
          <w:bCs w:val="1"/>
          <w:color w:val="auto"/>
        </w:rPr>
        <w:t>Section 11.2</w:t>
      </w:r>
      <w:r>
        <w:rPr>
          <w:rFonts w:ascii="Times New Roman" w:cs="Times New Roman" w:eastAsia="Times New Roman" w:hAnsi="Times New Roman"/>
          <w:sz w:val="18"/>
          <w:szCs w:val="18"/>
          <w:color w:val="auto"/>
        </w:rPr>
        <w:t xml:space="preserve"> may be granted with vesting, value and/or payment contingent upon the attainment of one or more performance goals. The Board shall determine the terms and conditions of such Other Equity-Based Awards on the Grant Date or thereafter. Unless the Board otherwise provides in an Award Agreement, in another agreement with the Grantee, or otherwise or in writing after the Award Agreement is issued,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138" w:name="page139"/>
    <w:bookmarkEnd w:id="13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termination of a Grantee’s Service, any Other Equity-Based Awards held by such Grantee that have not vested, or with respect to which all applicable restrictions and conditions have not lapsed, shall immediately be deemed forfeited. Upon forfeiture of Other Equity-Based Awards, the Grantee shall have no further rights with respect to such Award.</w:t>
      </w:r>
    </w:p>
    <w:p>
      <w:pPr>
        <w:spacing w:after="0" w:line="104"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PAYMENT FOR OPTIONS AND RESTRICTED STOCK</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12.1.General Rule.</w:t>
      </w:r>
    </w:p>
    <w:p>
      <w:pPr>
        <w:spacing w:after="0" w:line="162"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Payment of the Option Price for the shares of Stock purchased pursuant to the exercise of an Option or the Purchase Price, if any, for Restricted Stock shall be made in cash or in cash equivalents acceptable to the Company.</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12.2.Surrender of Shares of Stock.</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the extent the Award Agreement so provides, payment of the Option Price for shares of Stock purchased pursuant to the exercise of an Option or the Purchase Price for Restricted Stock may be made all or in part through the tender or attestation to the Company of shares of Stock, which shall be valued, for purposes of determining the extent to which the Option Price or Purchase Price has been paid thereby, at their Fair Market Value on the date of such tender or attestation.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12.3.Cashless Exercise.</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an Option only (and not with respect to Restricted Stock), to the extent permitted by law and to the extent the Award Agreement so provides, payment of the Option Price for shares of Stock purchased pursuant to the exercise of an Option may be made all or in part by delivery (on a form acceptable to the Board) of an irrevocable direction to a licensed securities broker acceptable to the Company to sell shares of Stock and to deliver all or part of the sales proceeds to the Company in payment of the Option Price and any withholding taxes described in </w:t>
      </w:r>
      <w:r>
        <w:rPr>
          <w:rFonts w:ascii="Times New Roman" w:cs="Times New Roman" w:eastAsia="Times New Roman" w:hAnsi="Times New Roman"/>
          <w:sz w:val="18"/>
          <w:szCs w:val="18"/>
          <w:b w:val="1"/>
          <w:bCs w:val="1"/>
          <w:color w:val="auto"/>
        </w:rPr>
        <w:t>Section 18.3</w:t>
      </w:r>
      <w:r>
        <w:rPr>
          <w:rFonts w:ascii="Times New Roman" w:cs="Times New Roman" w:eastAsia="Times New Roman" w:hAnsi="Times New Roman"/>
          <w:sz w:val="18"/>
          <w:szCs w:val="18"/>
          <w:color w:val="auto"/>
        </w:rPr>
        <w:t>, or, with the consent of the Company, by issuing the number of shares of Stock equal in value to the difference between the Option Price and the Fair Market Value of the shares of Stock subject to the portion of the Option being exercised.</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12.4.Other Forms of Payment.</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the extent the Award Agreement so provides and/or unless otherwise specified in an Award Agreement, payment of the Option Price for shares of Stock purchased pursuant to exercise of an Option or the Purchase Price, if any, for Restricted Stock may be made in any other form that is consistent with Applicable Laws, regulations and rules, including, without limitation, Service by the Grantee thereof to the Company or an Affiliate.</w:t>
      </w:r>
    </w:p>
    <w:p>
      <w:pPr>
        <w:spacing w:after="0" w:line="104"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DIVIDEND EQUIVALENT RIGHTS</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13.1.Dividend Equivalent Rights.</w:t>
      </w:r>
    </w:p>
    <w:p>
      <w:pPr>
        <w:spacing w:after="0" w:line="162" w:lineRule="exact"/>
        <w:rPr>
          <w:sz w:val="20"/>
          <w:szCs w:val="20"/>
          <w:color w:val="auto"/>
        </w:rPr>
      </w:pPr>
    </w:p>
    <w:p>
      <w:pPr>
        <w:jc w:val="both"/>
        <w:ind w:right="60" w:firstLine="374"/>
        <w:spacing w:after="0" w:line="253" w:lineRule="auto"/>
        <w:rPr>
          <w:sz w:val="20"/>
          <w:szCs w:val="20"/>
          <w:color w:val="auto"/>
        </w:rPr>
      </w:pPr>
      <w:r>
        <w:rPr>
          <w:rFonts w:ascii="Times New Roman" w:cs="Times New Roman" w:eastAsia="Times New Roman" w:hAnsi="Times New Roman"/>
          <w:sz w:val="18"/>
          <w:szCs w:val="18"/>
          <w:color w:val="auto"/>
        </w:rPr>
        <w:t xml:space="preserve">A Dividend Equivalent Right is an Award entitling the recipient to receive credits based on cash distributions that would have been paid on the shares of Stock specified in the Dividend Equivalent Right (or other award to which it relates) if such shares of Stock had been issued to and held by the recipient. A Dividend Equivalent Right may be granted hereunder to any Grantee,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Dividend Equivalent Rights may be granted in connection with, or related to, an Award of Options or SARs. The terms and conditions of Dividend Equivalent Rights shall be specified in the Award Agreement therefor. Dividend equivalents credited to the holder of a Dividend Equivalent Right may be paid currently (with or without being subject to forfeiture or a repayment obligation) or may be deemed to be reinvested in additional shares of Stock or Awards, which may thereafter accrue additional Dividend Equivalent Rights (with or without being subject to forfeiture or a repayment obligation). Any such reinvestment shall be at the Fair Market Value on the date of reinvestment. Dividend Equivalent Rights may be settled in cash or shares of Stock or a combination thereof, in a single installment or multiple installments, all determined in the sole discretion of the Board.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 provided, however, that Dividend Equivalent Rights credited pursuant to a Dividend Equivalent Right granted as a component of another Award which vests or is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139" w:name="page140"/>
    <w:bookmarkEnd w:id="13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based upon the achievement of performance goals shall not vest unless the performance goals for such underlying Award are achieved, and if such performance goals are not achieved, the Grantee of such Dividend Equivalent Rights shall promptly forfeit and, to the extent already paid or distributed, repay to the Company payments or distributions made in connection with such Dividend Equivalent Rights.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13.2.Termination of Service.</w:t>
      </w:r>
    </w:p>
    <w:p>
      <w:pPr>
        <w:spacing w:after="0" w:line="162"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Unless the Board otherwise provides in an Award Agreement, in another agreement with the Grantee, or otherwise or in writing after the Award Agreement is issued, a Grantee’s rights in all Dividend Equivalent Rights shall automatically terminate upon such Grantee’s termination of Service for any reason.</w:t>
      </w:r>
    </w:p>
    <w:p>
      <w:pPr>
        <w:spacing w:after="0" w:line="104"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PERFORMANCE AWARDS</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14.1.Grant of Performance Awards.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Subject to the terms and provisions of the Plan, the Board, at any time and from time to time, may grant Performance Awards to a Plan participant in such amounts and upon such terms as the Committee shall determine.</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14.2.Value of Performance Awards.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Each Performance Award shall have an initial cash value or an actual or target number of shares of Stock that is established by the Board as of the Grant Date. The Board shall set performance goals in its discretion which, depending on the extent to which they are achieved, shall determine the value and/or number of shares of Stock subject to Performance Awards that will be paid out to the Grantee thereof.</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14.3.Earning of Performance Awards.</w:t>
      </w:r>
    </w:p>
    <w:p>
      <w:pPr>
        <w:spacing w:after="0" w:line="162"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after the applicable Performance Period has ended, the Grantee of Performance Awards shall be entitled to receive a payout of the value earned under such Performance Awards earned by such Grantee over such Performance Period.</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14.4.Form and Timing of Payment of Performance Awards.</w:t>
      </w:r>
    </w:p>
    <w:p>
      <w:pPr>
        <w:spacing w:after="0" w:line="162"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8"/>
          <w:szCs w:val="18"/>
          <w:color w:val="auto"/>
        </w:rPr>
        <w:t>Payment of the value earned under Performance Awards shall be made, as determined by the Committee, in the form, at the time, and in the manner described in the applicable Award Agreement. Subject to the terms of the Plan, the Committee, in its sole discretion, (i) may pay the value earned under Performance Awards in the form of cash, shares of Stock, or other Awards, or in a combination thereof, including shares of Stock and/or Awards, including shares of Stock and/or Awards that are subject to any restrictions deemed appropriate by the Committee, and (ii) shall pay the value earned under Performance Awards at the close of the applicable Performance Period, or as soon as reasonably practicable after the Committee has determined that the performance goal or goals relating thereto have been achieved; provided that, unless specifically provided in the Award Agreement, such payment shall occur no later than the fifteenth (15th) day of the third (3rd) month following the end of the calendar year in which such Performance Period ends.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14.5.Performance Conditions.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right of a Grantee to exercise or to receive a grant or settlement of any Performance Award, and the timing thereof, may be subject to such performance conditions as may be specified by the Board. The Board may use such business criteria and other measures of performance as it may deem appropriate in establishing any performance conditions.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14.5.1.Performance Goals Generally.</w:t>
      </w:r>
    </w:p>
    <w:p>
      <w:pPr>
        <w:spacing w:after="0" w:line="162" w:lineRule="exact"/>
        <w:rPr>
          <w:sz w:val="20"/>
          <w:szCs w:val="20"/>
          <w:color w:val="auto"/>
        </w:rPr>
      </w:pPr>
    </w:p>
    <w:p>
      <w:pPr>
        <w:jc w:val="both"/>
        <w:ind w:left="100" w:firstLine="656"/>
        <w:spacing w:after="0" w:line="261" w:lineRule="auto"/>
        <w:rPr>
          <w:sz w:val="20"/>
          <w:szCs w:val="20"/>
          <w:color w:val="auto"/>
        </w:rPr>
      </w:pPr>
      <w:r>
        <w:rPr>
          <w:rFonts w:ascii="Times New Roman" w:cs="Times New Roman" w:eastAsia="Times New Roman" w:hAnsi="Times New Roman"/>
          <w:sz w:val="18"/>
          <w:szCs w:val="18"/>
          <w:color w:val="auto"/>
        </w:rPr>
        <w:t>The performance goals for Performance Awards shall consist of one or more business criteria and a targeted level or levels of performance with respect to each of such criteria, as specified by the Committee. The Committee may determine that such Awards shall be granted, exercised and/or settled upon achievement of any single performance goal or of two (2) or more performance goals. Performance goals may differ for Awards granted to any one Grantee or to different Grantees.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14.5.2.Payment of Awards; Other Terms.</w:t>
      </w:r>
    </w:p>
    <w:p>
      <w:pPr>
        <w:spacing w:after="0" w:line="162" w:lineRule="exact"/>
        <w:rPr>
          <w:sz w:val="20"/>
          <w:szCs w:val="20"/>
          <w:color w:val="auto"/>
        </w:rPr>
      </w:pPr>
    </w:p>
    <w:p>
      <w:pPr>
        <w:jc w:val="both"/>
        <w:ind w:left="100" w:firstLine="656"/>
        <w:spacing w:after="0" w:line="282" w:lineRule="auto"/>
        <w:rPr>
          <w:sz w:val="20"/>
          <w:szCs w:val="20"/>
          <w:color w:val="auto"/>
        </w:rPr>
      </w:pPr>
      <w:r>
        <w:rPr>
          <w:rFonts w:ascii="Times New Roman" w:cs="Times New Roman" w:eastAsia="Times New Roman" w:hAnsi="Times New Roman"/>
          <w:sz w:val="18"/>
          <w:szCs w:val="18"/>
          <w:color w:val="auto"/>
        </w:rPr>
        <w:t>Payment of such Awards shall be in cash, shares of Stock, other Awards, or a combination thereof, including shares of Stock and/or Awards that are subject to any restrictions deemed appropriate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140" w:name="page141"/>
    <w:bookmarkEnd w:id="140"/>
    <w:p>
      <w:pPr>
        <w:jc w:val="both"/>
        <w:ind w:left="100" w:right="40"/>
        <w:spacing w:after="0" w:line="258" w:lineRule="auto"/>
        <w:rPr>
          <w:sz w:val="20"/>
          <w:szCs w:val="20"/>
          <w:color w:val="auto"/>
        </w:rPr>
      </w:pPr>
      <w:r>
        <w:rPr>
          <w:rFonts w:ascii="Times New Roman" w:cs="Times New Roman" w:eastAsia="Times New Roman" w:hAnsi="Times New Roman"/>
          <w:sz w:val="18"/>
          <w:szCs w:val="18"/>
          <w:color w:val="auto"/>
        </w:rPr>
        <w:t>Committee, in each case as determined in the sole discretion of the Committee. The Committee may, in its sole discretion, reduce the amount of a payment otherwise to be made in connection with such Awards. The Committee shall specify the circumstances in which such Performance Awards shall be paid or forfeited in the event of termination of Service by the Grantee prior to the end of a Performance Period or settlement of such Performance Awards. In the event payment of the Performance-Based Award is made in the form of another Award subject to Service-based vesting, the Committee shall specify the circumstances in which the Award will be paid out or forfeited in the event of a termination of Service.</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14.5.3.Performance Measures.</w:t>
      </w:r>
    </w:p>
    <w:p>
      <w:pPr>
        <w:spacing w:after="0" w:line="243"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8"/>
          <w:szCs w:val="18"/>
          <w:color w:val="auto"/>
        </w:rPr>
        <w:t>The performance goals upon which the payment or vesting of a Performance Award may be conditioned may be based on any one of, or combination of, the following Performance Measures, as selected by the Committee, with or without adjustment (including pro forma adjustments): (a) net earnings or net income; (b) operating earnings; (c) pretax earnings; (d) earnings per share of stock; (e) stock price, including growth measures and total stockholder return; (f) earnings before interest and taxes; (g) earnings before interest, taxes, depreciation and/or amortization; (h) earnings before interest, taxes, depreciation and/or amortization as adjusted to exclude any one or more of the following: stock-based compensation expense; income from discontinued operations; gain on cancellation of debt; debt extinguishment and related costs; restructuring, separation, and/or integration charges and costs; reorganization and/or recapitalization charges and costs; impairment charges; merger-related events; gain or loss related to investments; sales and use tax settlements; and gain on non-monetary transactions; (i) sales or revenue growth, whether in general, by type of product or service, or by type of customer; (j) gross or operating margins; (k) return measures, including return on assets, capital, investment, equity, sales or revenue; (l) cash flow, including operating cash flow, free cash flow, cash flow return on equity and cash flow return on investment; (m) productivity ratios; (n) expense targets;</w:t>
      </w:r>
    </w:p>
    <w:p>
      <w:pPr>
        <w:spacing w:after="0" w:line="5" w:lineRule="exact"/>
        <w:rPr>
          <w:sz w:val="20"/>
          <w:szCs w:val="20"/>
          <w:color w:val="auto"/>
        </w:rPr>
      </w:pPr>
    </w:p>
    <w:p>
      <w:pPr>
        <w:jc w:val="both"/>
        <w:ind w:firstLine="8"/>
        <w:spacing w:after="0" w:line="252" w:lineRule="auto"/>
        <w:tabs>
          <w:tab w:leader="none" w:pos="26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 (p) financial ratios as provided in credit agreements of the Company and its subsidiaries; (q) working capital targets; (r) completion of acquisitions of business or companies; (s) completion of divestitures and asset sales; (t) revenues under management; (u) funds from operations; (v) successful implementation of clinical trials, including components thereof; (w) submitting regulatory filings; (x) obtaining regulatory or marketing approvals; (y) entering into contractual agreements; (z) meeting contractual requirements; (aa) achieving contractual milestones; (bb) entering into collaborations; (cc) receipt of grant funding; (dd) developing or expanding manufacturing or production capacity; (ee) any combination of any of the foregoing business criteria; and (ff) other measures of performance selected by the Committee.</w:t>
      </w:r>
    </w:p>
    <w:p>
      <w:pPr>
        <w:spacing w:after="0" w:line="203" w:lineRule="exact"/>
        <w:rPr>
          <w:sz w:val="20"/>
          <w:szCs w:val="20"/>
          <w:color w:val="auto"/>
        </w:rPr>
      </w:pPr>
    </w:p>
    <w:p>
      <w:pPr>
        <w:jc w:val="both"/>
        <w:ind w:left="100" w:right="100" w:firstLine="656"/>
        <w:spacing w:after="0" w:line="255" w:lineRule="auto"/>
        <w:rPr>
          <w:sz w:val="20"/>
          <w:szCs w:val="20"/>
          <w:color w:val="auto"/>
        </w:rPr>
      </w:pPr>
      <w:r>
        <w:rPr>
          <w:rFonts w:ascii="Times New Roman" w:cs="Times New Roman" w:eastAsia="Times New Roman" w:hAnsi="Times New Roman"/>
          <w:sz w:val="18"/>
          <w:szCs w:val="18"/>
          <w:color w:val="auto"/>
        </w:rPr>
        <w:t xml:space="preserve">Performance under any of the foregoing Performance Measure(s) may be used to measure the performance of the Company, Subsidiary, and/or Affiliate as a whole or any business unit or operating segment of the Company, Subsidiary, and/or Affiliate or any combination thereof, as the Committee may deem appropriate, and any of the above Performance Measures may be compared to the performance of a group of comparator companies, or published or special index that the Committee, in its sole discretion, deems appropriate. In addition, the Company, in its sole discretion may select performance under the Performance Measure specified in clause (e) above for comparison to performance under one or more stock market indices. The Committee also has the authority to provide for accelerated vesting of any Performance Award based on the achievement of performance goals pursuant to the Performance Measures specified in this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14.5.4.Evaluation of Performance.</w:t>
      </w:r>
    </w:p>
    <w:p>
      <w:pPr>
        <w:spacing w:after="0" w:line="162" w:lineRule="exact"/>
        <w:rPr>
          <w:sz w:val="20"/>
          <w:szCs w:val="20"/>
          <w:color w:val="auto"/>
        </w:rPr>
      </w:pPr>
    </w:p>
    <w:p>
      <w:pPr>
        <w:jc w:val="both"/>
        <w:ind w:left="100" w:right="20" w:firstLine="656"/>
        <w:spacing w:after="0" w:line="256" w:lineRule="auto"/>
        <w:rPr>
          <w:sz w:val="20"/>
          <w:szCs w:val="20"/>
          <w:color w:val="auto"/>
        </w:rPr>
      </w:pPr>
      <w:r>
        <w:rPr>
          <w:rFonts w:ascii="Times New Roman" w:cs="Times New Roman" w:eastAsia="Times New Roman" w:hAnsi="Times New Roman"/>
          <w:sz w:val="18"/>
          <w:szCs w:val="18"/>
          <w:color w:val="auto"/>
        </w:rPr>
        <w:t>The Committee may provide in any such Award that any evaluation of performance may include or exclude any of the following events that occur during a Performance Period and may make any other appropriate adjustments selected thereby: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(f) acquisitions or divestitures; (g) foreign exchange gains and losses; (h) impact of shares of Stock purchased through share repurchase programs; (i) tax valuation allowance reversals; (j) impairment expense; and (k) environmental expense.</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14.5.5.Committee Discretion.</w:t>
      </w:r>
    </w:p>
    <w:p>
      <w:pPr>
        <w:spacing w:after="0" w:line="162"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Committee shall have the discretion to adjust any Performance Award or the amount payable thereunder and may, in its sole discretion, alter the Performance Measures governing a Performance Award.</w:t>
      </w:r>
    </w:p>
    <w:p>
      <w:pPr>
        <w:spacing w:after="0" w:line="90"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PARACHUTE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141" w:name="page142"/>
    <w:bookmarkEnd w:id="141"/>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a Grantee is a “disqualified individual,” as defined in Code Section 280G(c), then, notwithstanding any other provision of this Plan or of any other agreement, contract, or understanding heretofore or hereafter entered into by a Grantee with the Company or an Affiliate, except an agreement, contract, or understanding that expressly addresses Code Section 280G or Code Section 4999 (an “</w:t>
      </w:r>
      <w:r>
        <w:rPr>
          <w:rFonts w:ascii="Times New Roman" w:cs="Times New Roman" w:eastAsia="Times New Roman" w:hAnsi="Times New Roman"/>
          <w:sz w:val="18"/>
          <w:szCs w:val="18"/>
          <w:b w:val="1"/>
          <w:bCs w:val="1"/>
          <w:color w:val="auto"/>
        </w:rPr>
        <w:t>Other Agreement</w:t>
      </w:r>
      <w:r>
        <w:rPr>
          <w:rFonts w:ascii="Times New Roman" w:cs="Times New Roman" w:eastAsia="Times New Roman" w:hAnsi="Times New Roman"/>
          <w:sz w:val="18"/>
          <w:szCs w:val="18"/>
          <w:color w:val="auto"/>
        </w:rPr>
        <w: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w:t>
      </w:r>
      <w:r>
        <w:rPr>
          <w:rFonts w:ascii="Times New Roman" w:cs="Times New Roman" w:eastAsia="Times New Roman" w:hAnsi="Times New Roman"/>
          <w:sz w:val="18"/>
          <w:szCs w:val="18"/>
          <w:b w:val="1"/>
          <w:bCs w:val="1"/>
          <w:color w:val="auto"/>
        </w:rPr>
        <w:t>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any right to exercise, vesting, payment, or benefit to the Grantee under this Plan shall be reduced or eliminated:</w:t>
      </w:r>
    </w:p>
    <w:p>
      <w:pPr>
        <w:spacing w:after="0" w:line="120" w:lineRule="exact"/>
        <w:rPr>
          <w:sz w:val="20"/>
          <w:szCs w:val="20"/>
          <w:color w:val="auto"/>
        </w:rPr>
      </w:pPr>
    </w:p>
    <w:p>
      <w:pPr>
        <w:jc w:val="both"/>
        <w:ind w:firstLine="757"/>
        <w:spacing w:after="0" w:line="266" w:lineRule="auto"/>
        <w:tabs>
          <w:tab w:leader="none" w:pos="101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this Plan to be considered a “parachute payment” within the meaning of Code Section 280G(b)(2) as then in effect (a “</w:t>
      </w:r>
      <w:r>
        <w:rPr>
          <w:rFonts w:ascii="Times New Roman" w:cs="Times New Roman" w:eastAsia="Times New Roman" w:hAnsi="Times New Roman"/>
          <w:sz w:val="18"/>
          <w:szCs w:val="18"/>
          <w:b w:val="1"/>
          <w:bCs w:val="1"/>
          <w:color w:val="auto"/>
        </w:rPr>
        <w:t>Parachute Payment</w:t>
      </w:r>
      <w:r>
        <w:rPr>
          <w:rFonts w:ascii="Times New Roman" w:cs="Times New Roman" w:eastAsia="Times New Roman" w:hAnsi="Times New Roman"/>
          <w:sz w:val="18"/>
          <w:szCs w:val="18"/>
          <w:color w:val="auto"/>
        </w:rPr>
        <w:t>”); and</w:t>
      </w:r>
    </w:p>
    <w:p>
      <w:pPr>
        <w:spacing w:after="0" w:line="189" w:lineRule="exact"/>
        <w:rPr>
          <w:rFonts w:ascii="Times New Roman" w:cs="Times New Roman" w:eastAsia="Times New Roman" w:hAnsi="Times New Roman"/>
          <w:sz w:val="14"/>
          <w:szCs w:val="14"/>
          <w:color w:val="auto"/>
        </w:rPr>
      </w:pPr>
    </w:p>
    <w:p>
      <w:pPr>
        <w:jc w:val="both"/>
        <w:ind w:firstLine="757"/>
        <w:spacing w:after="0" w:line="266" w:lineRule="auto"/>
        <w:tabs>
          <w:tab w:leader="none" w:pos="101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if, as a result of receiving such Parachute Payment, the aggregate after-tax amounts received by the Grantee from the Company under this Plan, all Other Agreements, and all Benefit Arrangements would be less than the maximum after-tax amount that could be received by the Grantee without causing any such exercise, vesting, payment or benefit to be considered a Parachute Payment.</w:t>
      </w:r>
    </w:p>
    <w:p>
      <w:pPr>
        <w:spacing w:after="0" w:line="10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Except as required by Code Section 409A or to the extent that Code Section 409A permits discretion, the Committee shall have the right, in the Committee’s sole discretion, to designate those rights, payments, or benefits under this Plan, all Other Agreements, and all Benefit Arrangements that should be reduced or eliminated so as to avoid having such rights, payments, or benefits be considered a Parachute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any payment or benefit constitutes deferred compensation under Code Section 409A, in order to comply with Code Section 409A, the Company shall instead accomplish such reduction by first reducing or eliminating any cash payments (with the payments to be made furthest in the future being reduced first), then by reducing or eliminating any accelerated vesting of Performance Awards, then by reducing or eliminating any accelerated vesting of Options or SARs, then by reducing or eliminating any accelerated vesting of Restricted Stock or Stock Units, then by reducing or eliminating any other remaining Parachute Payments.</w:t>
      </w:r>
    </w:p>
    <w:p>
      <w:pPr>
        <w:spacing w:after="0" w:line="120" w:lineRule="exact"/>
        <w:rPr>
          <w:sz w:val="20"/>
          <w:szCs w:val="20"/>
          <w:color w:val="auto"/>
        </w:rPr>
      </w:pPr>
    </w:p>
    <w:p>
      <w:pPr>
        <w:ind w:left="380" w:right="8460" w:hanging="372"/>
        <w:spacing w:after="0" w:line="503" w:lineRule="auto"/>
        <w:tabs>
          <w:tab w:leader="none" w:pos="51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REQUIREMENTS OF LAW 16.1.General.</w:t>
      </w:r>
    </w:p>
    <w:p>
      <w:pPr>
        <w:jc w:val="both"/>
        <w:ind w:right="160" w:firstLine="374"/>
        <w:spacing w:after="0" w:line="252" w:lineRule="auto"/>
        <w:rPr>
          <w:sz w:val="20"/>
          <w:szCs w:val="20"/>
          <w:color w:val="auto"/>
        </w:rPr>
      </w:pPr>
      <w:r>
        <w:rPr>
          <w:rFonts w:ascii="Times New Roman" w:cs="Times New Roman" w:eastAsia="Times New Roman" w:hAnsi="Times New Roman"/>
          <w:sz w:val="18"/>
          <w:szCs w:val="18"/>
          <w:color w:val="auto"/>
        </w:rPr>
        <w:t>The Company shall not be required to offer, sell or issue any shares of Stock under any Award, whether pursuant to the exercise of an Option, a SAR, or otherwise, if the offer, sale or issuance of such shares of Stock would constitute a violation by the Grantee, any other individual or entity, or the Company or an Affiliate of any provision of the Company’s certificate of incorporation or bylaws or of Applicable Laws, including without limitation any federal or state securities laws or regulations. If at any time the Company shall determine, in its discretion, that the listing, registration, or qualification of any shares of Stock subject to an Award upon any Stock Exchange or Securities Market or under any governmental regulatory body is necessary or desirable as a condition of, or in connection with, the offering, sale issuance or purchase of shares of Stock in connection with any Award, no shares of Stock may be offered, issued or sold to the Grantee or any other individual or entity pursuant to the exercise of such Award unless such listing, registration or qualification shall have been effected or obtained free of any conditions not acceptable to the Company, and any delay caused thereby shall in no way affect the date of termination of the Award. Without limiting the generality of the foregoing, upon the exercise of any Option or any SAR that may be settled in shares of Stock or the delivery of any shares of Stock underlying an Award, unless a registration statement under the Securities Act is in effect with respect to the shares of Stock subject to such Award, the Company shall not be required to offer, sell or issue such shares of Stock unless the Board has received evidence satisfactory to it that the Grantee or any other individual or entity exercising Option or SAR or accepting delivery of such shares may acquire such shares of Stock pursuant to an exemption from registration under the Securities Act. Any determination by the Board in connection with the foregoing shall be final, binding, and conclusive. The Company may register, but shall in no event be obligated to register, any shares of Stock or other securities issuable pursuant to the Plan pursuant to the Securities Act. The Company shall not be obligated to take any affirmative action in order to cause the exercise of an Option or a SAR or the issuance of shares of Stock or other securities pursuant to the Plan to comply with any Applicable Laws. As to any jurisdiction that expressly imposes the requirement that an Option (or SAR that may be settled in shares of Stock) shall not be exercisable until the shares of Stock covered by such Option (or SAR) are registered under the securities laws thereof or are exempt from registration, the exercise of such Option (or SAR) under circumstances in which the laws of such jurisdiction apply shall be deemed conditioned upon the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of such registration or the availability of such an exemption.</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16.2.Rule 16b-3.</w:t>
      </w:r>
    </w:p>
    <w:p>
      <w:pPr>
        <w:spacing w:after="0" w:line="162" w:lineRule="exact"/>
        <w:rPr>
          <w:sz w:val="20"/>
          <w:szCs w:val="20"/>
          <w:color w:val="auto"/>
        </w:rPr>
      </w:pPr>
    </w:p>
    <w:p>
      <w:pPr>
        <w:jc w:val="both"/>
        <w:ind w:right="140" w:firstLine="374"/>
        <w:spacing w:after="0" w:line="255" w:lineRule="auto"/>
        <w:rPr>
          <w:sz w:val="20"/>
          <w:szCs w:val="20"/>
          <w:color w:val="auto"/>
        </w:rPr>
      </w:pPr>
      <w:r>
        <w:rPr>
          <w:rFonts w:ascii="Times New Roman" w:cs="Times New Roman" w:eastAsia="Times New Roman" w:hAnsi="Times New Roman"/>
          <w:sz w:val="18"/>
          <w:szCs w:val="18"/>
          <w:color w:val="auto"/>
        </w:rPr>
        <w:t>During any time when the Company has a class of equity securities registered under Section 12 of the Exchange Act, it is the intent of the Company that Awards pursuant to the Plan and the exercise of Options and SARs granted hereunder that would otherwise be subject to Section 16(b) of the Exchange Act will qualify for the exemption provided by Rule 16b-3 under the Exchange Act. To the extent that any provision of the Plan or action by the Board does not comply with the requirements of Rule 16b-3, such provision or action shall be deemed inoperative with respect to such Awards to the extent permitted by Applicable Laws and deemed advisable by the Board, and shall not affect the validity of the Plan. In the event that Rule 16b-3 is revised or replaced, the Board may exercise its discretion to modify this Plan in any respect necessary or advisable in its judgment to satisfy the requirements of, or to permit the Company to avail itself of the benefits of, the revised exemption or its replacement.</w:t>
      </w:r>
    </w:p>
    <w:p>
      <w:pPr>
        <w:spacing w:after="0" w:line="11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CHANGES IN CAPITALIZATION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17.1.Changes in Stock.</w:t>
      </w:r>
    </w:p>
    <w:p>
      <w:pPr>
        <w:spacing w:after="0" w:line="162" w:lineRule="exact"/>
        <w:rPr>
          <w:sz w:val="20"/>
          <w:szCs w:val="20"/>
          <w:color w:val="auto"/>
        </w:rPr>
      </w:pPr>
    </w:p>
    <w:p>
      <w:pPr>
        <w:jc w:val="both"/>
        <w:ind w:firstLine="407"/>
        <w:spacing w:after="0" w:line="252" w:lineRule="auto"/>
        <w:rPr>
          <w:sz w:val="20"/>
          <w:szCs w:val="20"/>
          <w:color w:val="auto"/>
        </w:rPr>
      </w:pPr>
      <w:r>
        <w:rPr>
          <w:rFonts w:ascii="Times New Roman" w:cs="Times New Roman" w:eastAsia="Times New Roman" w:hAnsi="Times New Roman"/>
          <w:sz w:val="18"/>
          <w:szCs w:val="18"/>
          <w:color w:val="auto"/>
        </w:rPr>
        <w:t>If the number of outstanding shares of Stock is increased or decreased or the shares of Stock are changed into or exchanged for a different number of shares or kind of Capital Stock or other securities of the Company on account of any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Effective Date, the number and kinds of shares of Capital Stock for which grants of Options and other Awards may be made under the Plan, including, without limitation, the Share Reserve, shall be adjusted proportionately and accordingly by the Board. In addition, the number and kind of shares of Capital Stock for which Awards are outstanding shall be adjusted proportionately and accordingly by the Committee so that the proportionate interest of the Grantee therein immediately following such event shall, to the extent practicable, be the same as immediately before such event. Any such adjustment in outstanding Options or SARs shall not change the aggregate Option Price or SAR Exercise Price payable with respect to shares that are subject to the unexercised portion of such outstanding Options or SARs, as applicable, but shall include a corresponding proportionate adjustment in the per share Option Price or SAR Exercise Price, as the case may be. The conversion or exercise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dividend but excluding a non-extraordinary dividend of the Company) without receipt of consideration by the Company, the Board shall, in such manner as it deems appropriate, adjust (i) the number and kind of shares of Capital Stock subject to outstanding Awards and/or (ii) the aggregate and per share Option Price of outstanding Options and the aggregate and per share SAR Exercise Price of outstanding SARs as required to reflect such distribution.</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17.2.Reorganization in Which the Company Is the Surviving Entity Which Does not Constitute a Change in Control.</w:t>
      </w:r>
    </w:p>
    <w:p>
      <w:pPr>
        <w:spacing w:after="0" w:line="15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17.3</w:t>
      </w:r>
      <w:r>
        <w:rPr>
          <w:rFonts w:ascii="Times New Roman" w:cs="Times New Roman" w:eastAsia="Times New Roman" w:hAnsi="Times New Roman"/>
          <w:sz w:val="18"/>
          <w:szCs w:val="18"/>
          <w:color w:val="auto"/>
        </w:rPr>
        <w:t xml:space="preserve">, if the Company shall be the surviving entity in any reorganization, merger, or consolidation of the Company with one or more other entities which does not constitute a Change in Control, any Award theretofore granted pursuant to the Plan shall pertain to and apply to the Capital Stock to which a holder of the number of shares of Stock subject to such Award would have been entitled immediately following such reorganization, merger, or consolidation, with a corresponding proportionate adjustment of the per share Option Price or per share SAR Exercise Price of any outstanding Option or SAR so that the aggregate Option Price or SAR Exercise Price thereafter shall be the same as the aggregate Option Price or SAR Exercise Price of the shares of Stock remaining subject to the Option or SAR as in effect immediately prior to such reorganization, merger, or consolidation. Subject to any contrary language in an Award Agreement, in another agreement with the Grantee, or otherwise set forth in writing, any restrictions applicable to such Award shall apply as well to any replacement shares of Capital Stock subject to such Award, or received by the Grantee as a result of such reorganization, merger, or consolidation. In the event of any reorganization, merger, or consolidation of the Company described in this </w:t>
      </w:r>
      <w:r>
        <w:rPr>
          <w:rFonts w:ascii="Times New Roman" w:cs="Times New Roman" w:eastAsia="Times New Roman" w:hAnsi="Times New Roman"/>
          <w:sz w:val="18"/>
          <w:szCs w:val="18"/>
          <w:b w:val="1"/>
          <w:bCs w:val="1"/>
          <w:color w:val="auto"/>
        </w:rPr>
        <w:t>Section 17.2</w:t>
      </w:r>
      <w:r>
        <w:rPr>
          <w:rFonts w:ascii="Times New Roman" w:cs="Times New Roman" w:eastAsia="Times New Roman" w:hAnsi="Times New Roman"/>
          <w:sz w:val="18"/>
          <w:szCs w:val="18"/>
          <w:color w:val="auto"/>
        </w:rPr>
        <w:t>, Awards subject to performance criteria may be adjusted (including any adjustments to the Performance Measures or other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criteria applicable to such Awards deemed appropriate by the Board) to take into account such reorganization, merger, or consolidation.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17.3.Change in Control in which Awards are not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3" w:name="page144"/>
    <w:bookmarkEnd w:id="143"/>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Except as otherwise provided in the applicable Award Agreement, in another agreement with the Grantee, or as otherwise set forth in writing, upon the occurrence of a Change in Control in which outstanding Awards are not being assumed or continued, the following provisions shall apply to such Award, to the extent not assumed or continued:</w:t>
      </w:r>
    </w:p>
    <w:p>
      <w:pPr>
        <w:spacing w:after="0" w:line="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7"/>
          <w:szCs w:val="17"/>
          <w:color w:val="auto"/>
        </w:rPr>
        <w:t>Immediately prior to the occurrence of such Change in Control, in each case with the exception of any Performance Award, all outstanding shares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Restricted Stock and all Stock Units and Dividend Equivalent Rights shall be deemed to have vested, and the shares of Stock and/or cash subject to such Awards shall be delivered; and</w:t>
      </w:r>
    </w:p>
    <w:p>
      <w:pPr>
        <w:ind w:left="380"/>
        <w:spacing w:after="0"/>
        <w:rPr>
          <w:sz w:val="20"/>
          <w:szCs w:val="20"/>
          <w:color w:val="auto"/>
        </w:rPr>
      </w:pPr>
      <w:r>
        <w:rPr>
          <w:rFonts w:ascii="Times New Roman" w:cs="Times New Roman" w:eastAsia="Times New Roman" w:hAnsi="Times New Roman"/>
          <w:sz w:val="14"/>
          <w:szCs w:val="14"/>
          <w:color w:val="auto"/>
        </w:rPr>
        <w:t>(ii)</w:t>
      </w:r>
      <w:r>
        <w:rPr>
          <w:rFonts w:ascii="Times New Roman" w:cs="Times New Roman" w:eastAsia="Times New Roman" w:hAnsi="Times New Roman"/>
          <w:sz w:val="17"/>
          <w:szCs w:val="17"/>
          <w:color w:val="auto"/>
        </w:rPr>
        <w:t>Either of the following two actions shall be taken:</w:t>
      </w:r>
    </w:p>
    <w:p>
      <w:pPr>
        <w:spacing w:after="0" w:line="232" w:lineRule="exact"/>
        <w:rPr>
          <w:sz w:val="20"/>
          <w:szCs w:val="20"/>
          <w:color w:val="auto"/>
        </w:rPr>
      </w:pPr>
    </w:p>
    <w:p>
      <w:pPr>
        <w:jc w:val="both"/>
        <w:ind w:firstLine="838"/>
        <w:spacing w:after="0" w:line="273"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at least fifteen (15) days prior to the scheduled consummation of the Change in Control, all Options and SARs outstanding hereunder shall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become immediately exercisable and shall remain exercisable for a period of fifteen (15) days. With respect to the Company’s establishment of an exercise window, any exercise of an Option or SAR during such fifteen (15)-day period shall be conditioned upon the consummation of the Change in Control and shall be effective only immediately before the consummation of the Change in Control, and upon consummation of the Change in Control, the Plan and all outstanding but unexercised Options and SARs shall terminate, with or without consideration (including, without limitation, consideration in accordance with clause (ii) below) as determined by the Board in its sole discretion. The Board shall send notice of an event that will result in such a termination to all Grantees who hold Options and SARs not later than the time at which the Company gives notice thereof to its stockholders; and/or</w:t>
      </w:r>
    </w:p>
    <w:p>
      <w:pPr>
        <w:spacing w:after="0" w:line="104" w:lineRule="exact"/>
        <w:rPr>
          <w:sz w:val="20"/>
          <w:szCs w:val="20"/>
          <w:color w:val="auto"/>
        </w:rPr>
      </w:pPr>
    </w:p>
    <w:p>
      <w:pPr>
        <w:jc w:val="both"/>
        <w:ind w:firstLine="838"/>
        <w:spacing w:after="0" w:line="274"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7"/>
          <w:szCs w:val="17"/>
          <w:color w:val="auto"/>
        </w:rPr>
        <w:t>the Board may elect, in its sole discretion, to cancel any outstanding Awards of Options, SARs, Restricted Stock, Stock Units, and/or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Dividend Equivalent Rights and pay or deliver, or cause to be paid or delivered, to the holder thereof an amount in cash or securities having a value (as determined by the Board acting in good faith), in the case of Restricted Stock, Stock Units, and Dividend Equivalent Rights (for shares of Stock subject thereto) equal to the formula or fixed price per share paid to holders of shares of Stock pursuant to such Change in Control and, in the case of Options or SARs, equal to the product of the number of shares of Stock subject to the Options or SARs multiplied by the amount, if any, by which (I) the formula or fixed price per share paid to holders of shares of Stock pursuant to such transaction exceeds (II) the Option Price or SAR Exercise Price applicable to such Options or SARs.</w:t>
      </w:r>
    </w:p>
    <w:p>
      <w:pPr>
        <w:spacing w:after="0" w:line="321" w:lineRule="exact"/>
        <w:rPr>
          <w:sz w:val="20"/>
          <w:szCs w:val="20"/>
          <w:color w:val="auto"/>
        </w:rPr>
      </w:pPr>
    </w:p>
    <w:p>
      <w:pPr>
        <w:jc w:val="both"/>
        <w:ind w:firstLine="374"/>
        <w:spacing w:after="0" w:line="276" w:lineRule="auto"/>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7"/>
          <w:szCs w:val="17"/>
          <w:color w:val="auto"/>
        </w:rPr>
        <w:t>For Performance Awards denominated in Stock or Stock Units, if less than half of the Performance Period has lapsed, the Awards shall be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converted into Restricted Stock or Stock Units assuming target performance has been achieved (or Unrestricted Stock if no further restrictions apply). If more than half the Performance Period has lapsed, the Performance Awards shall be converted into Restricted Stock or Stock Units based on actual performance to date (or Unrestricted Stock if no further restrictions apply). If actual performance is not determinable, then Performance Awards shall be converted into Restricted Stock or Stock Units assuming target performance has been achieved, based on the discretion of the Committee (or Unrestricted Stock if no further restrictions apply).</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(iv)</w:t>
      </w:r>
      <w:r>
        <w:rPr>
          <w:rFonts w:ascii="Times New Roman" w:cs="Times New Roman" w:eastAsia="Times New Roman" w:hAnsi="Times New Roman"/>
          <w:sz w:val="17"/>
          <w:szCs w:val="17"/>
          <w:color w:val="auto"/>
        </w:rPr>
        <w:t>Other Equity-Based Awards shall be governed by the terms of the applicable Award Agreement.</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17.4.Change in Control in which Awards are Assumed.</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applicable Award Agreement, in another agreement with the Grantee, or as otherwise set forth in writing, upon the occurrence of a Change in Control in which outstanding Awards are being assumed or continued, the following provisions shall apply to such Award, to the extent assumed or continued:</w:t>
      </w:r>
    </w:p>
    <w:p>
      <w:pPr>
        <w:spacing w:after="0" w:line="10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Plan and the Options, SARs, Restricted Stock, Stock Units, Dividend Equivalent Rights, and Other Equity-Based Awards theretofore granted under the Plan shall continue in the manner and under the terms so provided in the event of any Change in Control to the extent that provision is made in writing in connection with such Change in Control for the assumption or continuation of the Options, SARs, Restricted Stock, Stock Units, Dividend Equivalent Rights, and Other Equity-Based Awards theretofore granted, or for the substitution for such Options, SARs, Restricted Stock, Stock Units, Dividend Equivalent Rights, and Other Equity-Based Awards theretofore granted for new stock options, stock appreciation rights, restricted stock, stock units, dividend equivalent rights, and other equity-based awards relating to the capital stock or other securities of a successor entity, or a parent or subsidiary thereof, with appropriate adjustments as to the number of shares (disregarding any consideration that is not common stock) and exercise prices of options and stock appreciation rights.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17.5.Adjustments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4" w:name="page145"/>
    <w:bookmarkEnd w:id="144"/>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Adjustments under this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related to shares of Stock or Capital Stock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Board may provide in an applicable Award Agreement as of the Grant Date, in another agreement with the Grantee, or otherwise in writing at any time thereafter with the consent of the Grantee, for different provisions to apply to an Award in place of those described in </w:t>
      </w:r>
      <w:r>
        <w:rPr>
          <w:rFonts w:ascii="Times New Roman" w:cs="Times New Roman" w:eastAsia="Times New Roman" w:hAnsi="Times New Roman"/>
          <w:sz w:val="18"/>
          <w:szCs w:val="18"/>
          <w:b w:val="1"/>
          <w:bCs w:val="1"/>
          <w:color w:val="auto"/>
        </w:rPr>
        <w:t>Sections 17.1, 17.2, 17.3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17.4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does not limit the Company’s ability to provide for alternative treatment of Awards outstanding under the Plan in the event of a change in control event involving the Company that is not a Change in Control.</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17.6.No Limitations on Company.</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to engage in any other transaction or activity.</w:t>
      </w:r>
    </w:p>
    <w:p>
      <w:pPr>
        <w:spacing w:after="0" w:line="108"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18.1.Disclaimer of Rights.</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No provision in the Plan or in any Award or Award Agreement shall be construed to confer upon any individual or entity the right to remain in the Service of the Company or an Affiliate, or to interfere in any way with any contractual or other right or authority of the Company or an Affiliate either to increase or decrease the compensation or other payments to any individual or entity at any time, or to terminate any Service or other relationship between any individual or entity and the Company or an Affiliate. In addition, notwithstanding anything contained in the Plan to the contrary, unless otherwise stated in the applicable Award Agreement, in another agreement with the Grantee, or otherwise in writing, no Award granted under the Plan shall be affected by any change of duties or position of the Grantee thereof, so long as such Grantee continues to provide Service. The obligation of the Company to pay any benefits pursuant to this Plan shall be interpreted as a contractual obligation to pay only those amounts described herein, in the manner and under the conditions prescribed herein. The Plan and Awards shall in no way be interpreted to require the Company to transfer any amounts to a third party trustee or otherwise hold any amounts in trust or escrow for payment to any Grantee or beneficiary under the terms of the Plan.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18.2.Nonexclusivity of the Plan.</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adoption of the Plan shall not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18.3.Withholding Taxes.</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The Company or an Affiliate, as the case may be, shall have the right to deduct from payments of any kind otherwise due to a Grantee any federal, state, or local taxes of any kind required by Applicable Laws to be withheld with respect to the vesting of or other lapse of restrictions applicable to an Award or upon the issuance of any shares of Stock upon the exercise of an Option or pursuant to any other Award. At the time of such vesting, lapse, or exercise, the Grantee shall pay in cash to the Company or an Affiliate, as the case may be, any amount that the Company or an Affiliate may reasonably determine to be necessary to satisfy such withholding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there is a same-day sale of shares of Stock subject to an Award, the Grantee shall pay such withholding obligation on the day on which the same-day sale is completed. Subject to the prior approval of the Company or an Affiliate, which may be withheld by the Company or an Affiliate, as the case may be, in its sole discretion, the Grantee may elect to satisfy such withholding obligations, in whole or in part, (i) by causing the Company or an Affiliate to withhold shares of Stock otherwise issuable to the Grantee or (ii) by delivering to the Company or an Affiliate shares of Stock already owned by the Grantee. The shares of Stock so withheld or delivered shall have an aggregate Fair Market Value equal to such withholding obligations. The Fair Market Value of the shares of Stock used to satisfy such withholding obligation shall be determined by the Company or an Affiliate as of the date that the amount of tax to be withheld is to be determined. A Grantee who has made an election pursuant to this </w:t>
      </w:r>
      <w:r>
        <w:rPr>
          <w:rFonts w:ascii="Times New Roman" w:cs="Times New Roman" w:eastAsia="Times New Roman" w:hAnsi="Times New Roman"/>
          <w:sz w:val="18"/>
          <w:szCs w:val="18"/>
          <w:b w:val="1"/>
          <w:bCs w:val="1"/>
          <w:color w:val="auto"/>
        </w:rPr>
        <w:t>Section 18.3</w:t>
      </w:r>
      <w:r>
        <w:rPr>
          <w:rFonts w:ascii="Times New Roman" w:cs="Times New Roman" w:eastAsia="Times New Roman" w:hAnsi="Times New Roman"/>
          <w:sz w:val="18"/>
          <w:szCs w:val="18"/>
          <w:color w:val="auto"/>
        </w:rPr>
        <w:t xml:space="preserve"> may satisfy such Grantee’s withholding obligation only with shares of Stock that are not subject to any repurchase, forfeiture, unfulfilled vesting, or other similar requirements.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number of shares of Stock that may be withheld from any Award to satisfy any federal, state, or local tax withholding requirements upon the exercise, vesting, or lapse of restrictions applicable to such Award or payment of shares of Stock pursuant to such Award, as applicable, may not exceed such number of shares of Stock having a Fair Market Value equal to the minimum statutory amount required by the Company or an Affiliate to be withheld and paid to any such federal, state, or local taxing authority with respect to such exercise, vesting, lapse of restrictions, or payment of shares of Stock.</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18.4.Captions.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use of captions in the Plan or any Award Agreement is for convenience of reference only and shall not affect the meaning of any provision of the Plan or such Award Agreement.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18.5.Other Provisions.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Each Award granted under the Plan may contain such other terms and conditions not inconsistent with the Plan as may be determined by the Board, in its sole discretion.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18.6.Number and Gender.</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With respect to words used in the Plan, the singular form shall include the plural form, the masculine gender shall include the feminine gender, etc., as the context requires.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18.7.Severability.</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18.8.Governing Law</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validity and construction of this Plan and the instruments evidencing the Awards hereunder shall be governed by, and construed and interpreted in accordance with, the laws of the State of Delaware, other than any conflicts or choice of law rule or principle that might otherwise refer construction or interpretation of this Plan and the instruments evidencing the Awards granted hereunder to the substantive laws of any other jurisdiction.</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18.9.Section 409A of the Code.</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Plan is intended to comply with Code Section 409A to the extent subject thereto, and, accordingly, to the maximum extent permitted, the Plan will be interpreted and administered to be in compliance with Code Section 409A. Any payments described in the Plan that are due within the “short-term deferral period” (as defined for purposes of Code Section 409A) will not be treated as deferred compensation unless Applicable Laws require otherwise. Notwithstanding any provision of the Plan to the contrary, to the extent required to avoid accelerated taxation and tax penalties under Code Section 409A, amounts that would otherwise be payable and benefits that would otherwise be provided pursuant to the Plan during the six (6)-month period immediately following the Grantee’s Separation from Service will instead be paid on the first payroll date after the six (6)-month anniversary of the Grantee’s Separation from Service (or the Grantee’s death, if earlier).</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Furthermore, notwithstanding anything to the contrary in the Plan, in the case of an Award that is characterized as deferred compensation under Code Section 409A, and pursuant to which settlement and delivery of the cash or shares of Stock subject to the Award is triggered based on a Change in Control, in no event will a Change in Control be deemed to have occurred for purposes of such settlement and delivery of cash or shares of Stock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Code Section 409A is not settled and delivered on account of the provision of the preceding sentence, the settlement and delivery will occur on the next succeeding settlement and delivery triggering event that is a permissible triggering event under Code Section 409A. No provision of this paragraph will in any way affect the determination of a Change in Control for purposes of vesting in an Award that is characterized as deferred compensation under Code Section 409A.</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Notwithstanding the foregoing, neither the Company nor the Committee will have any obligation to take any action to prevent the assessment of any excise tax or penalty on any Grantee under Code Section 409A and neither the Company, nor an Affiliate, nor the Board will have any liability to any Grantee for such tax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6" w:name="page147"/>
    <w:bookmarkEnd w:id="146"/>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903605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ind w:firstLine="407"/>
        <w:spacing w:after="0" w:line="282" w:lineRule="auto"/>
        <w:rPr>
          <w:sz w:val="20"/>
          <w:szCs w:val="20"/>
          <w:color w:val="auto"/>
        </w:rPr>
      </w:pPr>
      <w:r>
        <w:rPr>
          <w:rFonts w:ascii="Times New Roman" w:cs="Times New Roman" w:eastAsia="Times New Roman" w:hAnsi="Times New Roman"/>
          <w:sz w:val="18"/>
          <w:szCs w:val="18"/>
          <w:color w:val="auto"/>
        </w:rPr>
        <w:t>To record adoption of the Plan by the Board on February 2, 2023, effectiveness of the Plan on February 2, 2023, and amendment of the Plan on December 6, 2023, July 22, 2024 and December 19, 2024, the Company has caused its authorized officer to execute the Plan.</w:t>
      </w:r>
    </w:p>
    <w:p>
      <w:pPr>
        <w:spacing w:after="0" w:line="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162" w:lineRule="exact"/>
        <w:rPr>
          <w:sz w:val="20"/>
          <w:szCs w:val="20"/>
          <w:color w:val="auto"/>
        </w:rPr>
      </w:pPr>
    </w:p>
    <w:p>
      <w:pPr>
        <w:ind w:left="4860"/>
        <w:spacing w:after="0"/>
        <w:tabs>
          <w:tab w:leader="none" w:pos="5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J.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-7620</wp:posOffset>
            </wp:positionV>
            <wp:extent cx="13773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7">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Luke J. Albrecht</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884555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700" w:top="1417" w:right="4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SYNDAX PHARMACEUTICALS,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&amp; RESTATED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February 5, 2025</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Syndax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will receive the compensation described in this Amended and Restated Non-Employee Director Compensation Policy for his or her Board service. This policy may be amended at any time in the sole discretion of the Board.</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Each non-employee director serving on the Board of the Company will receive an annual base cash fee for his or her services of $50,000. Each non-employee director other than the non-executive chairperson of the Board (the “</w:t>
      </w:r>
      <w:r>
        <w:rPr>
          <w:rFonts w:ascii="Times New Roman" w:cs="Times New Roman" w:eastAsia="Times New Roman" w:hAnsi="Times New Roman"/>
          <w:sz w:val="20"/>
          <w:szCs w:val="20"/>
          <w:b w:val="1"/>
          <w:bCs w:val="1"/>
          <w:i w:val="1"/>
          <w:iCs w:val="1"/>
          <w:color w:val="auto"/>
        </w:rPr>
        <w:t>Chair</w:t>
      </w:r>
      <w:r>
        <w:rPr>
          <w:rFonts w:ascii="Times New Roman" w:cs="Times New Roman" w:eastAsia="Times New Roman" w:hAnsi="Times New Roman"/>
          <w:sz w:val="20"/>
          <w:szCs w:val="20"/>
          <w:color w:val="auto"/>
        </w:rPr>
        <w:t>”) shall also receive an annual award of deferred settlement restricted stock units to purchase 25,000 shares and the Chair shall also receive an annual award of deferred settlement restricted stock units to purchase 50,000 shares (each as adjusted for stock splits, stock dividends, recapitalization and similar events) of the Company’s common stock on the same date that the Board awards annual stock option grants to the Company’s executive officers (each an “</w:t>
      </w:r>
      <w:r>
        <w:rPr>
          <w:rFonts w:ascii="Times New Roman" w:cs="Times New Roman" w:eastAsia="Times New Roman" w:hAnsi="Times New Roman"/>
          <w:sz w:val="20"/>
          <w:szCs w:val="20"/>
          <w:b w:val="1"/>
          <w:bCs w:val="1"/>
          <w:i w:val="1"/>
          <w:iCs w:val="1"/>
          <w:color w:val="auto"/>
        </w:rPr>
        <w:t>Annual Option Award</w:t>
      </w:r>
      <w:r>
        <w:rPr>
          <w:rFonts w:ascii="Times New Roman" w:cs="Times New Roman" w:eastAsia="Times New Roman" w:hAnsi="Times New Roman"/>
          <w:sz w:val="20"/>
          <w:szCs w:val="20"/>
          <w:color w:val="auto"/>
        </w:rPr>
        <w:t>”). Each Annual Option Award will vest on the one-year anniversary of the date of grant, subject to the director’s continued service to the Company.</w:t>
      </w:r>
    </w:p>
    <w:p>
      <w:pPr>
        <w:spacing w:after="0" w:line="19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Newly appointed non-employee directors will receive at the time of his or her appointment to the Board, a one-time initial award of options to purchase 35,000 shares (as adjusted for stock splits, stock dividends, recapitalization and similar events) of the Company’s common stock (the “</w:t>
      </w:r>
      <w:r>
        <w:rPr>
          <w:rFonts w:ascii="Times New Roman" w:cs="Times New Roman" w:eastAsia="Times New Roman" w:hAnsi="Times New Roman"/>
          <w:sz w:val="20"/>
          <w:szCs w:val="20"/>
          <w:b w:val="1"/>
          <w:bCs w:val="1"/>
          <w:i w:val="1"/>
          <w:iCs w:val="1"/>
          <w:color w:val="auto"/>
        </w:rPr>
        <w:t>New Director Award</w:t>
      </w:r>
      <w:r>
        <w:rPr>
          <w:rFonts w:ascii="Times New Roman" w:cs="Times New Roman" w:eastAsia="Times New Roman" w:hAnsi="Times New Roman"/>
          <w:sz w:val="20"/>
          <w:szCs w:val="20"/>
          <w:color w:val="auto"/>
        </w:rPr>
        <w:t>”). Each New Director Award will vest monthly over a three-year period.</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Chair will also receive an annual cash retainer of $85,000 for his or her service in such role.</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Each non-employee director, other than the chairperson of such committee, who serves on the following committees will receive an annual cash retainer, for each committee on which he or she serves, as listed below:</w:t>
      </w:r>
    </w:p>
    <w:p>
      <w:pPr>
        <w:spacing w:after="0" w:line="173" w:lineRule="exact"/>
        <w:rPr>
          <w:sz w:val="20"/>
          <w:szCs w:val="20"/>
          <w:color w:val="auto"/>
        </w:rPr>
      </w:pPr>
    </w:p>
    <w:p>
      <w:pPr>
        <w:ind w:left="1140" w:hanging="383"/>
        <w:spacing w:after="0"/>
        <w:tabs>
          <w:tab w:leader="none" w:pos="11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committee – $12,500</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committee – $10,000</w:t>
      </w:r>
    </w:p>
    <w:p>
      <w:pPr>
        <w:ind w:left="1140" w:hanging="383"/>
        <w:spacing w:after="0"/>
        <w:tabs>
          <w:tab w:leader="none" w:pos="11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Science &amp; Technology committee – $10,000</w:t>
      </w:r>
    </w:p>
    <w:p>
      <w:pPr>
        <w:ind w:left="1140" w:hanging="383"/>
        <w:spacing w:after="0"/>
        <w:tabs>
          <w:tab w:leader="none" w:pos="11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Nominating and corporate governance committee – $7,500</w:t>
      </w:r>
    </w:p>
    <w:p>
      <w:pPr>
        <w:spacing w:after="0" w:line="20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chairperson of the audit, compensation, nominating and corporate governance and science and technology committees will receive an additional annual cash retainer as follows:</w:t>
      </w:r>
    </w:p>
    <w:p>
      <w:pPr>
        <w:spacing w:after="0" w:line="173" w:lineRule="exact"/>
        <w:rPr>
          <w:sz w:val="20"/>
          <w:szCs w:val="20"/>
          <w:color w:val="auto"/>
        </w:rPr>
      </w:pPr>
    </w:p>
    <w:p>
      <w:pPr>
        <w:ind w:left="1140" w:hanging="383"/>
        <w:spacing w:after="0"/>
        <w:tabs>
          <w:tab w:leader="none" w:pos="11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committee – $25,000</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committee – $20,000</w:t>
      </w:r>
    </w:p>
    <w:p>
      <w:pPr>
        <w:ind w:left="1140" w:hanging="383"/>
        <w:spacing w:after="0"/>
        <w:tabs>
          <w:tab w:leader="none" w:pos="11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Science &amp; Technology committee – $17,500</w:t>
      </w:r>
    </w:p>
    <w:p>
      <w:pPr>
        <w:ind w:left="1140" w:hanging="383"/>
        <w:spacing w:after="0"/>
        <w:tabs>
          <w:tab w:leader="none" w:pos="11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Nominating and corporate governance committee – $12,000</w:t>
      </w:r>
    </w:p>
    <w:p>
      <w:pPr>
        <w:spacing w:after="0" w:line="221"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Company will also reimburse each of the directors for his or her travel expenses incurred in connection with his or her attendance at Board and committee meetings. All cash retainers will be paid in equal quarterly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0" w:lineRule="exact"/>
        <w:rPr>
          <w:sz w:val="20"/>
          <w:szCs w:val="20"/>
          <w:color w:val="auto"/>
        </w:rPr>
      </w:pPr>
    </w:p>
    <w:p>
      <w:pPr>
        <w:spacing w:after="0" w:line="263" w:lineRule="exact"/>
        <w:rPr>
          <w:sz w:val="20"/>
          <w:szCs w:val="20"/>
          <w:color w:val="auto"/>
        </w:rPr>
      </w:pPr>
    </w:p>
    <w:p>
      <w:pPr>
        <w:jc w:val="center"/>
        <w:ind w:right="140"/>
        <w:spacing w:after="0" w:line="24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ertain information marked as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14"/>
          <w:szCs w:val="14"/>
          <w:color w:val="auto"/>
        </w:rPr>
        <w:t>has been excluded from this exhibit because it is both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not material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is the type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that the </w:t>
      </w:r>
      <w:r>
        <w:rPr>
          <w:rFonts w:ascii="Times New Roman" w:cs="Times New Roman" w:eastAsia="Times New Roman" w:hAnsi="Times New Roman"/>
          <w:sz w:val="21"/>
          <w:szCs w:val="21"/>
          <w:color w:val="auto"/>
        </w:rPr>
        <w:t>R</w:t>
      </w:r>
      <w:r>
        <w:rPr>
          <w:rFonts w:ascii="Times New Roman" w:cs="Times New Roman" w:eastAsia="Times New Roman" w:hAnsi="Times New Roman"/>
          <w:sz w:val="14"/>
          <w:szCs w:val="14"/>
          <w:color w:val="auto"/>
        </w:rPr>
        <w:t>egistrant treats as private or confidential</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y and</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etween</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yndax</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harmaceuticals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and</w:t>
      </w:r>
    </w:p>
    <w:p>
      <w:pPr>
        <w:spacing w:after="0" w:line="2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oyalty</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harma</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evelopment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22"/>
          <w:szCs w:val="22"/>
          <w:color w:val="auto"/>
        </w:rPr>
        <w:t>, LLC</w:t>
      </w:r>
    </w:p>
    <w:p>
      <w:pPr>
        <w:spacing w:after="0" w:line="2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ovember</w:t>
      </w:r>
      <w:r>
        <w:rPr>
          <w:rFonts w:ascii="Times New Roman" w:cs="Times New Roman" w:eastAsia="Times New Roman" w:hAnsi="Times New Roman"/>
          <w:sz w:val="22"/>
          <w:szCs w:val="22"/>
          <w:color w:val="auto"/>
        </w:rPr>
        <w:t xml:space="preserv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1163955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5" w:right="339" w:bottom="1440" w:gutter="0" w:footer="0" w:header="0"/>
        </w:sectPr>
      </w:pPr>
    </w:p>
    <w:bookmarkStart w:id="150" w:name="page151"/>
    <w:bookmarkEnd w:id="15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62"/>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1 DEFINITIONS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1.1</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Definitions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1.2</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Certain Interpretations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2 PURCHASE, SALE AND ASSIGNMENT OF THE REVENUE PARTICIPATION RIGHT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2.1   Purchase, Sale and Assignment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2.2</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Purchase Price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2.3   No Assumed Obligations, Etc.</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3 CLOSING</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3.1</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Closing</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3.2   Payment of Purchase Price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3.3</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Bill of Sale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4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4.1   Seller’s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4.2   Buyer’s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4.3   No Implied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5 CONDITIONS TO CLOSING</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5.1   Conditions to the Buyer’s Obligations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5.2   Conditions to the Seller’s Obligations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6 COVENANTS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Reporting</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6.2   Royalty Payments; Revenue Participation and Royalty Payment Details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6.3</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6.4   Inspections and Audits of the Seller</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6.5   Inspections and Audits of Licensee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6.6   Intellectual Property Matters</w:t>
            </w:r>
            <w:r>
              <w:rPr>
                <w:rFonts w:ascii="Times New Roman" w:cs="Times New Roman" w:eastAsia="Times New Roman" w:hAnsi="Times New Roman"/>
                <w:sz w:val="22"/>
                <w:szCs w:val="22"/>
                <w:color w:val="0000FF"/>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6.7</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In-Licenses</w:t>
            </w:r>
            <w:r>
              <w:rPr>
                <w:rFonts w:ascii="Times New Roman" w:cs="Times New Roman" w:eastAsia="Times New Roman" w:hAnsi="Times New Roman"/>
                <w:sz w:val="22"/>
                <w:szCs w:val="22"/>
                <w:color w:val="0000FF"/>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86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6.8</w:t>
            </w:r>
          </w:p>
        </w:tc>
        <w:tc>
          <w:tcPr>
            <w:tcW w:w="83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0000FF"/>
              </w:rPr>
              <w:t>Out-Licenses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51"/>
        </w:trPr>
        <w:tc>
          <w:tcPr>
            <w:tcW w:w="1016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6.9   Niktimvo Sale Price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80" w:right="459" w:bottom="1440" w:gutter="0" w:footer="0" w:header="0"/>
        </w:sectPr>
      </w:pPr>
    </w:p>
    <w:bookmarkStart w:id="151" w:name="page152"/>
    <w:bookmarkEnd w:id="151"/>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19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33"/>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6.10</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Cure Payments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6.11</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Restricted Indebtedness; Negative Pledge; Intercreditor Agreement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6.12</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Diligence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6.13</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Efforts to Consummate Transactions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6.14</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Further Assurances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6.15</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No Impairment of Revenue Participation Right or Back-Up Security Interest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6.16</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Certain Tax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51"/>
        </w:trPr>
        <w:tc>
          <w:tcPr>
            <w:tcW w:w="9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7 INDEMNIFICATION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7.1</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General Indemnity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7.2</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Notice of Claims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7.3</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Limitations on Liability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7.4</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Exclusive Remedy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7.5</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Tax Treatment of Indemnification Payments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9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8 CONFIDENTIALITY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8.1</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Confidentiality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8.2</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Authorized Disclosure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8.3</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SEC Filings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51"/>
        </w:trPr>
        <w:tc>
          <w:tcPr>
            <w:tcW w:w="9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9 EVENT OF DEFAULT REMEDIES; CALL OPTION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9.1</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Remedies upon Event of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9.2</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Call Option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9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10 TERMINATION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10.1</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Mutual Termination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10.2</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Automatic Termination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10.3</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Effect of Termination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10.4</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Survival</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9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rPr>
              <w:t>ARTICLE 11 MISCELLANEOUS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11.1</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Headings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0000FF"/>
              </w:rPr>
              <w:t>Section 11.2</w:t>
            </w:r>
          </w:p>
        </w:tc>
        <w:tc>
          <w:tcPr>
            <w:tcW w:w="7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0000FF"/>
              </w:rPr>
              <w:t>Notices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80" w:right="4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6740" w:type="dxa"/>
            <w:vAlign w:val="bottom"/>
          </w:tcPr>
          <w:p>
            <w:pPr>
              <w:ind w:left="24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4"/>
                <w:szCs w:val="24"/>
                <w:color w:val="auto"/>
              </w:rPr>
            </w:pPr>
          </w:p>
        </w:tc>
        <w:tc>
          <w:tcPr>
            <w:tcW w:w="674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(continued)</w:t>
            </w: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11.3</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11.4</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Assignment</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11.5</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Amendment and Waiver</w:t>
            </w:r>
            <w:r>
              <w:rPr>
                <w:rFonts w:ascii="Times New Roman" w:cs="Times New Roman" w:eastAsia="Times New Roman" w:hAnsi="Times New Roman"/>
                <w:sz w:val="22"/>
                <w:szCs w:val="22"/>
                <w:color w:val="0000FF"/>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11.6</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Entire Agreement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11.7</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No Third Party Beneficiaries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11.8</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Governing Law</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11.9</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Jurisdiction; Venue</w:t>
            </w:r>
            <w:r>
              <w:rPr>
                <w:rFonts w:ascii="Times New Roman" w:cs="Times New Roman" w:eastAsia="Times New Roman" w:hAnsi="Times New Roman"/>
                <w:sz w:val="22"/>
                <w:szCs w:val="22"/>
                <w:color w:val="0000FF"/>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11.10</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11.11</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Specific Performance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11.12</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Counterparts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rPr>
              <w:t>Section 11.13</w:t>
            </w:r>
          </w:p>
        </w:tc>
        <w:tc>
          <w:tcPr>
            <w:tcW w:w="67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Relationship of the Parties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632460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060" w:top="1074" w:right="45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4"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This PURCHASE AND SALE AGREEMENT, dated as of November 4, 2024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Royalty Pharma Development Funding, LLC, a Delaware limited liability company (the “</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and Syndax Pharmaceuticals, Inc., a Delaware corporation (the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Seller previously in-licensed and further developed the Product, and established with Incyte a global collaboration for the further development and commercialization of the Product through which the Seller has an interest in Net Sales of the Product in the Territory through the Seller’s right, title and interest in and to the Pre-Tax Profit (Loss) Share under the Incyte Agreement; and</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Buyer desires to purchase the Revenue Participation Right from the Seller in exchange for payment of the Purchase Price, and the Seller desires to sell the Revenue Participation Right to the Buyer in exchange for the Buyer’s payment of the Purchase Price, in each case on the terms and conditions set forth in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The following terms, as used herein, shall have the following meanings:</w:t>
      </w:r>
    </w:p>
    <w:p>
      <w:pPr>
        <w:spacing w:after="0" w:line="20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AB 535 Antibody</w:t>
      </w:r>
      <w:r>
        <w:rPr>
          <w:rFonts w:ascii="Times New Roman" w:cs="Times New Roman" w:eastAsia="Times New Roman" w:hAnsi="Times New Roman"/>
          <w:sz w:val="22"/>
          <w:szCs w:val="22"/>
          <w:color w:val="auto"/>
        </w:rPr>
        <w:t>” means the Antibody designated by UCB as “Ab 535”, which is an anti-mouse CSF-1R Antibody that is a surrogate Antibody for the Licensed Antibody.</w:t>
      </w:r>
    </w:p>
    <w:p>
      <w:pPr>
        <w:spacing w:after="0" w:line="14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Acceptable Intercreditor Agreement</w:t>
      </w:r>
      <w:r>
        <w:rPr>
          <w:rFonts w:ascii="Times New Roman" w:cs="Times New Roman" w:eastAsia="Times New Roman" w:hAnsi="Times New Roman"/>
          <w:sz w:val="22"/>
          <w:szCs w:val="22"/>
          <w:color w:val="auto"/>
        </w:rPr>
        <w:t>” means, with respect to any Permitted Secured Indebtedness incurred by the Seller, (a) an intercreditor or other agreement between the Buyer and the Senior Debt Provider, and acknowledged by the Seller, providing, among other things to be agreed by the Buyer and the Senior Debt Provider, (i) that such Senior Debt Provider shall not, directly or indirectly, contest or challenge, or support any Person in contesting or challenging, the true sale characterization of the sale of the Revenue Participation Right to the Buyer or the Buyer’s rights with respect to the Back-Up Security Interest; (ii) that such Senior Debt Provider shall have the first right of enforcement in any Liens on the Secured Assets (except for the Revenue Participation Right and the Royalty Payments); (iii) that if the Senior Debt Provider enforces its rights with respect to any Product Collateral or exercise any remedies against the Seller, (A) it shall enforce such rights subject to the rights of the Buyer with respect to the Revenue Participation Right, the Royalty Payments and the then applicable Back-Up Security Interest on terms materially consistent with this Agreement or otherwise satisfactory to the Buyer in its reasonable discretion, including if the Senior Debt Provider in the course of exercising its enforcement rights with respect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4" w:name="page155"/>
    <w:bookmarkEnd w:id="154"/>
    <w:p>
      <w:pPr>
        <w:jc w:val="both"/>
        <w:spacing w:after="0" w:line="242" w:lineRule="auto"/>
        <w:rPr>
          <w:sz w:val="20"/>
          <w:szCs w:val="20"/>
          <w:color w:val="auto"/>
        </w:rPr>
      </w:pPr>
      <w:r>
        <w:rPr>
          <w:rFonts w:ascii="Times New Roman" w:cs="Times New Roman" w:eastAsia="Times New Roman" w:hAnsi="Times New Roman"/>
          <w:sz w:val="21"/>
          <w:szCs w:val="21"/>
          <w:color w:val="auto"/>
        </w:rPr>
        <w:t>to the Product Collateral, sells or otherwise transfers any Product Collateral, such Product Collateral shall be transferred subject to the rights of the Buyer with respect to the Revenue Participation Right, the Royalty Payments and the then applicable Back-Up Security Interest on terms materially consistent with this Agreement or otherwise satisfactory to the Buyer in its reasonable discretion, and (B) it shall not take any action to terminate the UCB Agreement or the Incyte Agreement, including any terms and provisions related to the Pre-Tax Profit (Loss) Share; (iv) after the occurrence of an insolvency proceeding, (A) the Senior Debt Provider shall not support (or vote its claims in favor of any plan of reorganization providing for) any disposition of the Product Collateral unless (x) the Product Collateral so disposed of is purchased subject to the rights of the Buyer with respect to the Revenue Participation Right, the Royalty Payments and the then applicable Back-Up Security Interest on terms materially consistent with this Agreement or otherwise satisfactory to the Buyer in its reasonable discretion, or (y) Buyer receives an amount equal to 13.8% of the net proceeds of any such disposition of Product Collateral (after payment of all documented out-of-pocket fees, costs and expenses of the Senior Debt Provider and other third parties incurred in connection therewith and with any such insolvency proceeding or otherwise in connection with the enforcement of rights or remedies by the Senior Debt Provider, but solely to the extent not duplicative of such fees, costs and expenses paid out in any waterfall) until the aggregate amount received by the Buyer equals the Royalty Cap (the “</w:t>
      </w:r>
      <w:r>
        <w:rPr>
          <w:rFonts w:ascii="Times New Roman" w:cs="Times New Roman" w:eastAsia="Times New Roman" w:hAnsi="Times New Roman"/>
          <w:sz w:val="21"/>
          <w:szCs w:val="21"/>
          <w:b w:val="1"/>
          <w:bCs w:val="1"/>
          <w:i w:val="1"/>
          <w:iCs w:val="1"/>
          <w:color w:val="auto"/>
        </w:rPr>
        <w:t>Buyer Disposition Proceeds Amount</w:t>
      </w:r>
      <w:r>
        <w:rPr>
          <w:rFonts w:ascii="Times New Roman" w:cs="Times New Roman" w:eastAsia="Times New Roman" w:hAnsi="Times New Roman"/>
          <w:sz w:val="21"/>
          <w:szCs w:val="21"/>
          <w:color w:val="auto"/>
        </w:rPr>
        <w:t>”) and (B) the Buyer shall not oppose any disposition of the Product Collateral so long as (x) the Product Collateral so disposed of are purchased subject to the rights of the Buyer with respect to the Revenue Participation Right, the Royalty Payments and the then applicable Back-Up Security Interest on terms materially consistent with this Agreement or otherwise satisfactory to the Buyer in its reasonable discretion or</w:t>
      </w:r>
    </w:p>
    <w:p>
      <w:pPr>
        <w:spacing w:after="0" w:line="16" w:lineRule="exact"/>
        <w:rPr>
          <w:sz w:val="20"/>
          <w:szCs w:val="20"/>
          <w:color w:val="auto"/>
        </w:rPr>
      </w:pPr>
    </w:p>
    <w:p>
      <w:pPr>
        <w:jc w:val="both"/>
        <w:ind w:firstLine="8"/>
        <w:spacing w:after="0" w:line="242" w:lineRule="auto"/>
        <w:tabs>
          <w:tab w:leader="none" w:pos="32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receives an amount equal to the Buyer Disposition Proceeds Amount; (v) other provisions reasonably satisfactory to the Senior Debt Provider and the Buyer consistent with clauses (i), (ii), (iii) and (iv) above and consistent with the premise that the Senior Debt Provider shall have the primary right to (x) enforce the Liens with respect to the Product Collateral and (y) decide other customary intercreditor matters such as pay over provisions and provisions regarding DIP financings, in each case, subject to the provisions in this definition; and (vi) the Buyer shall not interfere with such Senior Debt Provider enforcing its rights and remedies as a secured creditor under the UCC, any Bankruptcy Laws and any other applicable law (to the extent such enforcement is not inconsistent with clauses (i) through (v) above); provided, however, that, if such Senior Debt Provider fails to satisfy the obligations under clauses (i), (iii), or (iv) for any reason or if the Revenue Participation Right is recharacterized as debt, then the waterfall and turnover provisions of the Acceptable Intercreditor Agreement shall provide for the Buyer’s rights to the Buyer Disposition Proceeds Amount on a pari passu basis; and (b) any other intercreditor agreement between the Buyer and a Senior Debt Provider in form and substance reasonably satisfactory to the Buyer, such Senior Debt Provider and the Seller. For the avoidance of doubt, an Acceptable Intercreditor Agreement shall not restrict the Seller’s obligation to make any Royalty Payments or payments of any other Obligations under this Agreement as and when such payments are required.</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any particular Person, any other Person directly or indirectly through one or more intermediary Controlling, Controlled by or under common Control with such particular Person. For purposes of the foregoing sentence, the term “</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means direct or indirect ownership of (x) fifty percent (50%) or more, including ownership by trusts with substantially the same beneficial interests, of the voting and equity rights of such Person, firm, trust, corporation, partnership or other entity or combination thereof, or (y) the power to direct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1"/>
          <w:szCs w:val="21"/>
          <w:color w:val="auto"/>
        </w:rPr>
        <w:t>management of such person, firm, trust, corporation, partnership or other entity or combination thereof, by contract or otherwise.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Antibody</w:t>
      </w:r>
      <w:r>
        <w:rPr>
          <w:rFonts w:ascii="Times New Roman" w:cs="Times New Roman" w:eastAsia="Times New Roman" w:hAnsi="Times New Roman"/>
          <w:sz w:val="21"/>
          <w:szCs w:val="21"/>
          <w:color w:val="auto"/>
        </w:rPr>
        <w:t>” means whether in nucleic acid or protein form, individually and collectively, any antibody, whether naturally occurring, artificially produced, raised in an artificial system, designed de novo, or created through modification of another antibody or otherwise; any fragment or fusion of any of the foregoing; and any chemically modified versions of the foregoing antibodies (including versions that are conjugated with another chemical entity, such as a drug or toxin; pegylated versions (regardless of whether containing amino acid substitutions in order to achieve pegylation or otherwise modified versions to enable half-life extension or other desirable properties), including versions that are chemically or genetically fused to another molecular entity, such as multispecific antibodies, and cytokine fusions; and other chemically or biologically modified versions).</w:t>
      </w:r>
    </w:p>
    <w:p>
      <w:pPr>
        <w:spacing w:after="0" w:line="16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Leverage Ratio</w:t>
      </w:r>
      <w:r>
        <w:rPr>
          <w:rFonts w:ascii="Times New Roman" w:cs="Times New Roman" w:eastAsia="Times New Roman" w:hAnsi="Times New Roman"/>
          <w:sz w:val="21"/>
          <w:szCs w:val="21"/>
          <w:color w:val="auto"/>
        </w:rPr>
        <w:t xml:space="preserve">” means the ratio, as of any date of determination, of (a) the sum of (i) all outstanding Permitted Secured Indebtedness as of such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aggregate purchase price (without reductions) under all Permitted Royalty Financings entered into as of such date to (b) Consolidated EBITDA of the Seller and its Subsidiaries for the four quarter period then most recently ended for which financial statements have been delivered under Section‎ 6.1(a) and ‎Section 6.1(b).</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Back-Up Security Interest</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2.1(b).</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Bankruptcy Laws</w:t>
      </w:r>
      <w:r>
        <w:rPr>
          <w:rFonts w:ascii="Times New Roman" w:cs="Times New Roman" w:eastAsia="Times New Roman" w:hAnsi="Times New Roman"/>
          <w:sz w:val="22"/>
          <w:szCs w:val="22"/>
          <w:color w:val="auto"/>
        </w:rPr>
        <w:t>” means, collectively, bankruptcy, insolvency, reorganization, moratorium, fraudulent conveyance, fraudulent transfer or other similar laws affecting the enforcement of creditors’ rights generally.</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Bilateral Common Interest and Joint Privilege Agreement</w:t>
      </w:r>
      <w:r>
        <w:rPr>
          <w:rFonts w:ascii="Times New Roman" w:cs="Times New Roman" w:eastAsia="Times New Roman" w:hAnsi="Times New Roman"/>
          <w:sz w:val="22"/>
          <w:szCs w:val="22"/>
          <w:color w:val="auto"/>
        </w:rPr>
        <w:t xml:space="preserve">” means that certain common interest and joint privilege agreement, dated as of the Closing Date, executed by the Seller and the Buyer,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Bill of Sale</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3.3.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BLA</w:t>
      </w:r>
      <w:r>
        <w:rPr>
          <w:rFonts w:ascii="Times New Roman" w:cs="Times New Roman" w:eastAsia="Times New Roman" w:hAnsi="Times New Roman"/>
          <w:sz w:val="22"/>
          <w:szCs w:val="22"/>
          <w:color w:val="auto"/>
        </w:rPr>
        <w:t>” means a Biologics License Application submitted to the FDA in the United States.</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are permitted or required by applicable law or regulation to remain closed.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Disposition Proceeds Amount</w:t>
      </w:r>
      <w:r>
        <w:rPr>
          <w:rFonts w:ascii="Times New Roman" w:cs="Times New Roman" w:eastAsia="Times New Roman" w:hAnsi="Times New Roman"/>
          <w:sz w:val="22"/>
          <w:szCs w:val="22"/>
          <w:color w:val="auto"/>
        </w:rPr>
        <w:t>” is defined in the definition of “Acceptable Intercreditor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Indemnified Parties</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Call Option</w:t>
      </w:r>
      <w:r>
        <w:rPr>
          <w:rFonts w:ascii="Times New Roman" w:cs="Times New Roman" w:eastAsia="Times New Roman" w:hAnsi="Times New Roman"/>
          <w:sz w:val="22"/>
          <w:szCs w:val="22"/>
          <w:color w:val="auto"/>
        </w:rPr>
        <w:t>” is defined in Section‎ 9.2.</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(a) a transaction or series of related transactions that results in the sale or other disposition of all or substantially all of the Seller’s and its Affiliates’ assets, on a consolidated basis; (b) a merger or consolidation with a Third Party in which the Seller is not the surviving corporation or in which, if the Seller is the surviving corporation, the stockholders of the Seller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Seller’s board of directors; or (c) a transaction or series of related transactions with a Third Party, together with its Affiliates (which may include a tender offer for the Seller’s stock or the issuance, sale or exchange of stock of the Seller), if the stockholders of the Seller immediately prior to such transaction(s) do not, immediately after consummation of such transaction(s), possess, directly or indirectly through one or more intermediaries, a majority of the voting power of all of the Seller’s or its successor’s outstanding stock and other securities and the power to elect a majority of the members of the Seller’s or its successor’s board of directors. For clarity, a bona fide financing is not a Change of Control.</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 Call Price</w:t>
      </w:r>
      <w:r>
        <w:rPr>
          <w:rFonts w:ascii="Times New Roman" w:cs="Times New Roman" w:eastAsia="Times New Roman" w:hAnsi="Times New Roman"/>
          <w:sz w:val="22"/>
          <w:szCs w:val="22"/>
          <w:color w:val="auto"/>
        </w:rPr>
        <w:t>” means (i) on or prior to December 31, 2025, $[***], (ii) after December 31, 2025 and on or prior to December 31, 2026, $[***], (iii) after December 31, 2026 and on or prior to December 31, 2027, $[***], (iv) after December 31, 2027 and on or prior to December 31, 2028, $[***], and (v) after December 31, 2028, $[***], in each case ((i) through (v)), less the aggregate of all of the Royalty Payments actually received by the Buyer prior to such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Clinical and Commercial Semi-Annual Report</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6.1(c).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Clinical Trial</w:t>
      </w:r>
      <w:r>
        <w:rPr>
          <w:rFonts w:ascii="Times New Roman" w:cs="Times New Roman" w:eastAsia="Times New Roman" w:hAnsi="Times New Roman"/>
          <w:sz w:val="21"/>
          <w:szCs w:val="21"/>
          <w:color w:val="auto"/>
        </w:rPr>
        <w:t>” means a clinical trial intended to support the Marketing Approval or Commercialization of the Product.</w:t>
      </w:r>
    </w:p>
    <w:p>
      <w:pPr>
        <w:spacing w:after="0" w:line="21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Clinical Updates</w:t>
      </w:r>
      <w:r>
        <w:rPr>
          <w:rFonts w:ascii="Times New Roman" w:cs="Times New Roman" w:eastAsia="Times New Roman" w:hAnsi="Times New Roman"/>
          <w:sz w:val="22"/>
          <w:szCs w:val="22"/>
          <w:color w:val="auto"/>
        </w:rPr>
        <w:t>” means (a) a summary of any material updates with respect to the Clinical Trials, including the number of patients currently enrolled in each such Clinical Trial, the number of sites conducting each such Clinical Trial, the material progress of each such Clinical Trial, any material modifications to each such Clinical Trial (including of its protocol), any adverse events in the Clinical Trials, (b) written plans to start new Clinical Trials, and (c) investigator brochures for the Product.</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means the closing of the sale, transfer, assignment and conveyance of the Revenue Participation Right hereunder on the Closing Date upon the funding of the Purchase Price.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means the date on which the Closing occurs pursuant to Section‎ 3.1.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CMC</w:t>
      </w:r>
      <w:r>
        <w:rPr>
          <w:rFonts w:ascii="Times New Roman" w:cs="Times New Roman" w:eastAsia="Times New Roman" w:hAnsi="Times New Roman"/>
          <w:sz w:val="22"/>
          <w:szCs w:val="22"/>
          <w:color w:val="auto"/>
        </w:rPr>
        <w:t>” means chemistry, manufacturing and controls with respect to the Product.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7" w:name="page158"/>
    <w:bookmarkEnd w:id="157"/>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Combination Product</w:t>
      </w:r>
      <w:r>
        <w:rPr>
          <w:rFonts w:ascii="Times New Roman" w:cs="Times New Roman" w:eastAsia="Times New Roman" w:hAnsi="Times New Roman"/>
          <w:sz w:val="22"/>
          <w:szCs w:val="22"/>
          <w:color w:val="auto"/>
        </w:rPr>
        <w:t>” means any Product which contains one or more active ingredients (which are not the Licensed Antibody) (each, an “</w:t>
      </w:r>
      <w:r>
        <w:rPr>
          <w:rFonts w:ascii="Times New Roman" w:cs="Times New Roman" w:eastAsia="Times New Roman" w:hAnsi="Times New Roman"/>
          <w:sz w:val="22"/>
          <w:szCs w:val="22"/>
          <w:b w:val="1"/>
          <w:bCs w:val="1"/>
          <w:i w:val="1"/>
          <w:iCs w:val="1"/>
          <w:color w:val="auto"/>
        </w:rPr>
        <w:t>Other Component</w:t>
      </w:r>
      <w:r>
        <w:rPr>
          <w:rFonts w:ascii="Times New Roman" w:cs="Times New Roman" w:eastAsia="Times New Roman" w:hAnsi="Times New Roman"/>
          <w:sz w:val="22"/>
          <w:szCs w:val="22"/>
          <w:color w:val="auto"/>
        </w:rPr>
        <w:t>”) in addition to the Licensed Antibody, whether coformulated, copackaged, or otherwise sold at a single invoiced price.</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 Launch</w:t>
      </w:r>
      <w:r>
        <w:rPr>
          <w:rFonts w:ascii="Times New Roman" w:cs="Times New Roman" w:eastAsia="Times New Roman" w:hAnsi="Times New Roman"/>
          <w:sz w:val="22"/>
          <w:szCs w:val="22"/>
          <w:color w:val="auto"/>
        </w:rPr>
        <w:t>” means the occurrence of the first sale of a Product by or on behalf of the Seller, its Affiliates, its Licensees, or its Licensee’s Affiliates or sublicensees to a Third Party for end use or consumption of such Product in the Territory after regulatory approval by the FDA of a post-approval supplement required to market and sell such Product in [***] has been granted in the Territory.</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 Updates</w:t>
      </w:r>
      <w:r>
        <w:rPr>
          <w:rFonts w:ascii="Times New Roman" w:cs="Times New Roman" w:eastAsia="Times New Roman" w:hAnsi="Times New Roman"/>
          <w:sz w:val="22"/>
          <w:szCs w:val="22"/>
          <w:color w:val="auto"/>
        </w:rPr>
        <w:t>” means a summary of material updates with respect to the Seller’s and its Affiliates’ and any Licensee’s sales and marketing activities and, if material, commercial manufacturing matters with respect to the Product.</w:t>
      </w:r>
    </w:p>
    <w:p>
      <w:pPr>
        <w:spacing w:after="0" w:line="14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Commercialization</w:t>
      </w:r>
      <w:r>
        <w:rPr>
          <w:rFonts w:ascii="Times New Roman" w:cs="Times New Roman" w:eastAsia="Times New Roman" w:hAnsi="Times New Roman"/>
          <w:sz w:val="21"/>
          <w:szCs w:val="21"/>
          <w:color w:val="auto"/>
        </w:rPr>
        <w:t>” means activities and plans directed to the distribution, marketing, detailing, promotion, selling and securing of reimbursement of the Product in the Territory (including the using, importing, selling and offering for sale of the Product), and shall include post-Marketing Approval studies to the extent required by the FDA, post-launch marketing, promoting, detailing, distributing, selling the Product, importing, exporting or transporting the Product for sale, and regulatory compliance with respect to the foregoing. When used as a verb, “</w:t>
      </w:r>
      <w:r>
        <w:rPr>
          <w:rFonts w:ascii="Times New Roman" w:cs="Times New Roman" w:eastAsia="Times New Roman" w:hAnsi="Times New Roman"/>
          <w:sz w:val="21"/>
          <w:szCs w:val="21"/>
          <w:b w:val="1"/>
          <w:bCs w:val="1"/>
          <w:i w:val="1"/>
          <w:iCs w:val="1"/>
          <w:color w:val="auto"/>
        </w:rPr>
        <w:t>Commercialize</w:t>
      </w:r>
      <w:r>
        <w:rPr>
          <w:rFonts w:ascii="Times New Roman" w:cs="Times New Roman" w:eastAsia="Times New Roman" w:hAnsi="Times New Roman"/>
          <w:sz w:val="21"/>
          <w:szCs w:val="21"/>
          <w:color w:val="auto"/>
        </w:rPr>
        <w:t>” shall mean to engage in Commercialization. Except with respect to post-Marketing Approval studies required by the FDA, Commercialization shall not include any activities directed to the research or development (including pre-clinical and clinical development) or manufacture of the Product.</w:t>
      </w:r>
    </w:p>
    <w:p>
      <w:pPr>
        <w:spacing w:after="0" w:line="16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Commercialization Partner</w:t>
      </w:r>
      <w:r>
        <w:rPr>
          <w:rFonts w:ascii="Times New Roman" w:cs="Times New Roman" w:eastAsia="Times New Roman" w:hAnsi="Times New Roman"/>
          <w:sz w:val="22"/>
          <w:szCs w:val="22"/>
          <w:color w:val="auto"/>
        </w:rPr>
        <w:t>” means (i) initially, Incyte and (ii) if the Incyte Agreement is no longer in effect, any other Licensee that holds the right to Commercialize the Product in the Territory.</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Commercially Reasonable Efforts</w:t>
      </w:r>
      <w:r>
        <w:rPr>
          <w:rFonts w:ascii="Times New Roman" w:cs="Times New Roman" w:eastAsia="Times New Roman" w:hAnsi="Times New Roman"/>
          <w:sz w:val="22"/>
          <w:szCs w:val="22"/>
          <w:color w:val="auto"/>
        </w:rPr>
        <w:t>” means the level of efforts and resources (measured as of the time that such efforts and resources are required to be used under this Agreement) that are commonly used by a commercial-stage public biopharmaceutical company of similar size and resources to the Seller (provided that such size and resources shall not decrease below the size and resources of the Seller as of the Closing Date), to develop, manufacture or commercialize, as the case may be, a comparable product for a comparable clinical indication (with respect to market size and commercial opportunity) at a similar stage in its development or product life and of a similar market and potential to the Product, but without regard to the Seller’s financial obligations under this Agreement.</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Competitor</w:t>
      </w:r>
      <w:r>
        <w:rPr>
          <w:rFonts w:ascii="Times New Roman" w:cs="Times New Roman" w:eastAsia="Times New Roman" w:hAnsi="Times New Roman"/>
          <w:sz w:val="22"/>
          <w:szCs w:val="22"/>
          <w:color w:val="auto"/>
        </w:rPr>
        <w:t>” means (i) any competitor of the Seller primarily operating in the same line of business as the Seller and (ii) any of such competitor’s Affiliates.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8.1.</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Consolidated EBITDA</w:t>
      </w:r>
      <w:r>
        <w:rPr>
          <w:rFonts w:ascii="Times New Roman" w:cs="Times New Roman" w:eastAsia="Times New Roman" w:hAnsi="Times New Roman"/>
          <w:sz w:val="21"/>
          <w:szCs w:val="21"/>
          <w:color w:val="auto"/>
        </w:rPr>
        <w:t>” means, for any period, the consolidated net income (or loss) of the Seller and its Subsidiaries for such period on a consolidated basis determined in accordance with GAAP for such period plus, without duplication and to the extent deducted in determining such consolidated net income for such period, the sum of (a) Consolidated Interest Expense, (b)</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8" w:name="page159"/>
    <w:bookmarkEnd w:id="158"/>
    <w:p>
      <w:pPr>
        <w:jc w:val="both"/>
        <w:spacing w:after="0" w:line="243" w:lineRule="auto"/>
        <w:rPr>
          <w:sz w:val="20"/>
          <w:szCs w:val="20"/>
          <w:color w:val="auto"/>
        </w:rPr>
      </w:pPr>
      <w:r>
        <w:rPr>
          <w:rFonts w:ascii="Times New Roman" w:cs="Times New Roman" w:eastAsia="Times New Roman" w:hAnsi="Times New Roman"/>
          <w:sz w:val="21"/>
          <w:szCs w:val="21"/>
          <w:color w:val="auto"/>
        </w:rPr>
        <w:t>provision for taxes based on income, (c) depreciation expense, (d) amortization expense, (e) unusual or non-recurring losses, (f) acquired in-process research and development expense in connection with any in-license or the acquisition of any assets, (g) carveout costs, restructuring costs, integration costs, retention, recruiting, relocation and signing bonuses and expenses, stock option and other equity-based compensation expenses, severance costs, transaction fees and expenses and management fees and expenses, (h) “run rate” synergies, operating expense reductions and other operating improvements and cost savings in connection with (I) acquisitions (including the commencement of activities constituting such business), (II) material dispositions (including the termination or discontinuance of activities constituting such business) of business entities or properties or assets, constituting a division or line of business of any business entity, division or line of business that is the subject of any such acquisition or disposition, and/or (III) other operational changes (including, to the extent applicable, from the Transactions or any restructuring), (i) other accruals, payments and expenses (including rationalization, legal, tax, structuring and other costs and expenses) related to non-ordinary course of business acquisitions, investments, dividends, dispositions, consolidations, restructurings, recapitalizations, or issuances or amendments of debt or equity, whether or not consummated, (j) proceeds of business interruption insurance received in cash during such period (or so long as such amount is reasonably expected to be received in a subsequent calculation period and within one year from the date of the underlying loss), to the extent not already included in net income, (k) adjustments relating to purchase price allocation accounting, (l) charges, losses or expenses to the extent indemnified or insured or reimbursed by a third party to the extent such indemnification, insurance or reimbursement is actually received in cash for such period (or reasonably expected to be so paid or reimbursed within 365 days after the end of such period to the extent not accrued), (m) unrealized mark-to-market losses on investments, (n) other non-cash charges, expenses or losses (excluding any such non-cash charge to the extent it represents an accrual or reserve for potential cash charge in any future period or amortization of a prepaid cash charge that was paid in a prior period), and (o) any losses realized from the disposition of property outside the ordinary course of business; provided that the amounts added back pursuant to clauses (e), (f), (g), (h), (i) and (l) shall not exceed an aggregate amount equal to 5% of Consolidated EBITDA of the Seller and its Subsidiaries (calculated before giving effect to any such addbacks and adjustments) for such period,</w:t>
      </w:r>
    </w:p>
    <w:p>
      <w:pPr>
        <w:spacing w:after="0" w:line="200" w:lineRule="exact"/>
        <w:rPr>
          <w:sz w:val="20"/>
          <w:szCs w:val="20"/>
          <w:color w:val="auto"/>
        </w:rPr>
      </w:pP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minus,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to the extent included in determining consolidated net income for such period, the sum of (i) unusual or non-recurring gains and non-cash income, (ii) any other non-cash income or gains increasing consolidated net income for such period (excluding any such non-cash gain to the extent it represents the reversal of an accrual or reserve for potential cash charge in any prior period) and (iii) any gains realized from the disposition of property outside of the ordinary course of business, all as determined on a consolidated basis.</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Interest Expense</w:t>
      </w:r>
      <w:r>
        <w:rPr>
          <w:rFonts w:ascii="Times New Roman" w:cs="Times New Roman" w:eastAsia="Times New Roman" w:hAnsi="Times New Roman"/>
          <w:sz w:val="22"/>
          <w:szCs w:val="22"/>
          <w:color w:val="auto"/>
        </w:rPr>
        <w:t>” means, for any period, total interest expense (including that attributable to capital lease obligations) net of total interest income of the Seller and its Subsidiaries on a consolidated basis determined in accordance with GAAP for such period.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Contract</w:t>
      </w:r>
      <w:r>
        <w:rPr>
          <w:rFonts w:ascii="Times New Roman" w:cs="Times New Roman" w:eastAsia="Times New Roman" w:hAnsi="Times New Roman"/>
          <w:sz w:val="22"/>
          <w:szCs w:val="22"/>
          <w:color w:val="auto"/>
        </w:rPr>
        <w:t>” means any agreement, contract, instrument, arrangement, modification, waiver or understanding.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Convertible Debt</w:t>
      </w:r>
      <w:r>
        <w:rPr>
          <w:rFonts w:ascii="Times New Roman" w:cs="Times New Roman" w:eastAsia="Times New Roman" w:hAnsi="Times New Roman"/>
          <w:sz w:val="22"/>
          <w:szCs w:val="22"/>
          <w:color w:val="auto"/>
        </w:rPr>
        <w:t>” means any Indebtedness that may (or is allowed or required to) be converted into one or more types of equity interests of the Seller or any of its Affiliates.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Counterparty Confidential Information</w:t>
      </w:r>
      <w:r>
        <w:rPr>
          <w:rFonts w:ascii="Times New Roman" w:cs="Times New Roman" w:eastAsia="Times New Roman" w:hAnsi="Times New Roman"/>
          <w:sz w:val="22"/>
          <w:szCs w:val="22"/>
          <w:color w:val="auto"/>
        </w:rPr>
        <w:t>” means, collectively, the UCB Confidential Information and the Incyte Confidential Information.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Cure Payment</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6.10.</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become an Event of Default.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Disclosing Party</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8.1.</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Disclosure Schedule</w:t>
      </w:r>
      <w:r>
        <w:rPr>
          <w:rFonts w:ascii="Times New Roman" w:cs="Times New Roman" w:eastAsia="Times New Roman" w:hAnsi="Times New Roman"/>
          <w:sz w:val="22"/>
          <w:szCs w:val="22"/>
          <w:color w:val="auto"/>
        </w:rPr>
        <w:t>” means the Disclosure Schedule, dated as of the date hereof, delivered to the Buyer by the Seller concurrently with the execution of this Agreement.</w:t>
      </w:r>
    </w:p>
    <w:p>
      <w:pPr>
        <w:spacing w:after="0" w:line="14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Distressed Debt Investor</w:t>
      </w:r>
      <w:r>
        <w:rPr>
          <w:rFonts w:ascii="Times New Roman" w:cs="Times New Roman" w:eastAsia="Times New Roman" w:hAnsi="Times New Roman"/>
          <w:sz w:val="22"/>
          <w:szCs w:val="22"/>
          <w:color w:val="auto"/>
        </w:rPr>
        <w:t>” means any investor or investment fund specializing in distressed debt and a majority of whose investment portfolio at all times consists of distressed debt.</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Distributor</w:t>
      </w:r>
      <w:r>
        <w:rPr>
          <w:rFonts w:ascii="Times New Roman" w:cs="Times New Roman" w:eastAsia="Times New Roman" w:hAnsi="Times New Roman"/>
          <w:sz w:val="22"/>
          <w:szCs w:val="22"/>
          <w:color w:val="auto"/>
        </w:rPr>
        <w:t>” means (a) for so long as the Incyte Agreement remains in effect, any Third Party that (i) has been granted the right to distribute or resell any quantities of Product; and (ii) has not been granted a (sub)license to Develop or Commercialize Product; and (b) thereafter, any Third Party wholesaler or distributor that (i) purchases or has the option to purchase the Product in finished form from or at the direction of the Seller or any of its Affiliates or Licensees, (ii) has the right, option or obligation to distribute, market and sell the Product (with or without packaging rights) in the Territory, and (iii) does not make any royalty, milestone, profit share, or other similar payments to the Seller or its Affiliates or Licensees based on such wholesaler’s or distributor’s sale of the Product. The term “packaging rights” in this definition will mean the right for the such wholesaler or distributor to package or have packaged the Product supplied in unpackaged bulk form into individual ready-for-sale packs.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left="760" w:hanging="365"/>
        <w:spacing w:after="0" w:line="244" w:lineRule="auto"/>
        <w:tabs>
          <w:tab w:leader="none" w:pos="83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UCB Agreement is terminated by UCB or the Seller for any reason if, as a result of such termination, the Seller ceases to have an exclusive license to Exploit the Licensed Antibody in the Territory or Incyte invokes its right to enter into a Direct License (as defined in the UCB Agreement) under Section 11.9 of the UCB Agreement; or</w:t>
      </w:r>
    </w:p>
    <w:p>
      <w:pPr>
        <w:spacing w:after="0" w:line="173" w:lineRule="exact"/>
        <w:rPr>
          <w:rFonts w:ascii="Times New Roman" w:cs="Times New Roman" w:eastAsia="Times New Roman" w:hAnsi="Times New Roman"/>
          <w:sz w:val="22"/>
          <w:szCs w:val="22"/>
          <w:color w:val="auto"/>
        </w:rPr>
      </w:pPr>
    </w:p>
    <w:p>
      <w:pPr>
        <w:jc w:val="both"/>
        <w:ind w:left="760" w:hanging="365"/>
        <w:spacing w:after="0" w:line="244" w:lineRule="auto"/>
        <w:tabs>
          <w:tab w:leader="none" w:pos="83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Seller (A) institutes or consents to the institution of any proceeding under any Debtor Relief Law or makes an assignment for the benefit of creditors, (B) applies for or consents to the appointment of any receiver, trustee, custodian, conservator, liquidator, rehabilitator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0" w:name="page161"/>
    <w:bookmarkEnd w:id="160"/>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or similar officer for it or for all or any material part of its property, or (C) becomes unable or admits in writing its inability or fails generally to pay its debts as they become due; (ii) any receiver, trustee, custodian, conservator, liquidator, rehabilitator or similar officer is appointed without the application or consent of the Seller and the appointment continues undischarged or unstayed for sixty (60) calendar days; (iii) any writ or warrant of attachment or execution or similar process is issued or levied against all or any material part of the property of the Seller and is not released, vacated or fully bonded within sixty (60) calendar days after its issue or levy; or (iv) any proceeding under any Debtor Relief Law relating to the Seller or to all or any material part of its property is instituted without the consent of the Seller and continues undismissed or unstayed for sixty (60) calendar days, or an order for relief is entered in any such proceeding.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Incyte Patent Rights</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4.1(k)(i).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Patent Rights</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4.1(k)(i).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UCB Patent Rights</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4.1(k)(i).</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Exploit</w:t>
      </w:r>
      <w:r>
        <w:rPr>
          <w:rFonts w:ascii="Times New Roman" w:cs="Times New Roman" w:eastAsia="Times New Roman" w:hAnsi="Times New Roman"/>
          <w:sz w:val="22"/>
          <w:szCs w:val="22"/>
          <w:color w:val="auto"/>
        </w:rPr>
        <w:t>” means to research, have researched, develop, have developed, make, have made, manufacture, have manufactured, use, have used, sell, have sold, offer for sale, have offered for sale, Commercialize, have Commercialized, import, have imported, and export and have exported.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FDA Application Integrity Policy</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4.1(g)(ii).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Gross Sales</w:t>
      </w:r>
      <w:r>
        <w:rPr>
          <w:rFonts w:ascii="Times New Roman" w:cs="Times New Roman" w:eastAsia="Times New Roman" w:hAnsi="Times New Roman"/>
          <w:sz w:val="22"/>
          <w:szCs w:val="22"/>
          <w:color w:val="auto"/>
        </w:rPr>
        <w:t>” is defined in the definition of “Net Sales”.</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Improvements</w:t>
      </w:r>
      <w:r>
        <w:rPr>
          <w:rFonts w:ascii="Times New Roman" w:cs="Times New Roman" w:eastAsia="Times New Roman" w:hAnsi="Times New Roman"/>
          <w:sz w:val="22"/>
          <w:szCs w:val="22"/>
          <w:color w:val="auto"/>
        </w:rPr>
        <w:t>” means any improvement, invention or discovery relating to the Product, including the formulation, or the method of manufacture of the Product.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In-License</w:t>
      </w:r>
      <w:r>
        <w:rPr>
          <w:rFonts w:ascii="Times New Roman" w:cs="Times New Roman" w:eastAsia="Times New Roman" w:hAnsi="Times New Roman"/>
          <w:sz w:val="21"/>
          <w:szCs w:val="21"/>
          <w:color w:val="auto"/>
        </w:rPr>
        <w:t>” means any license, settlement agreement or other agreement or arrangement between the Seller or any of its Affiliates and any Third Party pursuant to which the Seller or any of its Affiliates obtains a license or a covenant not to sue or similar grant of rights to any Patents or other intellectual property rights of such Third Party that is necessary for the research,</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spacing w:after="0" w:line="264" w:lineRule="auto"/>
        <w:rPr>
          <w:sz w:val="20"/>
          <w:szCs w:val="20"/>
          <w:color w:val="auto"/>
        </w:rPr>
      </w:pPr>
      <w:r>
        <w:rPr>
          <w:rFonts w:ascii="Times New Roman" w:cs="Times New Roman" w:eastAsia="Times New Roman" w:hAnsi="Times New Roman"/>
          <w:sz w:val="22"/>
          <w:szCs w:val="22"/>
          <w:color w:val="auto"/>
        </w:rPr>
        <w:t>development, manufacture, use or Commercialization of the Licensed Antibody or the Product in the Territory. For clarity, “</w:t>
      </w:r>
      <w:r>
        <w:rPr>
          <w:rFonts w:ascii="Times New Roman" w:cs="Times New Roman" w:eastAsia="Times New Roman" w:hAnsi="Times New Roman"/>
          <w:sz w:val="22"/>
          <w:szCs w:val="22"/>
          <w:b w:val="1"/>
          <w:bCs w:val="1"/>
          <w:i w:val="1"/>
          <w:iCs w:val="1"/>
          <w:color w:val="auto"/>
        </w:rPr>
        <w:t>In-License</w:t>
      </w:r>
      <w:r>
        <w:rPr>
          <w:rFonts w:ascii="Times New Roman" w:cs="Times New Roman" w:eastAsia="Times New Roman" w:hAnsi="Times New Roman"/>
          <w:sz w:val="22"/>
          <w:szCs w:val="22"/>
          <w:color w:val="auto"/>
        </w:rPr>
        <w:t>” includes the UCB Agreement.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Incyte</w:t>
      </w:r>
      <w:r>
        <w:rPr>
          <w:rFonts w:ascii="Times New Roman" w:cs="Times New Roman" w:eastAsia="Times New Roman" w:hAnsi="Times New Roman"/>
          <w:sz w:val="22"/>
          <w:szCs w:val="22"/>
          <w:color w:val="auto"/>
        </w:rPr>
        <w:t>” means Incyte Corporation, a Delaware corporation.</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Incyte Agreement</w:t>
      </w:r>
      <w:r>
        <w:rPr>
          <w:rFonts w:ascii="Times New Roman" w:cs="Times New Roman" w:eastAsia="Times New Roman" w:hAnsi="Times New Roman"/>
          <w:sz w:val="22"/>
          <w:szCs w:val="22"/>
          <w:color w:val="auto"/>
        </w:rPr>
        <w:t>” means that certain Collaboration and License Agreement between the Seller and Incyte, dated September 24, 2021, as it may be amended, restated, amended and restated, supplemented or otherwise modified from time to time.</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Incyte Confidential Information</w:t>
      </w:r>
      <w:r>
        <w:rPr>
          <w:rFonts w:ascii="Times New Roman" w:cs="Times New Roman" w:eastAsia="Times New Roman" w:hAnsi="Times New Roman"/>
          <w:sz w:val="22"/>
          <w:szCs w:val="22"/>
          <w:color w:val="auto"/>
        </w:rPr>
        <w:t>” means, collectively, (i) the terms and conditions of the Incyte Agreement, (ii) any and all Confidential Information (as defined in the Incyte Agreement) disclosed by or on behalf of Incyte under the Incyte Agreement or any other agreement between Incyte and the Seller, and (iii) any and all other information that is otherwise disclosed by or on behalf of Incyte to the Seller or the Buyer on a confidential basis.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Incyte Foreground Patents</w:t>
      </w:r>
      <w:r>
        <w:rPr>
          <w:rFonts w:ascii="Times New Roman" w:cs="Times New Roman" w:eastAsia="Times New Roman" w:hAnsi="Times New Roman"/>
          <w:sz w:val="22"/>
          <w:szCs w:val="22"/>
          <w:color w:val="auto"/>
        </w:rPr>
        <w:t>” has the meaning ascribed to such term in Section 1.90 of the Incyte Agreement.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of any Person means any indebtedness for borrowed money, any obligation evidenced by a note, bond, debenture or similar instrument, or any guarantee of any of the foregoing; provided that for the avoidance of doubt, Indebtedness shall not include purchase money obligations, capital lease obligations or cash collateralized letters of credit.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Indemnified Party</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7.2.</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 Product Rights</w:t>
      </w:r>
      <w:r>
        <w:rPr>
          <w:rFonts w:ascii="Times New Roman" w:cs="Times New Roman" w:eastAsia="Times New Roman" w:hAnsi="Times New Roman"/>
          <w:sz w:val="22"/>
          <w:szCs w:val="22"/>
          <w:color w:val="auto"/>
        </w:rPr>
        <w:t>” means any and all of the following as they exist in the Territory at any time: (a) the Intellectual Property Rights, (b) rights in registered and unregistered trademarks, service marks, trade names, trade dress, logos, packaging design, slogans and Internet domain names, and registrations and applications for registration of any of the foregoing, in each case, with respect to the Licensed Antibody and the Product, and (c) any and all other intellectual property rights and/or proprietary rights, whether or not patentable, in each case, necessary for the research, development, manufacture, use, or Commercialization of the Licensed Antibody or the Product, including (i) income, fees, royalties, damages, claims and payments now or hereafter due and/or payable thereunder and with respect thereto including damages and payments for past, present or future infringements or misappropriations thereof, (ii) rights corresponding thereto, and (iii) rights to sue for past, present or future infringements or misappropriations thereof.</w:t>
      </w:r>
    </w:p>
    <w:p>
      <w:pPr>
        <w:spacing w:after="0" w:line="17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 Rights</w:t>
      </w:r>
      <w:r>
        <w:rPr>
          <w:rFonts w:ascii="Times New Roman" w:cs="Times New Roman" w:eastAsia="Times New Roman" w:hAnsi="Times New Roman"/>
          <w:sz w:val="22"/>
          <w:szCs w:val="22"/>
          <w:color w:val="auto"/>
        </w:rPr>
        <w:t>” means any and all of the following as they exist in the Territory at any time: (a) the Patent Rights and (b) the Know-How Rights.</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 Updates</w:t>
      </w:r>
      <w:r>
        <w:rPr>
          <w:rFonts w:ascii="Times New Roman" w:cs="Times New Roman" w:eastAsia="Times New Roman" w:hAnsi="Times New Roman"/>
          <w:sz w:val="22"/>
          <w:szCs w:val="22"/>
          <w:color w:val="auto"/>
        </w:rPr>
        <w:t>” means an updated list of the Patent Rights, including any new Patents issued or filed, amended or supplemented, relating to the Licensed Antibody or the Product in the Territory or any abandonments or other termination of prosecution with respect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any of the Patent Rights, and any other material information or developments with respect to the Intellectual Property Rights.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Foreground Patents</w:t>
      </w:r>
      <w:r>
        <w:rPr>
          <w:rFonts w:ascii="Times New Roman" w:cs="Times New Roman" w:eastAsia="Times New Roman" w:hAnsi="Times New Roman"/>
          <w:sz w:val="22"/>
          <w:szCs w:val="22"/>
          <w:color w:val="auto"/>
        </w:rPr>
        <w:t>” has the meaning ascribed to such term in Section 1.110 of the Incyte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Know-How</w:t>
      </w:r>
      <w:r>
        <w:rPr>
          <w:rFonts w:ascii="Times New Roman" w:cs="Times New Roman" w:eastAsia="Times New Roman" w:hAnsi="Times New Roman"/>
          <w:sz w:val="22"/>
          <w:szCs w:val="22"/>
          <w:color w:val="auto"/>
        </w:rPr>
        <w:t>”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Know-How Rights</w:t>
      </w:r>
      <w:r>
        <w:rPr>
          <w:rFonts w:ascii="Times New Roman" w:cs="Times New Roman" w:eastAsia="Times New Roman" w:hAnsi="Times New Roman"/>
          <w:sz w:val="22"/>
          <w:szCs w:val="22"/>
          <w:color w:val="auto"/>
        </w:rPr>
        <w:t>” means any and all Know-How owned or in-licensed by the Seller or any of its Affiliates or under which the Seller or any of its Affiliates is or may become empowered to grant licenses necessary for the research, development, manufacture, use, or Commercialization of the Licensed Antibody or the Product in the Territory.</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Knowledge of the Seller</w:t>
      </w:r>
      <w:r>
        <w:rPr>
          <w:rFonts w:ascii="Times New Roman" w:cs="Times New Roman" w:eastAsia="Times New Roman" w:hAnsi="Times New Roman"/>
          <w:sz w:val="22"/>
          <w:szCs w:val="22"/>
          <w:color w:val="auto"/>
        </w:rPr>
        <w:t>” means the actual knowledge of the individuals listed on Schedule 1.1(a) of the Disclosure Schedule and their successors, after reasonable due inquiry.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License Agreement Correspondence</w:t>
      </w:r>
      <w:r>
        <w:rPr>
          <w:rFonts w:ascii="Times New Roman" w:cs="Times New Roman" w:eastAsia="Times New Roman" w:hAnsi="Times New Roman"/>
          <w:sz w:val="22"/>
          <w:szCs w:val="22"/>
          <w:color w:val="auto"/>
        </w:rPr>
        <w:t>” means copies of all the following, in each case with respect to the Territory:</w:t>
      </w:r>
    </w:p>
    <w:p>
      <w:pPr>
        <w:spacing w:after="0" w:line="212" w:lineRule="exact"/>
        <w:rPr>
          <w:sz w:val="20"/>
          <w:szCs w:val="20"/>
          <w:color w:val="auto"/>
        </w:rPr>
      </w:pPr>
    </w:p>
    <w:p>
      <w:pPr>
        <w:ind w:left="820" w:hanging="425"/>
        <w:spacing w:after="0"/>
        <w:tabs>
          <w:tab w:leader="none" w:pos="8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reports provided under Section 7.4(a), 7.4(b), 7.6(b), 7.6(c), and 8.3(e) of the Incyte Agreement;</w:t>
      </w:r>
    </w:p>
    <w:p>
      <w:pPr>
        <w:spacing w:after="0" w:line="206" w:lineRule="exact"/>
        <w:rPr>
          <w:rFonts w:ascii="Times New Roman" w:cs="Times New Roman" w:eastAsia="Times New Roman" w:hAnsi="Times New Roman"/>
          <w:sz w:val="22"/>
          <w:szCs w:val="22"/>
          <w:color w:val="auto"/>
        </w:rPr>
      </w:pPr>
    </w:p>
    <w:p>
      <w:pPr>
        <w:ind w:left="760" w:right="60" w:hanging="365"/>
        <w:spacing w:after="0" w:line="258" w:lineRule="auto"/>
        <w:tabs>
          <w:tab w:leader="none" w:pos="83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sublicenses granted by Incyte in the Territory and received by the Seller pursuant to Section 2.4 of the Incyte Agreement;</w:t>
      </w:r>
    </w:p>
    <w:p>
      <w:pPr>
        <w:spacing w:after="0" w:line="158" w:lineRule="exact"/>
        <w:rPr>
          <w:rFonts w:ascii="Times New Roman" w:cs="Times New Roman" w:eastAsia="Times New Roman" w:hAnsi="Times New Roman"/>
          <w:sz w:val="22"/>
          <w:szCs w:val="22"/>
          <w:color w:val="auto"/>
        </w:rPr>
      </w:pPr>
    </w:p>
    <w:p>
      <w:pPr>
        <w:ind w:left="760" w:right="60" w:hanging="365"/>
        <w:spacing w:after="0" w:line="258" w:lineRule="auto"/>
        <w:tabs>
          <w:tab w:leader="none" w:pos="83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between the Seller and Incyte (or their Affiliates) relating to the Incyte Agreement, including any development, manufacturing, services, or pharmacovigilance agreements;</w:t>
      </w:r>
    </w:p>
    <w:p>
      <w:pPr>
        <w:spacing w:after="0" w:line="158" w:lineRule="exact"/>
        <w:rPr>
          <w:rFonts w:ascii="Times New Roman" w:cs="Times New Roman" w:eastAsia="Times New Roman" w:hAnsi="Times New Roman"/>
          <w:sz w:val="22"/>
          <w:szCs w:val="22"/>
          <w:color w:val="auto"/>
        </w:rPr>
      </w:pPr>
    </w:p>
    <w:p>
      <w:pPr>
        <w:ind w:left="760" w:right="40" w:hanging="365"/>
        <w:spacing w:after="0" w:line="258" w:lineRule="auto"/>
        <w:tabs>
          <w:tab w:leader="none" w:pos="83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Development Plans, Co-Commercialization Plans, Co-Commercialization Budgets, Syndax Annual Development Reports, or Incyte Annual Development Reports (each as defined in the Incyte Agreement);</w:t>
      </w:r>
    </w:p>
    <w:p>
      <w:pPr>
        <w:spacing w:after="0" w:line="158"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reports provided under Section 2.2(c), 3.4, 3.6, 3.8(c), or 3.11 of the Incyte Agreement;</w:t>
      </w:r>
    </w:p>
    <w:p>
      <w:pPr>
        <w:spacing w:after="0" w:line="206" w:lineRule="exact"/>
        <w:rPr>
          <w:rFonts w:ascii="Times New Roman" w:cs="Times New Roman" w:eastAsia="Times New Roman" w:hAnsi="Times New Roman"/>
          <w:sz w:val="22"/>
          <w:szCs w:val="22"/>
          <w:color w:val="auto"/>
        </w:rPr>
      </w:pPr>
    </w:p>
    <w:p>
      <w:pPr>
        <w:ind w:left="760" w:right="20" w:hanging="365"/>
        <w:spacing w:after="0" w:line="258" w:lineRule="auto"/>
        <w:tabs>
          <w:tab w:leader="none" w:pos="83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of, and other reports and materials distributed at, the meetings of the JSC, JDC, JCC, JMC, Finance Working Group (each as defined in the Incyte Agreement) and any other subcommittee or working group;</w:t>
      </w:r>
    </w:p>
    <w:p>
      <w:pPr>
        <w:spacing w:after="0" w:line="158" w:lineRule="exact"/>
        <w:rPr>
          <w:rFonts w:ascii="Times New Roman" w:cs="Times New Roman" w:eastAsia="Times New Roman" w:hAnsi="Times New Roman"/>
          <w:sz w:val="22"/>
          <w:szCs w:val="22"/>
          <w:color w:val="auto"/>
        </w:rPr>
      </w:pPr>
    </w:p>
    <w:p>
      <w:pPr>
        <w:ind w:left="760" w:hanging="365"/>
        <w:spacing w:after="0" w:line="258" w:lineRule="auto"/>
        <w:tabs>
          <w:tab w:leader="none" w:pos="83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SAE, Suspected Unexpected Serious Adverse Reaction (each as defined in the Incyte Agreement), and other safety requirements or other information, in each case provided under Section 4.5(b) of the Incyte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ind w:left="760" w:right="40" w:hanging="365"/>
        <w:spacing w:after="0" w:line="258" w:lineRule="auto"/>
        <w:tabs>
          <w:tab w:leader="none" w:pos="8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records or reports provided under Section 7.4(c), 7.6(d) or 8.4 (with respect to the Territory) of the Incyte Agreement;</w:t>
      </w:r>
    </w:p>
    <w:p>
      <w:pPr>
        <w:spacing w:after="0" w:line="158"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patent prosecution updates provided under Section 11.2 of the Incyte Agreement;</w:t>
      </w:r>
    </w:p>
    <w:p>
      <w:pPr>
        <w:spacing w:after="0" w:line="206"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 infringement notices provided under Section 11.7(a) of the Incyte Agreement;</w:t>
      </w:r>
    </w:p>
    <w:p>
      <w:pPr>
        <w:spacing w:after="0" w:line="206"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 enforcement or defense updates provided under Section 11.8 of the Incyte Agreement;</w:t>
      </w:r>
    </w:p>
    <w:p>
      <w:pPr>
        <w:spacing w:after="0" w:line="206"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updates regarding Third Party infringement claims provided under Section 11.10 of the Incyte Agreement; and</w:t>
      </w:r>
    </w:p>
    <w:p>
      <w:pPr>
        <w:spacing w:after="0" w:line="206" w:lineRule="exact"/>
        <w:rPr>
          <w:rFonts w:ascii="Times New Roman" w:cs="Times New Roman" w:eastAsia="Times New Roman" w:hAnsi="Times New Roman"/>
          <w:sz w:val="22"/>
          <w:szCs w:val="22"/>
          <w:color w:val="auto"/>
        </w:rPr>
      </w:pPr>
    </w:p>
    <w:p>
      <w:pPr>
        <w:jc w:val="both"/>
        <w:ind w:left="760" w:hanging="365"/>
        <w:spacing w:after="0" w:line="244" w:lineRule="auto"/>
        <w:tabs>
          <w:tab w:leader="none" w:pos="8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material communications between Incyte and the Seller relating to the Incyte Agreement, Net Sales, the Patent Rights, or the Product that would reasonably be expected (individually or in the aggregate) to have a Material Adverse Effect.</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Licensed Antibody</w:t>
      </w:r>
      <w:r>
        <w:rPr>
          <w:rFonts w:ascii="Times New Roman" w:cs="Times New Roman" w:eastAsia="Times New Roman" w:hAnsi="Times New Roman"/>
          <w:sz w:val="22"/>
          <w:szCs w:val="22"/>
          <w:color w:val="auto"/>
        </w:rPr>
        <w:t>” means (a) the humanized monoclonal Antibody designated as “SNDX-6352” or “axatilimab” or “UCB-6352” the amino acid sequence of which is described in Schedule 1.1(b) to the Disclosure Schedule, (b) all derivatives of axatilimab (including any multi-specific constructs that include axatilimab or portions thereof) owned, in-licensed, or controlled by the Seller that bind to, or inhibit, CSF-1R, and (c) any other monospecific Antibodies owned, in-licensed, or controlled by the Seller that bind to, or inhibit, CSF-1R. “</w:t>
      </w:r>
      <w:r>
        <w:rPr>
          <w:rFonts w:ascii="Times New Roman" w:cs="Times New Roman" w:eastAsia="Times New Roman" w:hAnsi="Times New Roman"/>
          <w:sz w:val="22"/>
          <w:szCs w:val="22"/>
          <w:b w:val="1"/>
          <w:bCs w:val="1"/>
          <w:i w:val="1"/>
          <w:iCs w:val="1"/>
          <w:color w:val="auto"/>
        </w:rPr>
        <w:t>Licensed Antibody</w:t>
      </w:r>
      <w:r>
        <w:rPr>
          <w:rFonts w:ascii="Times New Roman" w:cs="Times New Roman" w:eastAsia="Times New Roman" w:hAnsi="Times New Roman"/>
          <w:sz w:val="22"/>
          <w:szCs w:val="22"/>
          <w:color w:val="auto"/>
        </w:rPr>
        <w:t>” excludes the AB 535 Antibody, the SNDX-ms6352 Antibody and any small molecule modulators of CSF-1R.</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Licensee</w:t>
      </w:r>
      <w:r>
        <w:rPr>
          <w:rFonts w:ascii="Times New Roman" w:cs="Times New Roman" w:eastAsia="Times New Roman" w:hAnsi="Times New Roman"/>
          <w:sz w:val="22"/>
          <w:szCs w:val="22"/>
          <w:color w:val="auto"/>
        </w:rPr>
        <w:t>” means (a) the Commercialization Partner and (b) with respect to the Product, a Third Party to whom the Seller or any Affiliate or Commercialization Partner of the Seller or any Affiliate of Commercialization Partner has granted a license or sublicense to Commercialize the Product, specifically excluding Distributors, contract manufacturing organizations (provided they are solely engaged in manufacturing) and other non-sales force service contractors.</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any mortgage, lien, pledge, participation interest, charge, adverse claim, security interest, encumbrance or restriction of any kind, including any restriction on use, transfer or exercise of any other attribute of ownership of any kind, in each case to secure payment of a debt or performance of an obligation; provided that no license shall constitute a Lien.</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Marketing Approval</w:t>
      </w:r>
      <w:r>
        <w:rPr>
          <w:rFonts w:ascii="Times New Roman" w:cs="Times New Roman" w:eastAsia="Times New Roman" w:hAnsi="Times New Roman"/>
          <w:sz w:val="22"/>
          <w:szCs w:val="22"/>
          <w:color w:val="auto"/>
        </w:rPr>
        <w:t>” means approval of a BLA by the FDA.</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means (a) a material adverse effect on (i) the development, manufacture, or Commercialization of the Licensed Antibody or the Product in the Territory, (ii) any of the Intellectual Property Rights (including the Seller’s rights in or to any such Intellectual Property Rights) or Marketing Approvals related to the development, manufacture, or Commercialization of the Licensed Antibody or the Product in the Territory, (iii) the ability of the Seller to perform any of its obligations under this Agreement, (iv) the rights or remedies of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spacing w:after="0" w:line="239" w:lineRule="auto"/>
        <w:rPr>
          <w:sz w:val="20"/>
          <w:szCs w:val="20"/>
          <w:color w:val="auto"/>
        </w:rPr>
      </w:pPr>
      <w:r>
        <w:rPr>
          <w:rFonts w:ascii="Times New Roman" w:cs="Times New Roman" w:eastAsia="Times New Roman" w:hAnsi="Times New Roman"/>
          <w:sz w:val="22"/>
          <w:szCs w:val="22"/>
          <w:color w:val="auto"/>
        </w:rPr>
        <w:t>Buyer under this Agreement, (v) the legality, validity or enforceability of any provision of this Agreement, (vi) the business of the Seller or its Affiliates related to the Product, or (vii) Commercial Launch occurring by [***]; or (b) an adverse effect in any material respect on (i) the Revenue Participation Right, the Product Collateral or the Back-Up Security Interest, or (ii) the timing, duration or amount of the Royalty Payments.</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Sales</w:t>
      </w:r>
      <w:r>
        <w:rPr>
          <w:rFonts w:ascii="Times New Roman" w:cs="Times New Roman" w:eastAsia="Times New Roman" w:hAnsi="Times New Roman"/>
          <w:sz w:val="22"/>
          <w:szCs w:val="22"/>
          <w:color w:val="auto"/>
        </w:rPr>
        <w:t>” means the gross amount invoiced by the Seller or its Affiliates or any Licensees (including any Commercialization Partner) for the sale of Product in the Territory (“</w:t>
      </w:r>
      <w:r>
        <w:rPr>
          <w:rFonts w:ascii="Times New Roman" w:cs="Times New Roman" w:eastAsia="Times New Roman" w:hAnsi="Times New Roman"/>
          <w:sz w:val="22"/>
          <w:szCs w:val="22"/>
          <w:b w:val="1"/>
          <w:bCs w:val="1"/>
          <w:i w:val="1"/>
          <w:iCs w:val="1"/>
          <w:color w:val="auto"/>
        </w:rPr>
        <w:t>Gross Sales</w:t>
      </w:r>
      <w:r>
        <w:rPr>
          <w:rFonts w:ascii="Times New Roman" w:cs="Times New Roman" w:eastAsia="Times New Roman" w:hAnsi="Times New Roman"/>
          <w:sz w:val="22"/>
          <w:szCs w:val="22"/>
          <w:color w:val="auto"/>
        </w:rPr>
        <w:t>”), less any of the following applicable deductions related to such sale:</w:t>
      </w:r>
    </w:p>
    <w:p>
      <w:pPr>
        <w:spacing w:after="0" w:line="170" w:lineRule="exact"/>
        <w:rPr>
          <w:sz w:val="20"/>
          <w:szCs w:val="20"/>
          <w:color w:val="auto"/>
        </w:rPr>
      </w:pPr>
    </w:p>
    <w:p>
      <w:pPr>
        <w:jc w:val="both"/>
        <w:ind w:left="760" w:hanging="365"/>
        <w:spacing w:after="0" w:line="239" w:lineRule="auto"/>
        <w:tabs>
          <w:tab w:leader="none" w:pos="83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customary trade discounts (including volume discounts), reserves for doubtful accounts receivable, credits, chargebacks, reductions, and rebates (paid to managed care organizations, government agencies and trade customers, including wholesalers and chain and pharmacy buying groups), and allowances and adjustments for rejections, recalls, and outdated products, in each case whether voluntary or required;</w:t>
      </w:r>
    </w:p>
    <w:p>
      <w:pPr>
        <w:spacing w:after="0" w:line="180" w:lineRule="exact"/>
        <w:rPr>
          <w:rFonts w:ascii="Times New Roman" w:cs="Times New Roman" w:eastAsia="Times New Roman" w:hAnsi="Times New Roman"/>
          <w:sz w:val="22"/>
          <w:szCs w:val="22"/>
          <w:color w:val="auto"/>
        </w:rPr>
      </w:pPr>
    </w:p>
    <w:p>
      <w:pPr>
        <w:ind w:left="760" w:hanging="365"/>
        <w:spacing w:after="0" w:line="258" w:lineRule="auto"/>
        <w:tabs>
          <w:tab w:leader="none" w:pos="83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freight, shipping, insurance, sales, use, excise, value-added and similar customs, taxes, tariffs or duties imposed on such sale;</w:t>
      </w:r>
    </w:p>
    <w:p>
      <w:pPr>
        <w:spacing w:after="0" w:line="158" w:lineRule="exact"/>
        <w:rPr>
          <w:rFonts w:ascii="Times New Roman" w:cs="Times New Roman" w:eastAsia="Times New Roman" w:hAnsi="Times New Roman"/>
          <w:sz w:val="22"/>
          <w:szCs w:val="22"/>
          <w:color w:val="auto"/>
        </w:rPr>
      </w:pPr>
    </w:p>
    <w:p>
      <w:pPr>
        <w:jc w:val="both"/>
        <w:ind w:left="760" w:hanging="365"/>
        <w:spacing w:after="0" w:line="244" w:lineRule="auto"/>
        <w:tabs>
          <w:tab w:leader="none" w:pos="83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credits actually given or allowances actually made for wastage replacement, and Medicare/Medicaid rebates or similar rebates to payers in other countries, to the extent actually deducted from the gross amount invoiced and either not required to be paid by, or refunded to, the customer or other payer;</w:t>
      </w:r>
    </w:p>
    <w:p>
      <w:pPr>
        <w:spacing w:after="0" w:line="173" w:lineRule="exact"/>
        <w:rPr>
          <w:rFonts w:ascii="Times New Roman" w:cs="Times New Roman" w:eastAsia="Times New Roman" w:hAnsi="Times New Roman"/>
          <w:sz w:val="22"/>
          <w:szCs w:val="22"/>
          <w:color w:val="auto"/>
        </w:rPr>
      </w:pPr>
    </w:p>
    <w:p>
      <w:pPr>
        <w:ind w:left="760" w:right="20" w:hanging="365"/>
        <w:spacing w:after="0" w:line="258" w:lineRule="auto"/>
        <w:tabs>
          <w:tab w:leader="none" w:pos="83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repaid by reason of rejections, defects or returns or because of retroactive price reductions or due to recalls or laws requiring rebates;</w:t>
      </w:r>
    </w:p>
    <w:p>
      <w:pPr>
        <w:spacing w:after="0" w:line="158"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discounts pursuant to indigent patient programs and patient discount programs of any nature; and</w:t>
      </w:r>
    </w:p>
    <w:p>
      <w:pPr>
        <w:spacing w:after="0" w:line="206" w:lineRule="exact"/>
        <w:rPr>
          <w:rFonts w:ascii="Times New Roman" w:cs="Times New Roman" w:eastAsia="Times New Roman" w:hAnsi="Times New Roman"/>
          <w:sz w:val="22"/>
          <w:szCs w:val="22"/>
          <w:color w:val="auto"/>
        </w:rPr>
      </w:pPr>
    </w:p>
    <w:p>
      <w:pPr>
        <w:ind w:left="760" w:right="60" w:hanging="365"/>
        <w:spacing w:after="0" w:line="258" w:lineRule="auto"/>
        <w:tabs>
          <w:tab w:leader="none" w:pos="83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and customary deductions in the pharmaceutical industry which are in accordance with GAAP and consistently applied across the selling party’s products.</w:t>
      </w:r>
    </w:p>
    <w:p>
      <w:pPr>
        <w:spacing w:after="0" w:line="15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In the event that there is overlap among any of those deductions (‎a)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(f), each individual item shall only be deducted once in each Net Sales calculation.</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the Product is sold as part of a Combination Product, Net Sales of the Product, for the purpose of determining royalty payments, shall be determined by multiplying Net Sales (as defined above) of the Combination Product by the fraction A/(A+B), where A is the public or list price in such country of the Product sold separately in the same formulation and dosage, and B is the (sum of the) public or list price(s) in such country of the Other Component(s) sold separately in the same formulation and dosage, during the applicable calendar year. If the individual prices for the Product or the Other Component(s) in a Combination Product or both are not available, then the Net Sales of the Product in a Combination Product shall be determined by the Seller’s (or its Affiliate’s or Licensee’s, as applicable) good faith estimate of the relative contribution of such Product and each such Other Component(s) in such Combination Product and shall take into account in good faith any applicable allocations and calculations that may have been made for the same period in other countries.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Net Sales will not include sales between or among the Seller and its Affiliates and/or Licensees, or between or among any Commercialization Partner and its Affiliates and/or Licensees; provided that any resale to Third Parties shall be included in Net Sales. Net Sales excludes any upfront or milestone payments.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Net Sales amounts shall be accounted for by the Seller or its Affiliates or Licensees in accordance with GAAP consistently applied and standard practices in the relevant country in the Territory.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Niktimvo</w:t>
      </w:r>
      <w:r>
        <w:rPr>
          <w:rFonts w:ascii="Times New Roman" w:cs="Times New Roman" w:eastAsia="Times New Roman" w:hAnsi="Times New Roman"/>
          <w:sz w:val="22"/>
          <w:szCs w:val="22"/>
          <w:color w:val="auto"/>
        </w:rPr>
        <w:t>” means the product described in BLA# 761411.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Non-Disclosure Agreement</w:t>
      </w:r>
      <w:r>
        <w:rPr>
          <w:rFonts w:ascii="Times New Roman" w:cs="Times New Roman" w:eastAsia="Times New Roman" w:hAnsi="Times New Roman"/>
          <w:sz w:val="22"/>
          <w:szCs w:val="22"/>
          <w:color w:val="auto"/>
        </w:rPr>
        <w:t>” is defined in Section‎ 11.6.</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means all liabilities, obligations, covenants and duties of the Seller arising under this Agreement or any other Transaction Document with respect to the payment of the Royalty Payments until the Royalty Termination Date, and the obligations of the Seller to pay any interest accrued on any unpaid Royalty Payments and reimburse or indemnify the Buyer Indemnified Parties for any Losses incurred by the Buyer Indemnified Parties in connection with the enforcement of its rights under this Agreement.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Component</w:t>
      </w:r>
      <w:r>
        <w:rPr>
          <w:rFonts w:ascii="Times New Roman" w:cs="Times New Roman" w:eastAsia="Times New Roman" w:hAnsi="Times New Roman"/>
          <w:sz w:val="22"/>
          <w:szCs w:val="22"/>
          <w:color w:val="auto"/>
        </w:rPr>
        <w:t>” is defined in the definition of “Combination Products”.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Out-License</w:t>
      </w:r>
      <w:r>
        <w:rPr>
          <w:rFonts w:ascii="Times New Roman" w:cs="Times New Roman" w:eastAsia="Times New Roman" w:hAnsi="Times New Roman"/>
          <w:sz w:val="22"/>
          <w:szCs w:val="22"/>
          <w:color w:val="auto"/>
        </w:rPr>
        <w:t>” means each license or other agreement between the Seller or any of its Affiliates and any Third Party (other than Distributors) pursuant to which the Seller or any of its Affiliates grants a license or sublicense of any Intellectual Property Right to market, detail, promote, sell, distribute or secure reimbursement of the Licensed Antibody or the Product in the Territory. For clarity, “</w:t>
      </w:r>
      <w:r>
        <w:rPr>
          <w:rFonts w:ascii="Times New Roman" w:cs="Times New Roman" w:eastAsia="Times New Roman" w:hAnsi="Times New Roman"/>
          <w:sz w:val="22"/>
          <w:szCs w:val="22"/>
          <w:b w:val="1"/>
          <w:bCs w:val="1"/>
          <w:i w:val="1"/>
          <w:iCs w:val="1"/>
          <w:color w:val="auto"/>
        </w:rPr>
        <w:t>Out-License</w:t>
      </w:r>
      <w:r>
        <w:rPr>
          <w:rFonts w:ascii="Times New Roman" w:cs="Times New Roman" w:eastAsia="Times New Roman" w:hAnsi="Times New Roman"/>
          <w:sz w:val="22"/>
          <w:szCs w:val="22"/>
          <w:color w:val="auto"/>
        </w:rPr>
        <w:t>” includes the Incyte Agreement.</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Patent Rights</w:t>
      </w:r>
      <w:r>
        <w:rPr>
          <w:rFonts w:ascii="Times New Roman" w:cs="Times New Roman" w:eastAsia="Times New Roman" w:hAnsi="Times New Roman"/>
          <w:sz w:val="22"/>
          <w:szCs w:val="22"/>
          <w:color w:val="auto"/>
        </w:rPr>
        <w:t>” means any and all U.S. Patents owned or in-licensed by the Seller or any of its Affiliates or under which the Seller or any of its Affiliates is or may become empowered to grant licenses necessary or reasonably useful in the research, development, manufacture, use, or Commercialization of the Licensed Antibody or the Product, as well as existing or future U.S. Patents covering any Improvements. For clarity, “</w:t>
      </w:r>
      <w:r>
        <w:rPr>
          <w:rFonts w:ascii="Times New Roman" w:cs="Times New Roman" w:eastAsia="Times New Roman" w:hAnsi="Times New Roman"/>
          <w:sz w:val="22"/>
          <w:szCs w:val="22"/>
          <w:b w:val="1"/>
          <w:bCs w:val="1"/>
          <w:i w:val="1"/>
          <w:iCs w:val="1"/>
          <w:color w:val="auto"/>
        </w:rPr>
        <w:t>Patent Rights</w:t>
      </w:r>
      <w:r>
        <w:rPr>
          <w:rFonts w:ascii="Times New Roman" w:cs="Times New Roman" w:eastAsia="Times New Roman" w:hAnsi="Times New Roman"/>
          <w:sz w:val="22"/>
          <w:szCs w:val="22"/>
          <w:color w:val="auto"/>
        </w:rPr>
        <w:t>” includes the Incyte Foreground Patents and the Joint Foreground Patents.</w:t>
      </w:r>
    </w:p>
    <w:p>
      <w:pPr>
        <w:spacing w:after="0" w:line="17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Patents</w:t>
      </w:r>
      <w:r>
        <w:rPr>
          <w:rFonts w:ascii="Times New Roman" w:cs="Times New Roman" w:eastAsia="Times New Roman" w:hAnsi="Times New Roman"/>
          <w:sz w:val="22"/>
          <w:szCs w:val="22"/>
          <w:color w:val="auto"/>
        </w:rPr>
        <w:t>” means any and all patents and patent applications,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4.1(g)(vi).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Assignment Provisions</w:t>
      </w:r>
      <w:r>
        <w:rPr>
          <w:rFonts w:ascii="Times New Roman" w:cs="Times New Roman" w:eastAsia="Times New Roman" w:hAnsi="Times New Roman"/>
          <w:sz w:val="22"/>
          <w:szCs w:val="22"/>
          <w:color w:val="auto"/>
        </w:rPr>
        <w:t>” is defined in Section‎ 11.4.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Convertible Debt</w:t>
      </w:r>
      <w:r>
        <w:rPr>
          <w:rFonts w:ascii="Times New Roman" w:cs="Times New Roman" w:eastAsia="Times New Roman" w:hAnsi="Times New Roman"/>
          <w:sz w:val="22"/>
          <w:szCs w:val="22"/>
          <w:color w:val="auto"/>
        </w:rPr>
        <w:t>” means Indebtedness in the form of convertible notes issued after the Closing Date having a feature which entitles the holder thereof to convert or exchange all or a portion of such Indebtedness into common stock (or other securities or property following a merger event or other change of the common stock) of the Seller (or any direct or indirect parent Person thereof), cash or any combination of cash and common stock (or such other securities or property) based on the market price of common stock (or such other securities or property); provided, that such Indebtedness (i) shall not be issued in an aggregate principal amount in excess of the greater of (A) [***]% of the market capitalization of the Seller (in the case of an underwritten transaction, determined as of the date of pricing for such transaction, and otherwise, determined at the time of issuance) and (B) the then-outstanding principal amount of Permitted Convertible Debt previously issued in compliance with this Agreement (such an issuance a “</w:t>
      </w:r>
      <w:r>
        <w:rPr>
          <w:rFonts w:ascii="Times New Roman" w:cs="Times New Roman" w:eastAsia="Times New Roman" w:hAnsi="Times New Roman"/>
          <w:sz w:val="22"/>
          <w:szCs w:val="22"/>
          <w:b w:val="1"/>
          <w:bCs w:val="1"/>
          <w:i w:val="1"/>
          <w:iCs w:val="1"/>
          <w:color w:val="auto"/>
        </w:rPr>
        <w:t>Refinancing Transaction</w:t>
      </w:r>
      <w:r>
        <w:rPr>
          <w:rFonts w:ascii="Times New Roman" w:cs="Times New Roman" w:eastAsia="Times New Roman" w:hAnsi="Times New Roman"/>
          <w:sz w:val="22"/>
          <w:szCs w:val="22"/>
          <w:color w:val="auto"/>
        </w:rPr>
        <w:t>”), in each case determined at the time of each such new issuance of such Indebtedness; provided that in the case of clause (B) the proceeds of such Indebtedness shall be used solely to refinance previously issued Permitted Convertible Debt in accordance with clause (v) below, (ii) shall be unsecured, (iii) shall not be guaranteed by or otherwise owing by any subsidiary or Affiliate of the Seller, (iv) shall not have a scheduled maturity date, amortization or principal payments or require any mandatory repurchase, redemption or mandatory conversion (excluding mandatory conversion at the option of the Seller), in each case prior to the date that is five calendar years after its issuance date (such date, the “</w:t>
      </w:r>
      <w:r>
        <w:rPr>
          <w:rFonts w:ascii="Times New Roman" w:cs="Times New Roman" w:eastAsia="Times New Roman" w:hAnsi="Times New Roman"/>
          <w:sz w:val="22"/>
          <w:szCs w:val="22"/>
          <w:b w:val="1"/>
          <w:bCs w:val="1"/>
          <w:i w:val="1"/>
          <w:iCs w:val="1"/>
          <w:color w:val="auto"/>
        </w:rPr>
        <w:t>Permitted Convertible Debt Maturity Date</w:t>
      </w:r>
      <w:r>
        <w:rPr>
          <w:rFonts w:ascii="Times New Roman" w:cs="Times New Roman" w:eastAsia="Times New Roman" w:hAnsi="Times New Roman"/>
          <w:sz w:val="22"/>
          <w:szCs w:val="22"/>
          <w:color w:val="auto"/>
        </w:rPr>
        <w:t>”); (v) in the case of Indebtedness issued in connection with a Refinancing Transaction utilizing clause (i)(B), the net proceeds thereof must first be used to purchase and cancel previously issued Permitted Convertible Debt (with such net proceeds being applied to any Permitted Convertible Debt with different maturities in the order of earliest to latest maturity); and (vi) shall not require the Seller (or any of its Affiliates) to settle, repurchase, redeem, exchange or otherwise make payments on such Indebtedness using cash or cash equivalents prior to the applicable Permitted Convertible Maturity Date (other than (1) fair value payments in cash in lieu of issuing fractional shares in connection with conversions of such Indebtedness by holders thereof, (2) following a merger, consolidation, binding share exchange or event pursuant to which the common stock of the Seller was exchanged for stock, securities or other property that includes cash or cash equivalents, (3) cash paid in settlement of voluntary conversions of such Indebtedness by the holder thereof (other than any such conversions if such Indebtedness has been called for redemption by the Seller or the Seller has exercised any mandatory conversion rights prior to the Permitted Convertible Debt Maturity Date), (4) cash used to purchase such Indebtedness with the proceeds from an issuance of Permitted Convertible Debt to effect a Refinancing Transaction, or (5) cash to make payments of interest on such Indebtedness). For clarity, (x) customary conversion rights consistent with the foregoing in this definition of the holders of such Permitted Convertible Debt, (y) customary acceleration rights of the holders of such Permitted Convertible Debt upon the occurrence and continuance of an event of default, and (z) the customary obligation to repurchase such Permitted Convertible Debt for cash upon a ”change of control” or “fundamental change” shall be permitted under clauses (iv) and (vi) above of this definition.</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Convertible Debt Maturity Date</w:t>
      </w:r>
      <w:r>
        <w:rPr>
          <w:rFonts w:ascii="Times New Roman" w:cs="Times New Roman" w:eastAsia="Times New Roman" w:hAnsi="Times New Roman"/>
          <w:sz w:val="22"/>
          <w:szCs w:val="22"/>
          <w:color w:val="auto"/>
        </w:rPr>
        <w:t>” is defined in the definition of “Permitted Convertible Debt”.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License</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6.8(a).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7" w:name="page168"/>
    <w:bookmarkEnd w:id="167"/>
    <w:p>
      <w:pPr>
        <w:jc w:val="both"/>
        <w:ind w:left="365" w:right="20" w:hanging="365"/>
        <w:spacing w:after="0" w:line="244"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73" w:lineRule="exact"/>
        <w:rPr>
          <w:rFonts w:ascii="Times New Roman" w:cs="Times New Roman" w:eastAsia="Times New Roman" w:hAnsi="Times New Roman"/>
          <w:sz w:val="22"/>
          <w:szCs w:val="22"/>
          <w:color w:val="auto"/>
        </w:rPr>
      </w:pPr>
    </w:p>
    <w:p>
      <w:pPr>
        <w:jc w:val="both"/>
        <w:ind w:left="365" w:hanging="365"/>
        <w:spacing w:after="0" w:line="23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of landlords and Liens of carriers, warehousemen, mechanics, materialmen and suppliers and other Liens imposed by law or pursuant to customary reservations or retentions of title arising in the ordinary course of business, provided, that,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76" w:lineRule="exact"/>
        <w:rPr>
          <w:rFonts w:ascii="Times New Roman" w:cs="Times New Roman" w:eastAsia="Times New Roman" w:hAnsi="Times New Roman"/>
          <w:sz w:val="22"/>
          <w:szCs w:val="22"/>
          <w:color w:val="auto"/>
        </w:rPr>
      </w:pPr>
    </w:p>
    <w:p>
      <w:pPr>
        <w:ind w:left="365" w:hanging="365"/>
        <w:spacing w:after="0" w:line="25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existing at the time of acquisition of such property provided that such Liens were in existence prior to such acquisition and not incurred in contemplation thereof;</w:t>
      </w:r>
    </w:p>
    <w:p>
      <w:pPr>
        <w:spacing w:after="0" w:line="158" w:lineRule="exact"/>
        <w:rPr>
          <w:rFonts w:ascii="Times New Roman" w:cs="Times New Roman" w:eastAsia="Times New Roman" w:hAnsi="Times New Roman"/>
          <w:sz w:val="22"/>
          <w:szCs w:val="22"/>
          <w:color w:val="auto"/>
        </w:rPr>
      </w:pPr>
    </w:p>
    <w:p>
      <w:pPr>
        <w:ind w:left="365" w:right="20" w:hanging="365"/>
        <w:spacing w:after="0" w:line="25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8" w:lineRule="exact"/>
        <w:rPr>
          <w:rFonts w:ascii="Times New Roman" w:cs="Times New Roman" w:eastAsia="Times New Roman" w:hAnsi="Times New Roman"/>
          <w:sz w:val="22"/>
          <w:szCs w:val="22"/>
          <w:color w:val="auto"/>
        </w:rPr>
      </w:pPr>
    </w:p>
    <w:p>
      <w:pPr>
        <w:ind w:left="365" w:right="40" w:hanging="365"/>
        <w:spacing w:after="0" w:line="25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58" w:lineRule="exact"/>
        <w:rPr>
          <w:rFonts w:ascii="Times New Roman" w:cs="Times New Roman" w:eastAsia="Times New Roman" w:hAnsi="Times New Roman"/>
          <w:sz w:val="22"/>
          <w:szCs w:val="22"/>
          <w:color w:val="auto"/>
        </w:rPr>
      </w:pPr>
    </w:p>
    <w:p>
      <w:pPr>
        <w:jc w:val="both"/>
        <w:ind w:left="365" w:hanging="365"/>
        <w:spacing w:after="0" w:line="244"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and leases (other than Indebtedness), statutory obligations, surety and appeal bonds, indemnity and performance bonds and other obligations of a like nature incurred in the ordinary course of business;</w:t>
      </w:r>
    </w:p>
    <w:p>
      <w:pPr>
        <w:spacing w:after="0" w:line="173" w:lineRule="exact"/>
        <w:rPr>
          <w:rFonts w:ascii="Times New Roman" w:cs="Times New Roman" w:eastAsia="Times New Roman" w:hAnsi="Times New Roman"/>
          <w:sz w:val="22"/>
          <w:szCs w:val="22"/>
          <w:color w:val="auto"/>
        </w:rPr>
      </w:pPr>
    </w:p>
    <w:p>
      <w:pPr>
        <w:jc w:val="both"/>
        <w:ind w:left="365" w:hanging="365"/>
        <w:spacing w:after="0" w:line="244"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affecting real property which, in the aggregate, are not substantial in amount, and which do not materially interfere with the ordinary conduct of the business of the applicable Person;</w:t>
      </w:r>
    </w:p>
    <w:p>
      <w:pPr>
        <w:spacing w:after="0" w:line="173" w:lineRule="exact"/>
        <w:rPr>
          <w:rFonts w:ascii="Times New Roman" w:cs="Times New Roman" w:eastAsia="Times New Roman" w:hAnsi="Times New Roman"/>
          <w:sz w:val="22"/>
          <w:szCs w:val="22"/>
          <w:color w:val="auto"/>
        </w:rPr>
      </w:pPr>
    </w:p>
    <w:p>
      <w:pPr>
        <w:ind w:left="365" w:right="20" w:hanging="365"/>
        <w:spacing w:after="0" w:line="25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Liens and Liens securing capital lease obligations; provided that such Liens are secured solely by the assets subject to the purchase money or capital lease arrangements;</w:t>
      </w:r>
    </w:p>
    <w:p>
      <w:pPr>
        <w:spacing w:after="0" w:line="158" w:lineRule="exact"/>
        <w:rPr>
          <w:rFonts w:ascii="Times New Roman" w:cs="Times New Roman" w:eastAsia="Times New Roman" w:hAnsi="Times New Roman"/>
          <w:sz w:val="22"/>
          <w:szCs w:val="22"/>
          <w:color w:val="auto"/>
        </w:rPr>
      </w:pPr>
    </w:p>
    <w:p>
      <w:pPr>
        <w:jc w:val="both"/>
        <w:ind w:left="365" w:hanging="365"/>
        <w:spacing w:after="0" w:line="244"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granted to others in the ordinary course of business and not interfering in any material respect with the Revenue Participation Right, the Royalty Payments, the Product Rights, the Product Collateral or the Back-Up Security Interest;</w:t>
      </w:r>
    </w:p>
    <w:p>
      <w:pPr>
        <w:spacing w:after="0" w:line="173" w:lineRule="exact"/>
        <w:rPr>
          <w:rFonts w:ascii="Times New Roman" w:cs="Times New Roman" w:eastAsia="Times New Roman" w:hAnsi="Times New Roman"/>
          <w:sz w:val="22"/>
          <w:szCs w:val="22"/>
          <w:color w:val="auto"/>
        </w:rPr>
      </w:pPr>
    </w:p>
    <w:p>
      <w:pPr>
        <w:ind w:left="365" w:hanging="365"/>
        <w:spacing w:after="0" w:line="25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of title of a lessor or licensor under, and Liens arising from UCC financing statements (or equivalent filings, registrations or agreements in foreign jurisdictions) relating to, leases or licenses permitted by this Agreement;</w:t>
      </w:r>
    </w:p>
    <w:p>
      <w:pPr>
        <w:spacing w:after="0" w:line="158" w:lineRule="exact"/>
        <w:rPr>
          <w:rFonts w:ascii="Times New Roman" w:cs="Times New Roman" w:eastAsia="Times New Roman" w:hAnsi="Times New Roman"/>
          <w:sz w:val="22"/>
          <w:szCs w:val="22"/>
          <w:color w:val="auto"/>
        </w:rPr>
      </w:pPr>
    </w:p>
    <w:p>
      <w:pPr>
        <w:ind w:left="365" w:right="40" w:hanging="365"/>
        <w:spacing w:after="0" w:line="258" w:lineRule="auto"/>
        <w:tabs>
          <w:tab w:leader="none" w:pos="4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and customary banker’s liens and rights of setoff upon deposits of cash in favor of banks or other depository institutions;</w:t>
      </w:r>
    </w:p>
    <w:p>
      <w:pPr>
        <w:spacing w:after="0" w:line="158" w:lineRule="exact"/>
        <w:rPr>
          <w:rFonts w:ascii="Times New Roman" w:cs="Times New Roman" w:eastAsia="Times New Roman" w:hAnsi="Times New Roman"/>
          <w:sz w:val="22"/>
          <w:szCs w:val="22"/>
          <w:color w:val="auto"/>
        </w:rPr>
      </w:pPr>
    </w:p>
    <w:p>
      <w:pPr>
        <w:ind w:left="425" w:hanging="425"/>
        <w:spacing w:after="0"/>
        <w:tabs>
          <w:tab w:leader="none" w:pos="42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collection bank arising under Section 4-210 of the UCC on items in the course of collection;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1408" w:right="339" w:bottom="1440" w:gutter="0" w:footer="0" w:header="0"/>
        </w:sectPr>
      </w:pPr>
    </w:p>
    <w:bookmarkStart w:id="168" w:name="page169"/>
    <w:bookmarkEnd w:id="168"/>
    <w:p>
      <w:pPr>
        <w:jc w:val="both"/>
        <w:ind w:left="760" w:hanging="365"/>
        <w:spacing w:after="0" w:line="244" w:lineRule="auto"/>
        <w:tabs>
          <w:tab w:leader="none" w:pos="83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sellers of goods to the Seller and any of its Subsidiaries arising under Article 2 of the UCC or similar provisions of applicable law in the ordinary course of business, covering only the goods sold and securing only the unpaid purchase price for such goods and related expenses;</w:t>
      </w:r>
    </w:p>
    <w:p>
      <w:pPr>
        <w:spacing w:after="0" w:line="173" w:lineRule="exact"/>
        <w:rPr>
          <w:rFonts w:ascii="Times New Roman" w:cs="Times New Roman" w:eastAsia="Times New Roman" w:hAnsi="Times New Roman"/>
          <w:sz w:val="22"/>
          <w:szCs w:val="22"/>
          <w:color w:val="auto"/>
        </w:rPr>
      </w:pPr>
    </w:p>
    <w:p>
      <w:pPr>
        <w:jc w:val="both"/>
        <w:ind w:left="760" w:hanging="365"/>
        <w:spacing w:after="0" w:line="238" w:lineRule="auto"/>
        <w:tabs>
          <w:tab w:leader="none" w:pos="83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collateral securing obligations in respect of (i) letters of credit; (ii) corporate credit cards, purchase cards and debit cards; (iii) electronic funds transfers (including automated clearing house transactions); (iv) cash management services, including, without limitation, controlled disbursement, netting services, pooled deposit or sweep accounts, treasury services and overdraft protection; and (v) interest rate and foreign exchange swaps entered into to hedge or mitigate commercial risk; and</w:t>
      </w:r>
    </w:p>
    <w:p>
      <w:pPr>
        <w:spacing w:after="0" w:line="176"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the extent incurred after the Closing Date, Liens securing Permitted Secured Indebtedness.</w:t>
      </w:r>
    </w:p>
    <w:p>
      <w:pPr>
        <w:spacing w:after="0" w:line="20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Royalty Financing</w:t>
      </w:r>
      <w:r>
        <w:rPr>
          <w:rFonts w:ascii="Times New Roman" w:cs="Times New Roman" w:eastAsia="Times New Roman" w:hAnsi="Times New Roman"/>
          <w:sz w:val="22"/>
          <w:szCs w:val="22"/>
          <w:color w:val="auto"/>
        </w:rPr>
        <w:t>” means a Royalty Financing that the Seller or its Affiliates enters into with one or more Third Parties; provided that such Royalty Financing (including any royalties or other payments sold under such Royalty Financing), the Liens on any of the assets of the Seller or its Affiliates that secures such Royalty Financing, and the obligations of the Seller and its Affiliates under this Agreement and any related document shall be subject to an intercreditor agreement acceptable to the Buyer, entered into between the Buyer and such Third Parties or any agent, representative or trustee acting on behalf of such Third Parties and acknowledged by the Seller and its applicable Affiliates, that preserves the Buyer’s first priority interest and rights in and to the Product Collateral.</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Secured Indebtedness</w:t>
      </w:r>
      <w:r>
        <w:rPr>
          <w:rFonts w:ascii="Times New Roman" w:cs="Times New Roman" w:eastAsia="Times New Roman" w:hAnsi="Times New Roman"/>
          <w:sz w:val="22"/>
          <w:szCs w:val="22"/>
          <w:color w:val="auto"/>
        </w:rPr>
        <w:t>” means Indebtedness that the Seller or its Affiliates incurs from one or more Third Parties that is secured by Liens on any assets of the Seller or its Affiliates; provided that such Indebtedness, the Liens on any of the assets of the Seller or its Affiliates that secures such Indebtedness (such assets, the “</w:t>
      </w:r>
      <w:r>
        <w:rPr>
          <w:rFonts w:ascii="Times New Roman" w:cs="Times New Roman" w:eastAsia="Times New Roman" w:hAnsi="Times New Roman"/>
          <w:sz w:val="22"/>
          <w:szCs w:val="22"/>
          <w:b w:val="1"/>
          <w:bCs w:val="1"/>
          <w:i w:val="1"/>
          <w:iCs w:val="1"/>
          <w:color w:val="auto"/>
        </w:rPr>
        <w:t>Secured Assets</w:t>
      </w:r>
      <w:r>
        <w:rPr>
          <w:rFonts w:ascii="Times New Roman" w:cs="Times New Roman" w:eastAsia="Times New Roman" w:hAnsi="Times New Roman"/>
          <w:sz w:val="22"/>
          <w:szCs w:val="22"/>
          <w:color w:val="auto"/>
        </w:rPr>
        <w:t>”, and such Liens, the “</w:t>
      </w:r>
      <w:r>
        <w:rPr>
          <w:rFonts w:ascii="Times New Roman" w:cs="Times New Roman" w:eastAsia="Times New Roman" w:hAnsi="Times New Roman"/>
          <w:sz w:val="22"/>
          <w:szCs w:val="22"/>
          <w:b w:val="1"/>
          <w:bCs w:val="1"/>
          <w:i w:val="1"/>
          <w:iCs w:val="1"/>
          <w:color w:val="auto"/>
        </w:rPr>
        <w:t>Senior Lender Liens</w:t>
      </w:r>
      <w:r>
        <w:rPr>
          <w:rFonts w:ascii="Times New Roman" w:cs="Times New Roman" w:eastAsia="Times New Roman" w:hAnsi="Times New Roman"/>
          <w:sz w:val="22"/>
          <w:szCs w:val="22"/>
          <w:color w:val="auto"/>
        </w:rPr>
        <w:t>”) and the obligations of the Seller and its Affiliates under this Agreement and any related document shall be subject to an Acceptable Intercreditor Agreement entered into between Buyer and the applicable lender or lenders or any agent, representative or trustee acting on behalf of such lender or lenders (a “</w:t>
      </w:r>
      <w:r>
        <w:rPr>
          <w:rFonts w:ascii="Times New Roman" w:cs="Times New Roman" w:eastAsia="Times New Roman" w:hAnsi="Times New Roman"/>
          <w:sz w:val="22"/>
          <w:szCs w:val="22"/>
          <w:b w:val="1"/>
          <w:bCs w:val="1"/>
          <w:i w:val="1"/>
          <w:iCs w:val="1"/>
          <w:color w:val="auto"/>
        </w:rPr>
        <w:t>Senior Debt Provider</w:t>
      </w:r>
      <w:r>
        <w:rPr>
          <w:rFonts w:ascii="Times New Roman" w:cs="Times New Roman" w:eastAsia="Times New Roman" w:hAnsi="Times New Roman"/>
          <w:sz w:val="22"/>
          <w:szCs w:val="22"/>
          <w:color w:val="auto"/>
        </w:rPr>
        <w:t>”) and acknowledged by the Seller and its Affiliates that have granted Senior Lender Liens.</w:t>
      </w:r>
    </w:p>
    <w:p>
      <w:pPr>
        <w:spacing w:after="0" w:line="17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Pre-Tax Profit (Loss)</w:t>
      </w:r>
      <w:r>
        <w:rPr>
          <w:rFonts w:ascii="Times New Roman" w:cs="Times New Roman" w:eastAsia="Times New Roman" w:hAnsi="Times New Roman"/>
          <w:sz w:val="22"/>
          <w:szCs w:val="22"/>
          <w:color w:val="auto"/>
        </w:rPr>
        <w:t>” has the meaning ascribed to the term in Section 1.143 of the Incyte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Pre-Tax Profit (Loss) Share</w:t>
      </w:r>
      <w:r>
        <w:rPr>
          <w:rFonts w:ascii="Times New Roman" w:cs="Times New Roman" w:eastAsia="Times New Roman" w:hAnsi="Times New Roman"/>
          <w:sz w:val="22"/>
          <w:szCs w:val="22"/>
          <w:color w:val="auto"/>
        </w:rPr>
        <w:t>” has the meaning ascribed to the term in Section 1.144 of the Incyte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Product</w:t>
      </w:r>
      <w:r>
        <w:rPr>
          <w:rFonts w:ascii="Times New Roman" w:cs="Times New Roman" w:eastAsia="Times New Roman" w:hAnsi="Times New Roman"/>
          <w:sz w:val="22"/>
          <w:szCs w:val="22"/>
          <w:color w:val="auto"/>
        </w:rPr>
        <w:t>” means any product for use in human and non-human diagnostic, prophylactic, therapeutic and palliative uses other than non-oncological diseases of the nervous system comprising or containing a Licensed Antibody, alone or in combination with one or more other active ingredients, in all forms, including pegylated versions, in current and future formulations, dosage forms and strengths, and delivery modes, including any improvements to any of the foregoing. For clarity, “</w:t>
      </w:r>
      <w:r>
        <w:rPr>
          <w:rFonts w:ascii="Times New Roman" w:cs="Times New Roman" w:eastAsia="Times New Roman" w:hAnsi="Times New Roman"/>
          <w:sz w:val="22"/>
          <w:szCs w:val="22"/>
          <w:b w:val="1"/>
          <w:bCs w:val="1"/>
          <w:i w:val="1"/>
          <w:iCs w:val="1"/>
          <w:color w:val="auto"/>
        </w:rPr>
        <w:t>Product</w:t>
      </w:r>
      <w:r>
        <w:rPr>
          <w:rFonts w:ascii="Times New Roman" w:cs="Times New Roman" w:eastAsia="Times New Roman" w:hAnsi="Times New Roman"/>
          <w:sz w:val="22"/>
          <w:szCs w:val="22"/>
          <w:color w:val="auto"/>
        </w:rPr>
        <w:t>” includes Niktimvo.</w:t>
      </w:r>
    </w:p>
    <w:p>
      <w:pPr>
        <w:spacing w:after="0" w:line="17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Product Collateral</w:t>
      </w:r>
      <w:r>
        <w:rPr>
          <w:rFonts w:ascii="Times New Roman" w:cs="Times New Roman" w:eastAsia="Times New Roman" w:hAnsi="Times New Roman"/>
          <w:sz w:val="22"/>
          <w:szCs w:val="22"/>
          <w:color w:val="auto"/>
        </w:rPr>
        <w:t>” means all of the Seller’s or any of its Affiliates’ rights, title and interests in, to and under the following, whether now owned or hereafter acquired: (a) the Licensed Antibody and the Product in the Territory (including all inventory of the Licensed Antibody and the Product in the Territory), (b) the Product Rights, (c) the Revenue Participation Right and the Royalty Payments, and (d) any proceeds from either (a), (b), or (c) above, including all accounts receivable and general intangibles resulting from the sale, license or other disposition of Product by the Seller or its Licensees.</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Product Rights</w:t>
      </w:r>
      <w:r>
        <w:rPr>
          <w:rFonts w:ascii="Times New Roman" w:cs="Times New Roman" w:eastAsia="Times New Roman" w:hAnsi="Times New Roman"/>
          <w:sz w:val="22"/>
          <w:szCs w:val="22"/>
          <w:color w:val="auto"/>
        </w:rPr>
        <w:t>” means any and all of the following: (a) as they exist in the Territory: (i) Intellectual Property Product Rights and (ii) regulatory filings, submissions and approvals, including Marketing Approvals, with or from FDA with respect to the Licensed Antibody or the Product, (b) the UCB Agreement and any other In-Licenses, and (c) the Incyte Agreement and any other Out-Licenses.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Assignee</w:t>
      </w:r>
      <w:r>
        <w:rPr>
          <w:rFonts w:ascii="Times New Roman" w:cs="Times New Roman" w:eastAsia="Times New Roman" w:hAnsi="Times New Roman"/>
          <w:sz w:val="22"/>
          <w:szCs w:val="22"/>
          <w:color w:val="auto"/>
        </w:rPr>
        <w:t>” means any Person other than a Company Competitor or Distressed Debt Investor.</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Licensee</w:t>
      </w:r>
      <w:r>
        <w:rPr>
          <w:rFonts w:ascii="Times New Roman" w:cs="Times New Roman" w:eastAsia="Times New Roman" w:hAnsi="Times New Roman"/>
          <w:sz w:val="22"/>
          <w:szCs w:val="22"/>
          <w:color w:val="auto"/>
        </w:rPr>
        <w:t>” means any global biopharmaceutical company that is ranked within the top [***] biopharmaceutical companies for revenues from sales of products in the Territory for the most recently ended four quarter period (determined as of the date the applicable Permitted License is executed).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Receiving Party</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8.1.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Refinancing Transaction</w:t>
      </w:r>
      <w:r>
        <w:rPr>
          <w:rFonts w:ascii="Times New Roman" w:cs="Times New Roman" w:eastAsia="Times New Roman" w:hAnsi="Times New Roman"/>
          <w:sz w:val="22"/>
          <w:szCs w:val="22"/>
          <w:color w:val="auto"/>
        </w:rPr>
        <w:t>” is defined in the definition of “Permitted Convertible Debt”.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Regulatory and IP Semi-Annual Report</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6.1(g).</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Regulatory Updates</w:t>
      </w:r>
      <w:r>
        <w:rPr>
          <w:rFonts w:ascii="Times New Roman" w:cs="Times New Roman" w:eastAsia="Times New Roman" w:hAnsi="Times New Roman"/>
          <w:sz w:val="22"/>
          <w:szCs w:val="22"/>
          <w:color w:val="auto"/>
        </w:rPr>
        <w:t>” means a summary of any and all material information and developments that materially impact the Product with respect to any regulatory filings with, or submissions made to, the FDA.</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6.1(g).</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means, with respect to any Person, any manager, director, trustee, officer, employee, legal or financial advisor, consultant, representative or agent of such Person.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Indebtedness</w:t>
      </w:r>
      <w:r>
        <w:rPr>
          <w:rFonts w:ascii="Times New Roman" w:cs="Times New Roman" w:eastAsia="Times New Roman" w:hAnsi="Times New Roman"/>
          <w:sz w:val="22"/>
          <w:szCs w:val="22"/>
          <w:color w:val="auto"/>
        </w:rPr>
        <w:t>” means any secured Indebtedness or any Convertible Debt.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0" w:name="page171"/>
    <w:bookmarkEnd w:id="170"/>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Revenue Participation Right</w:t>
      </w:r>
      <w:r>
        <w:rPr>
          <w:rFonts w:ascii="Times New Roman" w:cs="Times New Roman" w:eastAsia="Times New Roman" w:hAnsi="Times New Roman"/>
          <w:sz w:val="22"/>
          <w:szCs w:val="22"/>
          <w:color w:val="auto"/>
        </w:rPr>
        <w:t>” means the right to receive the Royalty Payments hereunder, which shall exist upon, and continue following, the Closing regardless of the amount of the Pre-Tax Profit (Loss) Share actually received by the Seller under the Incyte Agreement.</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Revised Consent Letter</w:t>
      </w:r>
      <w:r>
        <w:rPr>
          <w:rFonts w:ascii="Times New Roman" w:cs="Times New Roman" w:eastAsia="Times New Roman" w:hAnsi="Times New Roman"/>
          <w:sz w:val="22"/>
          <w:szCs w:val="22"/>
          <w:color w:val="auto"/>
        </w:rPr>
        <w:t>” means that certain Revised Consent to Sublicensing Letter dated September 22, 2021 from UCB, as it may be amended, restated, amended and restated, supplemented or otherwise modified from time to time.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Cap</w:t>
      </w:r>
      <w:r>
        <w:rPr>
          <w:rFonts w:ascii="Times New Roman" w:cs="Times New Roman" w:eastAsia="Times New Roman" w:hAnsi="Times New Roman"/>
          <w:sz w:val="22"/>
          <w:szCs w:val="22"/>
          <w:color w:val="auto"/>
        </w:rPr>
        <w:t>” means $822,500,000.</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Financing</w:t>
      </w:r>
      <w:r>
        <w:rPr>
          <w:rFonts w:ascii="Times New Roman" w:cs="Times New Roman" w:eastAsia="Times New Roman" w:hAnsi="Times New Roman"/>
          <w:sz w:val="22"/>
          <w:szCs w:val="22"/>
          <w:color w:val="auto"/>
        </w:rPr>
        <w:t>” means any financing, sale, or borrowing of or against royalties, receivables, or other payments related to any products of the Seller, its Affiliates, or their Licensees.</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Payments</w:t>
      </w:r>
      <w:r>
        <w:rPr>
          <w:rFonts w:ascii="Times New Roman" w:cs="Times New Roman" w:eastAsia="Times New Roman" w:hAnsi="Times New Roman"/>
          <w:sz w:val="22"/>
          <w:szCs w:val="22"/>
          <w:color w:val="auto"/>
        </w:rPr>
        <w:t>” means, for each calendar quarter beginning on January 1, 2025 until the Royalty Termination Date, an amount payable to the Buyer equal to the amount of all aggregate Net Sales during such calendar quarter multiplied by the Royalty Rate.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Rate</w:t>
      </w:r>
      <w:r>
        <w:rPr>
          <w:rFonts w:ascii="Times New Roman" w:cs="Times New Roman" w:eastAsia="Times New Roman" w:hAnsi="Times New Roman"/>
          <w:sz w:val="22"/>
          <w:szCs w:val="22"/>
          <w:color w:val="auto"/>
        </w:rPr>
        <w:t>” means 13.8%; subject to the following adjustments:</w:t>
      </w:r>
    </w:p>
    <w:p>
      <w:pPr>
        <w:spacing w:after="0" w:line="212" w:lineRule="exact"/>
        <w:rPr>
          <w:sz w:val="20"/>
          <w:szCs w:val="20"/>
          <w:color w:val="auto"/>
        </w:rPr>
      </w:pPr>
    </w:p>
    <w:p>
      <w:pPr>
        <w:jc w:val="both"/>
        <w:ind w:left="760" w:hanging="365"/>
        <w:spacing w:after="0" w:line="261" w:lineRule="auto"/>
        <w:tabs>
          <w:tab w:leader="none" w:pos="831"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Net Sales for the 12 months ended March 31, 2028 are (i) less than $[***] and equal to or greater than $[***], then in respect of Net Sales occurring on or after April 1, 2028, the Royalty Rate shall be increased to [***]% or (ii) less than $[***], then in respect of Net Sales occurring on or after April 1, 2028, the Royalty Rate shall be increased to [***]%;</w:t>
      </w:r>
    </w:p>
    <w:p>
      <w:pPr>
        <w:spacing w:after="0" w:line="157" w:lineRule="exact"/>
        <w:rPr>
          <w:rFonts w:ascii="Times New Roman" w:cs="Times New Roman" w:eastAsia="Times New Roman" w:hAnsi="Times New Roman"/>
          <w:sz w:val="21"/>
          <w:szCs w:val="21"/>
          <w:color w:val="auto"/>
        </w:rPr>
      </w:pPr>
    </w:p>
    <w:p>
      <w:pPr>
        <w:jc w:val="both"/>
        <w:ind w:left="760" w:hanging="365"/>
        <w:spacing w:after="0" w:line="244" w:lineRule="auto"/>
        <w:tabs>
          <w:tab w:leader="none" w:pos="83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Net Sales for the 12 months ended March 31, 2029 are less than $[***], then, regardless of whether the Royalty Rate was adjusted as a result of clause (a), the Royalty Rate in respect of Net Sales occurring on or after April 1, 2029 shall be [***]%; and</w:t>
      </w:r>
    </w:p>
    <w:p>
      <w:pPr>
        <w:spacing w:after="0" w:line="173" w:lineRule="exact"/>
        <w:rPr>
          <w:rFonts w:ascii="Times New Roman" w:cs="Times New Roman" w:eastAsia="Times New Roman" w:hAnsi="Times New Roman"/>
          <w:sz w:val="22"/>
          <w:szCs w:val="22"/>
          <w:color w:val="auto"/>
        </w:rPr>
      </w:pPr>
    </w:p>
    <w:p>
      <w:pPr>
        <w:jc w:val="both"/>
        <w:ind w:left="760" w:hanging="365"/>
        <w:spacing w:after="0" w:line="239" w:lineRule="auto"/>
        <w:tabs>
          <w:tab w:leader="none" w:pos="83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Royalty Rate was adjusted pursuant to clause (a) and Net Sales for the 12 months ended March 31, 2029 are: (i) greater than $[***] but less than $[***], then the Royalty Rate in respect of Net Sales occurring on or after April 1, 2029 shall remain as adjusted by clause (a) (i.e., at [***]% or [***]%, as adjusted), or (ii) equal to or greater than $[***], then the Royalty Rate in respect of Net Sales occurring on or after April 1, 2029 shall be decreased to [***]%.</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Termination Date</w:t>
      </w:r>
      <w:r>
        <w:rPr>
          <w:rFonts w:ascii="Times New Roman" w:cs="Times New Roman" w:eastAsia="Times New Roman" w:hAnsi="Times New Roman"/>
          <w:sz w:val="22"/>
          <w:szCs w:val="22"/>
          <w:color w:val="auto"/>
        </w:rPr>
        <w:t>” means the first date on which (i) aggregate payments of the Royalty Payments actually received by the Buyer equal the Royalty Cap or (ii) the Seller repurchases the Revenue Participation Right from the Buyer pursuant to Article 9 of this Agreement.</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Safety Notices</w:t>
      </w:r>
      <w:r>
        <w:rPr>
          <w:rFonts w:ascii="Times New Roman" w:cs="Times New Roman" w:eastAsia="Times New Roman" w:hAnsi="Times New Roman"/>
          <w:sz w:val="22"/>
          <w:szCs w:val="22"/>
          <w:color w:val="auto"/>
        </w:rPr>
        <w:t>” means any recalls, field notifications, market withdrawals, warnings, “</w:t>
      </w:r>
      <w:r>
        <w:rPr>
          <w:rFonts w:ascii="Times New Roman" w:cs="Times New Roman" w:eastAsia="Times New Roman" w:hAnsi="Times New Roman"/>
          <w:sz w:val="22"/>
          <w:szCs w:val="22"/>
          <w:b w:val="1"/>
          <w:bCs w:val="1"/>
          <w:i w:val="1"/>
          <w:iCs w:val="1"/>
          <w:color w:val="auto"/>
        </w:rPr>
        <w:t>dear doctor</w:t>
      </w:r>
      <w:r>
        <w:rPr>
          <w:rFonts w:ascii="Times New Roman" w:cs="Times New Roman" w:eastAsia="Times New Roman" w:hAnsi="Times New Roman"/>
          <w:sz w:val="22"/>
          <w:szCs w:val="22"/>
          <w:color w:val="auto"/>
        </w:rPr>
        <w:t>” letters, investigator notices, safety alerts or other notices of action issued or instigated by the Seller, any of its Affiliates, Commercialization Partners, Licensees, or FDA relating to an alleged lack of safety or regulatory compliance of the Product.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 Documents</w:t>
      </w:r>
      <w:r>
        <w:rPr>
          <w:rFonts w:ascii="Times New Roman" w:cs="Times New Roman" w:eastAsia="Times New Roman" w:hAnsi="Times New Roman"/>
          <w:sz w:val="22"/>
          <w:szCs w:val="22"/>
          <w:color w:val="auto"/>
        </w:rPr>
        <w:t>” means all reports, schedules, forms, statements, and other documents (including exhibits (including, without limitation, this Agreement) and all other information incorporated therein) required to be filed by the Seller or, if applicable, the Buyer, with the SEC.</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Assets</w:t>
      </w:r>
      <w:r>
        <w:rPr>
          <w:rFonts w:ascii="Times New Roman" w:cs="Times New Roman" w:eastAsia="Times New Roman" w:hAnsi="Times New Roman"/>
          <w:sz w:val="22"/>
          <w:szCs w:val="22"/>
          <w:color w:val="auto"/>
        </w:rPr>
        <w:t>” is defined in the definition of “Permitted Secured Indebtedness”.</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xml:space="preserve">” is defined in the preamble. References to the Seller herein shall be deemed to include any assignee of the Seller pursuant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11.4.</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Certificate</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5.1(i).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Indemnified Parties</w:t>
      </w:r>
      <w:r>
        <w:rPr>
          <w:rFonts w:ascii="Times New Roman" w:cs="Times New Roman" w:eastAsia="Times New Roman" w:hAnsi="Times New Roman"/>
          <w:sz w:val="22"/>
          <w:szCs w:val="22"/>
          <w:color w:val="auto"/>
        </w:rPr>
        <w:t>” is defined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7.1(b).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Debt Provider</w:t>
      </w:r>
      <w:r>
        <w:rPr>
          <w:rFonts w:ascii="Times New Roman" w:cs="Times New Roman" w:eastAsia="Times New Roman" w:hAnsi="Times New Roman"/>
          <w:sz w:val="22"/>
          <w:szCs w:val="22"/>
          <w:color w:val="auto"/>
        </w:rPr>
        <w:t>” is defined in the definition of “Permitted Secured Indebtedness”.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Lender Liens</w:t>
      </w:r>
      <w:r>
        <w:rPr>
          <w:rFonts w:ascii="Times New Roman" w:cs="Times New Roman" w:eastAsia="Times New Roman" w:hAnsi="Times New Roman"/>
          <w:sz w:val="22"/>
          <w:szCs w:val="22"/>
          <w:color w:val="auto"/>
        </w:rPr>
        <w:t>” is defined in the definition of “Permitted Secured Indebtedness”.</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SNDX-ms6352 Antibody</w:t>
      </w:r>
      <w:r>
        <w:rPr>
          <w:rFonts w:ascii="Times New Roman" w:cs="Times New Roman" w:eastAsia="Times New Roman" w:hAnsi="Times New Roman"/>
          <w:sz w:val="22"/>
          <w:szCs w:val="22"/>
          <w:color w:val="auto"/>
        </w:rPr>
        <w:t>” means the Antibody designated by the Seller as “SNDXms6352,” which is an anti-mouse CSF-1R Antibody that is a surrogate Antibody for the Licensed Antibody.</w:t>
      </w:r>
    </w:p>
    <w:p>
      <w:pPr>
        <w:spacing w:after="0" w:line="1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any and all corporations, partnerships, limited liability companies, joint ventures, associations and other entities controlled (by contract or otherwise) by the Seller directly or indirectly through one or more intermediaries. For purposes hereof, the Seller shall be deemed to control a partnership, limited liability company, association or other business entity if the Seller,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Territory</w:t>
      </w:r>
      <w:r>
        <w:rPr>
          <w:rFonts w:ascii="Times New Roman" w:cs="Times New Roman" w:eastAsia="Times New Roman" w:hAnsi="Times New Roman"/>
          <w:sz w:val="22"/>
          <w:szCs w:val="22"/>
          <w:color w:val="auto"/>
        </w:rPr>
        <w:t>” means the United States of America and its respective territories, districts, commonwealths and possessions (including Guam and Puerto Rico).</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w:t>
      </w:r>
      <w:r>
        <w:rPr>
          <w:rFonts w:ascii="Times New Roman" w:cs="Times New Roman" w:eastAsia="Times New Roman" w:hAnsi="Times New Roman"/>
          <w:sz w:val="22"/>
          <w:szCs w:val="22"/>
          <w:color w:val="auto"/>
        </w:rPr>
        <w:t>” means any Person that is not the Seller or the Seller’s Affiliates.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Documents</w:t>
      </w:r>
      <w:r>
        <w:rPr>
          <w:rFonts w:ascii="Times New Roman" w:cs="Times New Roman" w:eastAsia="Times New Roman" w:hAnsi="Times New Roman"/>
          <w:sz w:val="22"/>
          <w:szCs w:val="22"/>
          <w:color w:val="auto"/>
        </w:rPr>
        <w:t>” means this Agreement, the Bilateral Common Interest and Joint Privilege Agreement, the Bill of Sale, any Acceptable Intercreditor Agreement, and any related security agreements, ancillary documents or agreements executed in connection therewith.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2" w:name="page173"/>
    <w:bookmarkEnd w:id="17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UCB</w:t>
      </w:r>
      <w:r>
        <w:rPr>
          <w:rFonts w:ascii="Times New Roman" w:cs="Times New Roman" w:eastAsia="Times New Roman" w:hAnsi="Times New Roman"/>
          <w:sz w:val="22"/>
          <w:szCs w:val="22"/>
          <w:color w:val="auto"/>
        </w:rPr>
        <w:t>” means UCB Biopharma Srl (formerly known as UCB Biopharma Sprl).</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UCB Agreement</w:t>
      </w:r>
      <w:r>
        <w:rPr>
          <w:rFonts w:ascii="Times New Roman" w:cs="Times New Roman" w:eastAsia="Times New Roman" w:hAnsi="Times New Roman"/>
          <w:sz w:val="22"/>
          <w:szCs w:val="22"/>
          <w:color w:val="auto"/>
        </w:rPr>
        <w:t>” means that certain License Agreement between the Seller and UCB, dated July 1, 2016, as supplemented by that certain Side Agreement dated July 1, 2016, and as amended by that certain Amendment Agreement dated July 9, 2019, the UCB Settlement Agreement, and the UCB Consent, and as it may be further amended, restated, amended and restated, supplemented or otherwise modified from time to time.</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UCB Biopharma Background Patents</w:t>
      </w:r>
      <w:r>
        <w:rPr>
          <w:rFonts w:ascii="Times New Roman" w:cs="Times New Roman" w:eastAsia="Times New Roman" w:hAnsi="Times New Roman"/>
          <w:sz w:val="22"/>
          <w:szCs w:val="22"/>
          <w:color w:val="auto"/>
        </w:rPr>
        <w:t>” has the meaning ascribed to such term in Section 1.204 of the UCB Agreement.</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UCB Confidential Information</w:t>
      </w:r>
      <w:r>
        <w:rPr>
          <w:rFonts w:ascii="Times New Roman" w:cs="Times New Roman" w:eastAsia="Times New Roman" w:hAnsi="Times New Roman"/>
          <w:sz w:val="22"/>
          <w:szCs w:val="22"/>
          <w:color w:val="auto"/>
        </w:rPr>
        <w:t>” means, collectively, (i) the terms and conditions of the UCB Agreement, (ii) any and all Confidential Information (as defined in the UCB Agreement) disclosed by or on behalf of UCB under the UCB Agreement or any other agreement between UCB and the Seller, and (iii) any and all other information that is otherwise disclosed by or on behalf of UCB to the Seller or the Buyer on a confidential basis.</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UCB Consent</w:t>
      </w:r>
      <w:r>
        <w:rPr>
          <w:rFonts w:ascii="Times New Roman" w:cs="Times New Roman" w:eastAsia="Times New Roman" w:hAnsi="Times New Roman"/>
          <w:sz w:val="22"/>
          <w:szCs w:val="22"/>
          <w:color w:val="auto"/>
        </w:rPr>
        <w:t>” means that certain letter agreement, dated as of October 25, 2024, by and between UCB and the Seller, as it may be amended, restated, amended and restated, supplemented or otherwise modified from time to time.</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UCB Settlement Agreement</w:t>
      </w:r>
      <w:r>
        <w:rPr>
          <w:rFonts w:ascii="Times New Roman" w:cs="Times New Roman" w:eastAsia="Times New Roman" w:hAnsi="Times New Roman"/>
          <w:sz w:val="22"/>
          <w:szCs w:val="22"/>
          <w:color w:val="auto"/>
        </w:rPr>
        <w:t>” means that certain Mutual Release and Settlement Agreement by and between UCB and the Seller, dated as of June 6, 2022, as it may be amended, restated, amended and restated, supplemented or otherwise modified from time to time.</w:t>
      </w:r>
    </w:p>
    <w:p>
      <w:pPr>
        <w:spacing w:after="0" w:line="16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UCC</w:t>
      </w:r>
      <w:r>
        <w:rPr>
          <w:rFonts w:ascii="Times New Roman" w:cs="Times New Roman" w:eastAsia="Times New Roman" w:hAnsi="Times New Roman"/>
          <w:sz w:val="22"/>
          <w:szCs w:val="22"/>
          <w:color w:val="auto"/>
        </w:rPr>
        <w:t>” means the Uniform Commercial Code as in effect from time to time in the State of New York; provided,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w:t>
      </w:r>
      <w:r>
        <w:rPr>
          <w:rFonts w:ascii="Times New Roman" w:cs="Times New Roman" w:eastAsia="Times New Roman" w:hAnsi="Times New Roman"/>
          <w:sz w:val="22"/>
          <w:szCs w:val="22"/>
          <w:b w:val="1"/>
          <w:bCs w:val="1"/>
          <w:i w:val="1"/>
          <w:iCs w:val="1"/>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of this Agreement and any financing statement relating to such perfection or effect of perfection or non-perfection.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Upstream Licenses</w:t>
      </w:r>
      <w:r>
        <w:rPr>
          <w:rFonts w:ascii="Times New Roman" w:cs="Times New Roman" w:eastAsia="Times New Roman" w:hAnsi="Times New Roman"/>
          <w:sz w:val="22"/>
          <w:szCs w:val="22"/>
          <w:color w:val="auto"/>
        </w:rPr>
        <w:t>” has the meaning ascribed to such term in Section 1.58 of the UCB Agreement.</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Section 1.2 Certain Interpretations</w:t>
      </w:r>
      <w:r>
        <w:rPr>
          <w:rFonts w:ascii="Times New Roman" w:cs="Times New Roman" w:eastAsia="Times New Roman" w:hAnsi="Times New Roman"/>
          <w:sz w:val="22"/>
          <w:szCs w:val="22"/>
          <w:color w:val="auto"/>
        </w:rPr>
        <w:t>. Except where expressly stated otherwise in this Agreement, the following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interpretation apply to this Agreement:</w:t>
      </w:r>
    </w:p>
    <w:p>
      <w:pPr>
        <w:spacing w:after="0" w:line="154" w:lineRule="exact"/>
        <w:rPr>
          <w:sz w:val="20"/>
          <w:szCs w:val="20"/>
          <w:color w:val="auto"/>
        </w:rPr>
      </w:pPr>
    </w:p>
    <w:p>
      <w:pPr>
        <w:ind w:right="20" w:firstLine="1505"/>
        <w:spacing w:after="0" w:line="258"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w:t>
      </w:r>
      <w:r>
        <w:rPr>
          <w:rFonts w:ascii="Times New Roman" w:cs="Times New Roman" w:eastAsia="Times New Roman" w:hAnsi="Times New Roman"/>
          <w:sz w:val="22"/>
          <w:szCs w:val="22"/>
          <w:b w:val="1"/>
          <w:bCs w:val="1"/>
          <w:i w:val="1"/>
          <w:iCs w:val="1"/>
          <w:color w:val="auto"/>
        </w:rPr>
        <w:t>if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3" w:name="page174"/>
    <w:bookmarkEnd w:id="173"/>
    <w:p>
      <w:pPr>
        <w:ind w:right="20" w:firstLine="1505"/>
        <w:spacing w:after="0" w:line="258" w:lineRule="auto"/>
        <w:tabs>
          <w:tab w:leader="none" w:pos="192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permitted successors and assigns;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otherwise, definitions are applicable to the singular as well as the plural forms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such terms;</w:t>
      </w:r>
    </w:p>
    <w:p>
      <w:pPr>
        <w:spacing w:after="0" w:line="176" w:lineRule="exact"/>
        <w:rPr>
          <w:rFonts w:ascii="Times New Roman" w:cs="Times New Roman" w:eastAsia="Times New Roman" w:hAnsi="Times New Roman"/>
          <w:sz w:val="21"/>
          <w:szCs w:val="21"/>
          <w:color w:val="auto"/>
        </w:rPr>
      </w:pPr>
    </w:p>
    <w:p>
      <w:pPr>
        <w:jc w:val="both"/>
        <w:ind w:firstLine="1505"/>
        <w:spacing w:after="0" w:line="247" w:lineRule="auto"/>
        <w:tabs>
          <w:tab w:leader="none" w:pos="192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otherwise, references to an “ </w:t>
      </w:r>
      <w:r>
        <w:rPr>
          <w:rFonts w:ascii="Times New Roman" w:cs="Times New Roman" w:eastAsia="Times New Roman" w:hAnsi="Times New Roman"/>
          <w:sz w:val="22"/>
          <w:szCs w:val="22"/>
          <w:b w:val="1"/>
          <w:bCs w:val="1"/>
          <w:i w:val="1"/>
          <w:iCs w:val="1"/>
          <w:color w:val="auto"/>
        </w:rPr>
        <w:t>Article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Section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Exhibit</w:t>
      </w:r>
      <w:r>
        <w:rPr>
          <w:rFonts w:ascii="Times New Roman" w:cs="Times New Roman" w:eastAsia="Times New Roman" w:hAnsi="Times New Roman"/>
          <w:sz w:val="22"/>
          <w:szCs w:val="22"/>
          <w:color w:val="auto"/>
        </w:rPr>
        <w:t>” refer to an Article or Section of, or an Exhibit to, this Agreement, and references to a “</w:t>
      </w:r>
      <w:r>
        <w:rPr>
          <w:rFonts w:ascii="Times New Roman" w:cs="Times New Roman" w:eastAsia="Times New Roman" w:hAnsi="Times New Roman"/>
          <w:sz w:val="22"/>
          <w:szCs w:val="22"/>
          <w:b w:val="1"/>
          <w:bCs w:val="1"/>
          <w:i w:val="1"/>
          <w:iCs w:val="1"/>
          <w:color w:val="auto"/>
        </w:rPr>
        <w:t>Schedule</w:t>
      </w:r>
      <w:r>
        <w:rPr>
          <w:rFonts w:ascii="Times New Roman" w:cs="Times New Roman" w:eastAsia="Times New Roman" w:hAnsi="Times New Roman"/>
          <w:sz w:val="22"/>
          <w:szCs w:val="22"/>
          <w:color w:val="auto"/>
        </w:rPr>
        <w:t>” refer to the corresponding part of the Disclosure Schedule;</w:t>
      </w:r>
    </w:p>
    <w:p>
      <w:pPr>
        <w:spacing w:after="0" w:line="16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or otherwise to dollar amounts refer to the lawful currency of the United States; and</w:t>
      </w:r>
    </w:p>
    <w:p>
      <w:pPr>
        <w:spacing w:after="0" w:line="21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ind w:left="760" w:right="1400" w:firstLine="645"/>
        <w:spacing w:after="0" w:line="437" w:lineRule="auto"/>
        <w:rPr>
          <w:sz w:val="20"/>
          <w:szCs w:val="20"/>
          <w:color w:val="auto"/>
        </w:rPr>
      </w:pPr>
      <w:r>
        <w:rPr>
          <w:rFonts w:ascii="Times New Roman" w:cs="Times New Roman" w:eastAsia="Times New Roman" w:hAnsi="Times New Roman"/>
          <w:sz w:val="22"/>
          <w:szCs w:val="22"/>
          <w:b w:val="1"/>
          <w:bCs w:val="1"/>
          <w:color w:val="auto"/>
        </w:rPr>
        <w:t>PURCHASE, SALE AND ASSIGNMENT OF THE REVENUE PARTICIPATION RIGHT Section 2.1 Purchase, Sale and Assignment</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right="20" w:firstLine="1505"/>
        <w:spacing w:after="0" w:line="249" w:lineRule="auto"/>
        <w:tabs>
          <w:tab w:leader="none" w:pos="192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 and upon the terms and subject to the conditions of this Agreement, the Seller shall sell, transfer, assign and convey to the Buyer, without recourse (except as expressly provided herein), and the Buyer shall purchase, acquire and accept from the Seller, the Revenue Participation Right, free and clear of all Liens. Immediately upon the sale to the</w:t>
      </w:r>
    </w:p>
    <w:p>
      <w:pPr>
        <w:spacing w:after="0" w:line="1"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Buyer by the Seller of the Revenue Participation Right pursuant to this Section‎ 2.1, all of the Seller’s right, title and interest in and to the Revenue Participation Right shall terminate, and all such right, title and interest shall vest in the Buyer.</w:t>
      </w:r>
    </w:p>
    <w:p>
      <w:pPr>
        <w:spacing w:after="0" w:line="178" w:lineRule="exact"/>
        <w:rPr>
          <w:rFonts w:ascii="Times New Roman" w:cs="Times New Roman" w:eastAsia="Times New Roman" w:hAnsi="Times New Roman"/>
          <w:sz w:val="21"/>
          <w:szCs w:val="21"/>
          <w:color w:val="auto"/>
        </w:rPr>
      </w:pPr>
    </w:p>
    <w:p>
      <w:pPr>
        <w:jc w:val="both"/>
        <w:ind w:firstLine="1505"/>
        <w:spacing w:after="0" w:line="246" w:lineRule="auto"/>
        <w:tabs>
          <w:tab w:leader="none" w:pos="192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of the parties hereto that the sale, transfer, assignment and conveyance contemplated by this Agreement be, and is, a true, complete, absolute and irrevocable sale, transfer, assignment and conveyance by the Seller to the Buyer of all of the Seller’s right, title and interest in and to the Revenue Participation Right. Neither the Seller nor the Buyer intends the transactions contemplated by this Agreement to be, or for any purpose characterized as, a loan from the Buyer to the Seller or a pledge, a security interest,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under any Bankruptcy Laws. The Seller hereby waives, to the maximum extent permitted by applicable law, any right to contest or otherwise assert that this Agreement does not constitute a true, complete, absolute and irrevocable sale, transfer, assignment and conveyance by the Seller to the Buyer of all of the Seller’s right, title and interest in and to the Revenue Participation Right under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both"/>
        <w:spacing w:after="0" w:line="232" w:lineRule="auto"/>
        <w:rPr>
          <w:sz w:val="20"/>
          <w:szCs w:val="20"/>
          <w:color w:val="auto"/>
        </w:rPr>
      </w:pPr>
      <w:r>
        <w:rPr>
          <w:rFonts w:ascii="Times New Roman" w:cs="Times New Roman" w:eastAsia="Times New Roman" w:hAnsi="Times New Roman"/>
          <w:sz w:val="22"/>
          <w:szCs w:val="22"/>
          <w:color w:val="auto"/>
        </w:rPr>
        <w:t>law, which waiver shall, to the maximum extent permitted by applicable law, be enforceable against the Seller in any bankruptcy or insolvency proceeding relating to the Seller. Accordingly, the Seller shall treat the sale, transfer, assignment and conveyance of the Revenue Participation Right as a sale of “accounts” or “payment intangibles” (as appropriate) in accordance with the UCC, and the Seller hereby authorizes the Buyer to file financing statements (and continuation statements with respect to such financing statements when applicable) naming the Seller as the seller and the Buyer as the buyer in respect to the Revenue Participation Right and any “proceeds” (as defined in the UCC) thereof.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not to be a sale, the Seller does hereby grant to the Buyer, as security for the payment of amounts to the Buyer equal to the Royalty Cap less all Royalty Payments received by the Buyer pursuant to this Agreement, a security interest in and to all right, title and interest in, to and under (x) [***], the Product Collateral and (y) [***], the Revenue Participation Right, the Royalty Payments and any “proceeds” (as defined in the UCC) thereof (collectively, the “</w:t>
      </w:r>
      <w:r>
        <w:rPr>
          <w:rFonts w:ascii="Times New Roman" w:cs="Times New Roman" w:eastAsia="Times New Roman" w:hAnsi="Times New Roman"/>
          <w:sz w:val="22"/>
          <w:szCs w:val="22"/>
          <w:b w:val="1"/>
          <w:bCs w:val="1"/>
          <w:i w:val="1"/>
          <w:iCs w:val="1"/>
          <w:color w:val="auto"/>
        </w:rPr>
        <w:t>Back-Up Security Interest</w:t>
      </w:r>
      <w:r>
        <w:rPr>
          <w:rFonts w:ascii="Times New Roman" w:cs="Times New Roman" w:eastAsia="Times New Roman" w:hAnsi="Times New Roman"/>
          <w:sz w:val="22"/>
          <w:szCs w:val="22"/>
          <w:color w:val="auto"/>
        </w:rPr>
        <w:t>”), and the Seller does hereby authorize the Buyer, from and after the Closing, to file such security filings and financing statements (and continuation statements with respect to such financing statements when applicable) in such manner and such jurisdictions as are necessary or appropriate to perfect such security interest. [***]. The Buyer will promptly take such action and execute such documents as the Seller may reasonably request, at the Seller’s sole expense, to evidence such release.</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2.2 Purchase Price</w:t>
      </w:r>
      <w:r>
        <w:rPr>
          <w:rFonts w:ascii="Times New Roman" w:cs="Times New Roman" w:eastAsia="Times New Roman" w:hAnsi="Times New Roman"/>
          <w:sz w:val="22"/>
          <w:szCs w:val="22"/>
          <w:color w:val="auto"/>
        </w:rPr>
        <w:t>. At the Closing and upon the terms and subject to the conditions of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price to be paid as consideration to the Seller for the sale, transfer, assignment and conveyance of the Revenue Participation Right to the Buyer is $350,000,000 in cash (the “</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2.3 No Assumed Obligations, Etc. </w:t>
      </w:r>
      <w:r>
        <w:rPr>
          <w:rFonts w:ascii="Times New Roman" w:cs="Times New Roman" w:eastAsia="Times New Roman" w:hAnsi="Times New Roman"/>
          <w:sz w:val="22"/>
          <w:szCs w:val="22"/>
          <w:color w:val="auto"/>
        </w:rPr>
        <w:t>Notwithstanding any provision in this Agreement to the contrary,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is only agreeing, on the terms and conditions set forth in this Agreement, to purchase, acquire and accept the Revenue Participation Right and is not assuming any liability or obligation of the Seller of whatever nature, whether presently in existence or arising or asserted hereafter.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3.1 Closing</w:t>
      </w:r>
      <w:r>
        <w:rPr>
          <w:rFonts w:ascii="Times New Roman" w:cs="Times New Roman" w:eastAsia="Times New Roman" w:hAnsi="Times New Roman"/>
          <w:sz w:val="22"/>
          <w:szCs w:val="22"/>
          <w:color w:val="auto"/>
        </w:rPr>
        <w:t>. The Closing shall take place remotely via the exchange of documents and signatures on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subject to the satisfaction or waiver of the conditions set forth in ‎Article 5 (other than those conditions that by their nature are to be satisfied at the Closing).</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3.2 Payment of Purchase Price</w:t>
      </w:r>
      <w:r>
        <w:rPr>
          <w:rFonts w:ascii="Times New Roman" w:cs="Times New Roman" w:eastAsia="Times New Roman" w:hAnsi="Times New Roman"/>
          <w:sz w:val="22"/>
          <w:szCs w:val="22"/>
          <w:color w:val="auto"/>
        </w:rPr>
        <w:t>. On the Closing Date, subject to the satisfaction or waiver of the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‎Article 5, the Buyer shall deliver (or cause to be delivered) payment of the Purchase Price to the Seller by electronic funds transfer or wire transfer of immediately available funds to one or more accounts specified by the Seller.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3.3 Bill of Sale</w:t>
      </w:r>
      <w:r>
        <w:rPr>
          <w:rFonts w:ascii="Times New Roman" w:cs="Times New Roman" w:eastAsia="Times New Roman" w:hAnsi="Times New Roman"/>
          <w:sz w:val="22"/>
          <w:szCs w:val="22"/>
          <w:color w:val="auto"/>
        </w:rPr>
        <w:t>. On the Closing Date, upon confirmation of the receipt of the Purchase Price, the Seller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 to the Buyer a duly executed bill of sale evidencing the sale, transfer, assignment and conveyance of the Revenue Participation Right in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Bill of Sale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4.1 Seller’s Representations and Warranties </w:t>
      </w:r>
      <w:r>
        <w:rPr>
          <w:rFonts w:ascii="Times New Roman" w:cs="Times New Roman" w:eastAsia="Times New Roman" w:hAnsi="Times New Roman"/>
          <w:sz w:val="22"/>
          <w:szCs w:val="22"/>
          <w:color w:val="auto"/>
        </w:rPr>
        <w:t>. Except as set forth on Schedule 4‎.1 to the 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attached hereto, the Seller represents and warrants to the Buyer that as of the date hereof:</w:t>
      </w:r>
    </w:p>
    <w:p>
      <w:pPr>
        <w:spacing w:after="0" w:line="150" w:lineRule="exact"/>
        <w:rPr>
          <w:sz w:val="20"/>
          <w:szCs w:val="20"/>
          <w:color w:val="auto"/>
        </w:rPr>
      </w:pPr>
    </w:p>
    <w:p>
      <w:pPr>
        <w:jc w:val="both"/>
        <w:ind w:firstLine="1505"/>
        <w:spacing w:after="0" w:line="237" w:lineRule="auto"/>
        <w:tabs>
          <w:tab w:leader="none" w:pos="195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Existence; Good Standing</w:t>
      </w:r>
      <w:r>
        <w:rPr>
          <w:rFonts w:ascii="Times New Roman" w:cs="Times New Roman" w:eastAsia="Times New Roman" w:hAnsi="Times New Roman"/>
          <w:sz w:val="22"/>
          <w:szCs w:val="22"/>
          <w:color w:val="auto"/>
        </w:rPr>
        <w:t>. The Seller is a corporation duly incorporated,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under the laws of the State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75"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Authorization</w:t>
      </w:r>
      <w:r>
        <w:rPr>
          <w:rFonts w:ascii="Times New Roman" w:cs="Times New Roman" w:eastAsia="Times New Roman" w:hAnsi="Times New Roman"/>
          <w:sz w:val="22"/>
          <w:szCs w:val="22"/>
          <w:color w:val="auto"/>
        </w:rPr>
        <w:t>. The Seller has all requisite corporate power and authority to execute, deliver and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obligations under this Agreement. The execution, delivery and performance of this Agreement, and the consummation of the transactions contemplated hereby, have been duly authorized by all necessary corporate action on the part of the Seller.</w:t>
      </w:r>
    </w:p>
    <w:p>
      <w:pPr>
        <w:spacing w:after="0" w:line="167"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5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Enforceability</w:t>
      </w:r>
      <w:r>
        <w:rPr>
          <w:rFonts w:ascii="Times New Roman" w:cs="Times New Roman" w:eastAsia="Times New Roman" w:hAnsi="Times New Roman"/>
          <w:sz w:val="22"/>
          <w:szCs w:val="22"/>
          <w:color w:val="auto"/>
        </w:rPr>
        <w:t>. This Agreement has been duly executed and delivered by an authorized officer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and constitutes the valid and binding obligation of the Seller, enforceable against the Seller in accordance with its terms, except as may be limited by applicable Bankruptcy Laws or by general principles of equity (whether considered in a proceeding in equity or at law).</w:t>
      </w:r>
    </w:p>
    <w:p>
      <w:pPr>
        <w:spacing w:after="0" w:line="17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9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Conflicts</w:t>
      </w:r>
      <w:r>
        <w:rPr>
          <w:rFonts w:ascii="Times New Roman" w:cs="Times New Roman" w:eastAsia="Times New Roman" w:hAnsi="Times New Roman"/>
          <w:sz w:val="22"/>
          <w:szCs w:val="22"/>
          <w:color w:val="auto"/>
        </w:rPr>
        <w:t>. The execution, delivery and performance by the Seller of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consummation of the transactions contemplated hereby and thereby do not and will not (i) contravene or conflict with the certificate of incorporation or bylaws of the Seller, (ii) contravene or conflict with or constitute a material default under any law binding upon or applicable to the Seller or the Revenue Participation Right, (iii) contravene or conflict with or constitute a material default under any material Contract or Judgment binding upon or applicable to the Seller or the Revenue Participation Right, or (iv) contravene or conflict with or constitute a default under (A) the UCB Agreement, (B) the Incyte Agreement, or (C) except to the extent that such contravention, conflict, or breach would not reasonably be expected to result in a Material Adverse Effect, any other Contract binding upon or applicable to the Seller or any of its Affiliates.</w:t>
      </w:r>
    </w:p>
    <w:p>
      <w:pPr>
        <w:spacing w:after="0" w:line="178"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Consents</w:t>
      </w:r>
      <w:r>
        <w:rPr>
          <w:rFonts w:ascii="Times New Roman" w:cs="Times New Roman" w:eastAsia="Times New Roman" w:hAnsi="Times New Roman"/>
          <w:sz w:val="22"/>
          <w:szCs w:val="22"/>
          <w:color w:val="auto"/>
        </w:rPr>
        <w:t>. Except for the consents that have been obtained on or prior to the Closing, the UCC financing</w:t>
      </w:r>
    </w:p>
    <w:p>
      <w:pPr>
        <w:spacing w:after="0" w:line="18" w:lineRule="exact"/>
        <w:rPr>
          <w:rFonts w:ascii="Times New Roman" w:cs="Times New Roman" w:eastAsia="Times New Roman" w:hAnsi="Times New Roman"/>
          <w:sz w:val="22"/>
          <w:szCs w:val="22"/>
          <w:color w:val="auto"/>
        </w:rPr>
      </w:pPr>
    </w:p>
    <w:p>
      <w:pPr>
        <w:jc w:val="both"/>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statements contemplated by Section‎ 2.1(b), or any filings required by the federal securities laws or stock exchange rules, no consent, approval, license, order, authorization, registration, declaration or filing with or of any Governmental Entity or other Person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1"/>
          <w:szCs w:val="21"/>
          <w:color w:val="auto"/>
        </w:rPr>
        <w:t>is required to be done or obtained by the Seller in connection with (i) the execution and delivery by the Seller of this Agreement,</w:t>
      </w:r>
    </w:p>
    <w:p>
      <w:pPr>
        <w:spacing w:after="0" w:line="26" w:lineRule="exact"/>
        <w:rPr>
          <w:sz w:val="20"/>
          <w:szCs w:val="20"/>
          <w:color w:val="auto"/>
        </w:rPr>
      </w:pPr>
    </w:p>
    <w:p>
      <w:pPr>
        <w:ind w:right="20" w:firstLine="8"/>
        <w:spacing w:after="0" w:line="237" w:lineRule="auto"/>
        <w:tabs>
          <w:tab w:leader="none" w:pos="33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by the Seller of its obligations under this Agreement or (iii) the consummation by the Seller of any of the transactions contemplated by this Agreement.</w:t>
      </w:r>
    </w:p>
    <w:p>
      <w:pPr>
        <w:spacing w:after="0" w:line="174"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4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Litigation</w:t>
      </w:r>
      <w:r>
        <w:rPr>
          <w:rFonts w:ascii="Times New Roman" w:cs="Times New Roman" w:eastAsia="Times New Roman" w:hAnsi="Times New Roman"/>
          <w:sz w:val="22"/>
          <w:szCs w:val="22"/>
          <w:color w:val="auto"/>
        </w:rPr>
        <w:t>. Neither the Seller nor any of its Affiliates, is a party to, and has not received any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any action, suit, investigation or proceeding pending before any Governmental Entity and, to the Knowledge of the Seller, no such action, suit, investigation or proceeding has been threatened against the Seller, that, individually or in the aggregate, has had or would, if determined adversely, reasonably be expected to have a Material Adverse Effect.</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w:t>
      </w:r>
    </w:p>
    <w:p>
      <w:pPr>
        <w:spacing w:after="0" w:line="21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applications, submissions, information and data related to the Product submitted or utilized as the basis for any request to FDA by or on behalf of the Seller, its Affiliates, or, to the Knowledge of the Seller, its Licensees were true and correct in all material respects as of the date of such submission or request. To the Knowledge of the Seller, any material updates, changes, corrections or modification to such applications, submissions, information or data required under applicable laws or regulations have been submitted to the FDA.</w:t>
      </w:r>
    </w:p>
    <w:p>
      <w:pPr>
        <w:spacing w:after="0" w:line="176"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732"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Seller nor its Affiliates or, to the Knowledge of the Seller, its Licensees, has committed any act, made any statement or failed to make any statement that would reasonably be expected to provide a basis for the FDA to invoke its policy with respect to “</w:t>
      </w:r>
      <w:r>
        <w:rPr>
          <w:rFonts w:ascii="Times New Roman" w:cs="Times New Roman" w:eastAsia="Times New Roman" w:hAnsi="Times New Roman"/>
          <w:sz w:val="22"/>
          <w:szCs w:val="22"/>
          <w:b w:val="1"/>
          <w:bCs w:val="1"/>
          <w:i w:val="1"/>
          <w:iCs w:val="1"/>
          <w:color w:val="auto"/>
        </w:rPr>
        <w:t>Fraud, Untrue Statements of Material Facts, Bribery, and Illegal Gratuities</w:t>
      </w:r>
      <w:r>
        <w:rPr>
          <w:rFonts w:ascii="Times New Roman" w:cs="Times New Roman" w:eastAsia="Times New Roman" w:hAnsi="Times New Roman"/>
          <w:sz w:val="22"/>
          <w:szCs w:val="22"/>
          <w:color w:val="auto"/>
        </w:rPr>
        <w:t>”, 56 Fed. Reg. 46191 (September 10, 1991) (the “</w:t>
      </w:r>
      <w:r>
        <w:rPr>
          <w:rFonts w:ascii="Times New Roman" w:cs="Times New Roman" w:eastAsia="Times New Roman" w:hAnsi="Times New Roman"/>
          <w:sz w:val="22"/>
          <w:szCs w:val="22"/>
          <w:b w:val="1"/>
          <w:bCs w:val="1"/>
          <w:i w:val="1"/>
          <w:iCs w:val="1"/>
          <w:color w:val="auto"/>
        </w:rPr>
        <w:t>FDA Application Integrity Policy</w:t>
      </w:r>
      <w:r>
        <w:rPr>
          <w:rFonts w:ascii="Times New Roman" w:cs="Times New Roman" w:eastAsia="Times New Roman" w:hAnsi="Times New Roman"/>
          <w:sz w:val="22"/>
          <w:szCs w:val="22"/>
          <w:color w:val="auto"/>
        </w:rPr>
        <w:t>”) and any amendments thereto, or any similar policies by FDA, set forth in any applicable laws or regulations. Neither the Seller nor, to the Knowledge of the Seller, any of its officers, employees, contractors or agents is the subject of any pending or, to the Knowledge of the Seller, threatened investigation by FDA that could reasonably result in the invocation of the FDA Application Integrity Policy or any similar policies by FDA.</w:t>
      </w:r>
    </w:p>
    <w:p>
      <w:pPr>
        <w:spacing w:after="0" w:line="178"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678"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has provided to the Buyer prior to the date hereof in a data room available to the Buyer true and correct copies or summaries of all material written communications sent or received by the Seller and any of its Affiliates (or its Licensees, to the extent the Seller has actually received copies of such communications from such Licensees) to or from FDA since January 1, 2021 that relate to the Product.</w:t>
      </w:r>
    </w:p>
    <w:p>
      <w:pPr>
        <w:spacing w:after="0" w:line="180"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678"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None of the Seller or any of its Affiliates or, to the Knowledge of the Seller, its Licensees or any Third Party manufacturer of the Product, has received from the FDA a Warning Letter, Form FDA-483, Untitled Letter or similar material written correspondence or notice alleging violations of applicable laws and regulations enforced by the FDA with regard to the Product or the manufacture, processing, packaging or holding thereof, the subject of which communication is unresolved and if determined adversely to the Seller or such Affiliate, Licensee, or Third Party manufacturer, would, individually or in the aggregate, reasonably be expected to result in a Material Adverse Effect.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both"/>
        <w:ind w:firstLine="2254"/>
        <w:spacing w:after="0" w:line="234" w:lineRule="auto"/>
        <w:tabs>
          <w:tab w:leader="none" w:pos="2678"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Since January 1, 2021, (A) there have been no Safety Notices, (B) to the Knowledge of the Seller, there are no unresolved material product complaints with respect to the Product, which would result in a Material Adverse Effect, and (C) to the Knowledge of the Seller, there are no facts currently in existence that would, individually or in the aggregate, reasonably be expected to result in (1) a material Safety Notice with respect to the Product, or (2) a material change in the labeling of the Product. Since January 1, 2021, neither the Seller nor any of its Affiliates nor, to the Knowledge of the Seller, its Licensees, has experienced any significant failures in the manufacturing of the Product for clinical use or commercial sale that have not been resolved, or that would, individually or in the aggregate, have had or would reasonably be expected to result in, if such failure occurred again, a Material Adverse Effect. To the Knowledge of the Seller, no facts exist with respect to, and the Seller does not expect any impediments to, the manufacturing of the Product that would, individually or in the aggregate, reasonably be expected to delay Commercial Launch beyond March 31, 2025.</w:t>
      </w:r>
    </w:p>
    <w:p>
      <w:pPr>
        <w:spacing w:after="0" w:line="179" w:lineRule="exact"/>
        <w:rPr>
          <w:rFonts w:ascii="Times New Roman" w:cs="Times New Roman" w:eastAsia="Times New Roman" w:hAnsi="Times New Roman"/>
          <w:sz w:val="22"/>
          <w:szCs w:val="22"/>
          <w:b w:val="1"/>
          <w:bCs w:val="1"/>
          <w:color w:val="auto"/>
        </w:rPr>
      </w:pPr>
    </w:p>
    <w:p>
      <w:pPr>
        <w:jc w:val="both"/>
        <w:ind w:firstLine="2254"/>
        <w:spacing w:after="0" w:line="233" w:lineRule="auto"/>
        <w:tabs>
          <w:tab w:leader="none" w:pos="2692"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its Affiliates and, to the Knowledge of the Seller, its Licensees, possess all material permits, licenses, registrations, certificates, authorizations, orders and approvals from FDA necessary to conduct their business as currently conducted with respect to the Product (collectively, “</w:t>
      </w:r>
      <w:r>
        <w:rPr>
          <w:rFonts w:ascii="Times New Roman" w:cs="Times New Roman" w:eastAsia="Times New Roman" w:hAnsi="Times New Roman"/>
          <w:sz w:val="22"/>
          <w:szCs w:val="22"/>
          <w:b w:val="1"/>
          <w:bCs w:val="1"/>
          <w:i w:val="1"/>
          <w:iCs w:val="1"/>
          <w:color w:val="auto"/>
        </w:rPr>
        <w:t>Permits</w:t>
      </w:r>
      <w:r>
        <w:rPr>
          <w:rFonts w:ascii="Times New Roman" w:cs="Times New Roman" w:eastAsia="Times New Roman" w:hAnsi="Times New Roman"/>
          <w:sz w:val="22"/>
          <w:szCs w:val="22"/>
          <w:color w:val="auto"/>
        </w:rPr>
        <w:t>”). None of the Seller or any of its Affiliates or, to the Knowledge of the Seller, its Licensees have received any written notice of proceedings relating to the suspension, modification, revocation or cancellation of any Permit. Neither the Seller, its Affiliates, nor, to the Knowledge of the Seller, any Licensee, officer, employee or agent of the Seller or its Affiliates or Licensees has been convicted of any crime or engaged in any conduct that has previously caused or would reasonably be expected to result in (A) disqualification or debarment by the FDA under 21 U.S.C. Sections 335(a) or (b), or any similar law, rule or regulation of any other Governmental Entities, (B) debarment, suspension, or exclusion under any federal healthcare programs or by the General Services Administration or under any similar program or by any Governmental Entities, or (C) exclusion under 42 U.S.C. Section 1320a-7 or any similar law, rule or regulation of any other Governmental Entities. Neither the Seller, its Affiliates, nor, to the Knowledge of the Seller, any Licensee, officer, employee, contractor or agent of the Seller or its Affiliates or Licensees has made an untrue statement of material fact on, or material omissions from, any notifications, applications, approvals, reports and other submissions to FDA.</w:t>
      </w:r>
    </w:p>
    <w:p>
      <w:pPr>
        <w:spacing w:after="0" w:line="182"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70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its Affiliates and, to the Knowledge of the Seller, its Licensees is and has been in compliance with all applicable laws administered or issued by the FDA, including the Federal Food, Drug, and Cosmetic Act, applicable requirements in FDA regulations, and any orders issued by FDA, and all other laws regarding ownership, developing, testing, manufacturing, packaging, storage, import, export, disposal, marketing, distributing, promoting, and complaint handling or adverse event reporting for the products of the Seller, except to the extent that such failure to comply with such applicable laws would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40" w:hanging="435"/>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ind w:firstLine="2254"/>
        <w:spacing w:after="0" w:line="233" w:lineRule="auto"/>
        <w:tabs>
          <w:tab w:leader="none" w:pos="267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In-Licenses </w:t>
      </w:r>
      <w:r>
        <w:rPr>
          <w:rFonts w:ascii="Times New Roman" w:cs="Times New Roman" w:eastAsia="Times New Roman" w:hAnsi="Times New Roman"/>
          <w:sz w:val="22"/>
          <w:szCs w:val="22"/>
          <w:color w:val="auto"/>
        </w:rPr>
        <w:t>.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 true, correct and complete copy of the UCB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Seller has delivered to the Buyer true, correct and complete copies of (A) any development, commercialization, royalty, or milestone reports with respect to the Territory under the UCB Agreement, and (B) subject to the UCB Consent, any material notice or communications related to the UCB Agreement that would reasonably be expected (individually or in the aggregate) to have a Material Adverse Effect. Any material notice or communications not delivered under clause (B) as a result of the UCB Consent do not disclose matters that would reasonably be expected (individually or in the aggregate) to have a Material Adverse Effect. Except for the UCB Agreement, there are no In-Licenses. Other than the Revised Consent Letter, the UCB Agreement is the only Contract between the Seller (or any predecessor or Affiliate thereof), on the one hand, and UCB (or any predecessor or Affiliate thereof), on the other hand, relating to the Licensed Antibody or the Product. Neither the Seller nor UCB has made or entered into any amendment, supplement or modification to, or granted any waiver under any provision of the UCB Agreement. There is no proposal made by or to the Seller or its Affiliates to amend or waive any provision of the UCB Agreement in any manner that (1) would result in a breach of this Agreement or (2) would otherwise reasonably be expected to have a Material Adverse Effect.</w:t>
      </w:r>
    </w:p>
    <w:p>
      <w:pPr>
        <w:spacing w:after="0" w:line="182"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67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Out-Licenses </w:t>
      </w:r>
      <w:r>
        <w:rPr>
          <w:rFonts w:ascii="Times New Roman" w:cs="Times New Roman" w:eastAsia="Times New Roman" w:hAnsi="Times New Roman"/>
          <w:sz w:val="22"/>
          <w:szCs w:val="22"/>
          <w:color w:val="auto"/>
        </w:rPr>
        <w:t>.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 true, correct and complete copy of the Incyte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Seller has delivered to the Buyer true, correct and complete copies of all License Agreement Correspondence. Except for the Incyte Agreement, there are no Out-Licenses. Other than the Revised Consent Letter, the Incyte Agreement is the only Contract between the Seller (or any predecessor or Affiliate thereof), on the one hand, and Incyte (or any predecessor or Affiliate thereof), on the other hand, relating to the Licensed Antibody or the Product. Neither the Seller nor Incyte has made or entered into any amendment, supplement or modification to, or granted any waiver under any provision of the Incyte Agreement. There is no proposal made by or to the Seller or its Affiliates to amend or waive any provision of the Incyte Agreement in any manner that (A) would result in a breach of this Agreement or (B) would otherwise reasonably be expected to have a Material Adverse Effect.</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5" w:lineRule="auto"/>
        <w:tabs>
          <w:tab w:leader="none" w:pos="2678"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Other Agreements</w:t>
      </w:r>
      <w:r>
        <w:rPr>
          <w:rFonts w:ascii="Times New Roman" w:cs="Times New Roman" w:eastAsia="Times New Roman" w:hAnsi="Times New Roman"/>
          <w:sz w:val="21"/>
          <w:szCs w:val="21"/>
          <w:color w:val="auto"/>
        </w:rPr>
        <w:t>. Other than the Incyte Agreement, the UCB Agreement, and the Revised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Consent Letter, there are no other material Contracts between the Seller (or any predecessor or any Affiliate thereof), on the one hand, and any other Person, including Incyte or UCB (or any predecessor or Affiliate thereof), on the other hand, that relate to the Incyte Agreement, the UCB Agreement, any Patent Rights, the Licensed Antibody or the Product (including the research, development or commercialization thereof), or the Royalty Payments. To the Knowledge of the Seller, the Incyte Agreement and the Revised Consent Letter are the only material Contracts between Incyte (or any predecessor or Affiliate thereof), on the one hand, and any other Person, on the other hand, relating to the Licensed Antibody or the Product (including the research, development or Commercialization thereof), other than any Contracts entered into in the ordinary course with Distributors and/or contract manufacturing organizations (provided they are solely engaged in manufacturing) and other non-sales force service contractors (provided they are not engaged in any material Commercialization activities). To the Knowledge of the Seller, the UCB Agreement, the Revised Consent Letter, and the Upstream Licenses are the only material Contracts between UCB (or any predecessor or Affiliate thereof), on the one hand, and any other Person, on the other hand, relating to the Licensed Antibody or the Product (including the research, development or commercialization thereof), other than any Contracts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jc w:val="both"/>
        <w:spacing w:after="0" w:line="238" w:lineRule="auto"/>
        <w:rPr>
          <w:sz w:val="20"/>
          <w:szCs w:val="20"/>
          <w:color w:val="auto"/>
        </w:rPr>
      </w:pPr>
      <w:r>
        <w:rPr>
          <w:rFonts w:ascii="Times New Roman" w:cs="Times New Roman" w:eastAsia="Times New Roman" w:hAnsi="Times New Roman"/>
          <w:sz w:val="22"/>
          <w:szCs w:val="22"/>
          <w:color w:val="auto"/>
        </w:rPr>
        <w:t>entered into in the ordinary course with contract manufacturing organizations (provided they are solely engaged in manufacturing) and other non-sales force service contractors. No executed, draft or proposed Contract between the Seller (or any predecessor or any Affiliate thereof), on the one hand, and any other Person, including Incyte or UCB (or any predecessor or Affiliate thereof), on the other hand, contains any provision, term or condition that would reasonably be expected to result in a Material Adverse Effect.</w:t>
      </w:r>
    </w:p>
    <w:p>
      <w:pPr>
        <w:spacing w:after="0" w:line="173" w:lineRule="exact"/>
        <w:rPr>
          <w:sz w:val="20"/>
          <w:szCs w:val="20"/>
          <w:color w:val="auto"/>
        </w:rPr>
      </w:pPr>
    </w:p>
    <w:p>
      <w:pPr>
        <w:jc w:val="both"/>
        <w:ind w:firstLine="2254"/>
        <w:spacing w:after="0" w:line="237" w:lineRule="auto"/>
        <w:tabs>
          <w:tab w:leader="none" w:pos="2678"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Validity and Enforceability of In-Licenses and Out-Licenses</w:t>
      </w:r>
      <w:r>
        <w:rPr>
          <w:rFonts w:ascii="Times New Roman" w:cs="Times New Roman" w:eastAsia="Times New Roman" w:hAnsi="Times New Roman"/>
          <w:sz w:val="22"/>
          <w:szCs w:val="22"/>
          <w:color w:val="auto"/>
        </w:rPr>
        <w:t>. Each of the UCB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Incyte Agreement is a valid and binding obligation of the Seller and the respective counterparty thereto. Each of the UCB Agreement and the Incyte Agreement is enforceable against each respective counterparty thereto in accordance with its terms except as may be limited by applicable Bankruptcy Laws or by general principles of equity (whether considered in a proceeding in equity or at law). The Seller has not received any written notice in connection with the UCB Agreement or the Incyte Agreement challenging the validity, enforceability or interpretation of any provision of such agreement.</w:t>
      </w:r>
    </w:p>
    <w:p>
      <w:pPr>
        <w:spacing w:after="0" w:line="175"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678"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Termination</w:t>
      </w:r>
      <w:r>
        <w:rPr>
          <w:rFonts w:ascii="Times New Roman" w:cs="Times New Roman" w:eastAsia="Times New Roman" w:hAnsi="Times New Roman"/>
          <w:sz w:val="22"/>
          <w:szCs w:val="22"/>
          <w:color w:val="auto"/>
        </w:rPr>
        <w:t>. The Seller has not (A) given notice to a counterparty of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UCB Agreement or the Incyte Agreement (whether in whole or in part) or any notice to a counterparty expressing any intention or desire to terminate the UCB Agreement or the Incyte Agreement or (B) received from a counterparty thereto any written notice of termination of the UCB Agreement or the Incyte Agreement (whether in whole or in part) or any written notice from a counterparty expressing any intention or desire to terminate the UCB Agreement or the Incyte Agreement. To the Knowledge of the Seller, no event has occurred that would give rise to the expiration or termination of, or either the Seller or a counterparty thereto having the right to terminate (other than contractual rights to terminate for convenience), the UCB Agreement or the Incyte Agreement.</w:t>
      </w:r>
    </w:p>
    <w:p>
      <w:pPr>
        <w:spacing w:after="0" w:line="178" w:lineRule="exact"/>
        <w:rPr>
          <w:rFonts w:ascii="Times New Roman" w:cs="Times New Roman" w:eastAsia="Times New Roman" w:hAnsi="Times New Roman"/>
          <w:sz w:val="22"/>
          <w:szCs w:val="22"/>
          <w:b w:val="1"/>
          <w:bCs w:val="1"/>
          <w:color w:val="auto"/>
        </w:rPr>
      </w:pPr>
    </w:p>
    <w:p>
      <w:pPr>
        <w:jc w:val="both"/>
        <w:ind w:firstLine="2254"/>
        <w:spacing w:after="0" w:line="238" w:lineRule="auto"/>
        <w:tabs>
          <w:tab w:leader="none" w:pos="2678"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Breaches or Defaults</w:t>
      </w:r>
      <w:r>
        <w:rPr>
          <w:rFonts w:ascii="Times New Roman" w:cs="Times New Roman" w:eastAsia="Times New Roman" w:hAnsi="Times New Roman"/>
          <w:sz w:val="22"/>
          <w:szCs w:val="22"/>
          <w:color w:val="auto"/>
        </w:rPr>
        <w:t>. There is and has been no material breach or default under any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UCB Agreement or the Incyte Agreement either by the Seller or, to the Knowledge of the Seller, by the respective counterparty (or any predecessor thereof) thereto, and there is no event that upon notice or the passage of time, or both, would reasonably be expected to give rise to any breach or default either by the Seller or, to the Knowledge of the Seller, by the respective counterparty to such agreement.</w:t>
      </w:r>
    </w:p>
    <w:p>
      <w:pPr>
        <w:spacing w:after="0" w:line="176" w:lineRule="exact"/>
        <w:rPr>
          <w:rFonts w:ascii="Times New Roman" w:cs="Times New Roman" w:eastAsia="Times New Roman" w:hAnsi="Times New Roman"/>
          <w:sz w:val="22"/>
          <w:szCs w:val="22"/>
          <w:b w:val="1"/>
          <w:bCs w:val="1"/>
          <w:color w:val="auto"/>
        </w:rPr>
      </w:pPr>
    </w:p>
    <w:p>
      <w:pPr>
        <w:jc w:val="both"/>
        <w:ind w:firstLine="2254"/>
        <w:spacing w:after="0" w:line="250" w:lineRule="auto"/>
        <w:tabs>
          <w:tab w:leader="none" w:pos="2678"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Payments Made</w:t>
      </w:r>
      <w:r>
        <w:rPr>
          <w:rFonts w:ascii="Times New Roman" w:cs="Times New Roman" w:eastAsia="Times New Roman" w:hAnsi="Times New Roman"/>
          <w:sz w:val="21"/>
          <w:szCs w:val="21"/>
          <w:color w:val="auto"/>
        </w:rPr>
        <w:t>. Incyte has made all payments to the Seller required under the Incyte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date hereof. The Seller has made all payments to UCB required under the UCB Agreement as of the date hereof. To the Knowledge of the Seller, other than the payments payable to the applicable counterparties under the Upstream Licenses, the Seller’s payments to UCB required under the UCB Agreement, and the payments payable to Incyte and the Seller under the Incyte Agreement, no Person is owed any royalty payment, milestone payment or other payment of any kind in connection with the discovery, research, development, manufacture, use, sale or other exploitation of the Licensed Antibody or the Product.</w:t>
      </w:r>
    </w:p>
    <w:p>
      <w:pPr>
        <w:spacing w:after="0" w:line="164" w:lineRule="exact"/>
        <w:rPr>
          <w:rFonts w:ascii="Times New Roman" w:cs="Times New Roman" w:eastAsia="Times New Roman" w:hAnsi="Times New Roman"/>
          <w:sz w:val="21"/>
          <w:szCs w:val="21"/>
          <w:b w:val="1"/>
          <w:bCs w:val="1"/>
          <w:color w:val="auto"/>
        </w:rPr>
      </w:pPr>
    </w:p>
    <w:p>
      <w:pPr>
        <w:jc w:val="both"/>
        <w:ind w:firstLine="2254"/>
        <w:spacing w:after="0" w:line="263" w:lineRule="auto"/>
        <w:tabs>
          <w:tab w:leader="none" w:pos="311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Assignments</w:t>
      </w:r>
      <w:r>
        <w:rPr>
          <w:rFonts w:ascii="Times New Roman" w:cs="Times New Roman" w:eastAsia="Times New Roman" w:hAnsi="Times New Roman"/>
          <w:sz w:val="21"/>
          <w:szCs w:val="21"/>
          <w:color w:val="auto"/>
        </w:rPr>
        <w:t>. The Seller has not consented to any assignment by the counterparty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UCB Agreement or the Incyte Agreement of any of its rights or obligations under any such agreement and, to the Knowledge of the Seller, the counterparty has not assigned any of its rights or obligations under any such agreement to any Person. The Seller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38" w:lineRule="auto"/>
        <w:rPr>
          <w:sz w:val="20"/>
          <w:szCs w:val="20"/>
          <w:color w:val="auto"/>
        </w:rPr>
      </w:pPr>
      <w:r>
        <w:rPr>
          <w:rFonts w:ascii="Times New Roman" w:cs="Times New Roman" w:eastAsia="Times New Roman" w:hAnsi="Times New Roman"/>
          <w:sz w:val="22"/>
          <w:szCs w:val="22"/>
          <w:color w:val="auto"/>
        </w:rPr>
        <w:t>has not conveyed, assigned or in any other way transferred all or any portion of its right, title and interest in and to the Revenue Participation Right, the Royalty Payments, any Patent Rights, the UCB Agreement, or the Incyte Agreement, except for the Seller’s grant of a security interest to Hercules Capital, Inc. pursuant to that certain Loan and Security Agreement, dated as of February 7, 2020, as amended from time to time, and the other Loan Documents (as defined therein), which credit facility and security interest have since been terminated and released.</w:t>
      </w:r>
    </w:p>
    <w:p>
      <w:pPr>
        <w:spacing w:after="0" w:line="173" w:lineRule="exact"/>
        <w:rPr>
          <w:sz w:val="20"/>
          <w:szCs w:val="20"/>
          <w:color w:val="auto"/>
        </w:rPr>
      </w:pPr>
    </w:p>
    <w:p>
      <w:pPr>
        <w:jc w:val="both"/>
        <w:ind w:firstLine="2254"/>
        <w:spacing w:after="0" w:line="246" w:lineRule="auto"/>
        <w:tabs>
          <w:tab w:leader="none" w:pos="2678"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Indemnification Claims </w:t>
      </w:r>
      <w:r>
        <w:rPr>
          <w:rFonts w:ascii="Times New Roman" w:cs="Times New Roman" w:eastAsia="Times New Roman" w:hAnsi="Times New Roman"/>
          <w:sz w:val="22"/>
          <w:szCs w:val="22"/>
          <w:color w:val="auto"/>
        </w:rPr>
        <w:t>. The Seller has not notified any Person of any claims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under the UCB Agreement or the Incyte Agreement nor has the Seller received any claims for indemnification under the UCB Agreement or the Incyte Agreement.</w:t>
      </w:r>
    </w:p>
    <w:p>
      <w:pPr>
        <w:spacing w:after="0" w:line="167"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678"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Infringement</w:t>
      </w:r>
      <w:r>
        <w:rPr>
          <w:rFonts w:ascii="Times New Roman" w:cs="Times New Roman" w:eastAsia="Times New Roman" w:hAnsi="Times New Roman"/>
          <w:sz w:val="22"/>
          <w:szCs w:val="22"/>
          <w:color w:val="auto"/>
        </w:rPr>
        <w:t>. Neither the Seller nor any of its Affiliates has received any written notice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given any written notice to, any counterparty to the UCB Agreement or the Incyte Agreement regarding any infringement of any of the Existing Patent Rights.</w:t>
      </w:r>
    </w:p>
    <w:p>
      <w:pPr>
        <w:spacing w:after="0" w:line="167" w:lineRule="exact"/>
        <w:rPr>
          <w:rFonts w:ascii="Times New Roman" w:cs="Times New Roman" w:eastAsia="Times New Roman" w:hAnsi="Times New Roman"/>
          <w:sz w:val="22"/>
          <w:szCs w:val="22"/>
          <w:b w:val="1"/>
          <w:bCs w:val="1"/>
          <w:color w:val="auto"/>
        </w:rPr>
      </w:pPr>
    </w:p>
    <w:p>
      <w:pPr>
        <w:jc w:val="both"/>
        <w:ind w:firstLine="2254"/>
        <w:spacing w:after="0" w:line="241" w:lineRule="auto"/>
        <w:tabs>
          <w:tab w:leader="none" w:pos="2678"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Niktimvo is a Product under the Incyte Agreement, and to the Knowledge of the Seller,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are no other Products being researched, developed or Commercialized in the Territory by or on behalf of Incyte under the Incyte Agreement. Incyte is required to pay the Pre-Tax Profit (Loss) Share under Section 7.6(c) of the Incyte Agreement on all Net Sales of the Product in the Territory by or on behalf of Incyte, its Affiliates, and any of their (sub)licensees.</w:t>
      </w:r>
    </w:p>
    <w:p>
      <w:pPr>
        <w:spacing w:after="0" w:line="171"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678"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Audits</w:t>
      </w:r>
      <w:r>
        <w:rPr>
          <w:rFonts w:ascii="Times New Roman" w:cs="Times New Roman" w:eastAsia="Times New Roman" w:hAnsi="Times New Roman"/>
          <w:sz w:val="22"/>
          <w:szCs w:val="22"/>
          <w:color w:val="auto"/>
        </w:rPr>
        <w:t>. Neither the Seller nor UCB has initiated any inspection or audit of books of accounts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records pertaining to Net Sales or the calculation of Pre-Tax Profit (Loss), royalties, milestone payments or other amounts payable to the Seller under the Incyte Agreement or to UCB under the UCB Agreement.</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19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Liens; Title to Revenue Participation Right</w:t>
      </w:r>
      <w:r>
        <w:rPr>
          <w:rFonts w:ascii="Times New Roman" w:cs="Times New Roman" w:eastAsia="Times New Roman" w:hAnsi="Times New Roman"/>
          <w:sz w:val="22"/>
          <w:szCs w:val="22"/>
          <w:color w:val="auto"/>
        </w:rPr>
        <w:t>. None of the Product Collateral is subject to any Lien,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a Permitted Lien. Upon the Closing, the Buyer will have acquired, subject to the terms and conditions set forth in this Agreement, good and marketable title to the Revenue Participation Right, free and clear of all Liens.</w:t>
      </w:r>
    </w:p>
    <w:p>
      <w:pPr>
        <w:spacing w:after="0" w:line="167"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Manufacturing; Supply</w:t>
      </w:r>
      <w:r>
        <w:rPr>
          <w:rFonts w:ascii="Times New Roman" w:cs="Times New Roman" w:eastAsia="Times New Roman" w:hAnsi="Times New Roman"/>
          <w:sz w:val="22"/>
          <w:szCs w:val="22"/>
          <w:color w:val="auto"/>
        </w:rPr>
        <w:t>. To the Knowledge of the Seller, all Licensed Antibody and Product has, since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January 1, 2021, been manufactured, transported, stored and handled in all material respects in accordance with applicable law and with good manufacturing practices. Since January 1, 2021, neither the Seller nor any Affiliate of the Seller nor, to the Knowledge of the Seller, any of its Licensees, has experienced any significant failures in the manufacturing or supply of the Licensed Antibody or the Product that, individually or in the aggregate, have had or would reasonably be expected to result in, if such failure occurred again, a Material Adverse Effect. The Seller or, to the Knowledge of the Seller, Incyte has on hand or has made adequate provisions to secure sufficient clinical quantities of Product to complete all clinical trials and all activities required for Marketing Approvals, in each case, that are ongoing or planned as of the date hereof. The Seller or, to the Knowledge of the Seller, Incyte has on hand or has made adequate provisions to secure sufficient quantifies or Product to support the commercial launch of the Product in the Territory.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ind w:left="1940" w:hanging="435"/>
        <w:spacing w:after="0"/>
        <w:tabs>
          <w:tab w:leader="none" w:pos="19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Intellectual Property.</w:t>
      </w:r>
    </w:p>
    <w:p>
      <w:pPr>
        <w:spacing w:after="0" w:line="210"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92"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Schedule 4‎.1(k)(i) of the Disclosure Schedule lists all of the currently existing Patents included within the Patent Rights (the “</w:t>
      </w:r>
      <w:r>
        <w:rPr>
          <w:rFonts w:ascii="Times New Roman" w:cs="Times New Roman" w:eastAsia="Times New Roman" w:hAnsi="Times New Roman"/>
          <w:sz w:val="22"/>
          <w:szCs w:val="22"/>
          <w:b w:val="1"/>
          <w:bCs w:val="1"/>
          <w:i w:val="1"/>
          <w:iCs w:val="1"/>
          <w:color w:val="auto"/>
        </w:rPr>
        <w:t>Existing Patent Rights</w:t>
      </w:r>
      <w:r>
        <w:rPr>
          <w:rFonts w:ascii="Times New Roman" w:cs="Times New Roman" w:eastAsia="Times New Roman" w:hAnsi="Times New Roman"/>
          <w:sz w:val="22"/>
          <w:szCs w:val="22"/>
          <w:color w:val="auto"/>
        </w:rPr>
        <w:t>”). Except as indicated on Schedule 4‎.1(k)(i) of the Disclosure Schedule, the Seller is the sole and exclusive owner of all of the Existing Patent Rights. To the Knowledge of the Seller, Incyte is the sole and exclusive owner of all the currently existing Incyte Foreground Patents included within the Existing Patent Rights (the “</w:t>
      </w:r>
      <w:r>
        <w:rPr>
          <w:rFonts w:ascii="Times New Roman" w:cs="Times New Roman" w:eastAsia="Times New Roman" w:hAnsi="Times New Roman"/>
          <w:sz w:val="22"/>
          <w:szCs w:val="22"/>
          <w:b w:val="1"/>
          <w:bCs w:val="1"/>
          <w:i w:val="1"/>
          <w:iCs w:val="1"/>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Incyte Patent Rights</w:t>
      </w:r>
      <w:r>
        <w:rPr>
          <w:rFonts w:ascii="Times New Roman" w:cs="Times New Roman" w:eastAsia="Times New Roman" w:hAnsi="Times New Roman"/>
          <w:sz w:val="22"/>
          <w:szCs w:val="22"/>
          <w:color w:val="auto"/>
        </w:rPr>
        <w:t>”), the Seller and Incyte are the only joint owners of and have a joint interest in all of currently existing Joint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Foreground Patents included within the Existing Patent Rights, and UCB is the sole and exclusive owner of all the currently existing UCB Biopharma Background Patent included within the Existing Patent Rights (the “</w:t>
      </w:r>
      <w:r>
        <w:rPr>
          <w:rFonts w:ascii="Times New Roman" w:cs="Times New Roman" w:eastAsia="Times New Roman" w:hAnsi="Times New Roman"/>
          <w:sz w:val="22"/>
          <w:szCs w:val="22"/>
          <w:b w:val="1"/>
          <w:bCs w:val="1"/>
          <w:i w:val="1"/>
          <w:iCs w:val="1"/>
          <w:color w:val="auto"/>
        </w:rPr>
        <w:t>Existing UCB Patent Rights</w:t>
      </w:r>
      <w:r>
        <w:rPr>
          <w:rFonts w:ascii="Times New Roman" w:cs="Times New Roman" w:eastAsia="Times New Roman" w:hAnsi="Times New Roman"/>
          <w:sz w:val="22"/>
          <w:szCs w:val="22"/>
          <w:color w:val="auto"/>
        </w:rPr>
        <w:t>”). Schedule 4‎.1(k)(i) of the Disclosure Schedule specifies as to each listed patent or patent application the assignee, the respective patent or application numbers, and the issue and filing dates.</w:t>
      </w:r>
    </w:p>
    <w:p>
      <w:pPr>
        <w:spacing w:after="0" w:line="183"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678"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Seller nor any of its Affiliates is a party to any pending and, to the Knowledge of the Seller, there is no other pending or threatened, litigation, interference, reexamination, opposition or like procedure involving any of the Existing Patent Rights.</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678"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of the issued patents within the Existing Patent Rights are (A) to the Knowledge of the Seller, valid and enforceable and (B) in full force and effect. None of the issued Patents within the Existing Patent Rights have lapsed, expired or otherwise terminated. The Seller and its Affiliates, and to the Knowledge of the Seller, Incyte, UCB, and their Affiliates, have not received any written notice relating to the lapse, expiration or other termination of any of the issued Patents within the Existing Patent Rights, and the Seller and its Affiliates, and to the Knowledge of the Seller, Incyte, UCB, and their Affiliates, have not received any written legal opinion that alleges that, an issued patent within any of the Existing Patent Rights is invalid or unenforceable.</w:t>
      </w:r>
    </w:p>
    <w:p>
      <w:pPr>
        <w:spacing w:after="0" w:line="183"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692"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and any of its Affiliates, and to the Knowledge of the Seller, Incyte, UCB, and their Affiliates, have not received any written notice that there is any, and, to the Knowledge of the Seller, there is no, Person who is or claims to be an inventor under any of the Existing Patent Rights who is not a named inventor thereof.</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705" w:val="left"/>
        </w:tabs>
        <w:numPr>
          <w:ilvl w:val="1"/>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Seller and its Affiliates have not received any written notice of any claim by any Person challenging the inventorship or ownership of, the rights of the Seller in and to, or the patentability, validity or enforceability of, any of the Seller-owned Existing Patent Rights. To the Knowledge of the Seller, Incyte, UCB and their Affiliates, have not received any written notice of any claim by any Person challenging the inventorship or ownership of, the rights of Incyte in and to or the rights of UCB in and to, or the patentability, validity or enforceability of, respectively, any of the Existing Incyte Patent Rights and the Existing UCB Patent Rights. The Seller and its Affiliates and, to the Knowledge of the Seller, Incyte, UCB and their Affiliates, have not received any written notice of any claim by any Person asserting that the development, manufacture, importation, sale, offer for sale or use of the Licensed Antibody or the Product infringes, misappropriates or otherwise violates or will infringe, misappropriate or otherwise violate such Person’s Patents or other intellectual property rights.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2" w:name="page183"/>
    <w:bookmarkEnd w:id="182"/>
    <w:p>
      <w:pPr>
        <w:jc w:val="both"/>
        <w:ind w:firstLine="2254"/>
        <w:spacing w:after="0" w:line="235" w:lineRule="auto"/>
        <w:tabs>
          <w:tab w:leader="none" w:pos="2678"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Knowledge of the Seller, the discovery, development manufacture, importation, sale, offer for sale or use of the Licensed Antibody or the Product, in each case in the form the Licensed Antibody or the Product exists as of the date hereof and as such activity is currently contemplated by the Seller or Incyte, has not and will not, infringe, misappropriate or otherwise violate any Patents or other intellectual property rights owned by any Third Party. Other than pursuant to the UCB Agreement and the Incyte Agreement, to the Knowledge of the Seller, Licensee has not in-licensed any Patents or other intellectual property rights necessary to the discovery, development, manufacture, use, sale, offer for sale or import of the Licensed Antibody or the Product.</w:t>
      </w:r>
    </w:p>
    <w:p>
      <w:pPr>
        <w:spacing w:after="0" w:line="183"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678"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Knowledge of the Seller, no Person has infringed, misappropriated or otherwise violated, or is infringing, misappropriating or otherwise violating, any of the Intellectual Property Rights.</w:t>
      </w:r>
    </w:p>
    <w:p>
      <w:pPr>
        <w:spacing w:after="0" w:line="158" w:lineRule="exact"/>
        <w:rPr>
          <w:rFonts w:ascii="Times New Roman" w:cs="Times New Roman" w:eastAsia="Times New Roman" w:hAnsi="Times New Roman"/>
          <w:sz w:val="22"/>
          <w:szCs w:val="22"/>
          <w:b w:val="1"/>
          <w:bCs w:val="1"/>
          <w:color w:val="auto"/>
        </w:rPr>
      </w:pPr>
    </w:p>
    <w:p>
      <w:pPr>
        <w:ind w:right="20" w:firstLine="2254"/>
        <w:spacing w:after="0" w:line="258" w:lineRule="auto"/>
        <w:tabs>
          <w:tab w:leader="none" w:pos="3137"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and, to the Knowledge of the Seller, UCB, and Licensee, have timely paid all maintenance fees, annuities and like payments required as of the date hereof with respect to each of the Existing Patent Rights.</w:t>
      </w:r>
    </w:p>
    <w:p>
      <w:pPr>
        <w:spacing w:after="0" w:line="158"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678"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Knowledge of the Seller, except for UCB with respect to the UCB Biopharma Background Patents, no Third Party has a binding contractual right to prosecute any Patent Rights on behalf of Incyte. To the Knowledge of the Seller, UCB has not elected to not prosecute any of the UCB Biopharma Background Patents pursuant to Section 5.2(a) of the UCB Agreement or as contemplated under Section 11.1 of the Incyte Agreement. To the Knowledge of the Seller, Incyte has not elected to not prosecute any of the Patent Rights pursuant to Sections 11.2 or 11.3 of the Incyte Agreement. The Seller does not own, in-license or otherwise control or have rights to any Patents that are necessary or reasonably useful for the research, development, manufacture, use, marketing, sale, offer for sale, importation or distribution of the Licensed Antibody or the Product and are not licensed to Incyte under the Incyte Agreement.</w:t>
      </w:r>
    </w:p>
    <w:p>
      <w:pPr>
        <w:spacing w:after="0" w:line="174"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192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Corrupt Practices Act</w:t>
      </w:r>
      <w:r>
        <w:rPr>
          <w:rFonts w:ascii="Times New Roman" w:cs="Times New Roman" w:eastAsia="Times New Roman" w:hAnsi="Times New Roman"/>
          <w:sz w:val="22"/>
          <w:szCs w:val="22"/>
          <w:color w:val="auto"/>
        </w:rPr>
        <w:t>. Neither the Seller, any of its controlled Affiliates, nor, to the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any of its or their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Entity, or (iii) securing any improper advantage, in the case of (i), (ii) and (iii) above in order to assist the Seller or any of its Affiliates in obtaining or retaining business for or with, or directing business to, any person. Neither the Seller, any of its controlled Affiliates, nor, to the Knowledge of the Seller, any of their directors, officers, employees or agents have made or authorized any bribe, improper rebate, payoff, influence payment, kickback or other unlawful payment of funds or received or retained any funds in violation of any applicable law, rule or regulation. To the Knowledge of the Seller, neither the Seller, any of its controlled Affiliates, nor any of its officers, directors or employees are the subject of any allegation, voluntary disclosure, investigation, prosecution or other enforcement action, by a Governmental Entity, related to the FCPA or any other anti-corruption law.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ind w:firstLine="1505"/>
        <w:spacing w:after="0" w:line="241" w:lineRule="auto"/>
        <w:tabs>
          <w:tab w:leader="none" w:pos="192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Lien Related Representation and Warranties</w:t>
      </w:r>
      <w:r>
        <w:rPr>
          <w:rFonts w:ascii="Times New Roman" w:cs="Times New Roman" w:eastAsia="Times New Roman" w:hAnsi="Times New Roman"/>
          <w:sz w:val="22"/>
          <w:szCs w:val="22"/>
          <w:color w:val="auto"/>
        </w:rPr>
        <w:t>. The Seller’s exact legal name is, and for the immediately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preceding five years has been, “</w:t>
      </w:r>
      <w:r>
        <w:rPr>
          <w:rFonts w:ascii="Times New Roman" w:cs="Times New Roman" w:eastAsia="Times New Roman" w:hAnsi="Times New Roman"/>
          <w:sz w:val="22"/>
          <w:szCs w:val="22"/>
          <w:b w:val="1"/>
          <w:bCs w:val="1"/>
          <w:i w:val="1"/>
          <w:iCs w:val="1"/>
          <w:color w:val="auto"/>
        </w:rPr>
        <w:t>Syndax Pharmaceuticals, Inc.</w:t>
      </w:r>
      <w:r>
        <w:rPr>
          <w:rFonts w:ascii="Times New Roman" w:cs="Times New Roman" w:eastAsia="Times New Roman" w:hAnsi="Times New Roman"/>
          <w:sz w:val="22"/>
          <w:szCs w:val="22"/>
          <w:color w:val="auto"/>
        </w:rPr>
        <w:t>” The Seller is, and for the prior five years has been, incorporated in the State of Delaware. The address of the chief executive office of the Seller is 35 Gatehouse Drive, Building D, Floor 3, Waltham, MA 02451.</w:t>
      </w:r>
    </w:p>
    <w:p>
      <w:pPr>
        <w:spacing w:after="0" w:line="171"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5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Brokers’ Fees</w:t>
      </w:r>
      <w:r>
        <w:rPr>
          <w:rFonts w:ascii="Times New Roman" w:cs="Times New Roman" w:eastAsia="Times New Roman" w:hAnsi="Times New Roman"/>
          <w:sz w:val="22"/>
          <w:szCs w:val="22"/>
          <w:color w:val="auto"/>
        </w:rPr>
        <w:t>. Except for Goldman Sachs &amp; Co. LLC, there is no investment banker, broker, finder,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advisor or other intermediary who has been retained by or is authorized to act on behalf of the Seller who might be entitled to any fee or commission in connection with the transactions contemplated by this Agreement.</w:t>
      </w:r>
    </w:p>
    <w:p>
      <w:pPr>
        <w:spacing w:after="0" w:line="16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4.2</w:t>
      </w:r>
      <w:r>
        <w:rPr>
          <w:sz w:val="20"/>
          <w:szCs w:val="20"/>
          <w:color w:val="auto"/>
        </w:rPr>
        <w:tab/>
      </w:r>
      <w:r>
        <w:rPr>
          <w:rFonts w:ascii="Times New Roman" w:cs="Times New Roman" w:eastAsia="Times New Roman" w:hAnsi="Times New Roman"/>
          <w:sz w:val="21"/>
          <w:szCs w:val="21"/>
          <w:b w:val="1"/>
          <w:bCs w:val="1"/>
          <w:color w:val="auto"/>
        </w:rPr>
        <w:t>Buyer’s Representations and Warranties</w:t>
      </w:r>
      <w:r>
        <w:rPr>
          <w:rFonts w:ascii="Times New Roman" w:cs="Times New Roman" w:eastAsia="Times New Roman" w:hAnsi="Times New Roman"/>
          <w:sz w:val="21"/>
          <w:szCs w:val="21"/>
          <w:color w:val="auto"/>
        </w:rPr>
        <w:t>. The Buyer hereby represents and warrants to the Seller that:</w:t>
      </w:r>
    </w:p>
    <w:p>
      <w:pPr>
        <w:spacing w:after="0" w:line="206" w:lineRule="exact"/>
        <w:rPr>
          <w:sz w:val="20"/>
          <w:szCs w:val="20"/>
          <w:color w:val="auto"/>
        </w:rPr>
      </w:pPr>
    </w:p>
    <w:p>
      <w:pPr>
        <w:ind w:right="20" w:firstLine="1505"/>
        <w:spacing w:after="0" w:line="262" w:lineRule="auto"/>
        <w:tabs>
          <w:tab w:leader="none" w:pos="192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Existence; Good Standing</w:t>
      </w:r>
      <w:r>
        <w:rPr>
          <w:rFonts w:ascii="Times New Roman" w:cs="Times New Roman" w:eastAsia="Times New Roman" w:hAnsi="Times New Roman"/>
          <w:sz w:val="22"/>
          <w:szCs w:val="22"/>
          <w:color w:val="auto"/>
        </w:rPr>
        <w:t>. The Buyer is a limited liability company duly organized, validly existing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good standing under the laws of the State of Delaware.</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7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Authorization</w:t>
      </w:r>
      <w:r>
        <w:rPr>
          <w:rFonts w:ascii="Times New Roman" w:cs="Times New Roman" w:eastAsia="Times New Roman" w:hAnsi="Times New Roman"/>
          <w:sz w:val="22"/>
          <w:szCs w:val="22"/>
          <w:color w:val="auto"/>
        </w:rPr>
        <w:t>. The Buyer has all requisite power and authority to execute, deliver and perform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this Agreement. The execution, delivery and performance of this Agreement, and the consummation of the transactions contemplated hereby, have been duly authorized by all necessary action on the part of the Buyer.</w:t>
      </w:r>
    </w:p>
    <w:p>
      <w:pPr>
        <w:spacing w:after="0" w:line="167"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5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Enforceability</w:t>
      </w:r>
      <w:r>
        <w:rPr>
          <w:rFonts w:ascii="Times New Roman" w:cs="Times New Roman" w:eastAsia="Times New Roman" w:hAnsi="Times New Roman"/>
          <w:sz w:val="22"/>
          <w:szCs w:val="22"/>
          <w:color w:val="auto"/>
        </w:rPr>
        <w:t>. This Agreement has been duly executed and delivered by an authorized person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Conflicts</w:t>
      </w:r>
      <w:r>
        <w:rPr>
          <w:rFonts w:ascii="Times New Roman" w:cs="Times New Roman" w:eastAsia="Times New Roman" w:hAnsi="Times New Roman"/>
          <w:sz w:val="21"/>
          <w:szCs w:val="21"/>
          <w:color w:val="auto"/>
        </w:rPr>
        <w:t>. The execution, delivery and performance by the Buyer of this Agreement do not and will not</w:t>
      </w:r>
    </w:p>
    <w:p>
      <w:pPr>
        <w:spacing w:after="0" w:line="29" w:lineRule="exact"/>
        <w:rPr>
          <w:rFonts w:ascii="Times New Roman" w:cs="Times New Roman" w:eastAsia="Times New Roman" w:hAnsi="Times New Roman"/>
          <w:sz w:val="21"/>
          <w:szCs w:val="21"/>
          <w:color w:val="auto"/>
        </w:rPr>
      </w:pPr>
    </w:p>
    <w:p>
      <w:pPr>
        <w:jc w:val="both"/>
        <w:ind w:firstLine="8"/>
        <w:spacing w:after="0" w:line="249" w:lineRule="auto"/>
        <w:tabs>
          <w:tab w:leader="none" w:pos="26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other material agreement or Judgment binding upon or applicable to the Buyer.</w:t>
      </w:r>
    </w:p>
    <w:p>
      <w:pPr>
        <w:spacing w:after="0" w:line="165"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7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Consents</w:t>
      </w:r>
      <w:r>
        <w:rPr>
          <w:rFonts w:ascii="Times New Roman" w:cs="Times New Roman" w:eastAsia="Times New Roman" w:hAnsi="Times New Roman"/>
          <w:sz w:val="22"/>
          <w:szCs w:val="22"/>
          <w:color w:val="auto"/>
        </w:rPr>
        <w:t>. Except for any filings required by the federal securities laws or stock exchange rules,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63" w:lineRule="auto"/>
        <w:tabs>
          <w:tab w:leader="none" w:pos="1943"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Litigation</w:t>
      </w:r>
      <w:r>
        <w:rPr>
          <w:rFonts w:ascii="Times New Roman" w:cs="Times New Roman" w:eastAsia="Times New Roman" w:hAnsi="Times New Roman"/>
          <w:sz w:val="21"/>
          <w:szCs w:val="21"/>
          <w:color w:val="auto"/>
        </w:rPr>
        <w:t>. There is no action, suit, investigation or proceeding pending or, to the knowledge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threatened before any Governmental Entity to which the Buyer is a party that would, if determined adversely, reasonably be expected to prevent or materially and adversely affect the ability of the Buyer to perform its obligations under this Agreement.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ind w:right="20" w:firstLine="1505"/>
        <w:spacing w:after="0" w:line="262" w:lineRule="auto"/>
        <w:tabs>
          <w:tab w:leader="none" w:pos="199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Financing</w:t>
      </w:r>
      <w:r>
        <w:rPr>
          <w:rFonts w:ascii="Times New Roman" w:cs="Times New Roman" w:eastAsia="Times New Roman" w:hAnsi="Times New Roman"/>
          <w:sz w:val="22"/>
          <w:szCs w:val="22"/>
          <w:color w:val="auto"/>
        </w:rPr>
        <w:t>. The Buyer has sufficient cash to pay the Purchase Price at the Closing. The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its obligations under this Agreement are not contingent on obtaining financing.</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Brokers’ Fees</w:t>
      </w:r>
      <w:r>
        <w:rPr>
          <w:rFonts w:ascii="Times New Roman" w:cs="Times New Roman" w:eastAsia="Times New Roman" w:hAnsi="Times New Roman"/>
          <w:sz w:val="22"/>
          <w:szCs w:val="22"/>
          <w:color w:val="auto"/>
        </w:rPr>
        <w:t>. There is no investment banker, broker, finder, financial advisor or other intermediary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been retained by or is authorized to act on behalf of the Buyer who might be entitled to any fee or commission in connection with the transactions contemplated by this Agreement.</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Section 4.3 No Implied Representations and Warranties</w:t>
      </w:r>
      <w:r>
        <w:rPr>
          <w:rFonts w:ascii="Times New Roman" w:cs="Times New Roman" w:eastAsia="Times New Roman" w:hAnsi="Times New Roman"/>
          <w:sz w:val="22"/>
          <w:szCs w:val="22"/>
          <w:color w:val="auto"/>
        </w:rPr>
        <w:t>. The Buyer acknowledges and agrees that, other than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representations and warranties of the Seller specifically contained in this ‎Article 4, (a) there are no representations or warranties of the Seller either expressed or implied, including with respect to the Patent Rights or Royalty Payments or otherwise, and that the Buyer does not rely on, and shall have no remedies in respect of, any representation or warranty not specifically set forth in this ‎Article 4, and all other representations and warranties are hereby expressly disclaimed, and (b) nothing contained herein guarantees that sales of the Product or the aggregate Royalty Payments due to the Buyer will achieve</w:t>
      </w:r>
    </w:p>
    <w:p>
      <w:pPr>
        <w:spacing w:after="0" w:line="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any specific amounts (it being understood and agreed that nothing in this Section‎ 4.3 shall limit in any way the Seller’s obligations under ‎Article 8). Notwithstanding the foregoing, claims for fraud, gross negligence, or willful misconduct shall not be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waived or limited in any way by this Section‎ 4.3. Except for the Revenue Participation Right, Back-up Security Interest and the Buyer’s rights under ‎Section 6.6(d), the Buyer further acknowledges and agrees that no licenses or assignments under any assets (including the Patent Rights or any other intellectual property) of the Seller and its Affiliates are granted pursuant to this Agreement, including by implication, estoppel, exhaustion or otherwise.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5.1 Conditions to the Buyer’s Obligations </w:t>
      </w:r>
      <w:r>
        <w:rPr>
          <w:rFonts w:ascii="Times New Roman" w:cs="Times New Roman" w:eastAsia="Times New Roman" w:hAnsi="Times New Roman"/>
          <w:sz w:val="22"/>
          <w:szCs w:val="22"/>
          <w:color w:val="auto"/>
        </w:rPr>
        <w:t>. The obligations of the Buyer to consummate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hereunder on the Closing Date are subject to the satisfaction or waiver, at or prior to the Closing Date, of each of the following conditions precedent:</w:t>
      </w:r>
    </w:p>
    <w:p>
      <w:pPr>
        <w:spacing w:after="0" w:line="171" w:lineRule="exact"/>
        <w:rPr>
          <w:sz w:val="20"/>
          <w:szCs w:val="20"/>
          <w:color w:val="auto"/>
        </w:rPr>
      </w:pPr>
    </w:p>
    <w:p>
      <w:pPr>
        <w:jc w:val="both"/>
        <w:ind w:firstLine="1505"/>
        <w:spacing w:after="0" w:line="239" w:lineRule="auto"/>
        <w:tabs>
          <w:tab w:leader="none" w:pos="192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Seller contained in Section‎ 4.1 shall have been true and correct in all material respects as of the date hereof and shall be true and correct in all material respects as of the Closing Date as though made at and as of the date hereof and as of the Closing Date, respectively, except to the extent any such representation or warranty expressly speaks as of a particular date, in which case it shall be true and correct in all material respects as of such date; provided, that to the extent that any such representation or warranty is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5" w:name="page186"/>
    <w:bookmarkEnd w:id="185"/>
    <w:p>
      <w:pPr>
        <w:jc w:val="both"/>
        <w:spacing w:after="0" w:line="255" w:lineRule="auto"/>
        <w:rPr>
          <w:sz w:val="20"/>
          <w:szCs w:val="20"/>
          <w:color w:val="auto"/>
        </w:rPr>
      </w:pPr>
      <w:r>
        <w:rPr>
          <w:rFonts w:ascii="Times New Roman" w:cs="Times New Roman" w:eastAsia="Times New Roman" w:hAnsi="Times New Roman"/>
          <w:sz w:val="21"/>
          <w:szCs w:val="21"/>
          <w:color w:val="auto"/>
        </w:rPr>
        <w:t>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Buyer shall have received a certificate executed by an authorized officer of the Seller on the Closing Date certifying on behalf of the Seller to the effect of the foregoing.</w:t>
      </w:r>
    </w:p>
    <w:p>
      <w:pPr>
        <w:spacing w:after="0" w:line="162" w:lineRule="exact"/>
        <w:rPr>
          <w:sz w:val="20"/>
          <w:szCs w:val="20"/>
          <w:color w:val="auto"/>
        </w:rPr>
      </w:pPr>
    </w:p>
    <w:p>
      <w:pPr>
        <w:jc w:val="both"/>
        <w:ind w:firstLine="1505"/>
        <w:spacing w:after="0" w:line="239"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2023, no event or events shall have occurred, or be reasonably likely to occur, that, individually or in the aggregate, have had or would reasonably be expected to result in (or, with the giving of notice, the passage of time or otherwise, would result in) a Material Adverse Effect. The Buyer shall have received a certificate executed by a duly authorized officer of the Seller on the Closing Date certifying on behalf of the Seller to the effect of the foregoing.</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been issued and be in effect any Judgment of any Governmental Entity enjoining, preventing or restricting the consummation of the transactions contemplated by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received a valid, properly executed Internal Revenue Service Form W-9 from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Buyer a duly executed counterpart of the Bilateral Common Interest and Joint Privilege Agreement.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have delivered to the Buyer the legal opinions of Cooley LLP, as counsel to the Seller, in substantially the forms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received a certificate of the Secretary or an Assistant Secretary of the Seller, dated the Closing Date, certifying as to (i) the incumbency of each officer of the Seller executing this Agreement and (ii) the attached thereto copies of (A) the Seller’s certificate of incorporation, (B) bylaws, and (C) resolutions adopted by the Seller’s Board of Directors authorizing the execution and delivery by the Seller of this Agreement and the consummation by the Seller of the transactions contemplated hereby (the “</w:t>
      </w:r>
      <w:r>
        <w:rPr>
          <w:rFonts w:ascii="Times New Roman" w:cs="Times New Roman" w:eastAsia="Times New Roman" w:hAnsi="Times New Roman"/>
          <w:sz w:val="22"/>
          <w:szCs w:val="22"/>
          <w:b w:val="1"/>
          <w:bCs w:val="1"/>
          <w:i w:val="1"/>
          <w:iCs w:val="1"/>
          <w:color w:val="auto"/>
        </w:rPr>
        <w:t>Seller Certificate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confirmed it has scheduled delivery to Buyer of a CD or USB containing copies of all documents uploaded to the data room related to the transactions contemplated by this Agreement, as of the date hereof,</w:t>
      </w:r>
    </w:p>
    <w:p>
      <w:pPr>
        <w:spacing w:after="0" w:line="1"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maintained by the Seller and made available to the Buyer, including all documents referred to in Section‎ 4.1(g)(iii) and Section‎ 4.1(h).</w:t>
      </w:r>
    </w:p>
    <w:p>
      <w:pPr>
        <w:spacing w:after="0" w:line="17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5.2 Conditions to the Seller’s Obligations </w:t>
      </w:r>
      <w:r>
        <w:rPr>
          <w:rFonts w:ascii="Times New Roman" w:cs="Times New Roman" w:eastAsia="Times New Roman" w:hAnsi="Times New Roman"/>
          <w:sz w:val="22"/>
          <w:szCs w:val="22"/>
          <w:color w:val="auto"/>
        </w:rPr>
        <w:t>. The obligations of the Seller to consummate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hereunder on the Closing Date are subject to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satisfaction or waiver, at or prior to the Closing Date, of each of the following conditions precedent:</w:t>
      </w:r>
    </w:p>
    <w:p>
      <w:pPr>
        <w:spacing w:after="0" w:line="206" w:lineRule="exact"/>
        <w:rPr>
          <w:sz w:val="20"/>
          <w:szCs w:val="20"/>
          <w:color w:val="auto"/>
        </w:rPr>
      </w:pPr>
    </w:p>
    <w:p>
      <w:pPr>
        <w:jc w:val="both"/>
        <w:ind w:firstLine="1505"/>
        <w:spacing w:after="0" w:line="239" w:lineRule="auto"/>
        <w:tabs>
          <w:tab w:leader="none" w:pos="19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person of the Buyer, on the Closing Date certifying on behalf of the Buyer to the effect of the foregoing.</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Buyer contained in Section‎ 4.2 shall have been true and correct in all material respects as of the date hereof and shall be true and correct in all material respects as of the Closing Date as though made at and as of the date hereof and Closing Date, respectively,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Seller shall have received a certificate executed by a duly authorized person of the Buyer, on the Closing Date certifying on behalf of the Buyer to the effect of the foregoing.</w:t>
      </w:r>
    </w:p>
    <w:p>
      <w:pPr>
        <w:spacing w:after="0" w:line="183"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been issued and be in effect any Judgment of any Governmental Entity enjoining, preventing or restricting the consummation of the transactions contemplated by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received from the Buyer a valid, properly executed Internal Revenue Service Form</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W-9.</w:t>
      </w:r>
    </w:p>
    <w:p>
      <w:pPr>
        <w:spacing w:after="0" w:line="182"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received a certificate of an authorized person of the Buyer, dated the Closing Date, certifying as to the incumbency of the authorized signatory executing this Agreement on behalf of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6.1 Reporting </w:t>
      </w:r>
      <w:r>
        <w:rPr>
          <w:rFonts w:ascii="Times New Roman" w:cs="Times New Roman" w:eastAsia="Times New Roman" w:hAnsi="Times New Roman"/>
          <w:sz w:val="22"/>
          <w:szCs w:val="22"/>
          <w:color w:val="auto"/>
        </w:rPr>
        <w:t>. From and after the Closing and until the date of termination of this Agreement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10 (except as provided in Section‎ 10.4), the Seller shall provide the Buyer:</w:t>
      </w:r>
    </w:p>
    <w:p>
      <w:pPr>
        <w:spacing w:after="0" w:line="154" w:lineRule="exact"/>
        <w:rPr>
          <w:sz w:val="20"/>
          <w:szCs w:val="20"/>
          <w:color w:val="auto"/>
        </w:rPr>
      </w:pPr>
    </w:p>
    <w:p>
      <w:pPr>
        <w:jc w:val="both"/>
        <w:ind w:firstLine="1505"/>
        <w:spacing w:after="0" w:line="236" w:lineRule="auto"/>
        <w:tabs>
          <w:tab w:leader="none" w:pos="192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90 days after the end of each fiscal year of the Seller (or, if later, the date required to be filed with the SEC) (commencing with the fiscal year ending December 31, 2024), a consolidated balance sheet of the Seller and its Subsidiaries as at the end of such fiscal year and the related consolidated statements of income or operations, shareholders’ equity and cash flows for such fiscal year, setting forth in each case in comparative form the figures for the previous fiscal year, audited and accompanied by a report and opinion of independent public accountants of nationally recognized standing;</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45 days after the end of each of the first three fiscal quarters of each fiscal year of the Seller (or, if later, the date required to be filed with the SEC) (commencing with the fiscal quarter ending March 31, 2025), a consolidated balance sheet of the Seller and its Subsidiaries as at the end of such fiscal quarter, the related consolidated statements of income or operations and cash flows for such fiscal quarter and for the portion of the Seller’s fiscal year then ended, in each case setting forth in comparative form, as applicable, the figures for the corresponding fiscal quarter of the previous fiscal year and the corresponding portion of the previous fiscal year;</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notification (and in any event within two Business Days) following the Seller becoming aware of the occurrence of a Default or an Event of Default;</w:t>
      </w:r>
    </w:p>
    <w:p>
      <w:pPr>
        <w:spacing w:after="0" w:line="158" w:lineRule="exact"/>
        <w:rPr>
          <w:rFonts w:ascii="Times New Roman" w:cs="Times New Roman" w:eastAsia="Times New Roman" w:hAnsi="Times New Roman"/>
          <w:sz w:val="22"/>
          <w:szCs w:val="22"/>
          <w:color w:val="auto"/>
        </w:rPr>
      </w:pPr>
    </w:p>
    <w:p>
      <w:pPr>
        <w:jc w:val="both"/>
        <w:ind w:firstLine="1505"/>
        <w:spacing w:after="0" w:line="253" w:lineRule="auto"/>
        <w:tabs>
          <w:tab w:leader="none" w:pos="1929"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 notification (and in any event within 10 Business Days) following the Seller becoming aware of (i) any developments that would reasonably be expected to cause the Commercial Launch to occur later than January 31, 2025, and</w:t>
      </w:r>
    </w:p>
    <w:p>
      <w:pPr>
        <w:ind w:firstLine="8"/>
        <w:spacing w:after="0" w:line="237" w:lineRule="auto"/>
        <w:tabs>
          <w:tab w:leader="none" w:pos="33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Commercial Launch does not occur by January 31, 2025, any developments that would reasonably be expected to further delay Commercial Launch thereafter;</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10 Business Days) following the delivery or receipt by the Seller thereof, (i) any Safety Notices and (ii) any minutes of, and other reports and materials distributed at, the meetings of the JSC, JDC, JCC, JMC, Finance Working Group (each as defined in the Incyte Agreement) and any other subcommittee or working group;</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end of each six-month period in a calendar year (commencing with the six-month period ending (i) with respect to Commercial Updates, December 31, 2024 and (ii) otherwise, June 30, 2025), but in any event, in each case, no later than 45 calendar days after the end of such six-month period, a reasonably detailed semi-annual report setting forth, with respect to such same period, (A) any Clinical Updates and (B) the Commercial Updates (the “</w:t>
      </w:r>
      <w:r>
        <w:rPr>
          <w:rFonts w:ascii="Times New Roman" w:cs="Times New Roman" w:eastAsia="Times New Roman" w:hAnsi="Times New Roman"/>
          <w:sz w:val="22"/>
          <w:szCs w:val="22"/>
          <w:b w:val="1"/>
          <w:bCs w:val="1"/>
          <w:i w:val="1"/>
          <w:iCs w:val="1"/>
          <w:color w:val="auto"/>
        </w:rPr>
        <w:t>Clinical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Commercial Semi-Annual Report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end of each six-month period in a calendar year (commencing with the six-month period ending (i) with respect to Regulatory Updates, December 31, 2024 (provided that the first Regulatory Update may cover solely the fourth quarter of 2024) and (ii) otherwise, June 30, 2025), but in any event, in each case, no later than 45 calendar days after the end of such six-month period, as applicable, a reasonably detailed semi-annual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jc w:val="both"/>
        <w:spacing w:after="0" w:line="244" w:lineRule="auto"/>
        <w:rPr>
          <w:sz w:val="20"/>
          <w:szCs w:val="20"/>
          <w:color w:val="auto"/>
        </w:rPr>
      </w:pPr>
      <w:r>
        <w:rPr>
          <w:rFonts w:ascii="Times New Roman" w:cs="Times New Roman" w:eastAsia="Times New Roman" w:hAnsi="Times New Roman"/>
          <w:sz w:val="22"/>
          <w:szCs w:val="22"/>
          <w:color w:val="auto"/>
        </w:rPr>
        <w:t>setting forth, with respect to such same period, (i) the Regulatory Updates, and (ii) the Intellectual Property Updates, including any docket reports pursuant to ‎Section 6.6(e) (the “</w:t>
      </w:r>
      <w:r>
        <w:rPr>
          <w:rFonts w:ascii="Times New Roman" w:cs="Times New Roman" w:eastAsia="Times New Roman" w:hAnsi="Times New Roman"/>
          <w:sz w:val="22"/>
          <w:szCs w:val="22"/>
          <w:b w:val="1"/>
          <w:bCs w:val="1"/>
          <w:i w:val="1"/>
          <w:iCs w:val="1"/>
          <w:color w:val="auto"/>
        </w:rPr>
        <w:t>Regulatory and IP Semi-Annual Report</w:t>
      </w:r>
      <w:r>
        <w:rPr>
          <w:rFonts w:ascii="Times New Roman" w:cs="Times New Roman" w:eastAsia="Times New Roman" w:hAnsi="Times New Roman"/>
          <w:sz w:val="22"/>
          <w:szCs w:val="22"/>
          <w:color w:val="auto"/>
        </w:rPr>
        <w:t>”, and, collectively with the Clinical and Commercial Semi-Annual Reports, the “</w:t>
      </w:r>
      <w:r>
        <w:rPr>
          <w:rFonts w:ascii="Times New Roman" w:cs="Times New Roman" w:eastAsia="Times New Roman" w:hAnsi="Times New Roman"/>
          <w:sz w:val="22"/>
          <w:szCs w:val="22"/>
          <w:b w:val="1"/>
          <w:bCs w:val="1"/>
          <w:i w:val="1"/>
          <w:iCs w:val="1"/>
          <w:color w:val="auto"/>
        </w:rPr>
        <w:t>Reports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36" w:lineRule="auto"/>
        <w:tabs>
          <w:tab w:leader="none" w:pos="19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plans, or if the Seller becomes aware that Incyte or the counterparty to an Out-License that is not the Incyte Agreement (subject to the Seller’s applicable confidentiality obligations, to the extent they exist under such applicable Out-License that is not the Incyte Agreement), plans, to issue a press release or otherwise make a new public disclosure of top-line data from a pivotal Clinical Trial or any other information that would reasonably reflect the occurrence (or expected occurrence) of a Material Adverse Effect, then the Seller shall use commercially reasonable efforts to provide the Buyer with a copy of such press release or other disclosure at least 24 hours prior to its publication or announcement; and</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include in each Report any (i) material CMC updates and (ii) details as to the achievement of any development, sales, regulatory or other milestone event set forth in each In-License or Out-License.</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Subject to applicable confidentiality obligations, to the extent they exist under an Out-License that is not the Incyte Agreement, the Seller shall also provide the Buyer with such additional information regarding the Product as the Buyer may reasonably request from time to time. The Seller shall, and shall cause its controlled Affiliates to, prepare and maintain, and shall use commercially reasonable efforts to cause its Licensees to prepare and maintain, reasonably complete and accurate records of the information to be disclosed in each Report. All Reports, and the Confidential Information contained therein, shall be the Confidential Information of the Seller and subject to the obligations of confidentiality set forth in Article‎ 8.</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Documents required to be delivered pursuant to Section‎ 6.1(a) or (b)‎ (to the extent any such documents are included in materials otherwise filed with the SEC) may be delivered electronically and, if so delivered, shall be deemed to have been delivered on the date on which such materials are publicly available as posted on the Electronic Data Gathering, Analysis and Retrieval system (EDGAR).</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6.2</w:t>
      </w:r>
      <w:r>
        <w:rPr>
          <w:sz w:val="20"/>
          <w:szCs w:val="20"/>
          <w:color w:val="auto"/>
        </w:rPr>
        <w:tab/>
      </w:r>
      <w:r>
        <w:rPr>
          <w:rFonts w:ascii="Times New Roman" w:cs="Times New Roman" w:eastAsia="Times New Roman" w:hAnsi="Times New Roman"/>
          <w:sz w:val="21"/>
          <w:szCs w:val="21"/>
          <w:b w:val="1"/>
          <w:bCs w:val="1"/>
          <w:color w:val="auto"/>
        </w:rPr>
        <w:t>Royalty Payments; Revenue Participation and Royalty Payment Details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940" w:hanging="435"/>
        <w:spacing w:after="0"/>
        <w:tabs>
          <w:tab w:leader="none" w:pos="194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calendar quarter beginning on January 1, 2025 and until the Royalty Termination Date, the Seller</w:t>
      </w:r>
    </w:p>
    <w:p>
      <w:pPr>
        <w:spacing w:after="0" w:line="25"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pay to the Buyer, without any setoff or offset (subject to Section‎ 6.4 and Section‎ 6.5), the Royalty Payment promptly, but in any event no later than 60 calendar days after the end of such calendar quarter. A late fee of 4% over the Prime Rate (calculated on a per annum basis) will accrue on all unpaid amounts with respect to any Royalty Payment from the date that such obligation was due (the “</w:t>
      </w:r>
      <w:r>
        <w:rPr>
          <w:rFonts w:ascii="Times New Roman" w:cs="Times New Roman" w:eastAsia="Times New Roman" w:hAnsi="Times New Roman"/>
          <w:sz w:val="22"/>
          <w:szCs w:val="22"/>
          <w:b w:val="1"/>
          <w:bCs w:val="1"/>
          <w:i w:val="1"/>
          <w:iCs w:val="1"/>
          <w:color w:val="auto"/>
        </w:rPr>
        <w:t>Late Fee</w:t>
      </w:r>
      <w:r>
        <w:rPr>
          <w:rFonts w:ascii="Times New Roman" w:cs="Times New Roman" w:eastAsia="Times New Roman" w:hAnsi="Times New Roman"/>
          <w:sz w:val="22"/>
          <w:szCs w:val="22"/>
          <w:color w:val="auto"/>
        </w:rPr>
        <w:t>”). The imposition and payment of a Late Fee shall not constitute a waiver of the Buyer’s rights with respect to such payment default.</w:t>
      </w:r>
    </w:p>
    <w:p>
      <w:pPr>
        <w:spacing w:after="0" w:line="179" w:lineRule="exact"/>
        <w:rPr>
          <w:rFonts w:ascii="Times New Roman" w:cs="Times New Roman" w:eastAsia="Times New Roman" w:hAnsi="Times New Roman"/>
          <w:sz w:val="21"/>
          <w:szCs w:val="21"/>
          <w:color w:val="auto"/>
        </w:rPr>
      </w:pPr>
    </w:p>
    <w:p>
      <w:pPr>
        <w:ind w:right="20" w:firstLine="1505"/>
        <w:spacing w:after="0" w:line="258" w:lineRule="auto"/>
        <w:tabs>
          <w:tab w:leader="none" w:pos="19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quarter beginning on January 1, 2025 and until the Royalty Termination Date, promptly, but in any event no later than 60 calendar days after the end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jc w:val="both"/>
        <w:spacing w:after="0" w:line="236" w:lineRule="auto"/>
        <w:rPr>
          <w:sz w:val="20"/>
          <w:szCs w:val="20"/>
          <w:color w:val="auto"/>
        </w:rPr>
      </w:pPr>
      <w:r>
        <w:rPr>
          <w:rFonts w:ascii="Times New Roman" w:cs="Times New Roman" w:eastAsia="Times New Roman" w:hAnsi="Times New Roman"/>
          <w:sz w:val="22"/>
          <w:szCs w:val="22"/>
          <w:color w:val="auto"/>
        </w:rPr>
        <w:t>of such calendar quarter, the Seller shall provide to the Buyer (i) a true, correct, and complete copy of each report covering the Territory received by the Seller under Section 8.3(e) of the Incyte Agreement, or (ii) if the Incyte Agreement is no longer in effect, a report setting forth in reasonable detail (A) the calculation of Gross Sales and Net Sales in the Territory for the applicable calendar quarter (including a reasonably detailed break-down of all permitted deductions from Gross Sales used to determine Net Sales) and (B) the calculation of the Royalty Payment payable to the Buyer for the applicable calendar quarter, identifying the number of units of the Product sold by the Seller, its Affiliates and each Commercialization Partner or Licensee.</w:t>
      </w:r>
    </w:p>
    <w:p>
      <w:pPr>
        <w:spacing w:after="0" w:line="181" w:lineRule="exact"/>
        <w:rPr>
          <w:sz w:val="20"/>
          <w:szCs w:val="20"/>
          <w:color w:val="auto"/>
        </w:rPr>
      </w:pPr>
    </w:p>
    <w:p>
      <w:pPr>
        <w:jc w:val="both"/>
        <w:ind w:firstLine="1505"/>
        <w:spacing w:after="0" w:line="244" w:lineRule="auto"/>
        <w:tabs>
          <w:tab w:leader="none" w:pos="19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required to be made by either party under this Agreement shall be made in United States Dollars via electronic funds transfer or wire transfer of immediately available funds to such bank account as the other party shall designate in writing prior to the date of such payment.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Seller’s obligation to pay the Royalty Payments to the Buyer hereunder is not conditioned on receipt by the Seller of any payment under the Incyte Agreement, any Permitted License, any Out-License or any other out-license.</w:t>
      </w:r>
    </w:p>
    <w:p>
      <w:pPr>
        <w:spacing w:after="0" w:line="16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6.3 Disclosures</w:t>
      </w:r>
      <w:r>
        <w:rPr>
          <w:rFonts w:ascii="Times New Roman" w:cs="Times New Roman" w:eastAsia="Times New Roman" w:hAnsi="Times New Roman"/>
          <w:sz w:val="22"/>
          <w:szCs w:val="22"/>
          <w:color w:val="auto"/>
        </w:rPr>
        <w:t>. Except for a press release previously approved in form and substance by the Seller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or any other public announcement using substantially the same text as such press release,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or delayed), except as may be required by applicable law or stock exchange rule (in which case the party hereto required to make the press release or other public announcement or disclosure shall allow the other party hereto reasonable time to comment on, and, if applicable, reasonably direct the disclosing party to seek confidential treatment in respect of portions of, such press release or other public announcement or disclosure in advance of such issuance).</w:t>
      </w:r>
    </w:p>
    <w:p>
      <w:pPr>
        <w:spacing w:after="0" w:line="1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6.4 Inspections and Audits of the Seller </w:t>
      </w:r>
      <w:r>
        <w:rPr>
          <w:rFonts w:ascii="Times New Roman" w:cs="Times New Roman" w:eastAsia="Times New Roman" w:hAnsi="Times New Roman"/>
          <w:sz w:val="22"/>
          <w:szCs w:val="22"/>
          <w:color w:val="auto"/>
        </w:rPr>
        <w:t>. Following the Closing, upon at least 14 Business Days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and during normal business hours, no more frequently than once per calendar year, the Buyer may cause an inspection and/or audit by an independent public accounting firm reasonably acceptable to the Seller to be made of the Seller’s books of account for the three calendar years prior to the audit for the purpose of determining the correctness of the calculation of the Royalty Payments made under this Agreement. All of the out-of-pocket expenses of any inspection or audit requested by the Buyer hereunder (including the fees and expenses of such independent public accounting firm designated for such purpose) shall be borne solely by the Buyer, unless the independent public accounting firm determines that Royalty Payments previously paid to the Buyer during the period of the audit were underpaid by an amount greater than 5% of the Royalty Payments actually paid during such period, in which case such expenses shall be borne by the Seller. Any such accounting firm or the Seller shall not disclose the confidential information of the Seller or any such Licensee relating to the Product to the Buyer, except to the extent such disclosure is necessary to determine the correctness of Royalty Payments or otherwise would be included in a Report. All information obtained by the Buyer as a result of any such inspection or audit shall be Confidential Information subject to ‎Article 8. If any such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both"/>
        <w:spacing w:after="0" w:line="238" w:lineRule="auto"/>
        <w:rPr>
          <w:sz w:val="20"/>
          <w:szCs w:val="20"/>
          <w:color w:val="auto"/>
        </w:rPr>
      </w:pPr>
      <w:r>
        <w:rPr>
          <w:rFonts w:ascii="Times New Roman" w:cs="Times New Roman" w:eastAsia="Times New Roman" w:hAnsi="Times New Roman"/>
          <w:sz w:val="22"/>
          <w:szCs w:val="22"/>
          <w:color w:val="auto"/>
        </w:rPr>
        <w:t>audit discloses any underpayments by the Seller to the Buyer, then such underpayment shall be paid by the Seller to the Buyer within 30 calendar days of it being so disclosed. If any such audit discloses any overpayments by the Seller to the Buyer, then the Seller shall have the right to credit the amount of the overpayment against each subsequent quarterly Royalty Payment due to the Buyer until the overpayment has been fully applied. If the overpayment is not fully applied prior to the final quarterly Royalty Payment due hereunder, the Buyer shall promptly refund an amount equal to any such remaining overpayment.</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Section 6.5 Inspections and Audits of Licensee</w:t>
      </w:r>
      <w:r>
        <w:rPr>
          <w:rFonts w:ascii="Times New Roman" w:cs="Times New Roman" w:eastAsia="Times New Roman" w:hAnsi="Times New Roman"/>
          <w:sz w:val="22"/>
          <w:szCs w:val="22"/>
          <w:color w:val="auto"/>
        </w:rPr>
        <w:t>. If either party hereto desires to cause an audit or inspection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independent public accounting firm under an Out-License, including the Incyte Agreement, to be made for the purpose of determining the correctness of the calculation of Net Sales, then the Seller and the Buyer agree to consult in good faith with each other in connection therewith. Following such consultation the Seller may, and if requested by the Buyer, shall, to the extent permitted under such Out-License, exercise its rights under the applicable Out-License to cause such an inspection or audit to be made. The Seller shall notify the Buyer in writing if it initiates an inspection and/or audit of the books of account of any counterparty to an Out-License. The Seller shall select such independent public accounting firm as reasonably designated by the Buyer for an audit requested by the Buyer. The party hereto requesting hereunder that such an inspection or audit be made shall pay the expenses associated therewith (including the fees and expenses of such independent public accounting firm designated for such purpose); provided, however, that, if, following the completion of such an inspection or audit requested by the Buyer hereunder, the Licensee reimburses the Seller for the expenses of such inspection or audit, the Seller shall promptly (and in any event within seven Business Days) following receipt by the Seller of such reimbursement remit the amount of such reimbursement to the Buyer to the extent that the Buyer paid such expenses. The Seller shall provide to the Buyer a copy of any audit report conducted with respect to an Out-License within seven Business Days of receipt thereof, which copy may be redacted;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redactions to such report shall not include any information necessary to determine the correctness of the calculation of Net Sales and the Royalty Payments made under this Agreement. If any such audit discloses any underpayments by the Seller to the Buyer, then such underpayment shall be paid by the Seller to the Buyer within 30 calendar days of it being so disclosed. If any such audit discloses any overpayments by the Seller to the Buyer, then the Seller shall have the right to credit the amount of the overpayment against each subsequent quarterly Royalty Payment due to the Buyer until the overpayment has been fully applied. If the overpayment is not fully applied prior to the final quarterly Royalty Payment due hereunder, the Buyer shall promptly refund an amount equal to any such remaining overpayment.</w:t>
      </w:r>
    </w:p>
    <w:p>
      <w:pPr>
        <w:spacing w:after="0" w:line="18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6.6</w:t>
      </w:r>
      <w:r>
        <w:rPr>
          <w:sz w:val="20"/>
          <w:szCs w:val="20"/>
          <w:color w:val="auto"/>
        </w:rPr>
        <w:tab/>
      </w:r>
      <w:r>
        <w:rPr>
          <w:rFonts w:ascii="Times New Roman" w:cs="Times New Roman" w:eastAsia="Times New Roman" w:hAnsi="Times New Roman"/>
          <w:sz w:val="21"/>
          <w:szCs w:val="21"/>
          <w:b w:val="1"/>
          <w:bCs w:val="1"/>
          <w:color w:val="auto"/>
        </w:rPr>
        <w:t>Intellectual Property Matters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8" w:lineRule="auto"/>
        <w:tabs>
          <w:tab w:leader="none" w:pos="19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to the Buyer a copy of any written notice received by the Seller from a Third Party alleging or claiming that the making, having made, using, importing, offering for sale or selling of the Product infringes or misappropriates any Patents or other intellectual property rights of such Third Party, together with copies of material correspondence sent or received by the Seller related thereto, as soon as practicable and in any event not more than 10 Business Days following such delivery or receipt.</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Knowledge of the Seller, a Third Party infringes, or is suspected of infringing, any Patent Right, the Seller shall promptly inform the Buyer of such infringement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jc w:val="both"/>
        <w:spacing w:after="0" w:line="238" w:lineRule="auto"/>
        <w:rPr>
          <w:sz w:val="20"/>
          <w:szCs w:val="20"/>
          <w:color w:val="auto"/>
        </w:rPr>
      </w:pPr>
      <w:r>
        <w:rPr>
          <w:rFonts w:ascii="Times New Roman" w:cs="Times New Roman" w:eastAsia="Times New Roman" w:hAnsi="Times New Roman"/>
          <w:sz w:val="22"/>
          <w:szCs w:val="22"/>
          <w:color w:val="auto"/>
        </w:rPr>
        <w:t>or suspected infringement. Without limiting the foregoing, the Seller shall provide to the Buyer a copy of any written notice of any suspected infringement of any Patent Rights delivered or received by the Seller, as well as copies of material correspondence related thereto and such documentation and information related thereto as the Buyer reasonably requests, including, communications between the counterparty thereto and the Seller under the Incyte Agreement or a Permitted License, in each case as soon as practicable and in any event not more than seven Business Days following such delivery or receipt.</w:t>
      </w:r>
    </w:p>
    <w:p>
      <w:pPr>
        <w:spacing w:after="0" w:line="177" w:lineRule="exact"/>
        <w:rPr>
          <w:sz w:val="20"/>
          <w:szCs w:val="20"/>
          <w:color w:val="auto"/>
        </w:rPr>
      </w:pPr>
    </w:p>
    <w:p>
      <w:pPr>
        <w:jc w:val="both"/>
        <w:ind w:firstLine="1505"/>
        <w:spacing w:after="0" w:line="234" w:lineRule="auto"/>
        <w:tabs>
          <w:tab w:leader="none" w:pos="192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keep the Buyer reasonably informed of, and shall consider in good faith any comments provided by the Buyer with respect to, any enforcement action of the Patent Rights under the Incyte Agreement or a Permitted License. To the extent Licensee enforces any of the Patent Rights in accordance with the Incyte Agreement or a Permitted License together with any other Patents owned or controlled by Licensee, the Seller agrees to negotiate in good faith with Licensee and agree to a reasonable allocation of proceeds as between the Patent Rights and any other Patents that were subject to such suit. In each such case, the Seller shall obtain and deliver to the Buyer an accounting detailing the proceeds allocated to the Patent Rights. Within 10 Business Days of initiating, or permitting a Licensee to initiate, an enforcement action regarding any suspected infringement by a Third Party of any Patent Right, the Seller shall provide the Buyer with written notice of such enforcement action.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with respect to any Patent Rights for which the Seller controls the prosecution and maintenance, (i) take any and all actions, and prepare, execute, deliver and file any and all agreements, documents and instruments, that are reasonably necessary or desirable (A) to diligently prosecute, preserve and maintain any such Patent Rights, including payment of maintenance fees or annuities on any such Patent Rights, and (B) to extend the term of any such Patent Rights or exclusivity period for the Product (including any patent term extension(s) or supplementary protection certificate(s) with respect to any such Patent Rights, regulatory exclusivity periods with respect to the Product, or the like), in each case ((A) and (B)), including to the extent permitted in accordance with the UCB Agreement, the Incyte Agreement or a Permitted License;</w:t>
      </w:r>
    </w:p>
    <w:p>
      <w:pPr>
        <w:spacing w:after="0" w:line="6" w:lineRule="exact"/>
        <w:rPr>
          <w:rFonts w:ascii="Times New Roman" w:cs="Times New Roman" w:eastAsia="Times New Roman" w:hAnsi="Times New Roman"/>
          <w:sz w:val="21"/>
          <w:szCs w:val="21"/>
          <w:color w:val="auto"/>
        </w:rPr>
      </w:pPr>
    </w:p>
    <w:p>
      <w:pPr>
        <w:jc w:val="both"/>
        <w:ind w:firstLine="8"/>
        <w:spacing w:after="0" w:line="232" w:lineRule="auto"/>
        <w:tabs>
          <w:tab w:leader="none" w:pos="33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prosecute any corrections, substitutions, reissues, reviews, reexaminations and any other forms of patent term restoration of any such Patent Rights, including to the extent permitted in accordance with the UCB Agreement, the Incyte Agreement or a Permitted License; (iii) diligently enforce and defend any such Patent Rights, and defending any counterclaim of invalidity or unenforceability or action of a Third Party for declaratory judgment of non-infringement or non-interference, including to the extent permitted in accordance with the UCB Agreement, the Incyte Agreement or a Permitted License; and (iv) not disclaim or abandon, or fail to take any action necessary or desirable to prevent the disclaimer or abandonment (including through lack of enforcement against Third Party infringers) of, any such Patent Rights, including to the extent permitted in accordance with the UCB Agreement, the Incyte Agreement or a Permitted License. The Seller shall keep the Buyer reasonably informed of, and shall consider in good faith any comments provided by the Buyer with respect to, the activities under this Section‎ 6.6(d).</w:t>
      </w:r>
    </w:p>
    <w:p>
      <w:pPr>
        <w:spacing w:after="0" w:line="178"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event within seven Business Days) following the receipt by the Seller of any patent prosecution, enforcement or defense updates provided by Licensee or UCB with respect to Patent Rights, the Seller shall furnish a true, correct and complete copy of the same to the Buyer. The Seller agrees to use its commercially reasonable efforts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jc w:val="both"/>
        <w:spacing w:after="0" w:line="244" w:lineRule="auto"/>
        <w:rPr>
          <w:sz w:val="20"/>
          <w:szCs w:val="20"/>
          <w:color w:val="auto"/>
        </w:rPr>
      </w:pPr>
      <w:r>
        <w:rPr>
          <w:rFonts w:ascii="Times New Roman" w:cs="Times New Roman" w:eastAsia="Times New Roman" w:hAnsi="Times New Roman"/>
          <w:sz w:val="22"/>
          <w:szCs w:val="22"/>
          <w:color w:val="auto"/>
        </w:rPr>
        <w:t>obtain from Licensee and UCB, and deliver to the Buyer, on an annual basis, a complete and accurate docket report for all Patent Rights; provided that if the Seller is unable to obtain such a docket report from Licensee or UCB in any given year, the Seller shall deliver a complete and accurate, to the best of the Seller’s knowledge, docket report for all Patent Rights.</w:t>
      </w:r>
    </w:p>
    <w:p>
      <w:pPr>
        <w:spacing w:after="0" w:line="173" w:lineRule="exact"/>
        <w:rPr>
          <w:sz w:val="20"/>
          <w:szCs w:val="20"/>
          <w:color w:val="auto"/>
        </w:rPr>
      </w:pPr>
    </w:p>
    <w:p>
      <w:pPr>
        <w:jc w:val="both"/>
        <w:ind w:firstLine="1505"/>
        <w:spacing w:after="0" w:line="235" w:lineRule="auto"/>
        <w:tabs>
          <w:tab w:leader="none" w:pos="19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recovers monetary damages from a Third Party in an action brought for such Third Party’s infringement of any Patent Rights relating to the Product, where such damages, whether in the form of judgment or settlement, are awarded for such infringement of such Patent Rights, (i) such recovery will be allocated first to the reimbursement of any expenses incurred by the Seller (or any party to an In-License or Out-License of such Patent Rights entitled to such reimbursement under any such In-License or Out-License) in bringing such action (including all reasonable attorney’s fees), (ii) any remaining amounts will be reduced, if applicable, to comply with allocation of recovered damages with licensors of such Patent Rights required under any In-Licenses or Out-Licenses of such Patent Rights, if any, and (iii) any residual amount of such damages after application of (i) and (ii) will be treated as Net Sales of the Product in the Territory.</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the right to participate in any action, suit or other proceeding or any material meeting or material discussion relating to the infringement, legality, validity or enforceability of the Patent Rights, including any counterclaim, settlement discussions or meetings. The parties hereto shall enter into the Bilateral Common Interest and Joint Privilege Agreement at the Closing, and the Seller acknowledges and agrees that it will not object to the Buyer participating in such action, suit or other proceeding or such meeting or discussion and will not assert that such participation could adversely affect the maintenance by the Seller of any applicable attorney-client privilege.</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6.7</w:t>
      </w:r>
      <w:r>
        <w:rPr>
          <w:sz w:val="20"/>
          <w:szCs w:val="20"/>
          <w:color w:val="auto"/>
        </w:rPr>
        <w:tab/>
      </w:r>
      <w:r>
        <w:rPr>
          <w:rFonts w:ascii="Times New Roman" w:cs="Times New Roman" w:eastAsia="Times New Roman" w:hAnsi="Times New Roman"/>
          <w:sz w:val="21"/>
          <w:szCs w:val="21"/>
          <w:b w:val="1"/>
          <w:bCs w:val="1"/>
          <w:color w:val="auto"/>
        </w:rPr>
        <w:t>In-Licenses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44" w:lineRule="auto"/>
        <w:tabs>
          <w:tab w:leader="none" w:pos="192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10 Business Days) provide the Buyer with (i) executed copies of any In-License entered into by the Seller or its Affiliates, and (ii) executed copies of each amendment, supplement, modification or written waiver of any provision of any In-License.</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comply in all material respects with its obligations under the UCB Agreement and shall use Commercially Reasonable Efforts to comply in all material respects with its obligations under any other In-Licenses it enters into, and shall not take any action or forego any action that would reasonably be expected to result in a material breach thereof. Promptly, and in any event within seven Business Days, after receipt of any (written or oral) notice from a counterparty to any In-License or its Affiliates of an alleged breach under any In-License, the Seller shall provide the Buyer a copy thereof or a written summary of any such oral notice. The Seller shall keep the Buyer reasonably informed of, and shall consult with the Buyer regarding such alleged breach and shall consider in good faith any comments of the Buyer with respect to curing any such breaches. The Seller shall cure any material breach by it under the UCB Agreement (other than any breaches by the Buyer under the UCB Consent) and shall use its Commercially Reasonable Efforts to cure any material breaches by it under any other In-License it enters into, and shall give written notice to the Buyer upon curing any material breach.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3" w:name="page194"/>
    <w:bookmarkEnd w:id="193"/>
    <w:p>
      <w:pPr>
        <w:jc w:val="both"/>
        <w:ind w:firstLine="1505"/>
        <w:spacing w:after="0" w:line="233" w:lineRule="auto"/>
        <w:tabs>
          <w:tab w:leader="none" w:pos="1929"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Knowledge of the Seller, a counterparty has materially breached, or is suspected of materially breaching, any of its obligations under any In-License, the Seller shall provide the Buyer with prompt (and in any event within seven Business Days) written notice of such material breach or such suspected material breach. The Seller shall consult with the Buyer regarding the timing, manner and conduct of any enforcement of a counterparty’s material obligations under any In-License, or regarding any material breach, material default or other material dispute under any In-License or otherwise relating to the Patent Rights or the Royalty Payments. Following such consultation, the Seller shall exercise such rights and remedies as the Seller reasonably determines is appropriate, and shall consider in good faith any comments of the Buyer with respect to exercising such rights and remedies, whether under such In-License or otherwise. Solely with respect to enforcement or potential enforcement of material breaches, material defaults or other material disputes under any In-License, the Seller shall employ counsel reasonably acceptable to the Buyer (provided that Cooley LLP is deemed acceptable), and shall provide the Buyer with access to such counsel. The Seller agrees to keep the Buyer reasonably informed of any actual or alleged material breach, material default or other material dispute related to any In-License, the Patent Rights, or the Royalty Payments and to provide copies as soon as practicable, but in any event within seven Business Days following the Seller’s receipt or delivery of (i) any written notice of any material breach or alleged material breach of any In-License, or material dispute related to the Patent Rights or the Royalty Payments and (ii) any and all filings, notices and written communications relating thereto.</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the Seller shall not amend, waive, modify, supplement or restate (or consent to any amendment, supplement, modification, waiver or restatement of) any provision of the UCB Agreement or enter into any contract having the effect of the foregoing: (i) without the prior written consent of the Buyer (such consent to be granted or withheld in the sole discretion of the Buyer), to the extent such action would reasonably be expected to adversely affect (A) the Buyer’s rights or economic interests under this Agreement, (B) the Seller’s right to use or exploit any Intellectual Property Rights licensed thereunder, or (C) a Licensee’s right to use or exploit any Intellectual Property Rights sublicensed to it; or (ii) without the prior written consent of the Buyer (such consent not to be unreasonably withheld, conditioned or delayed) to the extent such action would not reasonably be expected to adversely affect any of the rights or assets in the foregoing clauses</w:t>
      </w:r>
    </w:p>
    <w:p>
      <w:pPr>
        <w:spacing w:after="0" w:line="3" w:lineRule="exact"/>
        <w:rPr>
          <w:rFonts w:ascii="Times New Roman" w:cs="Times New Roman" w:eastAsia="Times New Roman" w:hAnsi="Times New Roman"/>
          <w:sz w:val="21"/>
          <w:szCs w:val="21"/>
          <w:color w:val="auto"/>
        </w:rPr>
      </w:pPr>
    </w:p>
    <w:p>
      <w:pPr>
        <w:jc w:val="both"/>
        <w:ind w:firstLine="8"/>
        <w:spacing w:after="0" w:line="232" w:lineRule="auto"/>
        <w:tabs>
          <w:tab w:leader="none" w:pos="39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(C). In addition, the Seller shall not (1) exercise any right to terminate (either in whole or in part) the UCB Agreement or agree with UCB to terminate (either in whole or in part) the UCB Agreement; (2) take, or permit any Affiliate or Licensee to take, any action that would reasonably be expected to give UCB the right to terminate (either in whole or in part) the UCB Agreement; or (3) sell, assign or otherwise transfer any or all of its interest under the UCB Agreement, except pursuant to the Permitted Assignment Provisions, in each case ((1) through (3)), without the Buyer’s prior written consent (such consent to be granted or withheld in the sole discretion of the Buyer). With respect to any In-License other than the UCB Agreement, the Seller shall not terminate or assign such other In-License without providing the Buyer prior written notice.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6.8</w:t>
      </w:r>
      <w:r>
        <w:rPr>
          <w:sz w:val="20"/>
          <w:szCs w:val="20"/>
          <w:color w:val="auto"/>
        </w:rPr>
        <w:tab/>
      </w:r>
      <w:r>
        <w:rPr>
          <w:rFonts w:ascii="Times New Roman" w:cs="Times New Roman" w:eastAsia="Times New Roman" w:hAnsi="Times New Roman"/>
          <w:sz w:val="21"/>
          <w:szCs w:val="21"/>
          <w:b w:val="1"/>
          <w:bCs w:val="1"/>
          <w:color w:val="auto"/>
        </w:rPr>
        <w:t>Out-Licenses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ind w:firstLine="1505"/>
        <w:spacing w:after="0" w:line="234"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may not, without the Buyer’s prior written consent, enter into any out-license (including any Out-License) with a Third Party in the Territory or enter into an agreement to research, develop or manufacture the Product in the Territory, except for any out-license (including any Out-License) (i) with a Distributor entered into in compliance with the Incyte Agreement or (ii) with a Qualified Licensee entered into after the termination of the Incyte Agreement by Incyte or as permitted hereunder; provided, that such license shall not assign or otherwise convey title to or impose any Lien on any of the Product Rights, other than the grant of such license or sublicense, in favor of any Third Party (any such license entered into with the Buyer’s prior written consent or with a Distributor or a Qualified Licensee, a “</w:t>
      </w:r>
      <w:r>
        <w:rPr>
          <w:rFonts w:ascii="Times New Roman" w:cs="Times New Roman" w:eastAsia="Times New Roman" w:hAnsi="Times New Roman"/>
          <w:sz w:val="22"/>
          <w:szCs w:val="22"/>
          <w:b w:val="1"/>
          <w:bCs w:val="1"/>
          <w:i w:val="1"/>
          <w:iCs w:val="1"/>
          <w:color w:val="auto"/>
        </w:rPr>
        <w:t>Permitted License</w:t>
      </w:r>
      <w:r>
        <w:rPr>
          <w:rFonts w:ascii="Times New Roman" w:cs="Times New Roman" w:eastAsia="Times New Roman" w:hAnsi="Times New Roman"/>
          <w:sz w:val="22"/>
          <w:szCs w:val="22"/>
          <w:color w:val="auto"/>
        </w:rPr>
        <w:t>”). If requested by any licensee under a Permitted License, Buyer will enter into non-disturbance and/or similar agreements in form and substance reasonably satisfactory to the Buyer and the applicable licensee in connection with such Permitted License.</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10 Business Days) provide the Buyer with (i) executed copies of each Out-License, and (ii) executed copies of each amendment, supplement, modification or written waiver of any material provision of an Out-License (excluding, in the case of the preceding clauses (i) and (ii), agreements with manufacturers, Distributors, contract sales forces and other Commercialization vendors, in each case, solely for the manufacture, approval, distribution, or contract sales on behalf of the Seller or its Subsidiaries).</w:t>
      </w:r>
    </w:p>
    <w:p>
      <w:pPr>
        <w:spacing w:after="0" w:line="176"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use commercially reasonable efforts to include in all Permitted Licenses (other than the Incyte Agreement) provisions permitting the Seller to audit such Licensee and shall use commercially reasonable efforts 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include terms and conditions consistent in all material respects with the Buyer’s rights to audit the Seller set forth in Section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6.4.</w:t>
      </w:r>
    </w:p>
    <w:p>
      <w:pPr>
        <w:spacing w:after="0" w:line="19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comply in all material respects with its obligations under the Incyte Agreement and any Permitted License it enters into, and shall not take any action or forego any action that would reasonably be expected to result in a material breach thereof. Promptly, and in any event within seven Business Days, after receipt of any (written or oral) notice from a counterparty to any Out-License or its Affiliates of an alleged breach under any Out-License, the Seller shall provide the Buyer a copy thereof or a written summary of any such oral notice. The Seller shall keep the Buyer reasonably informed of, and shall consult with the Buyer regarding any alleged breach under the Incyte Agreement or any Permitted License and shall consider in good faith any comments of the Buyer with respect to curing any such breach. The Seller shall cure any material breach by it under the Incyte Agreement or a Permitted License, and shall give written notice to the Buyer upon curing any material breach.</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Knowledge of the Seller, a Licensee has materially breached, or is suspected of materially breaching, any of its obligations under the Incyte Agreement or any Permitted License, the Seller shall provide the Buyer with prompt (and in any event within seven Business Days) written notice of such material breach or such suspected material breach. The Seller shall consult with the Buyer regarding the timing, manner and conduct of any enforcement of Licensee’s material obligations under the Incyte Agreement or any Permitted License, or regarding any material breach, material default or other material dispute under the Incyte Agreement or any Permitted License. Following such consultation, the Seller shall exercise such</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both"/>
        <w:spacing w:after="0" w:line="233" w:lineRule="auto"/>
        <w:rPr>
          <w:sz w:val="20"/>
          <w:szCs w:val="20"/>
          <w:color w:val="auto"/>
        </w:rPr>
      </w:pPr>
      <w:r>
        <w:rPr>
          <w:rFonts w:ascii="Times New Roman" w:cs="Times New Roman" w:eastAsia="Times New Roman" w:hAnsi="Times New Roman"/>
          <w:sz w:val="22"/>
          <w:szCs w:val="22"/>
          <w:color w:val="auto"/>
        </w:rPr>
        <w:t>rights and remedies as the Seller reasonably determines is appropriate, and shall consider in good faith any comments of the Buyer with respect to exercising such rights and remedies, whether under the Incyte Agreement, a Permitted License, or otherwise. Solely with respect to enforcement or potential enforcement of material breaches, material defaults or other material disputes under the Incyte Agreement or any Permitted License, the Seller shall employ counsel reasonably acceptable to the Buyer (provided that Cooley LLP is deemed acceptable), and shall provide the Buyer with access to such counsel. The Seller agrees to keep the Buyer reasonably informed of any actual or alleged material breach, material default or other material dispute related to the Incyte Agreement, a Permitted License, the Product, the Patent Rights, or the Royalty Payments and to provide copies as soon as practicable, but in any event within seven Business Days following the Seller’s receipt or delivery of (i) any written notice of any material breach or alleged material breach of the Incyte Agreement or a Permitted License or dispute related to the Product, the Patent Rights or the Royalty Payments and (ii) any and all filings, notices and written communications relating thereto.</w:t>
      </w:r>
    </w:p>
    <w:p>
      <w:pPr>
        <w:spacing w:after="0" w:line="187" w:lineRule="exact"/>
        <w:rPr>
          <w:sz w:val="20"/>
          <w:szCs w:val="20"/>
          <w:color w:val="auto"/>
        </w:rPr>
      </w:pPr>
    </w:p>
    <w:p>
      <w:pPr>
        <w:jc w:val="both"/>
        <w:ind w:firstLine="1505"/>
        <w:spacing w:after="0" w:line="236" w:lineRule="auto"/>
        <w:tabs>
          <w:tab w:leader="none" w:pos="19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Buyer and the Seller shall bear its own fees and expenses incurred in enforcing Licensee’s obligations under the Incyte Agreement or any Permitted License. The proceeds resulting from any enforcement of Licensee’s obligations under the Incyte Agreement or any Permitted License shall be applied first to reimburse the Seller and the Buyer for any reasonable and documented expenses incurred by them in connection with such enforcement, with the remainder of the proceeds being treated as Net Sales for purposes of calculating Royalty Payments under this Agreement to the extent such proceeds are compensatory for lost sales.</w:t>
      </w:r>
    </w:p>
    <w:p>
      <w:pPr>
        <w:spacing w:after="0" w:line="181"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the Seller shall not amend, waive, modify, supplement or restate (or consent to any amendment, supplement, modification, waiver or restatement of) any provision of the Incyte Agreement or a Permitted License or enter into any contract having the effect of the foregoing: (i) without the prior written consent of the Buyer (such consent to be granted or withheld in the sole discretion of the Buyer), to the extent such action would reasonably be expected to adversely affect (A) the Buyer’s rights or economic interests under this Agreement, (B) the Pre-Tax Profit (Loss) Share, or (C) such counterparty’s right to use or exploit any Intellectual Property Rights licensed thereunder; or (ii) without the prior written consent of the Buyer (such consent not to be unreasonably withheld, conditioned or delayed) to the extent such action would not reasonably be expected to adversely affect any of the rights or assets in the foregoing clauses (A) through (C). In addition, the Seller shall not (A) exercise any right to terminate (either in whole or in part) the Incyte Agreement or a Permitted License or agree with the counterparty thereof to terminate (either in whole or in part) the Incyte Agreement or a Permitted License, (B) take, or permit any Affiliate or sublicensee of Licensee to take, any action that would reasonably be expected to give the counterparty to the Incyte Agreement or a Permitted License the right to terminate (either in whole or in part) the Incyte Agreement or such Permitted License, or (C) sell, assign or otherwise transfer any or all of its interest under the Incyte Agreement or a Permitted License, except pursuant to the Permitted Assignment Provisions, in each case ((A) through (C)), without the Buyer’s prior written consent (such consent to be granted or withheld in the sole discretion of the Buyer). The Seller shall provide the Buyer with written notice promptly (and in any event within seven Business Days) following the termination of any Out-License.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6.9 Niktimvo Sale Price </w:t>
      </w:r>
      <w:r>
        <w:rPr>
          <w:rFonts w:ascii="Times New Roman" w:cs="Times New Roman" w:eastAsia="Times New Roman" w:hAnsi="Times New Roman"/>
          <w:sz w:val="22"/>
          <w:szCs w:val="22"/>
          <w:color w:val="auto"/>
        </w:rPr>
        <w:t>. Without limitation of the Seller’s obligations under Section‎ 6.8, in the event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(as defined therein) of the Incyte Agreement, Incyte or any of its Affiliates or Licensees proposes to the Seller or otherwise takes any action to set a whole sale acquisition cost for Niktimvo (formulated for intravenous administration) that is lower than $[***] per milligram for the Commercialization thereof in the Territory at Commercial Launch, Seller shall notify the Buyer of such proposal or action, use its commercially reasonable efforts under the terms of the Incyte Agreement to prohibit the use of such lower sale price for the Commercialization of Niktimvo in the Territory, and keep the Buyer reasonably informed of the progress of such efforts.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b w:val="1"/>
          <w:bCs w:val="1"/>
          <w:color w:val="auto"/>
        </w:rPr>
        <w:t>Section 6.10 Cure Payments</w:t>
      </w:r>
      <w:r>
        <w:rPr>
          <w:rFonts w:ascii="Times New Roman" w:cs="Times New Roman" w:eastAsia="Times New Roman" w:hAnsi="Times New Roman"/>
          <w:sz w:val="21"/>
          <w:szCs w:val="21"/>
          <w:color w:val="auto"/>
        </w:rPr>
        <w:t>. As between the parties hereto, the Seller will at all times remain responsible for 100%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and all payments of any kind payable by it under the UCB Agreement, any other In-license, the Incyte Agreement, and any Permitted License, in each case, whether accruing prior to, on, or following the date of this Agreement. If the Seller becomes aware of or is notified (by written notice or otherwise) by the counterparty to the UCB Agreement or the Incyte Agreement, as applicable, of a breach or default of any of the Seller’s payment obligations to such counterparty, the Seller will promptly (but in any event no later than seven Business Days of its first awareness or receipt of such notice) notify the Buyer in writing of any such payment breach or default. Without limiting any remedies available to the Buyer hereunder, or at law or in equity, to the extent permitted under the applicable agreement, Buyer will have the right (but not the obligation), in its sole discretion, to cure any such payment breach or default under the UCB Agreement or the Incyte Agreement, as the case may be, by paying the amount of such payment(s) directly to such counterparty (any such payment made by the Buyer, a “</w:t>
      </w:r>
      <w:r>
        <w:rPr>
          <w:rFonts w:ascii="Times New Roman" w:cs="Times New Roman" w:eastAsia="Times New Roman" w:hAnsi="Times New Roman"/>
          <w:sz w:val="21"/>
          <w:szCs w:val="21"/>
          <w:b w:val="1"/>
          <w:bCs w:val="1"/>
          <w:i w:val="1"/>
          <w:iCs w:val="1"/>
          <w:color w:val="auto"/>
        </w:rPr>
        <w:t>Cure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the Buyer will provide Seller with at least seven Business Days’ advance written notice before making any Cure Payment and will refrain from making such Cure Payment (a) for so long as the Seller is taking actions to (i) promptly (and in any event within two Business Days) cure such payment breach or default and (ii) prevent any termination of the applicable agreement, and the Seller promptly (and in any event within such seven Business Day period) provides a reasonably detailed written description of such actions to the Buyer and keeps the Buyer reasonably informed with respect thereto; or (b) if the Seller provides documentation that it has actually cured such payment breach or default. The Seller will provide reasonable assistance to the Buyer to permit the Buyer to effectuate such Cure Payment. The Seller shall promptly after receipt of an invoice from the Buyer (but in any event no later than seven Business Days after receipt of such invoice), (A) reimburse the Buyer for any Cure Payments and any costs and expenses (including reasonable fees and out-of-pocket expenses of counsel) associated with making such Cure Payments, and (B) pay interest of 25% (calculated on a per annum basis) on such Cure Payments from the date that such payment was made by the Buyer until the date that such Cure Payment is reimbursed by the Seller; provided that the Seller shall not be liable for any reimbursement of any such Cure Payment made by the Buyer (or any interest in respect thereof) to the extent any such Cure Payment by the Buyer was not accepted by the counterparty to the applicable agreement and returned to the Buyer. The imposition and payment of interest shall not constitute a waiver of the Buyer’s rights with respect to such payment</w:t>
      </w:r>
    </w:p>
    <w:p>
      <w:pPr>
        <w:spacing w:after="0" w:line="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default. The Buyer’s rights pursuant to this Section‎ 6.10 shall in no way limit the Seller’s obligations under Section‎ 6.7(b) and ‎Section 6.8(d).</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6.11 Restricted Indebtedness; Negative Pledge; Intercreditor Agreement </w:t>
      </w:r>
      <w:r>
        <w:rPr>
          <w:rFonts w:ascii="Times New Roman" w:cs="Times New Roman" w:eastAsia="Times New Roman" w:hAnsi="Times New Roman"/>
          <w:sz w:val="22"/>
          <w:szCs w:val="22"/>
          <w:color w:val="auto"/>
        </w:rPr>
        <w:t>. [***], the Seller shall not,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permit any of its Affiliates to, create, incur, assume or suffer to exist any (a) Restricted Indebtedness other than the following: (i) Permitted Secured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7" w:name="page198"/>
    <w:bookmarkEnd w:id="197"/>
    <w:p>
      <w:pPr>
        <w:jc w:val="both"/>
        <w:spacing w:after="0" w:line="233" w:lineRule="auto"/>
        <w:rPr>
          <w:sz w:val="20"/>
          <w:szCs w:val="20"/>
          <w:color w:val="auto"/>
        </w:rPr>
      </w:pPr>
      <w:r>
        <w:rPr>
          <w:rFonts w:ascii="Times New Roman" w:cs="Times New Roman" w:eastAsia="Times New Roman" w:hAnsi="Times New Roman"/>
          <w:sz w:val="22"/>
          <w:szCs w:val="22"/>
          <w:color w:val="auto"/>
        </w:rPr>
        <w:t>Indebtedness, so long as the amount of Permitted Secured Indebtedness permitted under this clause (i) does not exceed the greater of (A) $[***] or (B) an amount that, after giving pro forma effect to the incurrence of any such Permitted Secured Indebtedness (together with any other related or concurrent transactions (including any Permitted Royalty Financings)), would not cause the Applicable Leverage Ratio to exceed 2.00:1.00 as of the date of incurrence, (ii) Permitted Convertible Debt, and (iii) unsecured Indebtedness other than Convertible Debt; (b) any Royalty Financing unless (i) such Royalty Financing constitutes a Permitted Royalty Financing and (ii) after giving pro forma effect to the incurrence or effectiveness of such Royalty Financing (together with any other related or concurrent transactions (including the incurrence of any Permitted Secured Indebtedness)), the Applicable Leverage Ratio does not exceed 2.00:1.00; or (c) Lien upon, whether now owned or hereafter acquired, any Product Collateral, other than Permitted Liens. In connection with the incurrence of any Permitted Secured Indebtedness by the Seller, the Seller shall cause the Senior Debt Provider to, and the Buyer shall, in good faith and without undue delay, negotiate and enter into an Acceptable Intercreditor Agreement. In connection with the incurrence of any Permitted Royalty Financing by the Seller, the Seller shall not permit the applicable Third Parties under such Royalty Financing, or any agent, representative or trustee acting on behalf of such Third Parties, to enter into any collateral assignment or similar arrangement in each case directly with a Licensee without first providing the same rights to the Buyer.</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6.12 Diligence</w:t>
      </w:r>
      <w:r>
        <w:rPr>
          <w:rFonts w:ascii="Times New Roman" w:cs="Times New Roman" w:eastAsia="Times New Roman" w:hAnsi="Times New Roman"/>
          <w:sz w:val="22"/>
          <w:szCs w:val="22"/>
          <w:color w:val="auto"/>
        </w:rPr>
        <w:t>. The Seller shall use Commercially Reasonable Efforts (either directly or through Affiliates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Licensees) to Commercialize the Product in the Territory. Notwithstanding anything to the contrary herein, at all times a Commercialization Partner is in place, the Seller may satisfy the requirements of this ‎Section 6.12 by use of Commercially Reasonable Efforts to assist its Commercialization Partner and/or enforce its Commercialization Partner’s obligations under the applicable Out-License.</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6.13 Efforts to Consummate Transactions </w:t>
      </w:r>
      <w:r>
        <w:rPr>
          <w:rFonts w:ascii="Times New Roman" w:cs="Times New Roman" w:eastAsia="Times New Roman" w:hAnsi="Times New Roman"/>
          <w:sz w:val="22"/>
          <w:szCs w:val="22"/>
          <w:color w:val="auto"/>
        </w:rPr>
        <w:t>. Subject to the terms and conditions of this Agreement,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Seller and the Buyer will use its commercially reasonable efforts prior to the Closing to take, or cause to be taken, all actions and to do, or cause to be done, all things reasonably necessary under applicable law to consummate the transactions contemplated by this Agreement.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6.14 Further Assurances</w:t>
      </w:r>
      <w:r>
        <w:rPr>
          <w:rFonts w:ascii="Times New Roman" w:cs="Times New Roman" w:eastAsia="Times New Roman" w:hAnsi="Times New Roman"/>
          <w:sz w:val="22"/>
          <w:szCs w:val="22"/>
          <w:color w:val="auto"/>
        </w:rPr>
        <w:t>. After the Closing, the Seller and the Buyer agree to execute and deliver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certificates, agreements and other writings and to take such other actions as may be reasonably necessary in order to give effect to the transactions contemplated by this Agreement. The Seller will promptly inform Buyer (but in any event no later than 30 days following the date of the applicable change) of any change to the Seller’s name, state of incorporation, entity form and chief executive office.</w:t>
      </w:r>
    </w:p>
    <w:p>
      <w:pPr>
        <w:spacing w:after="0" w:line="177"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6.15 No Impairment of Revenue Participation Right or Back-Up Security Interest </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herein to the contrary, the Seller shall not enter into (a) any Contracts that prohibit or restrict or otherwise knowingly take any action or knowingly fail to act in a manner that would, individually or in the aggregate, reasonably be expected to prohibit 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8" w:name="page199"/>
    <w:bookmarkEnd w:id="198"/>
    <w:p>
      <w:pPr>
        <w:jc w:val="both"/>
        <w:spacing w:after="0" w:line="234" w:lineRule="auto"/>
        <w:rPr>
          <w:sz w:val="20"/>
          <w:szCs w:val="20"/>
          <w:color w:val="auto"/>
        </w:rPr>
      </w:pPr>
      <w:r>
        <w:rPr>
          <w:rFonts w:ascii="Times New Roman" w:cs="Times New Roman" w:eastAsia="Times New Roman" w:hAnsi="Times New Roman"/>
          <w:sz w:val="22"/>
          <w:szCs w:val="22"/>
          <w:color w:val="auto"/>
        </w:rPr>
        <w:t>restrict or otherwise materially and adversely affect the Revenue Participation Right, the Seller’s ability to pay the Royalty Payments or to grant a security interest to Buyer in the Revenue Participation Right, the Royalty Payments, or the Back-Up Security Interest, or (b) any Contracts, or amend, supplement, waive any rights under or otherwise modify any Contracts with the intent to circumvent any provision of this Agreement; provided, that nothing herein shall prevent the incurrence of any Permitted Lien or any Permitted Secured Indebtedness in compliance with Section 6.11 so long as such incurrence does not expressly prohibit or restrict the Revenue Participation Right or the Seller from paying the Royalty Payments. The Seller shall not, without the Buyer’s prior written consent (such consent to be granted or withheld in the sole discretion of the Buyer), sell, assign or otherwise transfer all or any portion of its interest in the Product Collateral (other than inventory of the Licensed Antibody and the Product), except pursuant to the Permitted Assignment Provisions.</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6.16</w:t>
      </w:r>
      <w:r>
        <w:rPr>
          <w:sz w:val="20"/>
          <w:szCs w:val="20"/>
          <w:color w:val="auto"/>
        </w:rPr>
        <w:tab/>
      </w:r>
      <w:r>
        <w:rPr>
          <w:rFonts w:ascii="Times New Roman" w:cs="Times New Roman" w:eastAsia="Times New Roman" w:hAnsi="Times New Roman"/>
          <w:sz w:val="21"/>
          <w:szCs w:val="21"/>
          <w:b w:val="1"/>
          <w:bCs w:val="1"/>
          <w:color w:val="auto"/>
        </w:rPr>
        <w:t>Certain Tax Matters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41"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Buyer agree that for Tax purposes, the Seller and the Buyer shall treat the transactions contemplated by this Agreement as a sale of the Royalty Payments for United States federal, state, local and non-U.S. Tax</w:t>
      </w:r>
    </w:p>
    <w:p>
      <w:pPr>
        <w:spacing w:after="0" w:line="1" w:lineRule="exact"/>
        <w:rPr>
          <w:rFonts w:ascii="Times New Roman" w:cs="Times New Roman" w:eastAsia="Times New Roman" w:hAnsi="Times New Roman"/>
          <w:sz w:val="22"/>
          <w:szCs w:val="22"/>
          <w:color w:val="auto"/>
        </w:rPr>
      </w:pPr>
    </w:p>
    <w:p>
      <w:pPr>
        <w:jc w:val="both"/>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purposes. The parties hereto agree not to take any position that is inconsistent with the provisions of this Section‎ 6.16 on any tax return or in any audit or other tax-related administrative or judicial proceeding unless the other party hereto has consented in writing (such consent not to be unreasonably withheld, conditioned or delayed) to such actions. If there is an inquiry by any</w:t>
      </w:r>
    </w:p>
    <w:p>
      <w:pPr>
        <w:spacing w:after="0" w:line="1"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Governmental Entity of the Buyer or the Seller related to the treatment described in this Section‎ 6.16, the parties hereto shall cooperate with each other in responding to such inquiry in a reasonable manner which is consistent with this Section‎ 6.16.</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Buyer has provided to the Seller a valid, properly executed Internal Revenue Service Form W-9 or other appropriate form certifying that the Buyer is exempt from U.S. federal withholding Tax (including a Form W-8BEN-E certifying that the Buyer is exempt from U.S. federal withholding Tax in respect of the payments under a United States income Tax treaty), the Seller shall make all payments required to be made by it to the Buyer pursuant to this Agreement in U.S. dollars by wire transfer of immediately available funds, without set-off, reduction or deduction, or withholding for or on account of any Taxes, to the bank account designated in writing from time to time by the Buyer.</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Seller has provided to the Buyer a valid, properly executed Internal Revenue Service Form W-9 or other appropriate form certifying that the Seller is exempt from U.S. federal withholding Tax (including a Form W-8BEN-E certifying that the Seller is exempt from U.S. federal withholding Tax in respect of the payments under a United States income Tax treaty), the Buyer shall make all payments required to be made by it to the Seller pursuant to this Agreement in U.S. dollars by wire transfer of immediately available funds, without set-off, reduction or deduction, or withholding for or on account of any Taxes, to the bank account designated in writing from time to time by the Seller.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7.1</w:t>
      </w:r>
      <w:r>
        <w:rPr>
          <w:sz w:val="20"/>
          <w:szCs w:val="20"/>
          <w:color w:val="auto"/>
        </w:rPr>
        <w:tab/>
      </w:r>
      <w:r>
        <w:rPr>
          <w:rFonts w:ascii="Times New Roman" w:cs="Times New Roman" w:eastAsia="Times New Roman" w:hAnsi="Times New Roman"/>
          <w:sz w:val="21"/>
          <w:szCs w:val="21"/>
          <w:b w:val="1"/>
          <w:bCs w:val="1"/>
          <w:color w:val="auto"/>
        </w:rPr>
        <w:t>General Indemnity</w:t>
      </w:r>
      <w:r>
        <w:rPr>
          <w:rFonts w:ascii="Times New Roman" w:cs="Times New Roman" w:eastAsia="Times New Roman" w:hAnsi="Times New Roman"/>
          <w:sz w:val="21"/>
          <w:szCs w:val="21"/>
          <w:color w:val="auto"/>
        </w:rPr>
        <w:t>. From and after the Closing:</w:t>
      </w:r>
    </w:p>
    <w:p>
      <w:pPr>
        <w:spacing w:after="0" w:line="210" w:lineRule="exact"/>
        <w:rPr>
          <w:sz w:val="20"/>
          <w:szCs w:val="20"/>
          <w:color w:val="auto"/>
        </w:rPr>
      </w:pPr>
    </w:p>
    <w:p>
      <w:pPr>
        <w:jc w:val="both"/>
        <w:ind w:firstLine="1505"/>
        <w:spacing w:after="0" w:line="238"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hereby agrees to indemnify, defend and hold harmless the Buyer and its Affiliates and its and their directors, managers, officers, trustees, agents and employees (the “</w:t>
      </w:r>
      <w:r>
        <w:rPr>
          <w:rFonts w:ascii="Times New Roman" w:cs="Times New Roman" w:eastAsia="Times New Roman" w:hAnsi="Times New Roman"/>
          <w:sz w:val="22"/>
          <w:szCs w:val="22"/>
          <w:b w:val="1"/>
          <w:bCs w:val="1"/>
          <w:i w:val="1"/>
          <w:iCs w:val="1"/>
          <w:color w:val="auto"/>
        </w:rPr>
        <w:t>Buyer Indemnified Parties</w:t>
      </w:r>
      <w:r>
        <w:rPr>
          <w:rFonts w:ascii="Times New Roman" w:cs="Times New Roman" w:eastAsia="Times New Roman" w:hAnsi="Times New Roman"/>
          <w:sz w:val="22"/>
          <w:szCs w:val="22"/>
          <w:color w:val="auto"/>
        </w:rPr>
        <w:t>”) from, against and in respect of all Losses suffered or incurred by the Buyer Indemnified Parties to the extent arising out of or resulting from (i) any breach of any of the representations or warranties of the Seller in this Agreement, and (ii) any breach of any of the covenants or agreements of the Seller in this Agreement; and</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22"/>
          <w:szCs w:val="22"/>
          <w:b w:val="1"/>
          <w:bCs w:val="1"/>
          <w:i w:val="1"/>
          <w:iCs w:val="1"/>
          <w:color w:val="auto"/>
        </w:rPr>
        <w:t>Seller Indemnified Parties</w:t>
      </w:r>
      <w:r>
        <w:rPr>
          <w:rFonts w:ascii="Times New Roman" w:cs="Times New Roman" w:eastAsia="Times New Roman" w:hAnsi="Times New Roman"/>
          <w:sz w:val="22"/>
          <w:szCs w:val="22"/>
          <w:color w:val="auto"/>
        </w:rPr>
        <w:t>”) from, against and in respect of all Losses suffered or incurred by the Seller Indemnified Parties to the extent arising out of or resulting from (i) any breach of any of the representations or warranties of the Buyer in this Agreement, and (ii) any breach of any of the covenants or agreements of the Buyer in this Agreement.</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Section 7.2 Notice of Claims</w:t>
      </w:r>
      <w:r>
        <w:rPr>
          <w:rFonts w:ascii="Times New Roman" w:cs="Times New Roman" w:eastAsia="Times New Roman" w:hAnsi="Times New Roman"/>
          <w:sz w:val="21"/>
          <w:szCs w:val="21"/>
          <w:color w:val="auto"/>
        </w:rPr>
        <w:t>. If either a Buyer Indemnified Party, on the one hand, or a Seller Indemnified Party,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hand (such Buyer Indemnified Party on the one hand and such Seller Indemnified Party on the other hand being hereinafter referred to as an “</w:t>
      </w:r>
      <w:r>
        <w:rPr>
          <w:rFonts w:ascii="Times New Roman" w:cs="Times New Roman" w:eastAsia="Times New Roman" w:hAnsi="Times New Roman"/>
          <w:sz w:val="21"/>
          <w:szCs w:val="21"/>
          <w:b w:val="1"/>
          <w:bCs w:val="1"/>
          <w:i w:val="1"/>
          <w:iCs w:val="1"/>
          <w:color w:val="auto"/>
        </w:rPr>
        <w:t>Indemnified Party</w:t>
      </w:r>
      <w:r>
        <w:rPr>
          <w:rFonts w:ascii="Times New Roman" w:cs="Times New Roman" w:eastAsia="Times New Roman" w:hAnsi="Times New Roman"/>
          <w:sz w:val="21"/>
          <w:szCs w:val="21"/>
          <w:color w:val="auto"/>
        </w:rPr>
        <w:t>”), has suffered or incurred any Losses for which indemnification may be sought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this Article‎ 7, the Indemnified Party shall so notify the other party from whom indemnification is sought under this Article‎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7 (the “</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w:t>
      </w:r>
    </w:p>
    <w:p>
      <w:pPr>
        <w:spacing w:after="0" w:line="17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Section 7.3 Limitations on Liability </w:t>
      </w:r>
      <w:r>
        <w:rPr>
          <w:rFonts w:ascii="Times New Roman" w:cs="Times New Roman" w:eastAsia="Times New Roman" w:hAnsi="Times New Roman"/>
          <w:sz w:val="22"/>
          <w:szCs w:val="22"/>
          <w:color w:val="auto"/>
        </w:rPr>
        <w:t>. Except for claims arising from a breach of confidentiality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8 or in cases of fraud, gross negligence, or willful misconduct, no party hereto shall be liable for any lost profits or</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revenue, lost opportunity or consequential, punitive, special or incidental damages under this Article‎ 7 (and no claim for indemnification hereunder shall be asserted) as a result of any breach or violation of any representation, warranty, covenant or agreement of such party (including under this ‎Article 7) in or pursuant to this Agreement. In connection with the foregoing, the parties hereto acknowledge and agree that (i) the Buyer’s damages, if any, for any such action or claim will typically include Losses for payments of the Royalty Payments that the Buyer was entitled to receive in respect of its ownership of the Royalty Payments but did not receive timely or at all due to such indemnifiable event and (ii) the Buyer shall be entitled to make claims for all such missing or delayed Royalty Payments as Losses hereunder, and such missing or Royalty Payments shall not be deemed lost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profits or revenue, lost opportunity or consequential, punitive, special, indirect or incidental damages.</w:t>
      </w:r>
    </w:p>
    <w:p>
      <w:pPr>
        <w:spacing w:after="0" w:line="20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7.4</w:t>
        <w:tab/>
        <w:t xml:space="preserve">Exclusive Remedy </w:t>
      </w:r>
      <w:r>
        <w:rPr>
          <w:rFonts w:ascii="Times New Roman" w:cs="Times New Roman" w:eastAsia="Times New Roman" w:hAnsi="Times New Roman"/>
          <w:sz w:val="22"/>
          <w:szCs w:val="22"/>
          <w:color w:val="auto"/>
        </w:rPr>
        <w:t>. Except as set forth in Section‎ 9.1 and Section‎ 11.11, from and after Closing, the</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rights of the parties hereto pursuant to (and subject to the conditions of) this Article‎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and each party hereto hereby waives, to the fullest extent permitted under applicable law, and agrees not to assert after Closing, any other claim or action in respect of any such breach. Notwithstanding the foregoing, the rights of the Buyer under the Acceptable Intercreditor Agreement and claims for fraud, gross negligence, or willful misconduct shall not be waived or limited in any way by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Article 7.</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7.5</w:t>
        <w:tab/>
        <w:t xml:space="preserve">Tax Treatment of Indemnification Payments </w:t>
      </w:r>
      <w:r>
        <w:rPr>
          <w:rFonts w:ascii="Times New Roman" w:cs="Times New Roman" w:eastAsia="Times New Roman" w:hAnsi="Times New Roman"/>
          <w:sz w:val="22"/>
          <w:szCs w:val="22"/>
          <w:color w:val="auto"/>
        </w:rPr>
        <w:t>. Any indemnification payments made pursuant to this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Article‎ 7 will be treated as an adjustment to the Purchase Price for U.S. federal income tax to the fullest extent permitted by applicable law.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Section 8.1 Confidentiality</w:t>
      </w:r>
      <w:r>
        <w:rPr>
          <w:rFonts w:ascii="Times New Roman" w:cs="Times New Roman" w:eastAsia="Times New Roman" w:hAnsi="Times New Roman"/>
          <w:sz w:val="22"/>
          <w:szCs w:val="22"/>
          <w:color w:val="auto"/>
        </w:rPr>
        <w:t>. Except as provided in this Article‎ 8, Section‎ 11.4 or otherwise agreed in writing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the parties hereto agree that, during the term of this Agreement and for five years thereafter, each party (the “</w:t>
      </w:r>
      <w:r>
        <w:rPr>
          <w:rFonts w:ascii="Times New Roman" w:cs="Times New Roman" w:eastAsia="Times New Roman" w:hAnsi="Times New Roman"/>
          <w:sz w:val="22"/>
          <w:szCs w:val="22"/>
          <w:b w:val="1"/>
          <w:bCs w:val="1"/>
          <w:i w:val="1"/>
          <w:iCs w:val="1"/>
          <w:color w:val="auto"/>
        </w:rPr>
        <w:t>Receiving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shall (i) keep confidential, and shall not publish or otherwise disclose to any Person any Confidential Information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defined below) and (ii) shall not use for any purpose other than as provided for in this Agreement (which such permitted purpose includes the exercise of any rights or the performance of any obligations hereunder), the terms of this Agreement or any information (whether written or oral, or in electronic or other form and, for purposes of clarity including the Counterparty Confidential Information) furnished (including prior to the date hereof) to it by or on behalf of the other party (the “</w:t>
      </w:r>
      <w:r>
        <w:rPr>
          <w:rFonts w:ascii="Times New Roman" w:cs="Times New Roman" w:eastAsia="Times New Roman" w:hAnsi="Times New Roman"/>
          <w:sz w:val="22"/>
          <w:szCs w:val="22"/>
          <w:b w:val="1"/>
          <w:bCs w:val="1"/>
          <w:i w:val="1"/>
          <w:iCs w:val="1"/>
          <w:color w:val="auto"/>
        </w:rPr>
        <w:t>Disclosing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pursuant to this Agreement or the Non-Disclosure Agreement (such information,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Disclosing Party), provided that the terms of this Agreement shall be Confidential Information of both parties and Counterparty Confidential Information, as between the Buyer and the Seller, shall at all times be Confidential Information of the Seller. Notwithstanding the foregoing, the restrictions on disclosure and use of Confidential Information of the Disclosing Party shall not apply to Confidential Information that:</w:t>
      </w:r>
    </w:p>
    <w:p>
      <w:pPr>
        <w:spacing w:after="0" w:line="189" w:lineRule="exact"/>
        <w:rPr>
          <w:sz w:val="20"/>
          <w:szCs w:val="20"/>
          <w:color w:val="auto"/>
        </w:rPr>
      </w:pPr>
    </w:p>
    <w:p>
      <w:pPr>
        <w:ind w:right="40" w:firstLine="1505"/>
        <w:spacing w:after="0" w:line="258" w:lineRule="auto"/>
        <w:tabs>
          <w:tab w:leader="none" w:pos="192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as evidenced by the Receiving Party’s written records, other than under an obligation of confidentiality, at the time of disclosure to the Receiving Party;</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generally available to the public or otherwise part of the public domain at the time of its disclosure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Receiving Party;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1" w:name="page202"/>
    <w:bookmarkEnd w:id="201"/>
    <w:p>
      <w:pPr>
        <w:jc w:val="both"/>
        <w:ind w:firstLine="1505"/>
        <w:spacing w:after="0" w:line="253" w:lineRule="auto"/>
        <w:tabs>
          <w:tab w:leader="none" w:pos="192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became generally available to the public or otherwise became part of the public domain after its disclosure to the Receiving Party and other than through any act or omission of the Receiving Party in breach of its obligations under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Article‎ 8;</w:t>
      </w:r>
    </w:p>
    <w:p>
      <w:pPr>
        <w:spacing w:after="0" w:line="182" w:lineRule="exact"/>
        <w:rPr>
          <w:rFonts w:ascii="Times New Roman" w:cs="Times New Roman" w:eastAsia="Times New Roman" w:hAnsi="Times New Roman"/>
          <w:sz w:val="21"/>
          <w:szCs w:val="21"/>
          <w:color w:val="auto"/>
        </w:rPr>
      </w:pPr>
    </w:p>
    <w:p>
      <w:pPr>
        <w:ind w:right="20" w:firstLine="1505"/>
        <w:spacing w:after="0" w:line="258" w:lineRule="auto"/>
        <w:tabs>
          <w:tab w:leader="none" w:pos="192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discovered or developed by the Receiving Party or any of its Affiliates, as evidenced by their written records, without the use of, reference to, or reliance upon, Confidential Information of the Disclosing Party; or</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on a non-confidential basis by a Third Party without obligations of confidentiality with respect thereto.</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8.2</w:t>
      </w:r>
      <w:r>
        <w:rPr>
          <w:sz w:val="20"/>
          <w:szCs w:val="20"/>
          <w:color w:val="auto"/>
        </w:rPr>
        <w:tab/>
      </w:r>
      <w:r>
        <w:rPr>
          <w:rFonts w:ascii="Times New Roman" w:cs="Times New Roman" w:eastAsia="Times New Roman" w:hAnsi="Times New Roman"/>
          <w:sz w:val="21"/>
          <w:szCs w:val="21"/>
          <w:b w:val="1"/>
          <w:bCs w:val="1"/>
          <w:color w:val="auto"/>
        </w:rPr>
        <w:t>Authorized Disclosure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940" w:hanging="435"/>
        <w:spacing w:after="0"/>
        <w:tabs>
          <w:tab w:leader="none" w:pos="19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may disclose Confidential Information (other than disclosure by the Buyer of any</w:t>
      </w:r>
    </w:p>
    <w:p>
      <w:pPr>
        <w:spacing w:after="0" w:line="14"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UCB Confidential Information, which is addressed solely in Section‎ 8.2(d) and as to which this Section‎ 8.2(a) is not applicable</w:t>
      </w:r>
    </w:p>
    <w:p>
      <w:pPr>
        <w:ind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Section‎ 8.2(d) references this Section‎ 8.2(a)) with the prior written consent of the Disclosing Party or to the extent such disclosure is reasonably necessary in the following situations:</w:t>
      </w:r>
    </w:p>
    <w:p>
      <w:pPr>
        <w:spacing w:after="0" w:line="17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prosecuting or defending litigation;</w:t>
      </w:r>
    </w:p>
    <w:p>
      <w:pPr>
        <w:spacing w:after="0" w:line="206" w:lineRule="exact"/>
        <w:rPr>
          <w:rFonts w:ascii="Times New Roman" w:cs="Times New Roman" w:eastAsia="Times New Roman" w:hAnsi="Times New Roman"/>
          <w:sz w:val="22"/>
          <w:szCs w:val="22"/>
          <w:b w:val="1"/>
          <w:bCs w:val="1"/>
          <w:color w:val="auto"/>
        </w:rPr>
      </w:pPr>
    </w:p>
    <w:p>
      <w:pPr>
        <w:ind w:left="2700" w:hanging="446"/>
        <w:spacing w:after="0"/>
        <w:tabs>
          <w:tab w:leader="none" w:pos="270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complying with applicable laws and regulations, including regulations promulgated by securities</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exchanges;</w:t>
      </w:r>
    </w:p>
    <w:p>
      <w:pPr>
        <w:spacing w:after="0" w:line="182" w:lineRule="exact"/>
        <w:rPr>
          <w:rFonts w:ascii="Times New Roman" w:cs="Times New Roman" w:eastAsia="Times New Roman" w:hAnsi="Times New Roman"/>
          <w:sz w:val="22"/>
          <w:szCs w:val="22"/>
          <w:b w:val="1"/>
          <w:bCs w:val="1"/>
          <w:color w:val="auto"/>
        </w:rPr>
      </w:pPr>
    </w:p>
    <w:p>
      <w:pPr>
        <w:jc w:val="both"/>
        <w:ind w:firstLine="2254"/>
        <w:spacing w:after="0" w:line="247" w:lineRule="auto"/>
        <w:tabs>
          <w:tab w:leader="none" w:pos="2678" w:val="left"/>
        </w:tabs>
        <w:numPr>
          <w:ilvl w:val="1"/>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complying with a valid order of a court of competent jurisdiction or other Governmental Entity or as otherwise required by applicable law or regulation; provided, however, that the Receiving Party shall first have given notice to the Disclosing Party and given the Disclosing Party a reasonable opportunity to quash such order and to obtain a protective order requiring that the Confidential Information and documents that are the subject of such order be held in confidence by such court or Governmental Entity or, if disclosed, be used only for the purposes for which the order was issued; and further provided that if a disclosure order is not quashed or a protective order is not obtained, the Confidential Information disclosed in response to such court or governmental order or applicable law or regulation shall be limited to that information which is legally required to be disclosed in response to such court or governmental order or pursuant to such applicable law or regulation;</w:t>
      </w:r>
    </w:p>
    <w:p>
      <w:pPr>
        <w:spacing w:after="0" w:line="171" w:lineRule="exact"/>
        <w:rPr>
          <w:rFonts w:ascii="Times New Roman" w:cs="Times New Roman" w:eastAsia="Times New Roman" w:hAnsi="Times New Roman"/>
          <w:sz w:val="21"/>
          <w:szCs w:val="21"/>
          <w:b w:val="1"/>
          <w:bCs w:val="1"/>
          <w:color w:val="auto"/>
        </w:rPr>
      </w:pPr>
    </w:p>
    <w:p>
      <w:pPr>
        <w:ind w:left="2680" w:hanging="426"/>
        <w:spacing w:after="0"/>
        <w:tabs>
          <w:tab w:leader="none" w:pos="268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regulatory, Tax or customs purposes;</w:t>
      </w:r>
    </w:p>
    <w:p>
      <w:pPr>
        <w:spacing w:after="0" w:line="206" w:lineRule="exact"/>
        <w:rPr>
          <w:rFonts w:ascii="Times New Roman" w:cs="Times New Roman" w:eastAsia="Times New Roman" w:hAnsi="Times New Roman"/>
          <w:sz w:val="22"/>
          <w:szCs w:val="22"/>
          <w:b w:val="1"/>
          <w:bCs w:val="1"/>
          <w:color w:val="auto"/>
        </w:rPr>
      </w:pPr>
    </w:p>
    <w:p>
      <w:pPr>
        <w:ind w:right="20" w:firstLine="2254"/>
        <w:spacing w:after="0" w:line="258" w:lineRule="auto"/>
        <w:tabs>
          <w:tab w:leader="none" w:pos="2705"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audit purposes, provided that each recipient of Confidential Information must be bound by customary and reasonable obligations of confidentiality and non-use prior to any such disclosure;</w:t>
      </w:r>
    </w:p>
    <w:p>
      <w:pPr>
        <w:spacing w:after="0" w:line="158"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692"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w:t>
      </w:r>
    </w:p>
    <w:p>
      <w:pPr>
        <w:spacing w:after="0" w:line="173" w:lineRule="exact"/>
        <w:rPr>
          <w:rFonts w:ascii="Times New Roman" w:cs="Times New Roman" w:eastAsia="Times New Roman" w:hAnsi="Times New Roman"/>
          <w:sz w:val="22"/>
          <w:szCs w:val="22"/>
          <w:b w:val="1"/>
          <w:bCs w:val="1"/>
          <w:color w:val="auto"/>
        </w:rPr>
      </w:pPr>
    </w:p>
    <w:p>
      <w:pPr>
        <w:ind w:left="2680" w:hanging="426"/>
        <w:spacing w:after="0"/>
        <w:tabs>
          <w:tab w:leader="none" w:pos="268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the prior written consent of the Disclosing Party;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jc w:val="both"/>
        <w:ind w:firstLine="2254"/>
        <w:spacing w:after="0" w:line="238" w:lineRule="auto"/>
        <w:tabs>
          <w:tab w:leader="none" w:pos="3110"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its potential 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 or</w:t>
      </w:r>
    </w:p>
    <w:p>
      <w:pPr>
        <w:spacing w:after="0" w:line="176" w:lineRule="exact"/>
        <w:rPr>
          <w:rFonts w:ascii="Times New Roman" w:cs="Times New Roman" w:eastAsia="Times New Roman" w:hAnsi="Times New Roman"/>
          <w:sz w:val="22"/>
          <w:szCs w:val="22"/>
          <w:b w:val="1"/>
          <w:bCs w:val="1"/>
          <w:color w:val="auto"/>
        </w:rPr>
      </w:pPr>
    </w:p>
    <w:p>
      <w:pPr>
        <w:ind w:left="2680" w:hanging="426"/>
        <w:spacing w:after="0"/>
        <w:tabs>
          <w:tab w:leader="none" w:pos="2680"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is necessary in connection with a permitted assignment pursuant to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11.4.</w:t>
      </w:r>
    </w:p>
    <w:p>
      <w:pPr>
        <w:spacing w:after="0" w:line="206" w:lineRule="exact"/>
        <w:rPr>
          <w:rFonts w:ascii="Times New Roman" w:cs="Times New Roman" w:eastAsia="Times New Roman" w:hAnsi="Times New Roman"/>
          <w:sz w:val="22"/>
          <w:szCs w:val="22"/>
          <w:b w:val="1"/>
          <w:bCs w:val="1"/>
          <w:color w:val="auto"/>
        </w:rPr>
      </w:pPr>
    </w:p>
    <w:p>
      <w:pPr>
        <w:ind w:left="1940" w:hanging="435"/>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the Receiving Party is required to make a disclosure of the</w:t>
      </w:r>
    </w:p>
    <w:p>
      <w:pPr>
        <w:spacing w:after="0" w:line="14"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Party’s Confidential Information pursuant to Section‎ 8.2(a)(i), (ii),‎ (iii)‎ or (iv),‎ it will, except where impracticable, give reasonable advance notice to the Disclosing Party of such disclosure and use reasonable efforts to secure confidential treatment of such information. In any event, the Buyer shall not file, or assist any Third Party in filing, any patent application based upon or using the Confidential Information of the Seller provided hereunder.</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materials and documentation relating to the Seller’s Intellectual Property Rights may be only disclosed to or accessed by the Buyer and its attorneys and auditors, without further disclosure to any other Representative of the Buyer.</w:t>
      </w:r>
    </w:p>
    <w:p>
      <w:pPr>
        <w:spacing w:after="0" w:line="173"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other provisions of this Article‎ 8, (i) the Buyer shall not disclose any UCB Confidential Information to any Person without the prior written consent of the Seller (such consent not to be unreasonably withheld, conditioned or delayed) except the Buyer may disclose UCB Confidential Information as and to the extent provided in</w:t>
      </w:r>
    </w:p>
    <w:p>
      <w:pPr>
        <w:spacing w:after="0" w:line="1" w:lineRule="exact"/>
        <w:rPr>
          <w:rFonts w:ascii="Times New Roman" w:cs="Times New Roman" w:eastAsia="Times New Roman" w:hAnsi="Times New Roman"/>
          <w:sz w:val="21"/>
          <w:szCs w:val="21"/>
          <w:color w:val="auto"/>
        </w:rPr>
      </w:pPr>
    </w:p>
    <w:p>
      <w:pPr>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8.2(a)(iii), Section‎ 8.2(a)(vi), or, subject to compliance with Section‎ 11.4, Section‎ 8.2(a)(ix) and (ii) in the event the</w:t>
      </w: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and non-use terms of the Incyte Agreement are more stringent than those set forth in this Article‎ 8, then the Buyer agrees to be bound by such more stringent terms in respect of the Incyte Confidential Information received hereunder by the Buyer. The Buyer agrees that it shall cause any Affiliates and Representatives to comply with the obligations of confidentiality</w:t>
      </w:r>
    </w:p>
    <w:p>
      <w:pPr>
        <w:spacing w:after="0" w:line="1"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non-use under this Article‎ 8 (i) in the case of UCB Confidential Information, until the date that is five years following the expiration or earlier termination of the UCB Agreement and (ii) in the case of Incyte Confidential Information, until the date that is ten years following the expiration of the Term (as defined in the Incyte Agreement).</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8.3 SEC Filings </w:t>
      </w:r>
      <w:r>
        <w:rPr>
          <w:rFonts w:ascii="Times New Roman" w:cs="Times New Roman" w:eastAsia="Times New Roman" w:hAnsi="Times New Roman"/>
          <w:sz w:val="22"/>
          <w:szCs w:val="22"/>
          <w:color w:val="auto"/>
        </w:rPr>
        <w:t>. Prior to the submission by the Seller or, if applicable, the Buyer, to the SEC of any SEC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that contain any Confidential Information of the other party, or that contain previously undisclosed material information related to the existence or subject matter of this Agreement, the party making such filing shall provide drafts of relevant portions of such SEC Documents to the other party within a reasonable period of time, but in any event no less than two Business Days prior to the planned date of such submission. The party making such filing shall consider in good faith any reasonable requests of the other party to redact any Confidential Information of the other party therein. Notwithstanding the foregoing, a party making such a filing shall have no obligation to provide a draft of a proposed filing of an SEC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spacing w:after="0" w:line="239" w:lineRule="auto"/>
        <w:rPr>
          <w:sz w:val="20"/>
          <w:szCs w:val="20"/>
          <w:color w:val="auto"/>
        </w:rPr>
      </w:pPr>
      <w:r>
        <w:rPr>
          <w:rFonts w:ascii="Times New Roman" w:cs="Times New Roman" w:eastAsia="Times New Roman" w:hAnsi="Times New Roman"/>
          <w:sz w:val="22"/>
          <w:szCs w:val="22"/>
          <w:color w:val="auto"/>
        </w:rPr>
        <w:t>Document or otherwise comply with this ‎Section 8.3 with respect to a proposed filing of an SEC Document if the description of or reference to this Agreement or to the subject Confidential Information of the other party contained in, or attached as an exhibit to, the proposed SEC Document, has been included in any previous SEC Document filed by either party in accordance with this ‎Section 8.3 or otherwise approved by the other party in 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 OF DEFAULT REMEDIES; CALL OPTION</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Section 9.1 Remedies upon Event of Default</w:t>
      </w:r>
      <w:r>
        <w:rPr>
          <w:rFonts w:ascii="Times New Roman" w:cs="Times New Roman" w:eastAsia="Times New Roman" w:hAnsi="Times New Roman"/>
          <w:sz w:val="22"/>
          <w:szCs w:val="22"/>
          <w:color w:val="auto"/>
        </w:rPr>
        <w:t>. If an Event of Default has occurred and is continuing, the Buyer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written notice to the Seller, accelerate and require the Seller to repurchase all, but not less than all, of the Revenue Participation Right for a payment equal to the Royalty Cap (less the aggregate of all of the Royalty Payments actually received by the Buyer prior to such date, plus any other Obligations payable by the Seller under this Agreement and the other Transaction Documents). If the Buyer requires the Seller to repurchase the Revenue Participation Right pursuant to the preceding sentence, the Royalty Cap (less the aggregate of all of the Royalty Payments actually received by the Buyer prior to such date, plus any other Obligations payable by the Seller under this Agreement and the other Transaction Documents) shall be immediately due and payable by the Seller, and if the Royalty Cap (less the aggregate of all of the Royalty Payments actually received by the Buyer prior to such date, plus any other Obligations payable by the Seller under this Agreement and the other Transaction Documents) is not immediately paid, the Buyer may otherwise exercise all rights and remedies available to it under the Transaction Documents and applicable law. Notwithstanding the foregoing and anything to the contrary contained herein, immediately upon the occurrence of an Event of Default under clause (b) of the definition thereof, the Seller shall immediately pay the Royalty Cap (less the aggregate of all of the Royalty Payments actually received by the Buyer prior to such date, plus any other Obligations payable by the Seller under this Agreement and the other Transaction Documents) to the Buyer or the Buyer’s designee without demand, presentment, notice of demand or of dishonor and nonpayment, protest, notice of protest, notice of intention to accelerate, declaration or notice of acceleration or any other notice or declaration of any kind, all of which are hereby expressly waived by the Seller.</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9.2 Call Option </w:t>
      </w:r>
      <w:r>
        <w:rPr>
          <w:rFonts w:ascii="Times New Roman" w:cs="Times New Roman" w:eastAsia="Times New Roman" w:hAnsi="Times New Roman"/>
          <w:sz w:val="21"/>
          <w:szCs w:val="21"/>
          <w:color w:val="auto"/>
        </w:rPr>
        <w:t>. If at any time during the term of this Agreement, the Seller enters into a definitive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consummate a Change of Control, or a Change of Control is otherwise announced or consummated, the Seller shall have the option (the “</w:t>
      </w:r>
      <w:r>
        <w:rPr>
          <w:rFonts w:ascii="Times New Roman" w:cs="Times New Roman" w:eastAsia="Times New Roman" w:hAnsi="Times New Roman"/>
          <w:sz w:val="21"/>
          <w:szCs w:val="21"/>
          <w:b w:val="1"/>
          <w:bCs w:val="1"/>
          <w:i w:val="1"/>
          <w:iCs w:val="1"/>
          <w:color w:val="auto"/>
        </w:rPr>
        <w:t>Call Option</w:t>
      </w:r>
      <w:r>
        <w:rPr>
          <w:rFonts w:ascii="Times New Roman" w:cs="Times New Roman" w:eastAsia="Times New Roman" w:hAnsi="Times New Roman"/>
          <w:sz w:val="21"/>
          <w:szCs w:val="21"/>
          <w:color w:val="auto"/>
        </w:rPr>
        <w:t>”) to repurchase from the Buyer all, but not less than all, of the Revenue Participation Right for a payment equal to the Change of Control Call Price, calculated as of the date of its payment, by delivering to the Buyer, within 20 Business Days of signing a definitive agreement with respect to such Change of Control, a written notice notifying the Buyer of the Change of Control and the Seller’s related decision to exercise its Call Option (which notice shall be irrevocable and be contingent on the consummation of such Change of Control). If the Seller exercises the Call Option, then on the date of the consummation of the related Change of Control the Seller will pay the Change of Control Call Price (plus any other Obligations payable by the Seller under this Agreement and the other Transaction Documents), calculated as of the date of its payment, to the Buyer by wire transfer of immediately available funds to the account or accounts designated by the Buyer.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Section 10.1 Mutual Termination</w:t>
      </w:r>
      <w:r>
        <w:rPr>
          <w:rFonts w:ascii="Times New Roman" w:cs="Times New Roman" w:eastAsia="Times New Roman" w:hAnsi="Times New Roman"/>
          <w:sz w:val="22"/>
          <w:szCs w:val="22"/>
          <w:color w:val="auto"/>
        </w:rPr>
        <w:t>. This Agreement may be terminated by mutual written agreement of the Buyer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Seller.</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10.2 Automatic Termination </w:t>
      </w:r>
      <w:r>
        <w:rPr>
          <w:rFonts w:ascii="Times New Roman" w:cs="Times New Roman" w:eastAsia="Times New Roman" w:hAnsi="Times New Roman"/>
          <w:sz w:val="22"/>
          <w:szCs w:val="22"/>
          <w:color w:val="auto"/>
        </w:rPr>
        <w:t>. Unless earlier terminated as provided in Section‎ 10.1, following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continue in full force and effect until the Royalty Termination Date, at which point this Agreement shall automatically terminate, except with respect to any rights that shall have accrued prior to such termination.</w:t>
      </w:r>
    </w:p>
    <w:p>
      <w:pPr>
        <w:spacing w:after="0" w:line="1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10.3 Effect of Termination </w:t>
      </w:r>
      <w:r>
        <w:rPr>
          <w:rFonts w:ascii="Times New Roman" w:cs="Times New Roman" w:eastAsia="Times New Roman" w:hAnsi="Times New Roman"/>
          <w:sz w:val="21"/>
          <w:szCs w:val="21"/>
          <w:color w:val="auto"/>
        </w:rPr>
        <w:t>. Upon termination of this Agreement pursuant to this Article‎ 10, the Liens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Back-Up Security Interest granted to the Buyer and its successors and assigns pursuant to this Agreement shall be automatically released without any further action necessary. In furtherance of the foregoing, the Buyer shall promptly file UCC-3 terminations and deliver to the Seller a lien release letter, in in each case, releasing such Liens and Back-Up Security Interest, and execute and deliver to the Seller, at the Seller’s expense, all other documents that the Seller shall reasonably request to evidence such release.</w:t>
      </w:r>
    </w:p>
    <w:p>
      <w:pPr>
        <w:spacing w:after="0" w:line="16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10.4 Survival </w:t>
      </w:r>
      <w:r>
        <w:rPr>
          <w:rFonts w:ascii="Times New Roman" w:cs="Times New Roman" w:eastAsia="Times New Roman" w:hAnsi="Times New Roman"/>
          <w:sz w:val="21"/>
          <w:szCs w:val="21"/>
          <w:color w:val="auto"/>
        </w:rPr>
        <w:t>. Notwithstanding anything to the contrary in this ‎Article 10, the following provisions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survive termination of this Agreement: ‎Section 6.3 (Disclosures), ‎Section 6.4 (Inspections and Audits of the Seller), ‎Section 6.5</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(Inspections and Audits of Licensee), Article‎ 7 (Indemnification), Article‎ 8 (Confidentiality), Section‎ 10.3 (Effect of Termination), this ‎Section 10.4 (Survival) and ‎Article 11 (Miscellaneous). Termination of the Agreement shall not relieve any party of liability in respect of breaches under this Agreement by any party on or prior to termination.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11.1 Headings </w:t>
      </w:r>
      <w:r>
        <w:rPr>
          <w:rFonts w:ascii="Times New Roman" w:cs="Times New Roman" w:eastAsia="Times New Roman" w:hAnsi="Times New Roman"/>
          <w:sz w:val="22"/>
          <w:szCs w:val="22"/>
          <w:color w:val="auto"/>
        </w:rPr>
        <w:t>. The table of contents and the descriptive headings of the several Articles and Sections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Exhibits and Schedules are for convenience only, do not constitute a part of this Agreement and shall not control or affect, in any way, the meaning or interpretation of this Agreement.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11.2 Notices</w:t>
      </w:r>
      <w:r>
        <w:rPr>
          <w:rFonts w:ascii="Times New Roman" w:cs="Times New Roman" w:eastAsia="Times New Roman" w:hAnsi="Times New Roman"/>
          <w:sz w:val="22"/>
          <w:szCs w:val="22"/>
          <w:color w:val="auto"/>
        </w:rPr>
        <w:t>. All notices and other communications under this Agreement shall be in writing and shall be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email with PDF attachment, facsimile, courier service or personal delivery to the following addresses, or to such other addresses as shall be designated from time to time by a party hereto in accordance with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11.2:</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Seller, to it at:</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Syndax Pharmaceuticals, Inc.</w:t>
      </w:r>
    </w:p>
    <w:p>
      <w:pPr>
        <w:ind w:left="1880"/>
        <w:spacing w:after="0" w:line="230" w:lineRule="auto"/>
        <w:rPr>
          <w:sz w:val="20"/>
          <w:szCs w:val="20"/>
          <w:color w:val="auto"/>
        </w:rPr>
      </w:pPr>
      <w:r>
        <w:rPr>
          <w:rFonts w:ascii="Times New Roman" w:cs="Times New Roman" w:eastAsia="Times New Roman" w:hAnsi="Times New Roman"/>
          <w:sz w:val="22"/>
          <w:szCs w:val="22"/>
          <w:color w:val="auto"/>
        </w:rPr>
        <w:t>730 Third Avenue, 9th Floor</w:t>
      </w:r>
    </w:p>
    <w:p>
      <w:pPr>
        <w:ind w:left="1880"/>
        <w:spacing w:after="0" w:line="231" w:lineRule="auto"/>
        <w:rPr>
          <w:sz w:val="20"/>
          <w:szCs w:val="20"/>
          <w:color w:val="auto"/>
        </w:rPr>
      </w:pPr>
      <w:r>
        <w:rPr>
          <w:rFonts w:ascii="Times New Roman" w:cs="Times New Roman" w:eastAsia="Times New Roman" w:hAnsi="Times New Roman"/>
          <w:sz w:val="22"/>
          <w:szCs w:val="22"/>
          <w:color w:val="auto"/>
        </w:rPr>
        <w:t>New York, NY 10017</w:t>
      </w:r>
    </w:p>
    <w:p>
      <w:pPr>
        <w:ind w:left="1880"/>
        <w:spacing w:after="0" w:line="230" w:lineRule="auto"/>
        <w:rPr>
          <w:sz w:val="20"/>
          <w:szCs w:val="20"/>
          <w:color w:val="auto"/>
        </w:rPr>
      </w:pPr>
      <w:r>
        <w:rPr>
          <w:rFonts w:ascii="Times New Roman" w:cs="Times New Roman" w:eastAsia="Times New Roman" w:hAnsi="Times New Roman"/>
          <w:sz w:val="22"/>
          <w:szCs w:val="22"/>
          <w:color w:val="auto"/>
        </w:rPr>
        <w:t>Attention: Luke Albrecht</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5" w:name="page206"/>
    <w:bookmarkEnd w:id="205"/>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Cooley LLP</w:t>
      </w:r>
    </w:p>
    <w:p>
      <w:pPr>
        <w:ind w:left="1880"/>
        <w:spacing w:after="0" w:line="230" w:lineRule="auto"/>
        <w:rPr>
          <w:sz w:val="20"/>
          <w:szCs w:val="20"/>
          <w:color w:val="auto"/>
        </w:rPr>
      </w:pPr>
      <w:r>
        <w:rPr>
          <w:rFonts w:ascii="Times New Roman" w:cs="Times New Roman" w:eastAsia="Times New Roman" w:hAnsi="Times New Roman"/>
          <w:sz w:val="22"/>
          <w:szCs w:val="22"/>
          <w:color w:val="auto"/>
        </w:rPr>
        <w:t>3 Embarcadero Center</w:t>
      </w:r>
    </w:p>
    <w:p>
      <w:pPr>
        <w:ind w:left="1880"/>
        <w:spacing w:after="0" w:line="231" w:lineRule="auto"/>
        <w:rPr>
          <w:sz w:val="20"/>
          <w:szCs w:val="20"/>
          <w:color w:val="auto"/>
        </w:rPr>
      </w:pPr>
      <w:r>
        <w:rPr>
          <w:rFonts w:ascii="Times New Roman" w:cs="Times New Roman" w:eastAsia="Times New Roman" w:hAnsi="Times New Roman"/>
          <w:sz w:val="22"/>
          <w:szCs w:val="22"/>
          <w:color w:val="auto"/>
        </w:rPr>
        <w:t>20th Floor</w:t>
      </w:r>
    </w:p>
    <w:p>
      <w:pPr>
        <w:ind w:left="1880"/>
        <w:spacing w:after="0" w:line="230" w:lineRule="auto"/>
        <w:rPr>
          <w:sz w:val="20"/>
          <w:szCs w:val="20"/>
          <w:color w:val="auto"/>
        </w:rPr>
      </w:pPr>
      <w:r>
        <w:rPr>
          <w:rFonts w:ascii="Times New Roman" w:cs="Times New Roman" w:eastAsia="Times New Roman" w:hAnsi="Times New Roman"/>
          <w:sz w:val="22"/>
          <w:szCs w:val="22"/>
          <w:color w:val="auto"/>
        </w:rPr>
        <w:t>San Francisco, CA 94111-4004</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Attention: Mischi a Marca; Matt Browne</w:t>
      </w: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Buyer, to it at: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ind w:left="1880"/>
        <w:spacing w:after="0" w:line="183" w:lineRule="auto"/>
        <w:rPr>
          <w:sz w:val="20"/>
          <w:szCs w:val="20"/>
          <w:color w:val="auto"/>
        </w:rPr>
      </w:pPr>
      <w:r>
        <w:rPr>
          <w:rFonts w:ascii="Times New Roman" w:cs="Times New Roman" w:eastAsia="Times New Roman" w:hAnsi="Times New Roman"/>
          <w:sz w:val="22"/>
          <w:szCs w:val="22"/>
          <w:color w:val="auto"/>
        </w:rPr>
        <w:t>110 E.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Suite 3300</w:t>
      </w:r>
    </w:p>
    <w:p>
      <w:pPr>
        <w:ind w:left="1880"/>
        <w:spacing w:after="0" w:line="231" w:lineRule="auto"/>
        <w:rPr>
          <w:sz w:val="20"/>
          <w:szCs w:val="20"/>
          <w:color w:val="auto"/>
        </w:rPr>
      </w:pPr>
      <w:r>
        <w:rPr>
          <w:rFonts w:ascii="Times New Roman" w:cs="Times New Roman" w:eastAsia="Times New Roman" w:hAnsi="Times New Roman"/>
          <w:sz w:val="22"/>
          <w:szCs w:val="22"/>
          <w:color w:val="auto"/>
        </w:rPr>
        <w:t>New York, New York 10022</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Gibson, Dunn &amp; Crutcher LLP</w:t>
      </w:r>
    </w:p>
    <w:p>
      <w:pPr>
        <w:ind w:left="1880"/>
        <w:spacing w:after="0" w:line="230" w:lineRule="auto"/>
        <w:rPr>
          <w:sz w:val="20"/>
          <w:szCs w:val="20"/>
          <w:color w:val="auto"/>
        </w:rPr>
      </w:pPr>
      <w:r>
        <w:rPr>
          <w:rFonts w:ascii="Times New Roman" w:cs="Times New Roman" w:eastAsia="Times New Roman" w:hAnsi="Times New Roman"/>
          <w:sz w:val="22"/>
          <w:szCs w:val="22"/>
          <w:color w:val="auto"/>
        </w:rPr>
        <w:t>One Embarcadero Center, Suite 2600</w:t>
      </w:r>
    </w:p>
    <w:p>
      <w:pPr>
        <w:ind w:left="1880"/>
        <w:spacing w:after="0" w:line="231" w:lineRule="auto"/>
        <w:rPr>
          <w:sz w:val="20"/>
          <w:szCs w:val="20"/>
          <w:color w:val="auto"/>
        </w:rPr>
      </w:pPr>
      <w:r>
        <w:rPr>
          <w:rFonts w:ascii="Times New Roman" w:cs="Times New Roman" w:eastAsia="Times New Roman" w:hAnsi="Times New Roman"/>
          <w:sz w:val="22"/>
          <w:szCs w:val="22"/>
          <w:color w:val="auto"/>
        </w:rPr>
        <w:t>San Francisco, CA 94111</w:t>
      </w:r>
    </w:p>
    <w:p>
      <w:pPr>
        <w:ind w:left="1880"/>
        <w:spacing w:after="0" w:line="230" w:lineRule="auto"/>
        <w:rPr>
          <w:sz w:val="20"/>
          <w:szCs w:val="20"/>
          <w:color w:val="auto"/>
        </w:rPr>
      </w:pPr>
      <w:r>
        <w:rPr>
          <w:rFonts w:ascii="Times New Roman" w:cs="Times New Roman" w:eastAsia="Times New Roman" w:hAnsi="Times New Roman"/>
          <w:sz w:val="22"/>
          <w:szCs w:val="22"/>
          <w:color w:val="auto"/>
        </w:rPr>
        <w:t>Attention: Ryan Murr; Karen Spindler; Todd Trattner</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All notices and communications under this Agreement shall be deemed to have been duly given (i) when delivered by hand, if personally delivered, (ii) when sent, if sent by facsimile, with an acknowledgement of sending being produced by the sending facsimile machine, (iii) when sent, if by email with PDF attachment, with an acknowledgment of receipt being produced by the recipient’s email account, or (iv) one Business Day following sending within the United States by overnight delivery via commercial one-day overnight courier service.</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11.3 Expenses </w:t>
      </w:r>
      <w:r>
        <w:rPr>
          <w:rFonts w:ascii="Times New Roman" w:cs="Times New Roman" w:eastAsia="Times New Roman" w:hAnsi="Times New Roman"/>
          <w:sz w:val="22"/>
          <w:szCs w:val="22"/>
          <w:color w:val="auto"/>
        </w:rPr>
        <w:t>. Except as otherwise provided herein, all fees, costs and expenses (including any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11.4 Assignment </w:t>
      </w:r>
      <w:r>
        <w:rPr>
          <w:rFonts w:ascii="Times New Roman" w:cs="Times New Roman" w:eastAsia="Times New Roman" w:hAnsi="Times New Roman"/>
          <w:sz w:val="22"/>
          <w:szCs w:val="22"/>
          <w:color w:val="auto"/>
        </w:rPr>
        <w:t>. The Seller may not assign in whole or in part this Agreement, or any of its rights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hereunder, without the Buyer’s prior written consent, except to (a) an Affiliate or (b) a Third Party in connection with the sale or transfer of all or substantially all of the Seller’s business or assets, or (c) Licensee in connection with the sale or transfer of all or substantially all of the Seller’s business relating to the Products in the Territory or all or substantially all of the Seller’s rights in the Product in the Territory, whether by merger, sale of assets, reorganization, or other conveyance of title, and only if upon closing any such transaction, (i) the Seller causes such Affiliate or the ultimate parent entity of such Third Party, as applicable, to deliver a writing to the Buyer in which it assumes or guarantees all of the obligations of the Seller to the Buyer under this Agreement, and such Affiliate or Third Party shall be deemed an assignee of the Seller under this Agreement (the “</w:t>
      </w:r>
      <w:r>
        <w:rPr>
          <w:rFonts w:ascii="Times New Roman" w:cs="Times New Roman" w:eastAsia="Times New Roman" w:hAnsi="Times New Roman"/>
          <w:sz w:val="22"/>
          <w:szCs w:val="22"/>
          <w:b w:val="1"/>
          <w:bCs w:val="1"/>
          <w:i w:val="1"/>
          <w:iCs w:val="1"/>
          <w:color w:val="auto"/>
        </w:rPr>
        <w:t>Permitted Assignment Provisions</w:t>
      </w:r>
      <w:r>
        <w:rPr>
          <w:rFonts w:ascii="Times New Roman" w:cs="Times New Roman" w:eastAsia="Times New Roman" w:hAnsi="Times New Roman"/>
          <w:sz w:val="22"/>
          <w:szCs w:val="22"/>
          <w:color w:val="auto"/>
        </w:rPr>
        <w:t>”), and (ii) if such Third Party is Licensee, Licensee agrees to pay the Royalty Payments to the Buyer and honor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jc w:val="both"/>
        <w:spacing w:after="0" w:line="245" w:lineRule="auto"/>
        <w:rPr>
          <w:sz w:val="20"/>
          <w:szCs w:val="20"/>
          <w:color w:val="auto"/>
        </w:rPr>
      </w:pPr>
      <w:r>
        <w:rPr>
          <w:rFonts w:ascii="Times New Roman" w:cs="Times New Roman" w:eastAsia="Times New Roman" w:hAnsi="Times New Roman"/>
          <w:sz w:val="21"/>
          <w:szCs w:val="21"/>
          <w:color w:val="auto"/>
        </w:rPr>
        <w:t>the terms of this Agreement notwithstanding any subsequent termination of the Incyte Agreement or the applicable Permitted License by Licensee. Following the Closing, (A) the Buyer may not assign this Agreement in whole or in part to any Person other than a Qualified Assignee (unless an Event of Default has occurred and is continuing, in which case Buyer may assign this Agreement in whole or in part to any Person) and (B) in the event Buyer assigns this Agreement to any Person in whole or in part in compliance with the preceding clause (A), (x) such Person is, prior to the disclosure of any Confidential Information, bound by obligations of confidentiality and non-use with respect to any Confidential Information that are at least as restrictive as those set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forth in Article‎ 8, and (y) the Buyer will not, directly or indirectly, disclose any UCB Confidential Information to such Person (or any other Person, including, without limitation any Affiliate of the Buyer) except as expressly permitted by Section 8.2(d). This Agreement shall be binding upon, inure to the benefit of and be enforceable by, the parties hereto and their respective permitted successors and assigns. Any purported assignment in violation of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11.4 shall be null and void.</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color w:val="auto"/>
        </w:rPr>
        <w:t>Amendment and Waiver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505"/>
        <w:spacing w:after="0" w:line="282" w:lineRule="auto"/>
        <w:tabs>
          <w:tab w:leader="none" w:pos="1929"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amended, modified or supplemented only in a writing signed by each of the parties hereto. Any provision of this Agreement may be waived only in a writing signed by the party hereto granting such waiver.</w:t>
      </w:r>
    </w:p>
    <w:p>
      <w:pPr>
        <w:spacing w:after="0" w:line="134"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11.6 Entire Agreement</w:t>
      </w:r>
      <w:r>
        <w:rPr>
          <w:rFonts w:ascii="Times New Roman" w:cs="Times New Roman" w:eastAsia="Times New Roman" w:hAnsi="Times New Roman"/>
          <w:sz w:val="22"/>
          <w:szCs w:val="22"/>
          <w:color w:val="auto"/>
        </w:rPr>
        <w:t>. This Agreement, the Exhibits annexed hereto and the Disclosure Schedule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entire understanding between the parties hereto with respect to the subject matter hereof and supersede all other understandings and negotiations with respect thereto. As of the date hereof, the Non-Disclosure Agreement between RP Management, LLC and the Seller, dated as of March 12, 2024 (the “</w:t>
      </w:r>
      <w:r>
        <w:rPr>
          <w:rFonts w:ascii="Times New Roman" w:cs="Times New Roman" w:eastAsia="Times New Roman" w:hAnsi="Times New Roman"/>
          <w:sz w:val="22"/>
          <w:szCs w:val="22"/>
          <w:b w:val="1"/>
          <w:bCs w:val="1"/>
          <w:i w:val="1"/>
          <w:iCs w:val="1"/>
          <w:color w:val="auto"/>
        </w:rPr>
        <w:t>Non-Disclosure Agreement</w:t>
      </w:r>
      <w:r>
        <w:rPr>
          <w:rFonts w:ascii="Times New Roman" w:cs="Times New Roman" w:eastAsia="Times New Roman" w:hAnsi="Times New Roman"/>
          <w:sz w:val="22"/>
          <w:szCs w:val="22"/>
          <w:color w:val="auto"/>
        </w:rPr>
        <w:t>”) is hereby terminated without</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further force and effect and is superseded by Article‎ 8 of this Agreement, all Confidential Information (or such similar term, as defined therein) shared under the Non-Disclosure Agreement is deemed Confidential Information under this Agreement, and all obligations between the parties relating to confidentiality shall be governed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Article 8 of this Agreement.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11.7 No Third Party Beneficiaries </w:t>
      </w:r>
      <w:r>
        <w:rPr>
          <w:rFonts w:ascii="Times New Roman" w:cs="Times New Roman" w:eastAsia="Times New Roman" w:hAnsi="Times New Roman"/>
          <w:sz w:val="22"/>
          <w:szCs w:val="22"/>
          <w:color w:val="auto"/>
        </w:rPr>
        <w:t>. This Agreement is for the sole benefit of the Seller and the Buyer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7.1.</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11.8 Governing Law</w:t>
      </w:r>
      <w:r>
        <w:rPr>
          <w:rFonts w:ascii="Times New Roman" w:cs="Times New Roman" w:eastAsia="Times New Roman" w:hAnsi="Times New Roman"/>
          <w:sz w:val="22"/>
          <w:szCs w:val="22"/>
          <w:color w:val="auto"/>
        </w:rPr>
        <w:t>. This Agreement shall be governed by, and construed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New York without giving effect to any choice or conflict of law provision or rule that would cause the application of the laws of any other jurisdiction.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11.9</w:t>
      </w:r>
      <w:r>
        <w:rPr>
          <w:sz w:val="20"/>
          <w:szCs w:val="20"/>
          <w:color w:val="auto"/>
        </w:rPr>
        <w:tab/>
      </w:r>
      <w:r>
        <w:rPr>
          <w:rFonts w:ascii="Times New Roman" w:cs="Times New Roman" w:eastAsia="Times New Roman" w:hAnsi="Times New Roman"/>
          <w:sz w:val="21"/>
          <w:szCs w:val="21"/>
          <w:b w:val="1"/>
          <w:bCs w:val="1"/>
          <w:color w:val="auto"/>
        </w:rPr>
        <w:t>Jurisdiction; Venue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505"/>
        <w:spacing w:after="0" w:line="232" w:lineRule="auto"/>
        <w:tabs>
          <w:tab w:leader="none" w:pos="19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11.2 HEREOF.</w:t>
      </w:r>
    </w:p>
    <w:p>
      <w:pPr>
        <w:spacing w:after="0" w:line="191"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11.10 Severability</w:t>
      </w:r>
      <w:r>
        <w:rPr>
          <w:rFonts w:ascii="Times New Roman" w:cs="Times New Roman" w:eastAsia="Times New Roman" w:hAnsi="Times New Roman"/>
          <w:sz w:val="22"/>
          <w:szCs w:val="22"/>
          <w:color w:val="auto"/>
        </w:rPr>
        <w:t>. If any term or provision of this Agreement shall for any reason be held to be invalid,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8" w:name="page209"/>
    <w:bookmarkEnd w:id="208"/>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11.11 Specific Performance </w:t>
      </w:r>
      <w:r>
        <w:rPr>
          <w:rFonts w:ascii="Times New Roman" w:cs="Times New Roman" w:eastAsia="Times New Roman" w:hAnsi="Times New Roman"/>
          <w:sz w:val="22"/>
          <w:szCs w:val="22"/>
          <w:color w:val="auto"/>
        </w:rPr>
        <w:t>. Each of the parties acknowledges and agrees that the other party would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11.12 Counterparts</w:t>
      </w:r>
      <w:r>
        <w:rPr>
          <w:rFonts w:ascii="Times New Roman" w:cs="Times New Roman" w:eastAsia="Times New Roman" w:hAnsi="Times New Roman"/>
          <w:sz w:val="22"/>
          <w:szCs w:val="22"/>
          <w:color w:val="auto"/>
        </w:rPr>
        <w:t>. This Agreement may be executed in any number of counterparts and by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11.13 Relationship of the Parties</w:t>
      </w:r>
      <w:r>
        <w:rPr>
          <w:rFonts w:ascii="Times New Roman" w:cs="Times New Roman" w:eastAsia="Times New Roman" w:hAnsi="Times New Roman"/>
          <w:sz w:val="22"/>
          <w:szCs w:val="22"/>
          <w:color w:val="auto"/>
        </w:rPr>
        <w:t>. The relationship between the Buyer and the Seller is solely that of purchaser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9" w:name="page210"/>
    <w:bookmarkEnd w:id="209"/>
    <w:p>
      <w:pPr>
        <w:spacing w:after="0" w:line="185" w:lineRule="exact"/>
        <w:rPr>
          <w:sz w:val="20"/>
          <w:szCs w:val="20"/>
          <w:color w:val="auto"/>
        </w:rPr>
      </w:pPr>
    </w:p>
    <w:p>
      <w:pPr>
        <w:ind w:firstLine="739"/>
        <w:spacing w:after="0" w:line="24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SYNDAX PHARMACEUTICALS,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 /s/ Luke Albrecht</w:t>
      </w:r>
    </w:p>
    <w:p>
      <w:pPr>
        <w:spacing w:after="0" w:line="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Luke Albrecht</w:t>
      </w:r>
    </w:p>
    <w:p>
      <w:pPr>
        <w:ind w:left="434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ROYALTY PHARMA DEVELOPMENT FUNDING, LLC</w:t>
      </w:r>
    </w:p>
    <w:p>
      <w:pPr>
        <w:spacing w:after="0" w:line="3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 Royalty Pharma Holdings, Ltd., its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 /s/ George W. Lloyd</w:t>
      </w:r>
    </w:p>
    <w:p>
      <w:pPr>
        <w:spacing w:after="0" w:line="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George Lloyd</w:t>
      </w:r>
    </w:p>
    <w:p>
      <w:pPr>
        <w:ind w:left="4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yndax</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rinciples</w:t>
      </w:r>
    </w:p>
    <w:p>
      <w:pPr>
        <w:spacing w:after="0" w:line="216" w:lineRule="exact"/>
        <w:rPr>
          <w:sz w:val="20"/>
          <w:szCs w:val="20"/>
          <w:color w:val="auto"/>
        </w:rPr>
      </w:pPr>
    </w:p>
    <w:p>
      <w:pPr>
        <w:jc w:val="both"/>
        <w:ind w:left="760" w:hanging="378"/>
        <w:spacing w:after="0" w:line="250" w:lineRule="auto"/>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Employees, directors, other applicable members of management and designated consultants (each a “</w:t>
      </w:r>
      <w:r>
        <w:rPr>
          <w:rFonts w:ascii="Times New Roman" w:cs="Times New Roman" w:eastAsia="Times New Roman" w:hAnsi="Times New Roman"/>
          <w:sz w:val="20"/>
          <w:szCs w:val="20"/>
          <w:b w:val="1"/>
          <w:bCs w:val="1"/>
          <w:i w:val="1"/>
          <w:iCs w:val="1"/>
          <w:color w:val="auto"/>
        </w:rPr>
        <w:t>Covered Person</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color w:val="auto"/>
        </w:rPr>
        <w:t>”) of Syndax Pharmaceuticals, Inc. and its subsidiaries (together,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are responsible for understanding the obligations that come with having access to material nonpublic information and wanting to transact in the Company’s securities.</w:t>
      </w:r>
    </w:p>
    <w:p>
      <w:pPr>
        <w:spacing w:after="0" w:line="179" w:lineRule="exact"/>
        <w:rPr>
          <w:rFonts w:ascii="Times New Roman" w:cs="Times New Roman" w:eastAsia="Times New Roman" w:hAnsi="Times New Roman"/>
          <w:sz w:val="20"/>
          <w:szCs w:val="20"/>
          <w:b w:val="1"/>
          <w:bCs w:val="1"/>
          <w:color w:val="auto"/>
        </w:rPr>
      </w:pPr>
    </w:p>
    <w:p>
      <w:pPr>
        <w:ind w:left="760" w:hanging="378"/>
        <w:spacing w:after="0" w:line="269" w:lineRule="auto"/>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who are aware of material nonpublic information relating to the Company may not directly or indirectly engage in transactions in the Company’s securities, except as permitted by this Insider Trading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and applicable law.</w:t>
      </w:r>
    </w:p>
    <w:p>
      <w:pPr>
        <w:spacing w:after="0" w:line="159" w:lineRule="exact"/>
        <w:rPr>
          <w:rFonts w:ascii="Times New Roman" w:cs="Times New Roman" w:eastAsia="Times New Roman" w:hAnsi="Times New Roman"/>
          <w:sz w:val="20"/>
          <w:szCs w:val="20"/>
          <w:b w:val="1"/>
          <w:bCs w:val="1"/>
          <w:color w:val="auto"/>
        </w:rPr>
      </w:pPr>
    </w:p>
    <w:p>
      <w:pPr>
        <w:ind w:left="760" w:hanging="378"/>
        <w:spacing w:after="0" w:line="269" w:lineRule="auto"/>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disclose material nonpublic information outside of the Company unless the disclosure is made in accordance with a specific Company policy that authorizes such disclosure.</w:t>
      </w:r>
    </w:p>
    <w:p>
      <w:pPr>
        <w:spacing w:after="0" w:line="159" w:lineRule="exact"/>
        <w:rPr>
          <w:rFonts w:ascii="Times New Roman" w:cs="Times New Roman" w:eastAsia="Times New Roman" w:hAnsi="Times New Roman"/>
          <w:sz w:val="20"/>
          <w:szCs w:val="20"/>
          <w:b w:val="1"/>
          <w:bCs w:val="1"/>
          <w:color w:val="auto"/>
        </w:rPr>
      </w:pPr>
    </w:p>
    <w:p>
      <w:pPr>
        <w:ind w:left="760" w:hanging="378"/>
        <w:spacing w:after="0" w:line="269" w:lineRule="auto"/>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disclose material nonpublic information to persons within the Company whose jobs do not require them to have that information.</w:t>
      </w:r>
    </w:p>
    <w:p>
      <w:pPr>
        <w:spacing w:after="0" w:line="159" w:lineRule="exact"/>
        <w:rPr>
          <w:rFonts w:ascii="Times New Roman" w:cs="Times New Roman" w:eastAsia="Times New Roman" w:hAnsi="Times New Roman"/>
          <w:sz w:val="20"/>
          <w:szCs w:val="20"/>
          <w:b w:val="1"/>
          <w:bCs w:val="1"/>
          <w:color w:val="auto"/>
        </w:rPr>
      </w:pPr>
    </w:p>
    <w:p>
      <w:pPr>
        <w:ind w:left="760" w:hanging="378"/>
        <w:spacing w:after="0"/>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recommend the purchase or sale of any Company’s securities.</w:t>
      </w:r>
    </w:p>
    <w:p>
      <w:pPr>
        <w:spacing w:after="0" w:line="215" w:lineRule="exact"/>
        <w:rPr>
          <w:rFonts w:ascii="Times New Roman" w:cs="Times New Roman" w:eastAsia="Times New Roman" w:hAnsi="Times New Roman"/>
          <w:sz w:val="20"/>
          <w:szCs w:val="20"/>
          <w:b w:val="1"/>
          <w:bCs w:val="1"/>
          <w:color w:val="auto"/>
        </w:rPr>
      </w:pPr>
    </w:p>
    <w:p>
      <w:pPr>
        <w:ind w:left="760" w:hanging="378"/>
        <w:spacing w:after="0"/>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directly or indirectly assist anyone engaged in the above activities.</w:t>
      </w:r>
    </w:p>
    <w:p>
      <w:pPr>
        <w:spacing w:after="0" w:line="211" w:lineRule="exact"/>
        <w:rPr>
          <w:rFonts w:ascii="Times New Roman" w:cs="Times New Roman" w:eastAsia="Times New Roman" w:hAnsi="Times New Roman"/>
          <w:sz w:val="20"/>
          <w:szCs w:val="20"/>
          <w:b w:val="1"/>
          <w:bCs w:val="1"/>
          <w:color w:val="auto"/>
        </w:rPr>
      </w:pPr>
    </w:p>
    <w:p>
      <w:pPr>
        <w:ind w:left="760" w:hanging="378"/>
        <w:spacing w:after="0" w:line="273" w:lineRule="auto"/>
        <w:tabs>
          <w:tab w:leader="none" w:pos="7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Changes to this Policy require approval by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 duly appointed committee of the Board.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Q&amp;A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Scope and Purpose</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do we have an insider trading policy?</w:t>
      </w:r>
    </w:p>
    <w:p>
      <w:pPr>
        <w:spacing w:after="0" w:line="220" w:lineRule="exact"/>
        <w:rPr>
          <w:sz w:val="20"/>
          <w:szCs w:val="20"/>
          <w:color w:val="auto"/>
        </w:rPr>
      </w:pPr>
    </w:p>
    <w:p>
      <w:pPr>
        <w:ind w:left="760" w:hanging="752"/>
        <w:spacing w:after="0" w:line="245" w:lineRule="auto"/>
        <w:tabs>
          <w:tab w:leader="none" w:pos="40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course of your relationship with the Company, you may receive material information that is not yet publicly available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about the Company or other publicly traded companies with which the Company has business relationships. Material nonpublic information may give you, or someone to whom you pass that information, an advantage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subject to this Policy?</w:t>
      </w:r>
    </w:p>
    <w:p>
      <w:pPr>
        <w:spacing w:after="0" w:line="220" w:lineRule="exact"/>
        <w:rPr>
          <w:sz w:val="20"/>
          <w:szCs w:val="20"/>
          <w:color w:val="auto"/>
        </w:rPr>
      </w:pPr>
    </w:p>
    <w:p>
      <w:pPr>
        <w:ind w:left="760" w:hanging="752"/>
        <w:spacing w:after="0" w:line="249" w:lineRule="auto"/>
        <w:tabs>
          <w:tab w:leader="none" w:pos="40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ind w:left="760"/>
        <w:spacing w:after="0" w:line="273" w:lineRule="auto"/>
        <w:rPr>
          <w:sz w:val="20"/>
          <w:szCs w:val="20"/>
          <w:color w:val="auto"/>
        </w:rPr>
      </w:pPr>
      <w:r>
        <w:rPr>
          <w:rFonts w:ascii="Times New Roman" w:cs="Times New Roman" w:eastAsia="Times New Roman" w:hAnsi="Times New Roman"/>
          <w:sz w:val="20"/>
          <w:szCs w:val="20"/>
          <w:color w:val="auto"/>
        </w:rPr>
        <w:t>persons who are deemed subject to this Policy are referred to in this Policy as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 You are responsible for making sure that your Related Persons comply with this Policy.</w:t>
      </w:r>
    </w:p>
    <w:p>
      <w:pPr>
        <w:spacing w:after="0" w:line="156" w:lineRule="exact"/>
        <w:rPr>
          <w:sz w:val="20"/>
          <w:szCs w:val="20"/>
          <w:color w:val="auto"/>
        </w:rPr>
      </w:pPr>
    </w:p>
    <w:p>
      <w:pPr>
        <w:jc w:val="both"/>
        <w:ind w:left="760" w:hanging="352"/>
        <w:spacing w:after="0" w:line="254" w:lineRule="auto"/>
        <w:rPr>
          <w:sz w:val="20"/>
          <w:szCs w:val="20"/>
          <w:color w:val="auto"/>
        </w:rPr>
      </w:pPr>
      <w:r>
        <w:rPr>
          <w:rFonts w:ascii="Times New Roman" w:cs="Times New Roman" w:eastAsia="Times New Roman" w:hAnsi="Times New Roman"/>
          <w:sz w:val="20"/>
          <w:szCs w:val="20"/>
          <w:color w:val="auto"/>
        </w:rPr>
        <w:t xml:space="preserve">In addition, if you are an officer or director of the Company, or an employee or designated consultant of the Company described on </w:t>
      </w:r>
      <w:r>
        <w:rPr>
          <w:rFonts w:ascii="Times New Roman" w:cs="Times New Roman" w:eastAsia="Times New Roman" w:hAnsi="Times New Roman"/>
          <w:sz w:val="20"/>
          <w:szCs w:val="20"/>
          <w:b w:val="1"/>
          <w:bCs w:val="1"/>
          <w:color w:val="auto"/>
        </w:rPr>
        <w:t xml:space="preserve">Appendix 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Persons</w:t>
      </w:r>
      <w:r>
        <w:rPr>
          <w:rFonts w:ascii="Times New Roman" w:cs="Times New Roman" w:eastAsia="Times New Roman" w:hAnsi="Times New Roman"/>
          <w:sz w:val="20"/>
          <w:szCs w:val="20"/>
          <w:color w:val="auto"/>
        </w:rPr>
        <w:t>”), you and your Related Persons are subject to the quarterly trading blackout periods described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w:t>
      </w:r>
    </w:p>
    <w:p>
      <w:pPr>
        <w:spacing w:after="0" w:line="174" w:lineRule="exact"/>
        <w:rPr>
          <w:sz w:val="20"/>
          <w:szCs w:val="20"/>
          <w:color w:val="auto"/>
        </w:rPr>
      </w:pPr>
    </w:p>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t>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Whose responsibility is it to comply with this Policy?</w:t>
      </w:r>
    </w:p>
    <w:p>
      <w:pPr>
        <w:spacing w:after="0" w:line="220" w:lineRule="exact"/>
        <w:rPr>
          <w:sz w:val="20"/>
          <w:szCs w:val="20"/>
          <w:color w:val="auto"/>
        </w:rPr>
      </w:pPr>
    </w:p>
    <w:p>
      <w:pPr>
        <w:jc w:val="both"/>
        <w:ind w:left="760" w:hanging="752"/>
        <w:spacing w:after="0" w:line="244" w:lineRule="auto"/>
        <w:tabs>
          <w:tab w:leader="none" w:pos="40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spacing w:after="0" w:line="1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transactions are subject to this Policy?</w:t>
      </w:r>
    </w:p>
    <w:p>
      <w:pPr>
        <w:spacing w:after="0" w:line="220" w:lineRule="exact"/>
        <w:rPr>
          <w:sz w:val="20"/>
          <w:szCs w:val="20"/>
          <w:color w:val="auto"/>
        </w:rPr>
      </w:pPr>
    </w:p>
    <w:p>
      <w:pPr>
        <w:ind w:left="760" w:hanging="752"/>
        <w:spacing w:after="0" w:line="245" w:lineRule="auto"/>
        <w:tabs>
          <w:tab w:leader="none" w:pos="43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the Company’s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and Material Nonpublic Information</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insider trading?</w:t>
      </w:r>
    </w:p>
    <w:p>
      <w:pPr>
        <w:spacing w:after="0" w:line="220" w:lineRule="exact"/>
        <w:rPr>
          <w:sz w:val="20"/>
          <w:szCs w:val="20"/>
          <w:color w:val="auto"/>
        </w:rPr>
      </w:pPr>
    </w:p>
    <w:p>
      <w:pPr>
        <w:ind w:left="760" w:hanging="752"/>
        <w:spacing w:after="0" w:line="243" w:lineRule="auto"/>
        <w:tabs>
          <w:tab w:leader="none" w:pos="42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w:t>
      </w:r>
      <w:r>
        <w:rPr>
          <w:rFonts w:ascii="Times New Roman" w:cs="Times New Roman" w:eastAsia="Times New Roman" w:hAnsi="Times New Roman"/>
          <w:sz w:val="20"/>
          <w:szCs w:val="20"/>
          <w:u w:val="single" w:color="auto"/>
          <w:color w:val="auto"/>
        </w:rPr>
        <w:t>Bottom line</w:t>
      </w:r>
      <w:r>
        <w:rPr>
          <w:rFonts w:ascii="Times New Roman" w:cs="Times New Roman" w:eastAsia="Times New Roman" w:hAnsi="Times New Roman"/>
          <w:sz w:val="20"/>
          <w:szCs w:val="20"/>
          <w:color w:val="auto"/>
        </w:rPr>
        <w:t xml:space="preserve">: If you are aware of material nonpublic information about the Company and you trade in the Company’s securities, you have broken the law </w:t>
      </w:r>
      <w:r>
        <w:rPr>
          <w:rFonts w:ascii="Times New Roman" w:cs="Times New Roman" w:eastAsia="Times New Roman" w:hAnsi="Times New Roman"/>
          <w:sz w:val="20"/>
          <w:szCs w:val="20"/>
          <w:u w:val="single" w:color="auto"/>
          <w:color w:val="auto"/>
        </w:rPr>
        <w:t>and violated our insider trading policy</w:t>
      </w:r>
      <w:r>
        <w:rPr>
          <w:rFonts w:ascii="Times New Roman" w:cs="Times New Roman" w:eastAsia="Times New Roman" w:hAnsi="Times New Roman"/>
          <w:sz w:val="20"/>
          <w:szCs w:val="20"/>
          <w:color w:val="auto"/>
        </w:rPr>
        <w:t>. In addition, our insider trading policy provides that if in the course of your relationship with the Company, you learn of any confidential information that is material to another publicly traded company with which the Company does business, including a partner or collaborator of the Company, you may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2" w:name="page213"/>
    <w:bookmarkEnd w:id="212"/>
    <w:p>
      <w:pPr>
        <w:ind w:left="760"/>
        <w:spacing w:after="0"/>
        <w:rPr>
          <w:sz w:val="20"/>
          <w:szCs w:val="20"/>
          <w:color w:val="auto"/>
        </w:rPr>
      </w:pPr>
      <w:r>
        <w:rPr>
          <w:rFonts w:ascii="Times New Roman" w:cs="Times New Roman" w:eastAsia="Times New Roman" w:hAnsi="Times New Roman"/>
          <w:sz w:val="20"/>
          <w:szCs w:val="20"/>
          <w:color w:val="auto"/>
        </w:rPr>
        <w:t>not trade in that other company’s securities until the information becomes public or is no longer material to that other company.</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is insider trading illegal?</w:t>
      </w:r>
    </w:p>
    <w:p>
      <w:pPr>
        <w:spacing w:after="0" w:line="220" w:lineRule="exact"/>
        <w:rPr>
          <w:sz w:val="20"/>
          <w:szCs w:val="20"/>
          <w:color w:val="auto"/>
        </w:rPr>
      </w:pPr>
    </w:p>
    <w:p>
      <w:pPr>
        <w:ind w:left="760" w:hanging="752"/>
        <w:spacing w:after="0" w:line="254" w:lineRule="auto"/>
        <w:tabs>
          <w:tab w:leader="none" w:pos="40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material nonpublic information?</w:t>
      </w:r>
    </w:p>
    <w:p>
      <w:pPr>
        <w:spacing w:after="0" w:line="220" w:lineRule="exact"/>
        <w:rPr>
          <w:sz w:val="20"/>
          <w:szCs w:val="20"/>
          <w:color w:val="auto"/>
        </w:rPr>
      </w:pPr>
    </w:p>
    <w:p>
      <w:pPr>
        <w:ind w:left="760" w:hanging="752"/>
        <w:spacing w:after="0" w:line="245" w:lineRule="auto"/>
        <w:tabs>
          <w:tab w:leader="none" w:pos="40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likely have the same effect on others. Keep in mind that both positive and negative information can be material. Information is nonpublic if it has not yet been publicly disseminated within the meaning of this Policy.</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examples of material information?</w:t>
      </w:r>
    </w:p>
    <w:p>
      <w:pPr>
        <w:spacing w:after="0" w:line="220" w:lineRule="exact"/>
        <w:rPr>
          <w:sz w:val="20"/>
          <w:szCs w:val="20"/>
          <w:color w:val="auto"/>
        </w:rPr>
      </w:pPr>
    </w:p>
    <w:p>
      <w:pPr>
        <w:ind w:left="760" w:hanging="752"/>
        <w:spacing w:after="0" w:line="246" w:lineRule="auto"/>
        <w:tabs>
          <w:tab w:leader="none" w:pos="40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84"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or forecasts;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of product or product candidate development or regulatory approvals;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preclinical and clinical data relating to products or product candidates;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timelines for clinical trials;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dispositions or other strategic transactions;</w:t>
      </w:r>
    </w:p>
    <w:p>
      <w:pPr>
        <w:spacing w:after="0" w:line="107" w:lineRule="exact"/>
        <w:rPr>
          <w:rFonts w:ascii="Times New Roman" w:cs="Times New Roman" w:eastAsia="Times New Roman" w:hAnsi="Times New Roman"/>
          <w:sz w:val="20"/>
          <w:szCs w:val="20"/>
          <w:color w:val="auto"/>
        </w:rPr>
      </w:pPr>
    </w:p>
    <w:p>
      <w:pPr>
        <w:ind w:left="1140" w:hanging="383"/>
        <w:spacing w:after="0" w:line="269" w:lineRule="auto"/>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regarding the Company’s securities (e.g., repurchase plans, stock splits, public or private equity or debt offerings, or changes in the Company’s dividend policies or amounts);</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significant licensor, licensee or supplier;</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new corporate partner relationships or collaborations;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 management or control changes;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restatements or significant write-offs;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layoffs;</w:t>
      </w:r>
    </w:p>
    <w:p>
      <w:pPr>
        <w:spacing w:after="0" w:line="107" w:lineRule="exact"/>
        <w:rPr>
          <w:rFonts w:ascii="Times New Roman" w:cs="Times New Roman" w:eastAsia="Times New Roman" w:hAnsi="Times New Roman"/>
          <w:sz w:val="20"/>
          <w:szCs w:val="20"/>
          <w:color w:val="auto"/>
        </w:rPr>
      </w:pPr>
    </w:p>
    <w:p>
      <w:pPr>
        <w:ind w:left="1140" w:hanging="383"/>
        <w:spacing w:after="0" w:line="269" w:lineRule="auto"/>
        <w:tabs>
          <w:tab w:leader="none" w:pos="11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the Company’s operations or breach or unauthorized access of its property or assets, including its facilities or information technology infrastructure;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ind w:left="1140" w:hanging="383"/>
        <w:spacing w:after="0"/>
        <w:tabs>
          <w:tab w:leader="none" w:pos="11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tender offers or proxy fights;</w:t>
      </w:r>
    </w:p>
    <w:p>
      <w:pPr>
        <w:spacing w:after="0" w:line="103"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U.S.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or other investigations, or a major development in or the resolution of any such litigation or investigation;</w:t>
      </w:r>
    </w:p>
    <w:p>
      <w:pPr>
        <w:spacing w:after="0" w:line="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communications with government agencies;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issuance or denial of patents.</w:t>
      </w:r>
    </w:p>
    <w:p>
      <w:pPr>
        <w:spacing w:after="0" w:line="21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is information considered public?</w:t>
      </w:r>
    </w:p>
    <w:p>
      <w:pPr>
        <w:spacing w:after="0" w:line="220" w:lineRule="exact"/>
        <w:rPr>
          <w:sz w:val="20"/>
          <w:szCs w:val="20"/>
          <w:color w:val="auto"/>
        </w:rPr>
      </w:pPr>
    </w:p>
    <w:p>
      <w:pPr>
        <w:ind w:left="760" w:hanging="752"/>
        <w:spacing w:after="0" w:line="242" w:lineRule="auto"/>
        <w:tabs>
          <w:tab w:leader="none" w:pos="407"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(1) full trading day has elapsed since the information was publicly disclosed. For example, if we announce material nonpublic information before trading begins on Wednesday, then the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spacing w:after="0" w:line="1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can be guilty of insider trading?</w:t>
      </w:r>
    </w:p>
    <w:p>
      <w:pPr>
        <w:spacing w:after="0" w:line="220" w:lineRule="exact"/>
        <w:rPr>
          <w:sz w:val="20"/>
          <w:szCs w:val="20"/>
          <w:color w:val="auto"/>
        </w:rPr>
      </w:pPr>
    </w:p>
    <w:p>
      <w:pPr>
        <w:ind w:left="760" w:hanging="752"/>
        <w:spacing w:after="0" w:line="246" w:lineRule="auto"/>
        <w:tabs>
          <w:tab w:leader="none" w:pos="44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 not even work at the Company. Regardless of who you are, if you know something material about the value of a security that not everyone knows and you trade (or convince someone else to trade) in that security, you may be found guilty of insider trading.</w:t>
      </w:r>
    </w:p>
    <w:p>
      <w:pPr>
        <w:spacing w:after="0" w:line="181" w:lineRule="exact"/>
        <w:rPr>
          <w:sz w:val="20"/>
          <w:szCs w:val="20"/>
          <w:color w:val="auto"/>
        </w:rPr>
      </w:pPr>
    </w:p>
    <w:p>
      <w:pPr>
        <w:ind w:left="760" w:right="20" w:hanging="752"/>
        <w:spacing w:after="0" w:line="273" w:lineRule="auto"/>
        <w:tabs>
          <w:tab w:leader="none" w:pos="407"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am aware of material nonpublic information when I trade, but the reason I trade is because of something else, like to pay medical bills?</w:t>
      </w:r>
    </w:p>
    <w:p>
      <w:pPr>
        <w:spacing w:after="0" w:line="156" w:lineRule="exact"/>
        <w:rPr>
          <w:sz w:val="20"/>
          <w:szCs w:val="20"/>
          <w:color w:val="auto"/>
        </w:rPr>
      </w:pPr>
    </w:p>
    <w:p>
      <w:pPr>
        <w:ind w:left="760" w:hanging="752"/>
        <w:spacing w:after="0" w:line="249" w:lineRule="auto"/>
        <w:tabs>
          <w:tab w:leader="none" w:pos="40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176" w:lineRule="exact"/>
        <w:rPr>
          <w:sz w:val="20"/>
          <w:szCs w:val="20"/>
          <w:color w:val="auto"/>
        </w:rPr>
      </w:pPr>
    </w:p>
    <w:p>
      <w:pPr>
        <w:ind w:left="760" w:hanging="752"/>
        <w:spacing w:after="0" w:line="273" w:lineRule="auto"/>
        <w:tabs>
          <w:tab w:leader="none" w:pos="407"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 the U.S. securities laws take into account mitigating circumstance, like avoiding a loss or planning a transaction before I had material nonpublic information?</w:t>
      </w:r>
    </w:p>
    <w:p>
      <w:pPr>
        <w:spacing w:after="0" w:line="156" w:lineRule="exact"/>
        <w:rPr>
          <w:sz w:val="20"/>
          <w:szCs w:val="20"/>
          <w:color w:val="auto"/>
        </w:rPr>
      </w:pPr>
    </w:p>
    <w:p>
      <w:pPr>
        <w:ind w:left="760" w:right="20" w:hanging="752"/>
        <w:spacing w:after="0" w:line="269" w:lineRule="auto"/>
        <w:tabs>
          <w:tab w:leader="none" w:pos="40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The U.S. federal securities laws do not recognize any mitigating circumstances to insider trading. In addition, even the appearance of an improper transaction must be avoided to preserve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do not buy or sell anything, but I tell someone else material nonpublic information and he or she buys or sells?</w:t>
      </w:r>
    </w:p>
    <w:p>
      <w:pPr>
        <w:spacing w:after="0" w:line="220" w:lineRule="exact"/>
        <w:rPr>
          <w:sz w:val="20"/>
          <w:szCs w:val="20"/>
          <w:color w:val="auto"/>
        </w:rPr>
      </w:pPr>
    </w:p>
    <w:p>
      <w:pPr>
        <w:ind w:left="760" w:hanging="752"/>
        <w:spacing w:after="0" w:line="243" w:lineRule="auto"/>
        <w:tabs>
          <w:tab w:leader="none" w:pos="42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called “tipping.” The laws prohibiting insider trading are not limited to trading by the insider alone; advising others to trade on the basis of material nonpublic information is illegal and squarely prohibited by this Policy. In this situation,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You can be held liable for your own transactions, as well as the transactions by a tippee and even the transactions of a tippee’s tippee.</w:t>
      </w:r>
    </w:p>
    <w:p>
      <w:pPr>
        <w:spacing w:after="0" w:line="22"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For these and other reasons, no Covered Person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spacing w:after="0" w:line="1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do not tell someone inside information; I just tell him or her whether to buy or sell?</w:t>
      </w:r>
    </w:p>
    <w:p>
      <w:pPr>
        <w:spacing w:after="0" w:line="220" w:lineRule="exact"/>
        <w:rPr>
          <w:sz w:val="20"/>
          <w:szCs w:val="20"/>
          <w:color w:val="auto"/>
        </w:rPr>
      </w:pPr>
    </w:p>
    <w:p>
      <w:pPr>
        <w:ind w:left="760" w:right="20" w:hanging="752"/>
        <w:spacing w:after="0" w:line="254" w:lineRule="auto"/>
        <w:tabs>
          <w:tab w:leader="none" w:pos="40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this Policy or the insider trading laws apply to me if I work outside the U.S.?</w:t>
      </w:r>
    </w:p>
    <w:p>
      <w:pPr>
        <w:spacing w:after="0" w:line="220" w:lineRule="exact"/>
        <w:rPr>
          <w:sz w:val="20"/>
          <w:szCs w:val="20"/>
          <w:color w:val="auto"/>
        </w:rPr>
      </w:pPr>
    </w:p>
    <w:p>
      <w:pPr>
        <w:ind w:left="760" w:hanging="752"/>
        <w:spacing w:after="0" w:line="249" w:lineRule="auto"/>
        <w:tabs>
          <w:tab w:leader="none" w:pos="421"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Covered Person, our policies apply to you no matter where you work.</w:t>
      </w:r>
    </w:p>
    <w:p>
      <w:pPr>
        <w:spacing w:after="0" w:line="176" w:lineRule="exact"/>
        <w:rPr>
          <w:sz w:val="20"/>
          <w:szCs w:val="20"/>
          <w:color w:val="auto"/>
        </w:rPr>
      </w:pPr>
    </w:p>
    <w:p>
      <w:pPr>
        <w:ind w:left="760" w:right="60" w:hanging="752"/>
        <w:spacing w:after="0" w:line="273" w:lineRule="auto"/>
        <w:tabs>
          <w:tab w:leader="none" w:pos="407"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 I restricted from trading securities of any publicly traded companies other than the Company, for example a partner, collaborator or competitor of the Company?</w:t>
      </w:r>
    </w:p>
    <w:p>
      <w:pPr>
        <w:spacing w:after="0" w:line="156" w:lineRule="exact"/>
        <w:rPr>
          <w:sz w:val="20"/>
          <w:szCs w:val="20"/>
          <w:color w:val="auto"/>
        </w:rPr>
      </w:pPr>
    </w:p>
    <w:p>
      <w:pPr>
        <w:ind w:left="760" w:hanging="752"/>
        <w:spacing w:after="0" w:line="249" w:lineRule="auto"/>
        <w:tabs>
          <w:tab w:leader="none" w:pos="40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publicly traded company from trading in that company’s securities, regardless of whether the person is directly connected with that company, except in limited circumstances. Therefore, if you have material nonpublic information about another publicly traded company, you should not trade in that company’s securities. You should be particularly conscious of this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ind w:left="760"/>
        <w:spacing w:after="0" w:line="269" w:lineRule="auto"/>
        <w:rPr>
          <w:sz w:val="20"/>
          <w:szCs w:val="20"/>
          <w:color w:val="auto"/>
        </w:rPr>
      </w:pPr>
      <w:r>
        <w:rPr>
          <w:rFonts w:ascii="Times New Roman" w:cs="Times New Roman" w:eastAsia="Times New Roman" w:hAnsi="Times New Roman"/>
          <w:sz w:val="20"/>
          <w:szCs w:val="20"/>
          <w:color w:val="auto"/>
        </w:rPr>
        <w:t>restriction if, through your position at the Company, you sometimes obtain sensitive, material information about other companies and their business dealings with the Company.</w:t>
      </w:r>
    </w:p>
    <w:p>
      <w:pPr>
        <w:spacing w:after="0" w:line="155" w:lineRule="exact"/>
        <w:rPr>
          <w:sz w:val="20"/>
          <w:szCs w:val="20"/>
          <w:color w:val="auto"/>
        </w:rPr>
      </w:pPr>
    </w:p>
    <w:p>
      <w:pPr>
        <w:ind w:left="760" w:right="20" w:hanging="752"/>
        <w:spacing w:after="0" w:line="273" w:lineRule="auto"/>
        <w:tabs>
          <w:tab w:leader="none" w:pos="407"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 if I do not trade Company securities when I have material nonpublic information, and I don’t “tip” other people, I am in the clear, right?</w:t>
      </w:r>
    </w:p>
    <w:p>
      <w:pPr>
        <w:spacing w:after="0" w:line="156" w:lineRule="exact"/>
        <w:rPr>
          <w:sz w:val="20"/>
          <w:szCs w:val="20"/>
          <w:color w:val="auto"/>
        </w:rPr>
      </w:pPr>
    </w:p>
    <w:p>
      <w:pPr>
        <w:ind w:left="760" w:hanging="752"/>
        <w:spacing w:after="0" w:line="249" w:lineRule="auto"/>
        <w:tabs>
          <w:tab w:leader="none" w:pos="40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necessarily. Even if you do not violate U.S. law, you may still violate our policies. For example, employees and consultants may violate our policies by breaching their confidentiality obligations or by recommending Company stock as an investment, even if these actions do not violate securities laws. Our policies are stricter than the law requires so that we and our employees and consultants can avoid even the appearance of wrongdoing. Therefore, please review this Policy carefully.</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So when can I buy or sell my Company securities?</w:t>
      </w:r>
    </w:p>
    <w:p>
      <w:pPr>
        <w:spacing w:after="0" w:line="220" w:lineRule="exact"/>
        <w:rPr>
          <w:sz w:val="20"/>
          <w:szCs w:val="20"/>
          <w:color w:val="auto"/>
        </w:rPr>
      </w:pPr>
    </w:p>
    <w:p>
      <w:pPr>
        <w:ind w:left="760" w:hanging="752"/>
        <w:spacing w:after="0" w:line="243" w:lineRule="auto"/>
        <w:tabs>
          <w:tab w:leader="none" w:pos="40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buy or sell common stock of the Company until one (1) full trading day has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Thursday; if we announce material nonpublic information after trading ends on Wednesday, then you may execute a transaction in securities of the Company on Friday. </w:t>
      </w:r>
      <w:r>
        <w:rPr>
          <w:rFonts w:ascii="Times New Roman" w:cs="Times New Roman" w:eastAsia="Times New Roman" w:hAnsi="Times New Roman"/>
          <w:sz w:val="20"/>
          <w:szCs w:val="20"/>
          <w:b w:val="1"/>
          <w:bCs w:val="1"/>
          <w:color w:val="auto"/>
        </w:rPr>
        <w:t>As discussed further below, even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if you are not aware of any material nonpublic information, you may not trade common stock of the Company during any trading “blackout” period that applies to you</w:t>
      </w:r>
      <w:r>
        <w:rPr>
          <w:rFonts w:ascii="Times New Roman" w:cs="Times New Roman" w:eastAsia="Times New Roman" w:hAnsi="Times New Roman"/>
          <w:sz w:val="20"/>
          <w:szCs w:val="20"/>
          <w:color w:val="auto"/>
        </w:rPr>
        <w:t>. This Policy describes the quarterly trading blackout period, and additional event-driven trading blackout periods (which may apply to you even if the quarterly trading blackout periods do not) may be announced by email.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a quarterly trading blackout period?</w:t>
      </w:r>
    </w:p>
    <w:p>
      <w:pPr>
        <w:spacing w:after="0" w:line="220" w:lineRule="exact"/>
        <w:rPr>
          <w:sz w:val="20"/>
          <w:szCs w:val="20"/>
          <w:color w:val="auto"/>
        </w:rPr>
      </w:pPr>
    </w:p>
    <w:p>
      <w:pPr>
        <w:ind w:left="760" w:hanging="752"/>
        <w:spacing w:after="0" w:line="243" w:lineRule="auto"/>
        <w:tabs>
          <w:tab w:leader="none" w:pos="421"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Persons, and their Related Persons will be able to trade in Company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after one (1) full trading day has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Company’s quarterly trading blackout periods?</w:t>
      </w:r>
    </w:p>
    <w:p>
      <w:pPr>
        <w:spacing w:after="0" w:line="229" w:lineRule="exact"/>
        <w:rPr>
          <w:sz w:val="20"/>
          <w:szCs w:val="20"/>
          <w:color w:val="auto"/>
        </w:rPr>
      </w:pPr>
    </w:p>
    <w:p>
      <w:pPr>
        <w:ind w:left="760" w:hanging="752"/>
        <w:spacing w:after="0" w:line="228" w:lineRule="auto"/>
        <w:tabs>
          <w:tab w:leader="none" w:pos="40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w:t>
      </w:r>
      <w:r>
        <w:rPr>
          <w:rFonts w:ascii="Times New Roman" w:cs="Times New Roman" w:eastAsia="Times New Roman" w:hAnsi="Times New Roman"/>
          <w:sz w:val="20"/>
          <w:szCs w:val="20"/>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day that is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month of each fiscal quarter and end after one (1) full trading day has elapsed since the public dissemination of the Company’s financial results for that quarter.</w:t>
      </w:r>
    </w:p>
    <w:p>
      <w:pPr>
        <w:spacing w:after="0" w:line="1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the Company’s quarterly trading blackout periods change?</w:t>
      </w:r>
    </w:p>
    <w:p>
      <w:pPr>
        <w:spacing w:after="0" w:line="220" w:lineRule="exact"/>
        <w:rPr>
          <w:sz w:val="20"/>
          <w:szCs w:val="20"/>
          <w:color w:val="auto"/>
        </w:rPr>
      </w:pPr>
    </w:p>
    <w:p>
      <w:pPr>
        <w:ind w:left="760" w:right="40" w:hanging="752"/>
        <w:spacing w:after="0" w:line="269" w:lineRule="auto"/>
        <w:tabs>
          <w:tab w:leader="none" w:pos="40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trading blackout period may commence early or may be extended if, in the judgment of the Chief Financial Officer or General Counsel, there exists undisclosed information that would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make trades by Company officers, directors, Specified Persons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the Company have blackout periods other than quarterly trading blackout periods?</w:t>
      </w:r>
    </w:p>
    <w:p>
      <w:pPr>
        <w:spacing w:after="0" w:line="220" w:lineRule="exact"/>
        <w:rPr>
          <w:sz w:val="20"/>
          <w:szCs w:val="20"/>
          <w:color w:val="auto"/>
        </w:rPr>
      </w:pPr>
    </w:p>
    <w:p>
      <w:pPr>
        <w:ind w:left="760" w:hanging="752"/>
        <w:spacing w:after="0" w:line="244" w:lineRule="auto"/>
        <w:tabs>
          <w:tab w:leader="none" w:pos="40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From time to time, an event may occur that is material to the Company and is known by only a few officers, directors and/or employees. So long as the event remains material and nonpublic, the persons designated by the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w:t>
      </w:r>
    </w:p>
    <w:p>
      <w:pPr>
        <w:spacing w:after="0" w:line="182" w:lineRule="exact"/>
        <w:rPr>
          <w:sz w:val="20"/>
          <w:szCs w:val="20"/>
          <w:color w:val="auto"/>
        </w:rPr>
      </w:pPr>
    </w:p>
    <w:p>
      <w:pPr>
        <w:ind w:left="760" w:right="40" w:hanging="752"/>
        <w:spacing w:after="0" w:line="273" w:lineRule="auto"/>
        <w:tabs>
          <w:tab w:leader="none" w:pos="407"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I am subject to a blackout period and I have an open order to buy or sell the Company securities on the date a blackout period commences, can I leave it to my broker to cancel the open order and avoid executing the trade?</w:t>
      </w:r>
    </w:p>
    <w:p>
      <w:pPr>
        <w:spacing w:after="0" w:line="156" w:lineRule="exact"/>
        <w:rPr>
          <w:sz w:val="20"/>
          <w:szCs w:val="20"/>
          <w:color w:val="auto"/>
        </w:rPr>
      </w:pPr>
    </w:p>
    <w:p>
      <w:pPr>
        <w:ind w:left="760" w:hanging="752"/>
        <w:spacing w:after="0" w:line="249" w:lineRule="auto"/>
        <w:tabs>
          <w:tab w:leader="none" w:pos="46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subject to trading blackout periods if I am no longer an employee, director or consultant of the Company?</w:t>
      </w:r>
    </w:p>
    <w:p>
      <w:pPr>
        <w:spacing w:after="0" w:line="220" w:lineRule="exact"/>
        <w:rPr>
          <w:sz w:val="20"/>
          <w:szCs w:val="20"/>
          <w:color w:val="auto"/>
        </w:rPr>
      </w:pPr>
    </w:p>
    <w:p>
      <w:pPr>
        <w:ind w:left="760" w:hanging="752"/>
        <w:spacing w:after="0" w:line="245" w:lineRule="auto"/>
        <w:tabs>
          <w:tab w:leader="none" w:pos="43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the Company’s securities or the securities of other public companies if you are aware of material nonpublic information. That restriction stays with you as long as the information you possess is material and not publicly disseminated within the meaning of this Policy.</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there any exceptions to this Policy?</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There are no exceptions to this Policy, except as specifically noted below.</w:t>
      </w:r>
    </w:p>
    <w:p>
      <w:pPr>
        <w:spacing w:after="0" w:line="212" w:lineRule="exact"/>
        <w:rPr>
          <w:sz w:val="20"/>
          <w:szCs w:val="20"/>
          <w:color w:val="auto"/>
        </w:rPr>
      </w:pPr>
    </w:p>
    <w:p>
      <w:pPr>
        <w:ind w:left="760" w:right="20" w:hanging="752"/>
        <w:spacing w:after="0" w:line="273" w:lineRule="auto"/>
        <w:tabs>
          <w:tab w:leader="none" w:pos="407"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exercise options granted to me by the Company, or participate in a Company employee stock purchase plan (“ESPP”), during a trading blackout period or when I possess material nonpublic information?</w:t>
      </w:r>
    </w:p>
    <w:p>
      <w:pPr>
        <w:spacing w:after="0" w:line="156" w:lineRule="exact"/>
        <w:rPr>
          <w:sz w:val="20"/>
          <w:szCs w:val="20"/>
          <w:color w:val="auto"/>
        </w:rPr>
      </w:pPr>
    </w:p>
    <w:p>
      <w:pPr>
        <w:ind w:left="760" w:hanging="752"/>
        <w:spacing w:after="0" w:line="249" w:lineRule="auto"/>
        <w:tabs>
          <w:tab w:leader="none" w:pos="43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Yes. You may purchase shares by exercising your options for cash or, where permitted under the option, by a net exercise transaction with the Company or by delivery to the Company of already-owned Company stock. You may not sell shares of Company stock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effect a broker-assisted cashless exercise (because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7" w:name="page218"/>
    <w:bookmarkEnd w:id="217"/>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these cashless exercise transactions include a market sale) during a trading blackout period or any time that you are aware of material nonpublic information. This Policy does however apply to an employee’s initial election to participate in the ESPP, changes to an employee’s election to participate in the ESPP for any enrollment period, and to the subsequent sale of the stock acquired pursuant to the ESPP.</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tax withholding transactions are not restricted by this Policy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760" w:hanging="752"/>
        <w:spacing w:after="0" w:line="249" w:lineRule="auto"/>
        <w:tabs>
          <w:tab w:leader="none" w:pos="407"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does not apply to the surrender of shares directly to the Company to satisfy tax withholding obligations as a result of the issuance of shares upon exercise of options or settlement of restricted stock units issued by the Company.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mutual funds holding Company common stock subject to the trading blackout periods?</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No. You may trade in mutual funds holding Company stock at any time.</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rules that apply to 10b5-1 Automatic Trading Programs?</w:t>
      </w:r>
    </w:p>
    <w:p>
      <w:pPr>
        <w:spacing w:after="0" w:line="216" w:lineRule="exact"/>
        <w:rPr>
          <w:sz w:val="20"/>
          <w:szCs w:val="20"/>
          <w:color w:val="auto"/>
        </w:rPr>
      </w:pPr>
    </w:p>
    <w:p>
      <w:pPr>
        <w:ind w:left="760" w:hanging="752"/>
        <w:spacing w:after="0" w:line="243" w:lineRule="auto"/>
        <w:tabs>
          <w:tab w:leader="none" w:pos="40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Rule 10b5-1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any person may establish a trading plan under which a broker is instructed to buy and sell Company securities based on pre-determined criteria (a “</w:t>
      </w:r>
      <w:r>
        <w:rPr>
          <w:rFonts w:ascii="Times New Roman" w:cs="Times New Roman" w:eastAsia="Times New Roman" w:hAnsi="Times New Roman"/>
          <w:sz w:val="20"/>
          <w:szCs w:val="20"/>
          <w:b w:val="1"/>
          <w:bCs w:val="1"/>
          <w:i w:val="1"/>
          <w:iCs w:val="1"/>
          <w:color w:val="auto"/>
        </w:rPr>
        <w:t>10b5-1 Trading Plan</w:t>
      </w:r>
      <w:r>
        <w:rPr>
          <w:rFonts w:ascii="Times New Roman" w:cs="Times New Roman" w:eastAsia="Times New Roman" w:hAnsi="Times New Roman"/>
          <w:sz w:val="20"/>
          <w:szCs w:val="20"/>
          <w:color w:val="auto"/>
        </w:rPr>
        <w:t>”). So long as a 10b5-1 Trading Plan is properly established, purchases and sales of Company securities pursuant to that 10b5-1 Trading Plan are not subject to this Policy. To be properly established, a person’s 10b5-1 Trading Plan must be established in compliance with the requirements of Rule 10b5-1 of the Exchange Act and any applicable 10b5-1 trading plan guidelines of the Company at a time when they were not aware of any material nonpublic information relating to the Company and when you were not otherwise subject to a trading blackout period. Moreover, all 10b5-1 Trading Plans to be adopted by officers, directors, Specified Persons and their Related Persons must be reviewed and approved by the Company in accordance with the Company’s Section 16 Compliance Program before being established to confirm that the 10b5-1 Trading Plan complies with all pertinent company policies and applicable securities laws. See “Pre-Clearance of Transactions in Company Stock” below.</w:t>
      </w:r>
    </w:p>
    <w:p>
      <w:pPr>
        <w:spacing w:after="0" w:line="1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gift stock while I possess material nonpublic information or during a trading blackout period?</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tab/>
        <w:t>No.</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purchases of Company stock in a 401(k) plan allowed by this Policy?</w:t>
      </w:r>
    </w:p>
    <w:p>
      <w:pPr>
        <w:spacing w:after="0" w:line="216" w:lineRule="exact"/>
        <w:rPr>
          <w:sz w:val="20"/>
          <w:szCs w:val="20"/>
          <w:color w:val="auto"/>
        </w:rPr>
      </w:pPr>
    </w:p>
    <w:p>
      <w:pPr>
        <w:jc w:val="both"/>
        <w:ind w:left="400" w:hanging="748"/>
        <w:spacing w:after="0" w:line="244" w:lineRule="auto"/>
        <w:tabs>
          <w:tab w:leader="none" w:pos="380" w:val="left"/>
        </w:tabs>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b w:val="1"/>
          <w:bCs w:val="1"/>
          <w:color w:val="auto"/>
        </w:rPr>
        <w:t>Margin Accounts, Pledging Shares, Hedging and Other Speculation in Company Stock</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purchase Company securities on margin or hold them in a margin account?</w:t>
      </w:r>
    </w:p>
    <w:p>
      <w:pPr>
        <w:spacing w:after="0" w:line="220" w:lineRule="exact"/>
        <w:rPr>
          <w:sz w:val="20"/>
          <w:szCs w:val="20"/>
          <w:color w:val="auto"/>
        </w:rPr>
      </w:pPr>
    </w:p>
    <w:p>
      <w:pPr>
        <w:ind w:left="760" w:hanging="752"/>
        <w:spacing w:after="0" w:line="254" w:lineRule="auto"/>
        <w:tabs>
          <w:tab w:leader="none" w:pos="50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pledge my Company shares as collateral for a loan?</w:t>
      </w:r>
    </w:p>
    <w:p>
      <w:pPr>
        <w:spacing w:after="0" w:line="220" w:lineRule="exact"/>
        <w:rPr>
          <w:sz w:val="20"/>
          <w:szCs w:val="20"/>
          <w:color w:val="auto"/>
        </w:rPr>
      </w:pPr>
    </w:p>
    <w:p>
      <w:pPr>
        <w:ind w:left="760" w:hanging="752"/>
        <w:spacing w:after="0" w:line="254" w:lineRule="auto"/>
        <w:tabs>
          <w:tab w:leader="none" w:pos="407"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problematic about margin accounts and pledged securities?</w:t>
      </w:r>
    </w:p>
    <w:p>
      <w:pPr>
        <w:spacing w:after="0" w:line="220" w:lineRule="exact"/>
        <w:rPr>
          <w:sz w:val="20"/>
          <w:szCs w:val="20"/>
          <w:color w:val="auto"/>
        </w:rPr>
      </w:pPr>
    </w:p>
    <w:p>
      <w:pPr>
        <w:ind w:left="760" w:hanging="752"/>
        <w:spacing w:after="0" w:line="245" w:lineRule="auto"/>
        <w:tabs>
          <w:tab w:leader="none" w:pos="40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Company’s securities as collateral for a loan.</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hedge my ownership position in the Company?</w:t>
      </w:r>
    </w:p>
    <w:p>
      <w:pPr>
        <w:spacing w:after="0" w:line="220" w:lineRule="exact"/>
        <w:rPr>
          <w:sz w:val="20"/>
          <w:szCs w:val="20"/>
          <w:color w:val="auto"/>
        </w:rPr>
      </w:pPr>
    </w:p>
    <w:p>
      <w:pPr>
        <w:ind w:left="760" w:right="20" w:hanging="752"/>
        <w:spacing w:after="0" w:line="269" w:lineRule="auto"/>
        <w:tabs>
          <w:tab w:leader="none" w:pos="40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this Policy.</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are hedging transactions prohibited?</w:t>
      </w:r>
    </w:p>
    <w:p>
      <w:pPr>
        <w:spacing w:after="0" w:line="220" w:lineRule="exact"/>
        <w:rPr>
          <w:sz w:val="20"/>
          <w:szCs w:val="20"/>
          <w:color w:val="auto"/>
        </w:rPr>
      </w:pPr>
    </w:p>
    <w:p>
      <w:pPr>
        <w:ind w:left="760" w:hanging="752"/>
        <w:spacing w:after="0" w:line="249" w:lineRule="auto"/>
        <w:tabs>
          <w:tab w:leader="none" w:pos="42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allowed to trade derivative securities of Company common stock?</w:t>
      </w:r>
    </w:p>
    <w:p>
      <w:pPr>
        <w:spacing w:after="0" w:line="220" w:lineRule="exact"/>
        <w:rPr>
          <w:sz w:val="20"/>
          <w:szCs w:val="20"/>
          <w:color w:val="auto"/>
        </w:rPr>
      </w:pPr>
    </w:p>
    <w:p>
      <w:pPr>
        <w:ind w:left="760" w:hanging="752"/>
        <w:spacing w:after="0" w:line="254" w:lineRule="auto"/>
        <w:tabs>
          <w:tab w:leader="none" w:pos="4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You may not trade in derivative securities related to the Company common stock, which include publicly traded call and put options. In addition, you may not engage in short selling of Company common stock or in any other inherently speculative transactions with respect to the Company’s stock at any time.</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derivative securities?</w:t>
      </w:r>
    </w:p>
    <w:p>
      <w:pPr>
        <w:spacing w:after="0" w:line="220" w:lineRule="exact"/>
        <w:rPr>
          <w:sz w:val="20"/>
          <w:szCs w:val="20"/>
          <w:color w:val="auto"/>
        </w:rPr>
      </w:pPr>
    </w:p>
    <w:p>
      <w:pPr>
        <w:ind w:left="760" w:hanging="752"/>
        <w:spacing w:after="0" w:line="254" w:lineRule="auto"/>
        <w:tabs>
          <w:tab w:leader="none" w:pos="40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9" w:name="page220"/>
    <w:bookmarkEnd w:id="219"/>
    <w:p>
      <w:pPr>
        <w:ind w:left="760" w:right="20"/>
        <w:spacing w:after="0" w:line="269" w:lineRule="auto"/>
        <w:rPr>
          <w:sz w:val="20"/>
          <w:szCs w:val="20"/>
          <w:color w:val="auto"/>
        </w:rPr>
      </w:pPr>
      <w:r>
        <w:rPr>
          <w:rFonts w:ascii="Times New Roman" w:cs="Times New Roman" w:eastAsia="Times New Roman" w:hAnsi="Times New Roman"/>
          <w:sz w:val="20"/>
          <w:szCs w:val="20"/>
          <w:color w:val="auto"/>
        </w:rPr>
        <w:t>employee options and other equity awards granted under the Company’s equity compensation plans, which are not derivative securities for purposes of this Policy.</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short selling?</w:t>
      </w:r>
    </w:p>
    <w:p>
      <w:pPr>
        <w:spacing w:after="0" w:line="220" w:lineRule="exact"/>
        <w:rPr>
          <w:sz w:val="20"/>
          <w:szCs w:val="20"/>
          <w:color w:val="auto"/>
        </w:rPr>
      </w:pPr>
    </w:p>
    <w:p>
      <w:pPr>
        <w:ind w:left="760" w:hanging="752"/>
        <w:spacing w:after="0" w:line="254" w:lineRule="auto"/>
        <w:tabs>
          <w:tab w:leader="none" w:pos="40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does the Company prohibit trading in derivative securities and short selling?</w:t>
      </w:r>
    </w:p>
    <w:p>
      <w:pPr>
        <w:spacing w:after="0" w:line="220" w:lineRule="exact"/>
        <w:rPr>
          <w:sz w:val="20"/>
          <w:szCs w:val="20"/>
          <w:color w:val="auto"/>
        </w:rPr>
      </w:pPr>
    </w:p>
    <w:p>
      <w:pPr>
        <w:ind w:left="760" w:hanging="752"/>
        <w:spacing w:after="0" w:line="249" w:lineRule="auto"/>
        <w:tabs>
          <w:tab w:leader="none" w:pos="40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purchased publicly traded options or other derivative securities before I became subject to this Policy?</w:t>
      </w:r>
    </w:p>
    <w:p>
      <w:pPr>
        <w:spacing w:after="0" w:line="220" w:lineRule="exact"/>
        <w:rPr>
          <w:sz w:val="20"/>
          <w:szCs w:val="20"/>
          <w:color w:val="auto"/>
        </w:rPr>
      </w:pPr>
    </w:p>
    <w:p>
      <w:pPr>
        <w:ind w:left="760" w:hanging="752"/>
        <w:spacing w:after="0" w:line="269" w:lineRule="auto"/>
        <w:tabs>
          <w:tab w:leader="none" w:pos="40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concerns about standing and limit orders?</w:t>
      </w:r>
    </w:p>
    <w:p>
      <w:pPr>
        <w:spacing w:after="0" w:line="220" w:lineRule="exact"/>
        <w:rPr>
          <w:sz w:val="20"/>
          <w:szCs w:val="20"/>
          <w:color w:val="auto"/>
        </w:rPr>
      </w:pPr>
    </w:p>
    <w:p>
      <w:pPr>
        <w:ind w:left="760" w:hanging="752"/>
        <w:spacing w:after="0" w:line="243" w:lineRule="auto"/>
        <w:tabs>
          <w:tab w:leader="none" w:pos="40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Pre-Clearance of Transactions in Company Stock</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required to pre-clear and provide advance notice of transactions?</w:t>
      </w:r>
    </w:p>
    <w:p>
      <w:pPr>
        <w:spacing w:after="0" w:line="220" w:lineRule="exact"/>
        <w:rPr>
          <w:sz w:val="20"/>
          <w:szCs w:val="20"/>
          <w:color w:val="auto"/>
        </w:rPr>
      </w:pPr>
    </w:p>
    <w:p>
      <w:pPr>
        <w:ind w:left="760" w:hanging="752"/>
        <w:spacing w:after="0" w:line="244" w:lineRule="auto"/>
        <w:tabs>
          <w:tab w:leader="none" w:pos="40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above, officers, directors and other applicable employees who have been notified that they are subject to pre-clearance requirements face a further restriction: Even during an open trading window, they may not engage in any transaction in the Company’s securities without first obtaining pre-clearance of the transaction from the Compliance Officer identified in the Company’s Section 16 Compliance Program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in advance of the proposed transaction. The Compliance Officer will determine whether the transaction may proceed and, if so, will help comply with any required reporting requirements under Section 16(a) of the Exchange Act. Pre-cleared transactions (other than gifts) not completed within five (5) business days will require new pre-clearance. The Company may choose to shorten this period.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0" w:name="page221"/>
    <w:bookmarkEnd w:id="220"/>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individuals subject to pre-clearance required to provide advanced notice of stock option exercises?</w:t>
      </w:r>
    </w:p>
    <w:p>
      <w:pPr>
        <w:spacing w:after="0" w:line="220" w:lineRule="exact"/>
        <w:rPr>
          <w:sz w:val="20"/>
          <w:szCs w:val="20"/>
          <w:color w:val="auto"/>
        </w:rPr>
      </w:pPr>
    </w:p>
    <w:p>
      <w:pPr>
        <w:ind w:left="760" w:hanging="752"/>
        <w:spacing w:after="0" w:line="254" w:lineRule="auto"/>
        <w:tabs>
          <w:tab w:leader="none" w:pos="407"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Persons subject to pre-clearance must also give advance notice of their plans to exercise an outstanding stock option to the Compliance Officer. Once any transaction takes place, the officer, director or applicable member of management must immediately notify the Compliance Officer so that the Company may assist in any Section 16 reporting obligations.</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additional requirements apply to individuals subject to Section 16?</w:t>
      </w:r>
    </w:p>
    <w:p>
      <w:pPr>
        <w:spacing w:after="0" w:line="220" w:lineRule="exact"/>
        <w:rPr>
          <w:sz w:val="20"/>
          <w:szCs w:val="20"/>
          <w:color w:val="auto"/>
        </w:rPr>
      </w:pPr>
    </w:p>
    <w:p>
      <w:pPr>
        <w:ind w:left="760" w:hanging="752"/>
        <w:spacing w:after="0" w:line="249" w:lineRule="auto"/>
        <w:tabs>
          <w:tab w:leader="none" w:pos="407"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Sanctions and Other Information</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happens if I violate this Policy?</w:t>
      </w:r>
    </w:p>
    <w:p>
      <w:pPr>
        <w:spacing w:after="0" w:line="220" w:lineRule="exact"/>
        <w:rPr>
          <w:sz w:val="20"/>
          <w:szCs w:val="20"/>
          <w:color w:val="auto"/>
        </w:rPr>
      </w:pPr>
    </w:p>
    <w:p>
      <w:pPr>
        <w:ind w:left="760" w:hanging="752"/>
        <w:spacing w:after="0" w:line="269" w:lineRule="auto"/>
        <w:tabs>
          <w:tab w:leader="none" w:pos="47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Violating the Company’s policies may result in disciplinary action, which may include termination of your employment or other relationship with the Company.</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sanctions if I trade on material nonpublic information or tip off someone else?</w:t>
      </w:r>
    </w:p>
    <w:p>
      <w:pPr>
        <w:spacing w:after="0" w:line="220" w:lineRule="exact"/>
        <w:rPr>
          <w:sz w:val="20"/>
          <w:szCs w:val="20"/>
          <w:color w:val="auto"/>
        </w:rPr>
      </w:pPr>
    </w:p>
    <w:p>
      <w:pPr>
        <w:ind w:left="760" w:hanging="752"/>
        <w:spacing w:after="0" w:line="245" w:lineRule="auto"/>
        <w:tabs>
          <w:tab w:leader="none" w:pos="47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“loss avoided”?</w:t>
      </w:r>
    </w:p>
    <w:p>
      <w:pPr>
        <w:spacing w:after="0" w:line="220" w:lineRule="exact"/>
        <w:rPr>
          <w:sz w:val="20"/>
          <w:szCs w:val="20"/>
          <w:color w:val="auto"/>
        </w:rPr>
      </w:pPr>
    </w:p>
    <w:p>
      <w:pPr>
        <w:ind w:left="760" w:hanging="752"/>
        <w:spacing w:after="0" w:line="269" w:lineRule="auto"/>
        <w:tabs>
          <w:tab w:leader="none" w:pos="50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should I contact if I have questions about this Policy or specific trades?</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You should email the Compliance Officer at lalbrecht@syndax.com.</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 changes to this Policy require approval by the Board?</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Yes. Changes to this Policy require approval by the Board or a duly appointed committee of the Board.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February 3,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Amended: May 11, 2022, September 8, 2023</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1" w:name="page222"/>
    <w:bookmarkEnd w:id="221"/>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Specified Persons</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(Non-Officer Employees and Designated Consultants</w:t>
      </w:r>
    </w:p>
    <w:p>
      <w:pPr>
        <w:spacing w:after="0" w:line="3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Subject to Quarterly Trading Blackout Periods)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employees and consultants.</w:t>
      </w:r>
    </w:p>
    <w:p>
      <w:pPr>
        <w:spacing w:after="0" w:line="200" w:lineRule="exact"/>
        <w:rPr>
          <w:sz w:val="20"/>
          <w:szCs w:val="20"/>
          <w:color w:val="auto"/>
        </w:rPr>
      </w:pPr>
    </w:p>
    <w:p>
      <w:pPr>
        <w:spacing w:after="0" w:line="2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SYNDAX PHARMACEUTICALS, INC.</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Jurisdiction of Incorporation</w:t>
            </w:r>
          </w:p>
        </w:tc>
      </w:tr>
      <w:tr>
        <w:trPr>
          <w:trHeight w:val="200"/>
        </w:trPr>
        <w:tc>
          <w:tcPr>
            <w:tcW w:w="5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Syndax Securities Corporation</w:t>
            </w:r>
          </w:p>
        </w:tc>
        <w:tc>
          <w:tcPr>
            <w:tcW w:w="5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Massachusetts</w:t>
            </w:r>
          </w:p>
        </w:tc>
      </w:tr>
      <w:tr>
        <w:trPr>
          <w:trHeight w:val="258"/>
        </w:trPr>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Syndax Europe B.V.</w:t>
            </w:r>
          </w:p>
        </w:tc>
        <w:tc>
          <w:tcPr>
            <w:tcW w:w="5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Netherlands</w:t>
            </w:r>
          </w:p>
        </w:tc>
      </w:tr>
      <w:tr>
        <w:trPr>
          <w:trHeight w:val="1770"/>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333-277424 on Form S-3 and Registration Statement Nos. 333-210412, 333-220172, 333-226678, 333-233083, 333-241654, 333-258628, 333-263185, 333-270093 and 333-277423 on Form S-8 of our reports dated March 3, 2025, relating to the financial statements of Syndax Pharmaceuticals, Inc. and subsidiaries and the effectiveness of Syndax Pharmaceuticals, Inc. and subsidiaries’ internal control over financial reporting appearing in this Annual Report on Form 10-K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117" w:lineRule="exact"/>
        <w:rPr>
          <w:sz w:val="20"/>
          <w:szCs w:val="20"/>
          <w:color w:val="auto"/>
        </w:rPr>
      </w:pPr>
    </w:p>
    <w:p>
      <w:pPr>
        <w:ind w:left="700" w:hanging="183"/>
        <w:spacing w:after="0"/>
        <w:tabs>
          <w:tab w:leader="none" w:pos="7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By: /s/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117" w:lineRule="exact"/>
        <w:rPr>
          <w:sz w:val="20"/>
          <w:szCs w:val="20"/>
          <w:color w:val="auto"/>
        </w:rPr>
      </w:pPr>
    </w:p>
    <w:p>
      <w:pPr>
        <w:ind w:left="700" w:hanging="183"/>
        <w:spacing w:after="0"/>
        <w:tabs>
          <w:tab w:leader="none" w:pos="7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By: /s/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Keith A. Goldan</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 1350), Michael A. Metzger, Chief Executive Officer and Director of Syndax Pharmaceuticals, Inc. (the “Company”), and Keith A. Goldan, Chief Financial Officer and Treasurer of the Company, each hereby certifies that, to the best of his knowledge:</w:t>
      </w:r>
    </w:p>
    <w:p>
      <w:pPr>
        <w:spacing w:after="0" w:line="180" w:lineRule="exact"/>
        <w:rPr>
          <w:sz w:val="20"/>
          <w:szCs w:val="20"/>
          <w:color w:val="auto"/>
        </w:rPr>
      </w:pPr>
    </w:p>
    <w:p>
      <w:pPr>
        <w:ind w:right="40" w:firstLine="517"/>
        <w:spacing w:after="0" w:line="282" w:lineRule="auto"/>
        <w:tabs>
          <w:tab w:leader="none" w:pos="7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32.1 (the “Annual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40" w:firstLine="517"/>
        <w:spacing w:after="0" w:line="282" w:lineRule="auto"/>
        <w:tabs>
          <w:tab w:leader="none" w:pos="7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7600" w:type="dxa"/>
            <w:vAlign w:val="bottom"/>
          </w:tcPr>
          <w:p>
            <w:pPr>
              <w:ind w:left="724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191"/>
        </w:trPr>
        <w:tc>
          <w:tcPr>
            <w:tcW w:w="7600" w:type="dxa"/>
            <w:vAlign w:val="bottom"/>
          </w:tcPr>
          <w:p>
            <w:pPr>
              <w:spacing w:after="0"/>
              <w:rPr>
                <w:sz w:val="16"/>
                <w:szCs w:val="16"/>
                <w:color w:val="auto"/>
              </w:rPr>
            </w:pPr>
          </w:p>
        </w:tc>
        <w:tc>
          <w:tcPr>
            <w:tcW w:w="36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760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9"/>
        </w:trPr>
        <w:tc>
          <w:tcPr>
            <w:tcW w:w="7600" w:type="dxa"/>
            <w:vAlign w:val="bottom"/>
          </w:tcPr>
          <w:p>
            <w:pPr>
              <w:ind w:left="722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191"/>
        </w:trPr>
        <w:tc>
          <w:tcPr>
            <w:tcW w:w="7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7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741"/>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_______</w:t>
            </w: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13" w:lineRule="exact"/>
        <w:rPr>
          <w:sz w:val="20"/>
          <w:szCs w:val="20"/>
          <w:color w:val="auto"/>
        </w:rPr>
      </w:pPr>
    </w:p>
    <w:p>
      <w:pPr>
        <w:ind w:right="140" w:firstLine="8"/>
        <w:spacing w:after="0" w:line="257" w:lineRule="auto"/>
        <w:tabs>
          <w:tab w:leader="none" w:pos="1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Annual Report), irrespective of any general incorporation language contained in such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7" w:name="page228"/>
    <w:bookmarkEnd w:id="2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o"/>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1."/>
      <w:numFmt w:val="decimal"/>
      <w:start w:val="404"/>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1)"/>
      <w:numFmt w:val="decimal"/>
      <w:start w:val="1"/>
    </w:lvl>
  </w:abstractNum>
  <w:abstractNum w:abstractNumId="39">
    <w:nsid w:val="23D86AAC"/>
    <w:multiLevelType w:val="hybridMultilevel"/>
    <w:lvl w:ilvl="0">
      <w:lvlJc w:val="left"/>
      <w:lvlText w:val="%1"/>
      <w:numFmt w:val="decimal"/>
      <w:start w:val="97"/>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o"/>
      <w:numFmt w:val="bullet"/>
      <w:start w:val="1"/>
    </w:lvl>
  </w:abstractNum>
  <w:abstractNum w:abstractNumId="44">
    <w:nsid w:val="4BD8591A"/>
    <w:multiLevelType w:val="hybridMultilevel"/>
    <w:lvl w:ilvl="0">
      <w:lvlJc w:val="left"/>
      <w:lvlText w:val="(%1)"/>
      <w:numFmt w:val="lowerRoman"/>
      <w:start w:val="3"/>
    </w:lvl>
  </w:abstractNum>
  <w:abstractNum w:abstractNumId="45">
    <w:nsid w:val="78DF6A55"/>
    <w:multiLevelType w:val="hybridMultilevel"/>
    <w:lvl w:ilvl="0">
      <w:lvlJc w:val="left"/>
      <w:lvlText w:val="(%1)"/>
      <w:numFmt w:val="decimal"/>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1."/>
      <w:numFmt w:val="decimal"/>
      <w:start w:val="1"/>
    </w:lvl>
  </w:abstractNum>
  <w:abstractNum w:abstractNumId="51">
    <w:nsid w:val="2C27173B"/>
    <w:multiLevelType w:val="hybridMultilevel"/>
    <w:lvl w:ilvl="0">
      <w:lvlJc w:val="left"/>
      <w:lvlText w:val="%1."/>
      <w:numFmt w:val="decimal"/>
      <w:start w:val="2"/>
    </w:lvl>
  </w:abstractNum>
  <w:abstractNum w:abstractNumId="52">
    <w:nsid w:val="4C9B0904"/>
    <w:multiLevelType w:val="hybridMultilevel"/>
    <w:lvl w:ilvl="0">
      <w:lvlJc w:val="left"/>
      <w:lvlText w:val="%1."/>
      <w:numFmt w:val="decimal"/>
      <w:start w:val="3"/>
    </w:lvl>
  </w:abstractNum>
  <w:abstractNum w:abstractNumId="53">
    <w:nsid w:val="6AA7B75C"/>
    <w:multiLevelType w:val="hybridMultilevel"/>
    <w:lvl w:ilvl="0">
      <w:lvlJc w:val="left"/>
      <w:lvlText w:val="(%1)"/>
      <w:numFmt w:val="lowerRoman"/>
      <w:start w:val="1"/>
    </w:lvl>
  </w:abstractNum>
  <w:abstractNum w:abstractNumId="54">
    <w:nsid w:val="1DF029D3"/>
    <w:multiLevelType w:val="hybridMultilevel"/>
    <w:lvl w:ilvl="0">
      <w:lvlJc w:val="left"/>
      <w:lvlText w:val="(%1)"/>
      <w:numFmt w:val="lowerRoman"/>
      <w:start w:val="1"/>
    </w:lvl>
  </w:abstractNum>
  <w:abstractNum w:abstractNumId="55">
    <w:nsid w:val="5675FF36"/>
    <w:multiLevelType w:val="hybridMultilevel"/>
    <w:lvl w:ilvl="0">
      <w:lvlJc w:val="left"/>
      <w:lvlText w:val="(%1)"/>
      <w:numFmt w:val="lowerRoman"/>
      <w:start w:val="4"/>
    </w:lvl>
  </w:abstractNum>
  <w:abstractNum w:abstractNumId="56">
    <w:nsid w:val="3DD15094"/>
    <w:multiLevelType w:val="hybridMultilevel"/>
    <w:lvl w:ilvl="0">
      <w:lvlJc w:val="left"/>
      <w:lvlText w:val="%1."/>
      <w:numFmt w:val="decimal"/>
      <w:start w:val="4"/>
    </w:lvl>
  </w:abstractNum>
  <w:abstractNum w:abstractNumId="57">
    <w:nsid w:val="3DB012B3"/>
    <w:multiLevelType w:val="hybridMultilevel"/>
    <w:lvl w:ilvl="0">
      <w:lvlJc w:val="left"/>
      <w:lvlText w:val="%1."/>
      <w:numFmt w:val="decimal"/>
      <w:start w:val="5"/>
    </w:lvl>
  </w:abstractNum>
  <w:abstractNum w:abstractNumId="58">
    <w:nsid w:val="2708C9AF"/>
    <w:multiLevelType w:val="hybridMultilevel"/>
    <w:lvl w:ilvl="0">
      <w:lvlJc w:val="left"/>
      <w:lvlText w:val="%1."/>
      <w:numFmt w:val="decimal"/>
      <w:start w:val="6"/>
    </w:lvl>
  </w:abstractNum>
  <w:abstractNum w:abstractNumId="59">
    <w:nsid w:val="5B25ACE2"/>
    <w:multiLevelType w:val="hybridMultilevel"/>
    <w:lvl w:ilvl="0">
      <w:lvlJc w:val="left"/>
      <w:lvlText w:val="%1."/>
      <w:numFmt w:val="decimal"/>
      <w:start w:val="7"/>
    </w:lvl>
  </w:abstractNum>
  <w:abstractNum w:abstractNumId="60">
    <w:nsid w:val="175DFCF0"/>
    <w:multiLevelType w:val="hybridMultilevel"/>
    <w:lvl w:ilvl="0">
      <w:lvlJc w:val="left"/>
      <w:lvlText w:val="%1."/>
      <w:numFmt w:val="decimal"/>
      <w:start w:val="8"/>
    </w:lvl>
  </w:abstractNum>
  <w:abstractNum w:abstractNumId="61">
    <w:nsid w:val="4F97E3E4"/>
    <w:multiLevelType w:val="hybridMultilevel"/>
    <w:lvl w:ilvl="0">
      <w:lvlJc w:val="left"/>
      <w:lvlText w:val="(%1)"/>
      <w:numFmt w:val="decimal"/>
      <w:start w:val="10"/>
    </w:lvl>
  </w:abstractNum>
  <w:abstractNum w:abstractNumId="62">
    <w:nsid w:val="53B0A9E"/>
    <w:multiLevelType w:val="hybridMultilevel"/>
    <w:lvl w:ilvl="0">
      <w:lvlJc w:val="left"/>
      <w:lvlText w:val="%1."/>
      <w:numFmt w:val="decimal"/>
      <w:start w:val="9"/>
    </w:lvl>
  </w:abstractNum>
  <w:abstractNum w:abstractNumId="63">
    <w:nsid w:val="34FD6B4F"/>
    <w:multiLevelType w:val="hybridMultilevel"/>
    <w:lvl w:ilvl="0">
      <w:lvlJc w:val="left"/>
      <w:lvlText w:val="(%1)"/>
      <w:numFmt w:val="decimal"/>
      <w:start w:val="1"/>
    </w:lvl>
  </w:abstractNum>
  <w:abstractNum w:abstractNumId="64">
    <w:nsid w:val="5915FF32"/>
    <w:multiLevelType w:val="hybridMultilevel"/>
    <w:lvl w:ilvl="0">
      <w:lvlJc w:val="left"/>
      <w:lvlText w:val="%1."/>
      <w:numFmt w:val="decimal"/>
      <w:start w:val="10"/>
    </w:lvl>
  </w:abstractNum>
  <w:abstractNum w:abstractNumId="65">
    <w:nsid w:val="56438D15"/>
    <w:multiLevelType w:val="hybridMultilevel"/>
    <w:lvl w:ilvl="0">
      <w:lvlJc w:val="left"/>
      <w:lvlText w:val="%1."/>
      <w:numFmt w:val="decimal"/>
      <w:start w:val="11"/>
    </w:lvl>
  </w:abstractNum>
  <w:abstractNum w:abstractNumId="66">
    <w:nsid w:val="519E3149"/>
    <w:multiLevelType w:val="hybridMultilevel"/>
    <w:lvl w:ilvl="0">
      <w:lvlJc w:val="left"/>
      <w:lvlText w:val="%1."/>
      <w:numFmt w:val="decimal"/>
      <w:start w:val="12"/>
    </w:lvl>
  </w:abstractNum>
  <w:abstractNum w:abstractNumId="67">
    <w:nsid w:val="2C6E4AFD"/>
    <w:multiLevelType w:val="hybridMultilevel"/>
    <w:lvl w:ilvl="0">
      <w:lvlJc w:val="left"/>
      <w:lvlText w:val="%1."/>
      <w:numFmt w:val="decimal"/>
      <w:start w:val="13"/>
    </w:lvl>
  </w:abstractNum>
  <w:abstractNum w:abstractNumId="68">
    <w:nsid w:val="17A1B582"/>
    <w:multiLevelType w:val="hybridMultilevel"/>
    <w:lvl w:ilvl="0">
      <w:lvlJc w:val="left"/>
      <w:lvlText w:val="%1."/>
      <w:numFmt w:val="decimal"/>
      <w:start w:val="14"/>
    </w:lvl>
  </w:abstractNum>
  <w:abstractNum w:abstractNumId="69">
    <w:nsid w:val="4DF72E4E"/>
    <w:multiLevelType w:val="hybridMultilevel"/>
    <w:lvl w:ilvl="0">
      <w:lvlJc w:val="left"/>
      <w:lvlText w:val="(%1)"/>
      <w:numFmt w:val="lowerLetter"/>
      <w:start w:val="15"/>
    </w:lvl>
  </w:abstractNum>
  <w:abstractNum w:abstractNumId="70">
    <w:nsid w:val="5046B5A9"/>
    <w:multiLevelType w:val="hybridMultilevel"/>
    <w:lvl w:ilvl="0">
      <w:lvlJc w:val="left"/>
      <w:lvlText w:val="%1."/>
      <w:numFmt w:val="decimal"/>
      <w:start w:val="15"/>
    </w:lvl>
  </w:abstractNum>
  <w:abstractNum w:abstractNumId="71">
    <w:nsid w:val="5D888A08"/>
    <w:multiLevelType w:val="hybridMultilevel"/>
    <w:lvl w:ilvl="0">
      <w:lvlJc w:val="left"/>
      <w:lvlText w:val="(%1)"/>
      <w:numFmt w:val="lowerRoman"/>
      <w:start w:val="1"/>
    </w:lvl>
  </w:abstractNum>
  <w:abstractNum w:abstractNumId="72">
    <w:nsid w:val="2A082C70"/>
    <w:multiLevelType w:val="hybridMultilevel"/>
    <w:lvl w:ilvl="0">
      <w:lvlJc w:val="left"/>
      <w:lvlText w:val="%1."/>
      <w:numFmt w:val="decimal"/>
      <w:start w:val="16"/>
    </w:lvl>
  </w:abstractNum>
  <w:abstractNum w:abstractNumId="73">
    <w:nsid w:val="5EC6AFD4"/>
    <w:multiLevelType w:val="hybridMultilevel"/>
    <w:lvl w:ilvl="0">
      <w:lvlJc w:val="left"/>
      <w:lvlText w:val="%1."/>
      <w:numFmt w:val="decimal"/>
      <w:start w:val="17"/>
    </w:lvl>
  </w:abstractNum>
  <w:abstractNum w:abstractNumId="74">
    <w:nsid w:val="19E21BB2"/>
    <w:multiLevelType w:val="hybridMultilevel"/>
    <w:lvl w:ilvl="0">
      <w:lvlJc w:val="left"/>
      <w:lvlText w:val="%1."/>
      <w:numFmt w:val="decimal"/>
      <w:start w:val="18"/>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1)"/>
      <w:numFmt w:val="lowerLetter"/>
      <w:start w:val="25"/>
    </w:lvl>
  </w:abstractNum>
  <w:abstractNum w:abstractNumId="78">
    <w:nsid w:val="20EE1348"/>
    <w:multiLevelType w:val="hybridMultilevel"/>
    <w:lvl w:ilvl="0">
      <w:lvlJc w:val="left"/>
      <w:lvlText w:val="%1)"/>
      <w:numFmt w:val="lowerLetter"/>
      <w:start w:val="1"/>
    </w:lvl>
  </w:abstractNum>
  <w:abstractNum w:abstractNumId="79">
    <w:nsid w:val="4427069A"/>
    <w:multiLevelType w:val="hybridMultilevel"/>
    <w:lvl w:ilvl="0">
      <w:lvlJc w:val="left"/>
      <w:lvlText w:val="%1)"/>
      <w:numFmt w:val="lowerLetter"/>
      <w:start w:val="1"/>
    </w:lvl>
  </w:abstractNum>
  <w:abstractNum w:abstractNumId="80">
    <w:nsid w:val="B37E80A"/>
    <w:multiLevelType w:val="hybridMultilevel"/>
    <w:lvl w:ilvl="0">
      <w:lvlJc w:val="left"/>
      <w:lvlText w:val="%1)"/>
      <w:numFmt w:val="lowerLetter"/>
      <w:start w:val="8"/>
    </w:lvl>
  </w:abstractNum>
  <w:abstractNum w:abstractNumId="81">
    <w:nsid w:val="2157F6BC"/>
    <w:multiLevelType w:val="hybridMultilevel"/>
    <w:lvl w:ilvl="0">
      <w:lvlJc w:val="left"/>
      <w:lvlText w:val="%1)"/>
      <w:numFmt w:val="lowerLetter"/>
      <w:start w:val="1"/>
    </w:lvl>
  </w:abstractNum>
  <w:abstractNum w:abstractNumId="82">
    <w:nsid w:val="704E1DD5"/>
    <w:multiLevelType w:val="hybridMultilevel"/>
    <w:lvl w:ilvl="0">
      <w:lvlJc w:val="left"/>
      <w:lvlText w:val="%1)"/>
      <w:numFmt w:val="lowerLetter"/>
      <w:start w:val="1"/>
    </w:lvl>
  </w:abstractNum>
  <w:abstractNum w:abstractNumId="83">
    <w:nsid w:val="57D2F10E"/>
    <w:multiLevelType w:val="hybridMultilevel"/>
    <w:lvl w:ilvl="0">
      <w:lvlJc w:val="left"/>
      <w:lvlText w:val="%1)"/>
      <w:numFmt w:val="lowerLetter"/>
      <w:start w:val="13"/>
    </w:lvl>
  </w:abstractNum>
  <w:abstractNum w:abstractNumId="84">
    <w:nsid w:val="BFFAE18"/>
    <w:multiLevelType w:val="hybridMultilevel"/>
    <w:lvl w:ilvl="0">
      <w:lvlJc w:val="left"/>
      <w:lvlText w:val="%1)"/>
      <w:numFmt w:val="lowerLetter"/>
      <w:start w:val="1"/>
    </w:lvl>
  </w:abstractNum>
  <w:abstractNum w:abstractNumId="85">
    <w:nsid w:val="E3E47A8"/>
    <w:multiLevelType w:val="hybridMultilevel"/>
    <w:lvl w:ilvl="0">
      <w:lvlJc w:val="left"/>
      <w:lvlText w:val="(%1)"/>
      <w:numFmt w:val="lowerLetter"/>
      <w:start w:val="1"/>
    </w:lvl>
  </w:abstractNum>
  <w:abstractNum w:abstractNumId="86">
    <w:nsid w:val="2E48F044"/>
    <w:multiLevelType w:val="hybridMultilevel"/>
    <w:lvl w:ilvl="0">
      <w:lvlJc w:val="left"/>
      <w:lvlText w:val="(%1)"/>
      <w:numFmt w:val="lowerLetter"/>
      <w:start w:val="3"/>
    </w:lvl>
  </w:abstractNum>
  <w:abstractNum w:abstractNumId="87">
    <w:nsid w:val="49D0FEAC"/>
    <w:multiLevelType w:val="hybridMultilevel"/>
    <w:lvl w:ilvl="0">
      <w:lvlJc w:val="left"/>
      <w:lvlText w:val="(%1)"/>
      <w:numFmt w:val="lowerLetter"/>
      <w:start w:val="1"/>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90">
    <w:nsid w:val="24F6AB8E"/>
    <w:multiLevelType w:val="hybridMultilevel"/>
    <w:lvl w:ilvl="0">
      <w:lvlJc w:val="left"/>
      <w:lvlText w:val="(%1)"/>
      <w:numFmt w:val="lowerRoman"/>
      <w:start w:val="5"/>
    </w:lvl>
  </w:abstractNum>
  <w:abstractNum w:abstractNumId="91">
    <w:nsid w:val="634C574C"/>
    <w:multiLevelType w:val="hybridMultilevel"/>
    <w:lvl w:ilvl="0">
      <w:lvlJc w:val="left"/>
      <w:lvlText w:val="(%1)"/>
      <w:numFmt w:val="lowerLetter"/>
      <w:start w:val="8"/>
    </w:lvl>
  </w:abstractNum>
  <w:abstractNum w:abstractNumId="92">
    <w:nsid w:val="24E99DD7"/>
    <w:multiLevelType w:val="hybridMultilevel"/>
    <w:lvl w:ilvl="0">
      <w:lvlJc w:val="left"/>
      <w:lvlText w:val="(%1)"/>
      <w:numFmt w:val="lowerRoman"/>
      <w:start w:val="1"/>
    </w:lvl>
  </w:abstractNum>
  <w:abstractNum w:abstractNumId="93">
    <w:nsid w:val="2A31B62D"/>
    <w:multiLevelType w:val="hybridMultilevel"/>
    <w:lvl w:ilvl="0">
      <w:lvlJc w:val="left"/>
      <w:lvlText w:val="(%1)"/>
      <w:numFmt w:val="lowerRoman"/>
      <w:start w:val="4"/>
    </w:lvl>
  </w:abstractNum>
  <w:abstractNum w:abstractNumId="94">
    <w:nsid w:val="1849C29B"/>
    <w:multiLevelType w:val="hybridMultilevel"/>
    <w:lvl w:ilvl="0">
      <w:lvlJc w:val="left"/>
      <w:lvlText w:val="%1"/>
      <w:numFmt w:val="lowerLetter"/>
      <w:start w:val="1"/>
    </w:lvl>
    <w:lvl w:ilvl="1">
      <w:lvlJc w:val="left"/>
      <w:lvlText w:val="(%2)"/>
      <w:numFmt w:val="lowerRoman"/>
      <w:start w:val="9"/>
    </w:lvl>
  </w:abstractNum>
  <w:abstractNum w:abstractNumId="95">
    <w:nsid w:val="7DFF9D09"/>
    <w:multiLevelType w:val="hybridMultilevel"/>
    <w:lvl w:ilvl="0">
      <w:lvlJc w:val="left"/>
      <w:lvlText w:val="(%1)"/>
      <w:numFmt w:val="lowerLetter"/>
      <w:start w:val="9"/>
    </w:lvl>
    <w:lvl w:ilvl="1">
      <w:lvlJc w:val="left"/>
      <w:lvlText w:val="%2"/>
      <w:numFmt w:val="lowerRoman"/>
      <w:start w:val="1"/>
    </w:lvl>
  </w:abstractNum>
  <w:abstractNum w:abstractNumId="96">
    <w:nsid w:val="754342"/>
    <w:multiLevelType w:val="hybridMultilevel"/>
    <w:lvl w:ilvl="0">
      <w:lvlJc w:val="left"/>
      <w:lvlText w:val="(%1)"/>
      <w:numFmt w:val="lowerLetter"/>
      <w:start w:val="11"/>
    </w:lvl>
    <w:lvl w:ilvl="1">
      <w:lvlJc w:val="left"/>
      <w:lvlText w:val="(%2)"/>
      <w:numFmt w:val="lowerRoman"/>
      <w:start w:val="1"/>
    </w:lvl>
  </w:abstractNum>
  <w:abstractNum w:abstractNumId="97">
    <w:nsid w:val="69E7F3E5"/>
    <w:multiLevelType w:val="hybridMultilevel"/>
    <w:lvl w:ilvl="0">
      <w:lvlJc w:val="left"/>
      <w:lvlText w:val="%1"/>
      <w:numFmt w:val="lowerLetter"/>
      <w:start w:val="1"/>
    </w:lvl>
    <w:lvl w:ilvl="1">
      <w:lvlJc w:val="left"/>
      <w:lvlText w:val="(%2)"/>
      <w:numFmt w:val="lowerRoman"/>
      <w:start w:val="6"/>
    </w:lvl>
  </w:abstractNum>
  <w:abstractNum w:abstractNumId="98">
    <w:nsid w:val="2A6DE806"/>
    <w:multiLevelType w:val="hybridMultilevel"/>
    <w:lvl w:ilvl="0">
      <w:lvlJc w:val="left"/>
      <w:lvlText w:val="(%1)"/>
      <w:numFmt w:val="lowerLetter"/>
      <w:start w:val="12"/>
    </w:lvl>
    <w:lvl w:ilvl="1">
      <w:lvlJc w:val="left"/>
      <w:lvlText w:val="%2"/>
      <w:numFmt w:val="lowerRoman"/>
      <w:start w:val="1"/>
    </w:lvl>
  </w:abstractNum>
  <w:abstractNum w:abstractNumId="99">
    <w:nsid w:val="1816F8C4"/>
    <w:multiLevelType w:val="hybridMultilevel"/>
    <w:lvl w:ilvl="0">
      <w:lvlJc w:val="left"/>
      <w:lvlText w:val="(%1)"/>
      <w:numFmt w:val="lowerLetter"/>
      <w:start w:val="13"/>
    </w:lvl>
  </w:abstractNum>
  <w:abstractNum w:abstractNumId="100">
    <w:nsid w:val="37DF2233"/>
    <w:multiLevelType w:val="hybridMultilevel"/>
    <w:lvl w:ilvl="0">
      <w:lvlJc w:val="left"/>
      <w:lvlText w:val="%1"/>
      <w:numFmt w:val="lowerLetter"/>
      <w:start w:val="1"/>
    </w:lvl>
    <w:lvl w:ilvl="1">
      <w:lvlJc w:val="left"/>
      <w:lvlText w:val="(%2)"/>
      <w:numFmt w:val="lowerLetter"/>
      <w:start w:val="1"/>
    </w:lvl>
  </w:abstractNum>
  <w:abstractNum w:abstractNumId="101">
    <w:nsid w:val="7AB49DAF"/>
    <w:multiLevelType w:val="hybridMultilevel"/>
    <w:lvl w:ilvl="0">
      <w:lvlJc w:val="left"/>
      <w:lvlText w:val="(%1)"/>
      <w:numFmt w:val="lowerLetter"/>
      <w:start w:val="9"/>
    </w:lvl>
    <w:lvl w:ilvl="1">
      <w:lvlJc w:val="left"/>
      <w:lvlText w:val="(%2)"/>
      <w:numFmt w:val="lowerLetter"/>
      <w:start w:val="5"/>
    </w:lvl>
  </w:abstractNum>
  <w:abstractNum w:abstractNumId="102">
    <w:nsid w:val="759F82CD"/>
    <w:multiLevelType w:val="hybridMultilevel"/>
    <w:lvl w:ilvl="0">
      <w:lvlJc w:val="left"/>
      <w:lvlText w:val="(%1)"/>
      <w:numFmt w:val="lowerLetter"/>
      <w:start w:val="7"/>
    </w:lvl>
  </w:abstractNum>
  <w:abstractNum w:abstractNumId="103">
    <w:nsid w:val="61E74EA3"/>
    <w:multiLevelType w:val="hybridMultilevel"/>
    <w:lvl w:ilvl="0">
      <w:lvlJc w:val="left"/>
      <w:lvlText w:val="(%1)"/>
      <w:numFmt w:val="lowerLetter"/>
      <w:start w:val="1"/>
    </w:lvl>
  </w:abstractNum>
  <w:abstractNum w:abstractNumId="104">
    <w:nsid w:val="597B4D84"/>
    <w:multiLevelType w:val="hybridMultilevel"/>
    <w:lvl w:ilvl="0">
      <w:lvlJc w:val="left"/>
      <w:lvlText w:val="(%1)"/>
      <w:numFmt w:val="lowerLetter"/>
      <w:start w:val="3"/>
    </w:lvl>
  </w:abstractNum>
  <w:abstractNum w:abstractNumId="105">
    <w:nsid w:val="F819E7F"/>
    <w:multiLevelType w:val="hybridMultilevel"/>
    <w:lvl w:ilvl="0">
      <w:lvlJc w:val="left"/>
      <w:lvlText w:val="(%1)"/>
      <w:numFmt w:val="lowerLetter"/>
      <w:start w:val="1"/>
    </w:lvl>
  </w:abstractNum>
  <w:abstractNum w:abstractNumId="106">
    <w:nsid w:val="57C7D42D"/>
    <w:multiLevelType w:val="hybridMultilevel"/>
    <w:lvl w:ilvl="0">
      <w:lvlJc w:val="left"/>
      <w:lvlText w:val="%1"/>
      <w:numFmt w:val="lowerLetter"/>
      <w:start w:val="1"/>
    </w:lvl>
    <w:lvl w:ilvl="1">
      <w:lvlJc w:val="left"/>
      <w:lvlText w:val="(%2)"/>
      <w:numFmt w:val="lowerLetter"/>
      <w:start w:val="1"/>
    </w:lvl>
  </w:abstractNum>
  <w:abstractNum w:abstractNumId="107">
    <w:nsid w:val="312167AD"/>
    <w:multiLevelType w:val="hybridMultilevel"/>
    <w:lvl w:ilvl="0">
      <w:lvlJc w:val="left"/>
      <w:lvlText w:val="(%1)"/>
      <w:numFmt w:val="lowerLetter"/>
      <w:start w:val="35"/>
    </w:lvl>
    <w:lvl w:ilvl="1">
      <w:lvlJc w:val="left"/>
      <w:lvlText w:val="(%2)"/>
      <w:numFmt w:val="lowerLetter"/>
      <w:start w:val="5"/>
    </w:lvl>
  </w:abstractNum>
  <w:abstractNum w:abstractNumId="108">
    <w:nsid w:val="631B64D4"/>
    <w:multiLevelType w:val="hybridMultilevel"/>
    <w:lvl w:ilvl="0">
      <w:lvlJc w:val="left"/>
      <w:lvlText w:val="(%1)"/>
      <w:numFmt w:val="lowerLetter"/>
      <w:start w:val="8"/>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lowerLetter"/>
      <w:start w:val="3"/>
    </w:lvl>
  </w:abstractNum>
  <w:abstractNum w:abstractNumId="111">
    <w:nsid w:val="6E534CDE"/>
    <w:multiLevelType w:val="hybridMultilevel"/>
    <w:lvl w:ilvl="0">
      <w:lvlJc w:val="left"/>
      <w:lvlText w:val="(%1)"/>
      <w:numFmt w:val="lowerLetter"/>
      <w:start w:val="1"/>
    </w:lvl>
  </w:abstractNum>
  <w:abstractNum w:abstractNumId="112">
    <w:nsid w:val="1A0DDE32"/>
    <w:multiLevelType w:val="hybridMultilevel"/>
    <w:lvl w:ilvl="0">
      <w:lvlJc w:val="left"/>
      <w:lvlText w:val="%1"/>
      <w:numFmt w:val="lowerLetter"/>
      <w:start w:val="1"/>
    </w:lvl>
    <w:lvl w:ilvl="1">
      <w:lvlJc w:val="left"/>
      <w:lvlText w:val="(%2)"/>
      <w:numFmt w:val="lowerLetter"/>
      <w:start w:val="3"/>
    </w:lvl>
  </w:abstractNum>
  <w:abstractNum w:abstractNumId="113">
    <w:nsid w:val="65968C1C"/>
    <w:multiLevelType w:val="hybridMultilevel"/>
    <w:lvl w:ilvl="0">
      <w:lvlJc w:val="left"/>
      <w:lvlText w:val="(%1)"/>
      <w:numFmt w:val="lowerLetter"/>
      <w:start w:val="35"/>
    </w:lvl>
    <w:lvl w:ilvl="1">
      <w:lvlJc w:val="left"/>
      <w:lvlText w:val="(%2)"/>
      <w:numFmt w:val="lowerLetter"/>
      <w:start w:val="5"/>
    </w:lvl>
  </w:abstractNum>
  <w:abstractNum w:abstractNumId="114">
    <w:nsid w:val="46263DEC"/>
    <w:multiLevelType w:val="hybridMultilevel"/>
    <w:lvl w:ilvl="0">
      <w:lvlJc w:val="left"/>
      <w:lvlText w:val="(%1)"/>
      <w:numFmt w:val="lowerLetter"/>
      <w:start w:val="6"/>
    </w:lvl>
  </w:abstractNum>
  <w:abstractNum w:abstractNumId="115">
    <w:nsid w:val="260D8C4A"/>
    <w:multiLevelType w:val="hybridMultilevel"/>
    <w:lvl w:ilvl="0">
      <w:lvlJc w:val="left"/>
      <w:lvlText w:val="(%1)"/>
      <w:numFmt w:val="lowerLetter"/>
      <w:start w:val="1"/>
    </w:lvl>
  </w:abstractNum>
  <w:abstractNum w:abstractNumId="116">
    <w:nsid w:val="73D4D3C4"/>
    <w:multiLevelType w:val="hybridMultilevel"/>
    <w:lvl w:ilvl="0">
      <w:lvlJc w:val="left"/>
      <w:lvlText w:val="%1"/>
      <w:numFmt w:val="upperLetter"/>
      <w:start w:val="1"/>
    </w:lvl>
    <w:lvl w:ilvl="1">
      <w:lvlJc w:val="left"/>
      <w:lvlText w:val="(%2)"/>
      <w:numFmt w:val="lowerLetter"/>
      <w:start w:val="3"/>
    </w:lvl>
  </w:abstractNum>
  <w:abstractNum w:abstractNumId="117">
    <w:nsid w:val="746F2E30"/>
    <w:multiLevelType w:val="hybridMultilevel"/>
    <w:lvl w:ilvl="0">
      <w:lvlJc w:val="left"/>
      <w:lvlText w:val="(%1)"/>
      <w:numFmt w:val="upperLetter"/>
      <w:start w:val="1"/>
    </w:lvl>
    <w:lvl w:ilvl="1">
      <w:lvlJc w:val="left"/>
      <w:lvlText w:val="%2"/>
      <w:numFmt w:val="lowerLetter"/>
      <w:start w:val="1"/>
    </w:lvl>
  </w:abstractNum>
  <w:abstractNum w:abstractNumId="118">
    <w:nsid w:val="6FDE8AF6"/>
    <w:multiLevelType w:val="hybridMultilevel"/>
    <w:lvl w:ilvl="0">
      <w:lvlJc w:val="left"/>
      <w:lvlText w:val="(%1)"/>
      <w:numFmt w:val="lowerLetter"/>
      <w:start w:val="1"/>
    </w:lvl>
  </w:abstractNum>
  <w:abstractNum w:abstractNumId="119">
    <w:nsid w:val="3FC32E20"/>
    <w:multiLevelType w:val="hybridMultilevel"/>
    <w:lvl w:ilvl="0">
      <w:lvlJc w:val="left"/>
      <w:lvlText w:val="(%1)"/>
      <w:numFmt w:val="lowerLetter"/>
      <w:start w:val="6"/>
    </w:lvl>
  </w:abstractNum>
  <w:abstractNum w:abstractNumId="120">
    <w:nsid w:val="49C0E823"/>
    <w:multiLevelType w:val="hybridMultilevel"/>
    <w:lvl w:ilvl="0">
      <w:lvlJc w:val="left"/>
      <w:lvlText w:val="(%1)"/>
      <w:numFmt w:val="lowerLetter"/>
      <w:start w:val="1"/>
    </w:lvl>
  </w:abstractNum>
  <w:abstractNum w:abstractNumId="121">
    <w:nsid w:val="14D53685"/>
    <w:multiLevelType w:val="hybridMultilevel"/>
    <w:lvl w:ilvl="0">
      <w:lvlJc w:val="left"/>
      <w:lvlText w:val="(%1)"/>
      <w:numFmt w:val="lowerLetter"/>
      <w:start w:val="1"/>
    </w:lvl>
  </w:abstractNum>
  <w:abstractNum w:abstractNumId="122">
    <w:nsid w:val="230F856C"/>
    <w:multiLevelType w:val="hybridMultilevel"/>
    <w:lvl w:ilvl="0">
      <w:lvlJc w:val="left"/>
      <w:lvlText w:val="(%1)"/>
      <w:numFmt w:val="lowerLetter"/>
      <w:start w:val="1"/>
    </w:lvl>
  </w:abstractNum>
  <w:abstractNum w:abstractNumId="123">
    <w:nsid w:val="6EAA85FB"/>
    <w:multiLevelType w:val="hybridMultilevel"/>
    <w:lvl w:ilvl="0">
      <w:lvlJc w:val="left"/>
      <w:lvlText w:val="(%1)"/>
      <w:numFmt w:val="lowerLetter"/>
      <w:start w:val="3"/>
    </w:lvl>
  </w:abstractNum>
  <w:abstractNum w:abstractNumId="124">
    <w:nsid w:val="3F06ECB2"/>
    <w:multiLevelType w:val="hybridMultilevel"/>
    <w:lvl w:ilvl="0">
      <w:lvlJc w:val="left"/>
      <w:lvlText w:val="(%1)"/>
      <w:numFmt w:val="lowerLetter"/>
      <w:start w:val="1"/>
    </w:lvl>
    <w:lvl w:ilvl="1">
      <w:lvlJc w:val="left"/>
      <w:lvlText w:val="(%2)"/>
      <w:numFmt w:val="lowerRoman"/>
      <w:start w:val="1"/>
    </w:lvl>
  </w:abstractNum>
  <w:abstractNum w:abstractNumId="125">
    <w:nsid w:val="3B594807"/>
    <w:multiLevelType w:val="hybridMultilevel"/>
    <w:lvl w:ilvl="0">
      <w:lvlJc w:val="left"/>
      <w:lvlText w:val="%1"/>
      <w:numFmt w:val="lowerLetter"/>
      <w:start w:val="1"/>
    </w:lvl>
    <w:lvl w:ilvl="1">
      <w:lvlJc w:val="left"/>
      <w:lvlText w:val="(%2)"/>
      <w:numFmt w:val="lowerRoman"/>
      <w:start w:val="8"/>
    </w:lvl>
  </w:abstractNum>
  <w:abstractNum w:abstractNumId="126">
    <w:nsid w:val="6CAA2304"/>
    <w:multiLevelType w:val="hybridMultilevel"/>
    <w:lvl w:ilvl="0">
      <w:lvlJc w:val="left"/>
      <w:lvlText w:val="(%1)"/>
      <w:numFmt w:val="lowerLetter"/>
      <w:start w:val="2"/>
    </w:lvl>
    <w:lvl w:ilvl="1">
      <w:lvlJc w:val="left"/>
      <w:lvlText w:val="%2"/>
      <w:numFmt w:val="lowerRoman"/>
      <w:start w:val="1"/>
    </w:lvl>
  </w:abstractNum>
  <w:abstractNum w:abstractNumId="127">
    <w:nsid w:val="3F7C2FF4"/>
    <w:multiLevelType w:val="hybridMultilevel"/>
    <w:lvl w:ilvl="0">
      <w:lvlJc w:val="left"/>
      <w:lvlText w:val="(%1)"/>
      <w:numFmt w:val="lowerLetter"/>
      <w:start w:val="1"/>
    </w:lvl>
  </w:abstractNum>
  <w:abstractNum w:abstractNumId="128">
    <w:nsid w:val="25413BEC"/>
    <w:multiLevelType w:val="hybridMultilevel"/>
    <w:lvl w:ilvl="0">
      <w:lvlJc w:val="left"/>
      <w:lvlText w:val="(%1)"/>
      <w:numFmt w:val="lowerLetter"/>
      <w:start w:val="1"/>
    </w:lvl>
  </w:abstractNum>
  <w:abstractNum w:abstractNumId="129">
    <w:nsid w:val="17180B0B"/>
    <w:multiLevelType w:val="hybridMultilevel"/>
    <w:lvl w:ilvl="0">
      <w:lvlJc w:val="left"/>
      <w:lvlText w:val="•"/>
      <w:numFmt w:val="bullet"/>
      <w:start w:val="1"/>
    </w:lvl>
  </w:abstractNum>
  <w:abstractNum w:abstractNumId="130">
    <w:nsid w:val="579328B9"/>
    <w:multiLevelType w:val="hybridMultilevel"/>
    <w:lvl w:ilvl="0">
      <w:lvlJc w:val="left"/>
      <w:lvlText w:val="%1:"/>
      <w:numFmt w:val="upperLetter"/>
      <w:start w:val="1"/>
    </w:lvl>
  </w:abstractNum>
  <w:abstractNum w:abstractNumId="131">
    <w:nsid w:val="5D205E20"/>
    <w:multiLevelType w:val="hybridMultilevel"/>
    <w:lvl w:ilvl="0">
      <w:lvlJc w:val="left"/>
      <w:lvlText w:val="%1:"/>
      <w:numFmt w:val="upperLetter"/>
      <w:start w:val="1"/>
    </w:lvl>
  </w:abstractNum>
  <w:abstractNum w:abstractNumId="132">
    <w:nsid w:val="11CCA8BA"/>
    <w:multiLevelType w:val="hybridMultilevel"/>
    <w:lvl w:ilvl="0">
      <w:lvlJc w:val="left"/>
      <w:lvlText w:val="%1:"/>
      <w:numFmt w:val="upperLetter"/>
      <w:start w:val="1"/>
    </w:lvl>
  </w:abstractNum>
  <w:abstractNum w:abstractNumId="133">
    <w:nsid w:val="4D32AB86"/>
    <w:multiLevelType w:val="hybridMultilevel"/>
    <w:lvl w:ilvl="0">
      <w:lvlJc w:val="left"/>
      <w:lvlText w:val="%1:"/>
      <w:numFmt w:val="upperLetter"/>
      <w:start w:val="1"/>
    </w:lvl>
  </w:abstractNum>
  <w:abstractNum w:abstractNumId="134">
    <w:nsid w:val="3F07ACC3"/>
    <w:multiLevelType w:val="hybridMultilevel"/>
    <w:lvl w:ilvl="0">
      <w:lvlJc w:val="left"/>
      <w:lvlText w:val="%1:"/>
      <w:numFmt w:val="upperLetter"/>
      <w:start w:val="1"/>
    </w:lvl>
  </w:abstractNum>
  <w:abstractNum w:abstractNumId="135">
    <w:nsid w:val="6B47F63E"/>
    <w:multiLevelType w:val="hybridMultilevel"/>
    <w:lvl w:ilvl="0">
      <w:lvlJc w:val="left"/>
      <w:lvlText w:val="%1:"/>
      <w:numFmt w:val="upperLetter"/>
      <w:start w:val="1"/>
    </w:lvl>
  </w:abstractNum>
  <w:abstractNum w:abstractNumId="136">
    <w:nsid w:val="5CB44A05"/>
    <w:multiLevelType w:val="hybridMultilevel"/>
    <w:lvl w:ilvl="0">
      <w:lvlJc w:val="left"/>
      <w:lvlText w:val="%1:"/>
      <w:numFmt w:val="upperLetter"/>
      <w:start w:val="1"/>
    </w:lvl>
  </w:abstractNum>
  <w:abstractNum w:abstractNumId="137">
    <w:nsid w:val="16CF80F1"/>
    <w:multiLevelType w:val="hybridMultilevel"/>
    <w:lvl w:ilvl="0">
      <w:lvlJc w:val="left"/>
      <w:lvlText w:val="%1:"/>
      <w:numFmt w:val="upperLetter"/>
      <w:start w:val="1"/>
    </w:lvl>
    <w:lvl w:ilvl="1">
      <w:lvlJc w:val="left"/>
      <w:lvlText w:val="•"/>
      <w:numFmt w:val="bullet"/>
      <w:start w:val="1"/>
    </w:lvl>
  </w:abstractNum>
  <w:abstractNum w:abstractNumId="138">
    <w:nsid w:val="1C695DEC"/>
    <w:multiLevelType w:val="hybridMultilevel"/>
    <w:lvl w:ilvl="0">
      <w:lvlJc w:val="left"/>
      <w:lvlText w:val="%1:"/>
      <w:numFmt w:val="upperLetter"/>
      <w:start w:val="16"/>
    </w:lvl>
    <w:lvl w:ilvl="1">
      <w:lvlJc w:val="left"/>
      <w:lvlText w:val="•"/>
      <w:numFmt w:val="bullet"/>
      <w:start w:val="1"/>
    </w:lvl>
  </w:abstractNum>
  <w:abstractNum w:abstractNumId="139">
    <w:nsid w:val="3FCFAED9"/>
    <w:multiLevelType w:val="hybridMultilevel"/>
    <w:lvl w:ilvl="0">
      <w:lvlJc w:val="left"/>
      <w:lvlText w:val="%1:"/>
      <w:numFmt w:val="upperLetter"/>
      <w:start w:val="1"/>
    </w:lvl>
  </w:abstractNum>
  <w:abstractNum w:abstractNumId="140">
    <w:nsid w:val="F856867"/>
    <w:multiLevelType w:val="hybridMultilevel"/>
    <w:lvl w:ilvl="0">
      <w:lvlJc w:val="left"/>
      <w:lvlText w:val="%1:"/>
      <w:numFmt w:val="upperLetter"/>
      <w:start w:val="1"/>
    </w:lvl>
  </w:abstractNum>
  <w:abstractNum w:abstractNumId="141">
    <w:nsid w:val="11B1CC33"/>
    <w:multiLevelType w:val="hybridMultilevel"/>
    <w:lvl w:ilvl="0">
      <w:lvlJc w:val="left"/>
      <w:lvlText w:val="%1:"/>
      <w:numFmt w:val="upperLetter"/>
      <w:start w:val="17"/>
    </w:lvl>
  </w:abstractNum>
  <w:abstractNum w:abstractNumId="142">
    <w:nsid w:val="2E22FBB7"/>
    <w:multiLevelType w:val="hybridMultilevel"/>
    <w:lvl w:ilvl="0">
      <w:lvlJc w:val="left"/>
      <w:lvlText w:val="%1:"/>
      <w:numFmt w:val="upperLetter"/>
      <w:start w:val="1"/>
    </w:lvl>
  </w:abstractNum>
  <w:abstractNum w:abstractNumId="143">
    <w:nsid w:val="29934699"/>
    <w:multiLevelType w:val="hybridMultilevel"/>
    <w:lvl w:ilvl="0">
      <w:lvlJc w:val="left"/>
      <w:lvlText w:val="%1:"/>
      <w:numFmt w:val="upperLetter"/>
      <w:start w:val="17"/>
    </w:lvl>
  </w:abstractNum>
  <w:abstractNum w:abstractNumId="144">
    <w:nsid w:val="77485850"/>
    <w:multiLevelType w:val="hybridMultilevel"/>
    <w:lvl w:ilvl="0">
      <w:lvlJc w:val="left"/>
      <w:lvlText w:val="%1:"/>
      <w:numFmt w:val="upperLetter"/>
      <w:start w:val="1"/>
    </w:lvl>
  </w:abstractNum>
  <w:abstractNum w:abstractNumId="145">
    <w:nsid w:val="744939A3"/>
    <w:multiLevelType w:val="hybridMultilevel"/>
    <w:lvl w:ilvl="0">
      <w:lvlJc w:val="left"/>
      <w:lvlText w:val="%1:"/>
      <w:numFmt w:val="upperLetter"/>
      <w:start w:val="1"/>
    </w:lvl>
  </w:abstractNum>
  <w:abstractNum w:abstractNumId="146">
    <w:nsid w:val="4FA0D2E3"/>
    <w:multiLevelType w:val="hybridMultilevel"/>
    <w:lvl w:ilvl="0">
      <w:lvlJc w:val="left"/>
      <w:lvlText w:val="%1:"/>
      <w:numFmt w:val="upperLetter"/>
      <w:start w:val="1"/>
    </w:lvl>
  </w:abstractNum>
  <w:abstractNum w:abstractNumId="147">
    <w:nsid w:val="6B1D2C14"/>
    <w:multiLevelType w:val="hybridMultilevel"/>
    <w:lvl w:ilvl="0">
      <w:lvlJc w:val="left"/>
      <w:lvlText w:val="%1:"/>
      <w:numFmt w:val="upperLetter"/>
      <w:start w:val="1"/>
    </w:lvl>
  </w:abstractNum>
  <w:abstractNum w:abstractNumId="148">
    <w:nsid w:val="68B867D3"/>
    <w:multiLevelType w:val="hybridMultilevel"/>
    <w:lvl w:ilvl="0">
      <w:lvlJc w:val="left"/>
      <w:lvlText w:val="%1:"/>
      <w:numFmt w:val="upperLetter"/>
      <w:start w:val="17"/>
    </w:lvl>
  </w:abstractNum>
  <w:abstractNum w:abstractNumId="149">
    <w:nsid w:val="3F7F5DD9"/>
    <w:multiLevelType w:val="hybridMultilevel"/>
    <w:lvl w:ilvl="0">
      <w:lvlJc w:val="left"/>
      <w:lvlText w:val="%1:"/>
      <w:numFmt w:val="upperLetter"/>
      <w:start w:val="1"/>
    </w:lvl>
  </w:abstractNum>
  <w:abstractNum w:abstractNumId="150">
    <w:nsid w:val="2AE05A34"/>
    <w:multiLevelType w:val="hybridMultilevel"/>
    <w:lvl w:ilvl="0">
      <w:lvlJc w:val="left"/>
      <w:lvlText w:val="%1:"/>
      <w:numFmt w:val="upperLetter"/>
      <w:start w:val="17"/>
    </w:lvl>
  </w:abstractNum>
  <w:abstractNum w:abstractNumId="151">
    <w:nsid w:val="32794FF7"/>
    <w:multiLevelType w:val="hybridMultilevel"/>
    <w:lvl w:ilvl="0">
      <w:lvlJc w:val="left"/>
      <w:lvlText w:val="%1:"/>
      <w:numFmt w:val="upperLetter"/>
      <w:start w:val="1"/>
    </w:lvl>
  </w:abstractNum>
  <w:abstractNum w:abstractNumId="152">
    <w:nsid w:val="5454945E"/>
    <w:multiLevelType w:val="hybridMultilevel"/>
    <w:lvl w:ilvl="0">
      <w:lvlJc w:val="left"/>
      <w:lvlText w:val="%1:"/>
      <w:numFmt w:val="upperLetter"/>
      <w:start w:val="1"/>
    </w:lvl>
  </w:abstractNum>
  <w:abstractNum w:abstractNumId="153">
    <w:nsid w:val="4DEFDFA0"/>
    <w:multiLevelType w:val="hybridMultilevel"/>
    <w:lvl w:ilvl="0">
      <w:lvlJc w:val="left"/>
      <w:lvlText w:val="%1:"/>
      <w:numFmt w:val="upperLetter"/>
      <w:start w:val="1"/>
    </w:lvl>
  </w:abstractNum>
  <w:abstractNum w:abstractNumId="154">
    <w:nsid w:val="2123D5F2"/>
    <w:multiLevelType w:val="hybridMultilevel"/>
    <w:lvl w:ilvl="0">
      <w:lvlJc w:val="left"/>
      <w:lvlText w:val="%1:"/>
      <w:numFmt w:val="upperLetter"/>
      <w:start w:val="1"/>
    </w:lvl>
  </w:abstractNum>
  <w:abstractNum w:abstractNumId="155">
    <w:nsid w:val="135B8110"/>
    <w:multiLevelType w:val="hybridMultilevel"/>
    <w:lvl w:ilvl="0">
      <w:lvlJc w:val="left"/>
      <w:lvlText w:val="%1."/>
      <w:numFmt w:val="upperLetter"/>
      <w:start w:val="1"/>
    </w:lvl>
  </w:abstractNum>
  <w:abstractNum w:abstractNumId="156">
    <w:nsid w:val="94927A8"/>
    <w:multiLevelType w:val="hybridMultilevel"/>
    <w:lvl w:ilvl="0">
      <w:lvlJc w:val="left"/>
      <w:lvlText w:val="%1:"/>
      <w:numFmt w:val="upperLetter"/>
      <w:start w:val="1"/>
    </w:lvl>
  </w:abstractNum>
  <w:abstractNum w:abstractNumId="157">
    <w:nsid w:val="DCDF8F6"/>
    <w:multiLevelType w:val="hybridMultilevel"/>
    <w:lvl w:ilvl="0">
      <w:lvlJc w:val="left"/>
      <w:lvlText w:val="%1:"/>
      <w:numFmt w:val="upperLetter"/>
      <w:start w:val="17"/>
    </w:lvl>
  </w:abstractNum>
  <w:abstractNum w:abstractNumId="158">
    <w:nsid w:val="52D7B105"/>
    <w:multiLevelType w:val="hybridMultilevel"/>
    <w:lvl w:ilvl="0">
      <w:lvlJc w:val="left"/>
      <w:lvlText w:val="%1:"/>
      <w:numFmt w:val="upperLetter"/>
      <w:start w:val="1"/>
    </w:lvl>
  </w:abstractNum>
  <w:abstractNum w:abstractNumId="159">
    <w:nsid w:val="2E8A6394"/>
    <w:multiLevelType w:val="hybridMultilevel"/>
    <w:lvl w:ilvl="0">
      <w:lvlJc w:val="left"/>
      <w:lvlText w:val="%1:"/>
      <w:numFmt w:val="upperLetter"/>
      <w:start w:val="1"/>
    </w:lvl>
  </w:abstractNum>
  <w:abstractNum w:abstractNumId="160">
    <w:nsid w:val="24E60401"/>
    <w:multiLevelType w:val="hybridMultilevel"/>
    <w:lvl w:ilvl="0">
      <w:lvlJc w:val="left"/>
      <w:lvlText w:val="%1:"/>
      <w:numFmt w:val="upperLetter"/>
      <w:start w:val="17"/>
    </w:lvl>
  </w:abstractNum>
  <w:abstractNum w:abstractNumId="161">
    <w:nsid w:val="2A6AD9BE"/>
    <w:multiLevelType w:val="hybridMultilevel"/>
    <w:lvl w:ilvl="0">
      <w:lvlJc w:val="left"/>
      <w:lvlText w:val="%1:"/>
      <w:numFmt w:val="upperLetter"/>
      <w:start w:val="1"/>
    </w:lvl>
  </w:abstractNum>
  <w:abstractNum w:abstractNumId="162">
    <w:nsid w:val="BAAC1B4"/>
    <w:multiLevelType w:val="hybridMultilevel"/>
    <w:lvl w:ilvl="0">
      <w:lvlJc w:val="left"/>
      <w:lvlText w:val="%1:"/>
      <w:numFmt w:val="upperLetter"/>
      <w:start w:val="1"/>
    </w:lvl>
  </w:abstractNum>
  <w:abstractNum w:abstractNumId="163">
    <w:nsid w:val="36B2ACBC"/>
    <w:multiLevelType w:val="hybridMultilevel"/>
    <w:lvl w:ilvl="0">
      <w:lvlJc w:val="left"/>
      <w:lvlText w:val="%1:"/>
      <w:numFmt w:val="upperLetter"/>
      <w:start w:val="1"/>
    </w:lvl>
  </w:abstractNum>
  <w:abstractNum w:abstractNumId="164">
    <w:nsid w:val="779D8544"/>
    <w:multiLevelType w:val="hybridMultilevel"/>
    <w:lvl w:ilvl="0">
      <w:lvlJc w:val="left"/>
      <w:lvlText w:val="%1:"/>
      <w:numFmt w:val="upperLetter"/>
      <w:start w:val="1"/>
    </w:lvl>
  </w:abstractNum>
  <w:abstractNum w:abstractNumId="165">
    <w:nsid w:val="4AB26E78"/>
    <w:multiLevelType w:val="hybridMultilevel"/>
    <w:lvl w:ilvl="0">
      <w:lvlJc w:val="left"/>
      <w:lvlText w:val="%1:"/>
      <w:numFmt w:val="upperLetter"/>
      <w:start w:val="1"/>
    </w:lvl>
  </w:abstractNum>
  <w:abstractNum w:abstractNumId="166">
    <w:nsid w:val="21FAA2FA"/>
    <w:multiLevelType w:val="hybridMultilevel"/>
    <w:lvl w:ilvl="0">
      <w:lvlJc w:val="left"/>
      <w:lvlText w:val="%1:"/>
      <w:numFmt w:val="upperLetter"/>
      <w:start w:val="1"/>
    </w:lvl>
  </w:abstractNum>
  <w:abstractNum w:abstractNumId="167">
    <w:nsid w:val="5451CF49"/>
    <w:multiLevelType w:val="hybridMultilevel"/>
    <w:lvl w:ilvl="0">
      <w:lvlJc w:val="left"/>
      <w:lvlText w:val="%1:"/>
      <w:numFmt w:val="upperLetter"/>
      <w:start w:val="1"/>
    </w:lvl>
  </w:abstractNum>
  <w:abstractNum w:abstractNumId="168">
    <w:nsid w:val="6181EF69"/>
    <w:multiLevelType w:val="hybridMultilevel"/>
    <w:lvl w:ilvl="0">
      <w:lvlJc w:val="left"/>
      <w:lvlText w:val="%1:"/>
      <w:numFmt w:val="upperLetter"/>
      <w:start w:val="1"/>
    </w:lvl>
  </w:abstractNum>
  <w:abstractNum w:abstractNumId="169">
    <w:nsid w:val="3E6400E6"/>
    <w:multiLevelType w:val="hybridMultilevel"/>
    <w:lvl w:ilvl="0">
      <w:lvlJc w:val="left"/>
      <w:lvlText w:val="%1:"/>
      <w:numFmt w:val="upperLetter"/>
      <w:start w:val="1"/>
    </w:lvl>
  </w:abstractNum>
  <w:abstractNum w:abstractNumId="170">
    <w:nsid w:val="14217E23"/>
    <w:multiLevelType w:val="hybridMultilevel"/>
    <w:lvl w:ilvl="0">
      <w:lvlJc w:val="left"/>
      <w:lvlText w:val="%1:"/>
      <w:numFmt w:val="upperLetter"/>
      <w:start w:val="1"/>
    </w:lvl>
  </w:abstractNum>
  <w:abstractNum w:abstractNumId="171">
    <w:nsid w:val="710757D0"/>
    <w:multiLevelType w:val="hybridMultilevel"/>
    <w:lvl w:ilvl="0">
      <w:lvlJc w:val="left"/>
      <w:lvlText w:val="%1:"/>
      <w:numFmt w:val="upperLetter"/>
      <w:start w:val="1"/>
    </w:lvl>
  </w:abstractNum>
  <w:abstractNum w:abstractNumId="172">
    <w:nsid w:val="5015CD1A"/>
    <w:multiLevelType w:val="hybridMultilevel"/>
    <w:lvl w:ilvl="0">
      <w:lvlJc w:val="left"/>
      <w:lvlText w:val="%1:"/>
      <w:numFmt w:val="upperLetter"/>
      <w:start w:val="1"/>
    </w:lvl>
  </w:abstractNum>
  <w:abstractNum w:abstractNumId="173">
    <w:nsid w:val="424479DA"/>
    <w:multiLevelType w:val="hybridMultilevel"/>
    <w:lvl w:ilvl="0">
      <w:lvlJc w:val="left"/>
      <w:lvlText w:val="%1:"/>
      <w:numFmt w:val="upperLetter"/>
      <w:start w:val="1"/>
    </w:lvl>
  </w:abstractNum>
  <w:abstractNum w:abstractNumId="174">
    <w:nsid w:val="1A9A9E69"/>
    <w:multiLevelType w:val="hybridMultilevel"/>
    <w:lvl w:ilvl="0">
      <w:lvlJc w:val="left"/>
      <w:lvlText w:val="%1:"/>
      <w:numFmt w:val="upperLetter"/>
      <w:start w:val="1"/>
    </w:lvl>
  </w:abstractNum>
  <w:abstractNum w:abstractNumId="175">
    <w:nsid w:val="475E256A"/>
    <w:multiLevelType w:val="hybridMultilevel"/>
    <w:lvl w:ilvl="0">
      <w:lvlJc w:val="left"/>
      <w:lvlText w:val="%1:"/>
      <w:numFmt w:val="upperLetter"/>
      <w:start w:val="1"/>
    </w:lvl>
  </w:abstractNum>
  <w:abstractNum w:abstractNumId="176">
    <w:nsid w:val="368DB37E"/>
    <w:multiLevelType w:val="hybridMultilevel"/>
    <w:lvl w:ilvl="0">
      <w:lvlJc w:val="left"/>
      <w:lvlText w:val="%1:"/>
      <w:numFmt w:val="upperLetter"/>
      <w:start w:val="1"/>
    </w:lvl>
  </w:abstractNum>
  <w:abstractNum w:abstractNumId="177">
    <w:nsid w:val="6A3B714C"/>
    <w:multiLevelType w:val="hybridMultilevel"/>
    <w:lvl w:ilvl="0">
      <w:lvlJc w:val="left"/>
      <w:lvlText w:val="%1:"/>
      <w:numFmt w:val="upperLetter"/>
      <w:start w:val="1"/>
    </w:lvl>
  </w:abstractNum>
  <w:abstractNum w:abstractNumId="178">
    <w:nsid w:val="327B517E"/>
    <w:multiLevelType w:val="hybridMultilevel"/>
    <w:lvl w:ilvl="0">
      <w:lvlJc w:val="left"/>
      <w:lvlText w:val="%1:"/>
      <w:numFmt w:val="upperLetter"/>
      <w:start w:val="1"/>
    </w:lvl>
  </w:abstractNum>
  <w:abstractNum w:abstractNumId="179">
    <w:nsid w:val="1F461B51"/>
    <w:multiLevelType w:val="hybridMultilevel"/>
    <w:lvl w:ilvl="0">
      <w:lvlJc w:val="left"/>
      <w:lvlText w:val="%1:"/>
      <w:numFmt w:val="upperLetter"/>
      <w:start w:val="1"/>
    </w:lvl>
  </w:abstractNum>
  <w:abstractNum w:abstractNumId="180">
    <w:nsid w:val="29BACF25"/>
    <w:multiLevelType w:val="hybridMultilevel"/>
    <w:lvl w:ilvl="0">
      <w:lvlJc w:val="left"/>
      <w:lvlText w:val="%1:"/>
      <w:numFmt w:val="upperLetter"/>
      <w:start w:val="1"/>
    </w:lvl>
  </w:abstractNum>
  <w:abstractNum w:abstractNumId="181">
    <w:nsid w:val="5D5BABB3"/>
    <w:multiLevelType w:val="hybridMultilevel"/>
    <w:lvl w:ilvl="0">
      <w:lvlJc w:val="left"/>
      <w:lvlText w:val="%1."/>
      <w:numFmt w:val="decimal"/>
      <w:start w:val="1"/>
    </w:lvl>
    <w:lvl w:ilvl="1">
      <w:lvlJc w:val="left"/>
      <w:lvlText w:val="(%2)"/>
      <w:numFmt w:val="lowerLetter"/>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png"/><Relationship Id="rId345" Type="http://schemas.openxmlformats.org/officeDocument/2006/relationships/image" Target="media/image292.png"/><Relationship Id="rId346" Type="http://schemas.openxmlformats.org/officeDocument/2006/relationships/image" Target="media/image293.png"/><Relationship Id="rId347" Type="http://schemas.openxmlformats.org/officeDocument/2006/relationships/image" Target="media/image294.png"/><Relationship Id="rId348" Type="http://schemas.openxmlformats.org/officeDocument/2006/relationships/image" Target="media/image295.png"/><Relationship Id="rId349" Type="http://schemas.openxmlformats.org/officeDocument/2006/relationships/image" Target="media/image296.png"/><Relationship Id="rId350" Type="http://schemas.openxmlformats.org/officeDocument/2006/relationships/image" Target="media/image297.png"/><Relationship Id="rId351" Type="http://schemas.openxmlformats.org/officeDocument/2006/relationships/image" Target="media/image298.png"/><Relationship Id="rId352" Type="http://schemas.openxmlformats.org/officeDocument/2006/relationships/image" Target="media/image299.png"/><Relationship Id="rId353" Type="http://schemas.openxmlformats.org/officeDocument/2006/relationships/image" Target="media/image300.png"/><Relationship Id="rId354"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59" Type="http://schemas.openxmlformats.org/officeDocument/2006/relationships/image" Target="media/image306.png"/><Relationship Id="rId360" Type="http://schemas.openxmlformats.org/officeDocument/2006/relationships/image" Target="media/image307.png"/><Relationship Id="rId361"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364" Type="http://schemas.openxmlformats.org/officeDocument/2006/relationships/image" Target="media/image311.png"/><Relationship Id="rId365" Type="http://schemas.openxmlformats.org/officeDocument/2006/relationships/image" Target="media/image312.png"/><Relationship Id="rId366" Type="http://schemas.openxmlformats.org/officeDocument/2006/relationships/image" Target="media/image313.png"/><Relationship Id="rId367" Type="http://schemas.openxmlformats.org/officeDocument/2006/relationships/image" Target="media/image314.png"/><Relationship Id="rId368" Type="http://schemas.openxmlformats.org/officeDocument/2006/relationships/image" Target="media/image315.png"/><Relationship Id="rId369" Type="http://schemas.openxmlformats.org/officeDocument/2006/relationships/image" Target="media/image316.png"/><Relationship Id="rId370" Type="http://schemas.openxmlformats.org/officeDocument/2006/relationships/image" Target="media/image317.png"/><Relationship Id="rId371" Type="http://schemas.openxmlformats.org/officeDocument/2006/relationships/image" Target="media/image318.png"/><Relationship Id="rId372" Type="http://schemas.openxmlformats.org/officeDocument/2006/relationships/image" Target="media/image319.png"/><Relationship Id="rId373" Type="http://schemas.openxmlformats.org/officeDocument/2006/relationships/image" Target="media/image320.png"/><Relationship Id="rId374" Type="http://schemas.openxmlformats.org/officeDocument/2006/relationships/image" Target="media/image321.png"/><Relationship Id="rId375" Type="http://schemas.openxmlformats.org/officeDocument/2006/relationships/image" Target="media/image322.png"/><Relationship Id="rId376" Type="http://schemas.openxmlformats.org/officeDocument/2006/relationships/image" Target="media/image323.png"/><Relationship Id="rId377" Type="http://schemas.openxmlformats.org/officeDocument/2006/relationships/image" Target="media/image324.png"/><Relationship Id="rId378" Type="http://schemas.openxmlformats.org/officeDocument/2006/relationships/image" Target="media/image325.png"/><Relationship Id="rId379" Type="http://schemas.openxmlformats.org/officeDocument/2006/relationships/image" Target="media/image326.png"/><Relationship Id="rId380" Type="http://schemas.openxmlformats.org/officeDocument/2006/relationships/image" Target="media/image327.png"/><Relationship Id="rId381" Type="http://schemas.openxmlformats.org/officeDocument/2006/relationships/image" Target="media/image328.png"/><Relationship Id="rId382" Type="http://schemas.openxmlformats.org/officeDocument/2006/relationships/image" Target="media/image329.png"/><Relationship Id="rId383" Type="http://schemas.openxmlformats.org/officeDocument/2006/relationships/image" Target="media/image330.png"/><Relationship Id="rId384" Type="http://schemas.openxmlformats.org/officeDocument/2006/relationships/image" Target="media/image331.png"/><Relationship Id="rId385" Type="http://schemas.openxmlformats.org/officeDocument/2006/relationships/image" Target="media/image332.png"/><Relationship Id="rId386" Type="http://schemas.openxmlformats.org/officeDocument/2006/relationships/image" Target="media/image333.png"/><Relationship Id="rId387" Type="http://schemas.openxmlformats.org/officeDocument/2006/relationships/image" Target="media/image334.png"/><Relationship Id="rId388" Type="http://schemas.openxmlformats.org/officeDocument/2006/relationships/image" Target="media/image335.png"/><Relationship Id="rId389" Type="http://schemas.openxmlformats.org/officeDocument/2006/relationships/image" Target="media/image336.png"/><Relationship Id="rId390" Type="http://schemas.openxmlformats.org/officeDocument/2006/relationships/image" Target="media/image337.png"/><Relationship Id="rId391" Type="http://schemas.openxmlformats.org/officeDocument/2006/relationships/image" Target="media/image338.png"/><Relationship Id="rId392" Type="http://schemas.openxmlformats.org/officeDocument/2006/relationships/image" Target="media/image339.png"/><Relationship Id="rId393" Type="http://schemas.openxmlformats.org/officeDocument/2006/relationships/image" Target="media/image340.png"/><Relationship Id="rId394" Type="http://schemas.openxmlformats.org/officeDocument/2006/relationships/image" Target="media/image341.png"/><Relationship Id="rId395" Type="http://schemas.openxmlformats.org/officeDocument/2006/relationships/image" Target="media/image342.png"/><Relationship Id="rId396" Type="http://schemas.openxmlformats.org/officeDocument/2006/relationships/image" Target="media/image343.png"/><Relationship Id="rId397" Type="http://schemas.openxmlformats.org/officeDocument/2006/relationships/image" Target="media/image344.png"/><Relationship Id="rId398" Type="http://schemas.openxmlformats.org/officeDocument/2006/relationships/image" Target="media/image345.png"/><Relationship Id="rId399" Type="http://schemas.openxmlformats.org/officeDocument/2006/relationships/image" Target="media/image346.png"/><Relationship Id="rId400" Type="http://schemas.openxmlformats.org/officeDocument/2006/relationships/image" Target="media/image347.png"/><Relationship Id="rId401" Type="http://schemas.openxmlformats.org/officeDocument/2006/relationships/image" Target="media/image348.png"/><Relationship Id="rId402" Type="http://schemas.openxmlformats.org/officeDocument/2006/relationships/image" Target="media/image349.png"/><Relationship Id="rId403" Type="http://schemas.openxmlformats.org/officeDocument/2006/relationships/image" Target="media/image350.png"/><Relationship Id="rId404" Type="http://schemas.openxmlformats.org/officeDocument/2006/relationships/image" Target="media/image351.png"/><Relationship Id="rId405" Type="http://schemas.openxmlformats.org/officeDocument/2006/relationships/image" Target="media/image352.png"/><Relationship Id="rId406" Type="http://schemas.openxmlformats.org/officeDocument/2006/relationships/image" Target="media/image353.png"/><Relationship Id="rId407" Type="http://schemas.openxmlformats.org/officeDocument/2006/relationships/image" Target="media/image354.png"/><Relationship Id="rId408" Type="http://schemas.openxmlformats.org/officeDocument/2006/relationships/image" Target="media/image355.png"/><Relationship Id="rId409" Type="http://schemas.openxmlformats.org/officeDocument/2006/relationships/image" Target="media/image356.png"/><Relationship Id="rId410" Type="http://schemas.openxmlformats.org/officeDocument/2006/relationships/image" Target="media/image357.png"/><Relationship Id="rId411" Type="http://schemas.openxmlformats.org/officeDocument/2006/relationships/image" Target="media/image358.png"/><Relationship Id="rId412" Type="http://schemas.openxmlformats.org/officeDocument/2006/relationships/image" Target="media/image359.png"/><Relationship Id="rId413" Type="http://schemas.openxmlformats.org/officeDocument/2006/relationships/image" Target="media/image360.png"/><Relationship Id="rId414" Type="http://schemas.openxmlformats.org/officeDocument/2006/relationships/image" Target="media/image361.png"/><Relationship Id="rId415"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420" Type="http://schemas.openxmlformats.org/officeDocument/2006/relationships/image" Target="media/image367.png"/><Relationship Id="rId421" Type="http://schemas.openxmlformats.org/officeDocument/2006/relationships/image" Target="media/image368.png"/><Relationship Id="rId422" Type="http://schemas.openxmlformats.org/officeDocument/2006/relationships/image" Target="media/image369.png"/><Relationship Id="rId423" Type="http://schemas.openxmlformats.org/officeDocument/2006/relationships/image" Target="media/image370.png"/><Relationship Id="rId424" Type="http://schemas.openxmlformats.org/officeDocument/2006/relationships/image" Target="media/image371.png"/><Relationship Id="rId425" Type="http://schemas.openxmlformats.org/officeDocument/2006/relationships/image" Target="media/image372.png"/><Relationship Id="rId426" Type="http://schemas.openxmlformats.org/officeDocument/2006/relationships/image" Target="media/image373.png"/><Relationship Id="rId427" Type="http://schemas.openxmlformats.org/officeDocument/2006/relationships/image" Target="media/image374.png"/><Relationship Id="rId428" Type="http://schemas.openxmlformats.org/officeDocument/2006/relationships/image" Target="media/image375.png"/><Relationship Id="rId429" Type="http://schemas.openxmlformats.org/officeDocument/2006/relationships/image" Target="media/image376.png"/><Relationship Id="rId430" Type="http://schemas.openxmlformats.org/officeDocument/2006/relationships/image" Target="media/image377.png"/><Relationship Id="rId431" Type="http://schemas.openxmlformats.org/officeDocument/2006/relationships/image" Target="media/image378.png"/><Relationship Id="rId432" Type="http://schemas.openxmlformats.org/officeDocument/2006/relationships/image" Target="media/image379.png"/><Relationship Id="rId433" Type="http://schemas.openxmlformats.org/officeDocument/2006/relationships/image" Target="media/image380.png"/><Relationship Id="rId434" Type="http://schemas.openxmlformats.org/officeDocument/2006/relationships/image" Target="media/image381.png"/><Relationship Id="rId435" Type="http://schemas.openxmlformats.org/officeDocument/2006/relationships/image" Target="media/image382.png"/><Relationship Id="rId436" Type="http://schemas.openxmlformats.org/officeDocument/2006/relationships/image" Target="media/image383.png"/><Relationship Id="rId437" Type="http://schemas.openxmlformats.org/officeDocument/2006/relationships/image" Target="media/image384.png"/><Relationship Id="rId438" Type="http://schemas.openxmlformats.org/officeDocument/2006/relationships/image" Target="media/image385.png"/><Relationship Id="rId439" Type="http://schemas.openxmlformats.org/officeDocument/2006/relationships/image" Target="media/image386.png"/><Relationship Id="rId440" Type="http://schemas.openxmlformats.org/officeDocument/2006/relationships/image" Target="media/image387.png"/><Relationship Id="rId441" Type="http://schemas.openxmlformats.org/officeDocument/2006/relationships/image" Target="media/image388.png"/><Relationship Id="rId442" Type="http://schemas.openxmlformats.org/officeDocument/2006/relationships/image" Target="media/image389.png"/><Relationship Id="rId443" Type="http://schemas.openxmlformats.org/officeDocument/2006/relationships/image" Target="media/image390.png"/><Relationship Id="rId444" Type="http://schemas.openxmlformats.org/officeDocument/2006/relationships/image" Target="media/image391.png"/><Relationship Id="rId445" Type="http://schemas.openxmlformats.org/officeDocument/2006/relationships/image" Target="media/image392.png"/><Relationship Id="rId446" Type="http://schemas.openxmlformats.org/officeDocument/2006/relationships/image" Target="media/image393.png"/><Relationship Id="rId447" Type="http://schemas.openxmlformats.org/officeDocument/2006/relationships/image" Target="media/image394.png"/><Relationship Id="rId448" Type="http://schemas.openxmlformats.org/officeDocument/2006/relationships/image" Target="media/image395.png"/><Relationship Id="rId449" Type="http://schemas.openxmlformats.org/officeDocument/2006/relationships/image" Target="media/image396.png"/><Relationship Id="rId450" Type="http://schemas.openxmlformats.org/officeDocument/2006/relationships/image" Target="media/image397.png"/><Relationship Id="rId451" Type="http://schemas.openxmlformats.org/officeDocument/2006/relationships/image" Target="media/image398.png"/><Relationship Id="rId452" Type="http://schemas.openxmlformats.org/officeDocument/2006/relationships/image" Target="media/image399.png"/><Relationship Id="rId453" Type="http://schemas.openxmlformats.org/officeDocument/2006/relationships/image" Target="media/image400.png"/><Relationship Id="rId454" Type="http://schemas.openxmlformats.org/officeDocument/2006/relationships/image" Target="media/image401.png"/><Relationship Id="rId455" Type="http://schemas.openxmlformats.org/officeDocument/2006/relationships/image" Target="media/image402.png"/><Relationship Id="rId456" Type="http://schemas.openxmlformats.org/officeDocument/2006/relationships/image" Target="media/image403.png"/><Relationship Id="rId457" Type="http://schemas.openxmlformats.org/officeDocument/2006/relationships/image" Target="media/image404.png"/><Relationship Id="rId458" Type="http://schemas.openxmlformats.org/officeDocument/2006/relationships/image" Target="media/image405.png"/><Relationship Id="rId459" Type="http://schemas.openxmlformats.org/officeDocument/2006/relationships/image" Target="media/image406.png"/><Relationship Id="rId460" Type="http://schemas.openxmlformats.org/officeDocument/2006/relationships/image" Target="media/image407.png"/><Relationship Id="rId461" Type="http://schemas.openxmlformats.org/officeDocument/2006/relationships/image" Target="media/image408.png"/><Relationship Id="rId462" Type="http://schemas.openxmlformats.org/officeDocument/2006/relationships/image" Target="media/image409.png"/><Relationship Id="rId463" Type="http://schemas.openxmlformats.org/officeDocument/2006/relationships/image" Target="media/image410.png"/><Relationship Id="rId464" Type="http://schemas.openxmlformats.org/officeDocument/2006/relationships/image" Target="media/image411.png"/><Relationship Id="rId465" Type="http://schemas.openxmlformats.org/officeDocument/2006/relationships/image" Target="media/image412.png"/><Relationship Id="rId466" Type="http://schemas.openxmlformats.org/officeDocument/2006/relationships/image" Target="media/image413.png"/><Relationship Id="rId467" Type="http://schemas.openxmlformats.org/officeDocument/2006/relationships/image" Target="media/image414.png"/><Relationship Id="rId468" Type="http://schemas.openxmlformats.org/officeDocument/2006/relationships/image" Target="media/image415.png"/><Relationship Id="rId469" Type="http://schemas.openxmlformats.org/officeDocument/2006/relationships/image" Target="media/image416.png"/><Relationship Id="rId470" Type="http://schemas.openxmlformats.org/officeDocument/2006/relationships/image" Target="media/image417.png"/><Relationship Id="rId471" Type="http://schemas.openxmlformats.org/officeDocument/2006/relationships/image" Target="media/image418.png"/><Relationship Id="rId472" Type="http://schemas.openxmlformats.org/officeDocument/2006/relationships/image" Target="media/image419.png"/><Relationship Id="rId473" Type="http://schemas.openxmlformats.org/officeDocument/2006/relationships/image" Target="media/image420.png"/><Relationship Id="rId474" Type="http://schemas.openxmlformats.org/officeDocument/2006/relationships/image" Target="media/image421.png"/><Relationship Id="rId475" Type="http://schemas.openxmlformats.org/officeDocument/2006/relationships/image" Target="media/image422.png"/><Relationship Id="rId476" Type="http://schemas.openxmlformats.org/officeDocument/2006/relationships/image" Target="media/image423.png"/><Relationship Id="rId477" Type="http://schemas.openxmlformats.org/officeDocument/2006/relationships/image" Target="media/image424.png"/><Relationship Id="rId478" Type="http://schemas.openxmlformats.org/officeDocument/2006/relationships/image" Target="media/image425.png"/><Relationship Id="rId479" Type="http://schemas.openxmlformats.org/officeDocument/2006/relationships/image" Target="media/image426.png"/><Relationship Id="rId480" Type="http://schemas.openxmlformats.org/officeDocument/2006/relationships/image" Target="media/image427.png"/><Relationship Id="rId481" Type="http://schemas.openxmlformats.org/officeDocument/2006/relationships/image" Target="media/image428.png"/><Relationship Id="rId131" Type="http://schemas.openxmlformats.org/officeDocument/2006/relationships/hyperlink" Target="https://www.sec.gov/Archives/edgar/data/1395937/000119312516496764/d119516dex31.htm" TargetMode="External"/><Relationship Id="rId132" Type="http://schemas.openxmlformats.org/officeDocument/2006/relationships/hyperlink" Target="https://www.sec.gov/Archives/edgar/data/1395937/000095017023022802/sndx-ex3_1.htm" TargetMode="External"/><Relationship Id="rId133" Type="http://schemas.openxmlformats.org/officeDocument/2006/relationships/hyperlink" Target="https://www.sec.gov/Archives/edgar/data/1395937/000119312516496764/d119516dex32.htm" TargetMode="External"/><Relationship Id="rId134" Type="http://schemas.openxmlformats.org/officeDocument/2006/relationships/hyperlink" Target="https://www.sec.gov/Archives/edgar/data/1395937/000119312516457615/d117131dex41.htm" TargetMode="External"/><Relationship Id="rId135" Type="http://schemas.openxmlformats.org/officeDocument/2006/relationships/hyperlink" Target="https://www.sec.gov/Archives/edgar/data/1395937/000119312521361105/d274870dex41.htm" TargetMode="External"/><Relationship Id="rId136" Type="http://schemas.openxmlformats.org/officeDocument/2006/relationships/hyperlink" Target="https://www.sec.gov/Archives/edgar/data/1395937/000119312516420122/d39288dex103.htm" TargetMode="External"/><Relationship Id="rId137" Type="http://schemas.openxmlformats.org/officeDocument/2006/relationships/hyperlink" Target="https://www.sec.gov/Archives/edgar/data/1395937/000119312516420122/d39288dex104.htm" TargetMode="External"/><Relationship Id="rId138" Type="http://schemas.openxmlformats.org/officeDocument/2006/relationships/hyperlink" Target="https://www.sec.gov/Archives/edgar/data/1395937/000119312516420122/d39288dex105.htm" TargetMode="External"/><Relationship Id="rId141" Type="http://schemas.openxmlformats.org/officeDocument/2006/relationships/hyperlink" Target="https://www.sec.gov/Archives/edgar/data/1395937/000119312516420122/d39288dex106.htm" TargetMode="External"/><Relationship Id="rId142" Type="http://schemas.openxmlformats.org/officeDocument/2006/relationships/hyperlink" Target="https://www.sec.gov/Archives/edgar/data/1395937/000119312516420122/d39288dex107.htm" TargetMode="External"/><Relationship Id="rId143" Type="http://schemas.openxmlformats.org/officeDocument/2006/relationships/hyperlink" Target="https://www.sec.gov/Archives/edgar/data/1395937/000119312516420122/d39288dex108.htm" TargetMode="External"/><Relationship Id="rId144" Type="http://schemas.openxmlformats.org/officeDocument/2006/relationships/hyperlink" Target="https://www.sec.gov/Archives/edgar/data/1395937/000119312516420122/d39288dex109.htm" TargetMode="External"/><Relationship Id="rId145" Type="http://schemas.openxmlformats.org/officeDocument/2006/relationships/hyperlink" Target="https://www.sec.gov/Archives/edgar/data/1395937/000119312516420122/d39288dex1010.htm" TargetMode="External"/><Relationship Id="rId146" Type="http://schemas.openxmlformats.org/officeDocument/2006/relationships/hyperlink" Target="https://www.sec.gov/Archives/edgar/data/1395937/000119312516420122/d39288dex1011.htm" TargetMode="External"/><Relationship Id="rId147" Type="http://schemas.openxmlformats.org/officeDocument/2006/relationships/hyperlink" Target="https://www.sec.gov/Archives/edgar/data/1395937/000119312516420122/d39288dex1012.htm" TargetMode="External"/><Relationship Id="rId148" Type="http://schemas.openxmlformats.org/officeDocument/2006/relationships/hyperlink" Target="https://www.sec.gov/Archives/edgar/data/1395937/000119312516420122/d39288dex1013.htm" TargetMode="External"/><Relationship Id="rId149" Type="http://schemas.openxmlformats.org/officeDocument/2006/relationships/hyperlink" Target="https://www.sec.gov/Archives/edgar/data/1395937/000119312516420122/d39288dex1014.htm" TargetMode="External"/><Relationship Id="rId150" Type="http://schemas.openxmlformats.org/officeDocument/2006/relationships/hyperlink" Target="https://www.sec.gov/Archives/edgar/data/1395937/000156459020037777/sndx-ex101_313.htm" TargetMode="External"/><Relationship Id="rId151" Type="http://schemas.openxmlformats.org/officeDocument/2006/relationships/hyperlink" Target="https://www.sec.gov/Archives/edgar/data/1395937/000156459021012607/sndx-ex1014_191.htm" TargetMode="External"/><Relationship Id="rId152" Type="http://schemas.openxmlformats.org/officeDocument/2006/relationships/hyperlink" Target="https://www.sec.gov/Archives/edgar/data/1395937/000119312516518181/d166957dex416.htm" TargetMode="External"/><Relationship Id="rId153" Type="http://schemas.openxmlformats.org/officeDocument/2006/relationships/hyperlink" Target="https://www.sec.gov/Archives/edgar/data/1395937/000095017023002172/sndx-ex10_2.htm" TargetMode="External"/><Relationship Id="rId154" Type="http://schemas.openxmlformats.org/officeDocument/2006/relationships/hyperlink" Target="https://www.sec.gov/Archives/edgar/data/1395937/000095017023018806/sndx-ex10_2.htm" TargetMode="External"/><Relationship Id="rId155" Type="http://schemas.openxmlformats.org/officeDocument/2006/relationships/hyperlink" Target="https://www.sec.gov/Archives/edgar/data/1395937/000156459022008112/sndx-ex1017_443.htm" TargetMode="External"/><Relationship Id="rId158" Type="http://schemas.openxmlformats.org/officeDocument/2006/relationships/hyperlink" Target="https://www.sec.gov/Archives/edgar/data/1395937/000095017024021253/sndx-ex10_20.htm" TargetMode="External"/><Relationship Id="rId159" Type="http://schemas.openxmlformats.org/officeDocument/2006/relationships/hyperlink" Target="https://www.sec.gov/Archives/edgar/data/1395937/000095017024021253/sndx-ex10_22.htm" TargetMode="External"/><Relationship Id="rId160" Type="http://schemas.openxmlformats.org/officeDocument/2006/relationships/hyperlink" Target="https://www.sec.gov/Archives/edgar/data/1395937/000095017024021253/sndx-ex10_23.htm" TargetMode="External"/><Relationship Id="rId161" Type="http://schemas.openxmlformats.org/officeDocument/2006/relationships/hyperlink" Target="https://www.sec.gov/Archives/edgar/data/1395937/000156459022023045/sndx-ex101_16.htm" TargetMode="External"/><Relationship Id="rId162" Type="http://schemas.openxmlformats.org/officeDocument/2006/relationships/hyperlink" Target="https://www.sec.gov/Archives/edgar/data/1395937/000095017024021253/sndx-ex10_27.htm" TargetMode="External"/><Relationship Id="rId163" Type="http://schemas.openxmlformats.org/officeDocument/2006/relationships/hyperlink" Target="https://www.sec.gov/Archives/edgar/data/1395937/000095017023010756/sndx-ex10_1.htm" TargetMode="External"/><Relationship Id="rId164" Type="http://schemas.openxmlformats.org/officeDocument/2006/relationships/hyperlink" Target="https://www.sec.gov/Archives/edgar/data/1395937/000095017024021253/sndx-ex10_30.htm" TargetMode="External"/><Relationship Id="rId165" Type="http://schemas.openxmlformats.org/officeDocument/2006/relationships/hyperlink" Target="https://www.sec.gov/Archives/edgar/data/1395937/000095017024032514/sndx-ex10_1.htm" TargetMode="External"/><Relationship Id="rId166" Type="http://schemas.openxmlformats.org/officeDocument/2006/relationships/hyperlink" Target="https://www.sec.gov/Archives/edgar/data/1395937/000119312516420122/d39288dex1021.htm" TargetMode="External"/><Relationship Id="rId167" Type="http://schemas.openxmlformats.org/officeDocument/2006/relationships/hyperlink" Target="https://www.sec.gov/Archives/edgar/data/1395937/000119312516420122/d39288dex1022.htm" TargetMode="External"/><Relationship Id="rId168" Type="http://schemas.openxmlformats.org/officeDocument/2006/relationships/hyperlink" Target="https://www.sec.gov/Archives/edgar/data/1395937/000119312516420122/d39288dex1023.htm" TargetMode="External"/><Relationship Id="rId169" Type="http://schemas.openxmlformats.org/officeDocument/2006/relationships/hyperlink" Target="https://www.sec.gov/Archives/edgar/data/1395937/000119312516420122/d39288dex1024.htm" TargetMode="External"/><Relationship Id="rId172" Type="http://schemas.openxmlformats.org/officeDocument/2006/relationships/hyperlink" Target="https://www.sec.gov/Archives/edgar/data/1395937/000119312516420122/d39288dex1025.htm" TargetMode="External"/><Relationship Id="rId173" Type="http://schemas.openxmlformats.org/officeDocument/2006/relationships/hyperlink" Target="https://www.sec.gov/Archives/edgar/data/1395937/000119312516420122/d39288dex1026.htm" TargetMode="External"/><Relationship Id="rId174" Type="http://schemas.openxmlformats.org/officeDocument/2006/relationships/hyperlink" Target="https://www.sec.gov/Archives/edgar/data/1395937/000119312516733845/d250701dex101.htm" TargetMode="External"/><Relationship Id="rId175" Type="http://schemas.openxmlformats.org/officeDocument/2006/relationships/hyperlink" Target="https://www.sec.gov/Archives/edgar/data/0001395937/000119312517163872/d380147dex104.htm" TargetMode="External"/><Relationship Id="rId176" Type="http://schemas.openxmlformats.org/officeDocument/2006/relationships/hyperlink" Target="https://www.sec.gov/Archives/edgar/data/1395937/000156459019041719/sndx-ex102_185.htm" TargetMode="External"/><Relationship Id="rId177" Type="http://schemas.openxmlformats.org/officeDocument/2006/relationships/hyperlink" Target="https://www.sec.gov/Archives/edgar/data/1395937/000095017022015523/sndx-ex10_1.htm" TargetMode="External"/><Relationship Id="rId178" Type="http://schemas.openxmlformats.org/officeDocument/2006/relationships/hyperlink" Target="https://www.sec.gov/Archives/edgar/data/1395937/000156459018004911/sndx-ex1047_509.htm" TargetMode="External"/><Relationship Id="rId179" Type="http://schemas.openxmlformats.org/officeDocument/2006/relationships/hyperlink" Target="https://www.sec.gov/Archives/edgar/data/1395937/000156459019017318/sndx-ex101_122.htm" TargetMode="External"/><Relationship Id="rId180" Type="http://schemas.openxmlformats.org/officeDocument/2006/relationships/hyperlink" Target="https://www.sec.gov/Archives/edgar/data/1395937/000156459021057004/sndx-ex101_182.htm" TargetMode="External"/><Relationship Id="rId181" Type="http://schemas.openxmlformats.org/officeDocument/2006/relationships/hyperlink" Target="https://www.sec.gov/Archives/edgar/data/1395937/000156459021057004/sndx-ex102_181.htm" TargetMode="External"/><Relationship Id="rId184" Type="http://schemas.openxmlformats.org/officeDocument/2006/relationships/hyperlink" Target="https://www.sec.gov/Archives/edgar/data/1395937/000095017024021253/snd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2025-03-03T06:16:44Z</dcterms:created>
  <dcterms:modified xsi:type="dcterms:W3CDTF">2025-03-03T06:16:44Z</dcterms:modified>
</cp:coreProperties>
</file>