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ind w:left="250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40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June 30, 2023</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3639185</wp:posOffset>
            </wp:positionH>
            <wp:positionV relativeFrom="paragraph">
              <wp:posOffset>-4445</wp:posOffset>
            </wp:positionV>
            <wp:extent cx="539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Syndax Pharmaceuticals, Inc.</w:t>
      </w:r>
    </w:p>
    <w:p>
      <w:pPr>
        <w:spacing w:after="0" w:line="4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tbl>
      <w:tblPr>
        <w:tblLayout w:type="fixed"/>
        <w:tblInd w:w="1440" w:type="dxa"/>
        <w:tblCellMar>
          <w:top w:w="0" w:type="dxa"/>
          <w:left w:w="0" w:type="dxa"/>
          <w:bottom w:w="0" w:type="dxa"/>
          <w:right w:w="0" w:type="dxa"/>
        </w:tblCellMar>
      </w:tblPr>
      <w:tr>
        <w:trPr>
          <w:trHeight w:val="210"/>
        </w:trPr>
        <w:tc>
          <w:tcPr>
            <w:tcW w:w="6140" w:type="dxa"/>
            <w:vAlign w:val="bottom"/>
          </w:tcPr>
          <w:p>
            <w:pPr>
              <w:jc w:val="center"/>
              <w:ind w:right="3324"/>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jc w:val="right"/>
              <w:ind w:right="104"/>
              <w:spacing w:after="0"/>
              <w:rPr>
                <w:sz w:val="20"/>
                <w:szCs w:val="20"/>
                <w:color w:val="auto"/>
              </w:rPr>
            </w:pPr>
            <w:r>
              <w:rPr>
                <w:rFonts w:ascii="Arial" w:cs="Arial" w:eastAsia="Arial" w:hAnsi="Arial"/>
                <w:sz w:val="16"/>
                <w:szCs w:val="16"/>
                <w:b w:val="1"/>
                <w:bCs w:val="1"/>
                <w:color w:val="auto"/>
              </w:rPr>
              <w:t>32-0162505</w:t>
            </w:r>
          </w:p>
        </w:tc>
      </w:tr>
      <w:tr>
        <w:trPr>
          <w:trHeight w:val="159"/>
        </w:trPr>
        <w:tc>
          <w:tcPr>
            <w:tcW w:w="6140" w:type="dxa"/>
            <w:vAlign w:val="bottom"/>
          </w:tcPr>
          <w:p>
            <w:pPr>
              <w:jc w:val="center"/>
              <w:ind w:right="3324"/>
              <w:spacing w:after="0" w:line="15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04"/>
              <w:spacing w:after="0" w:line="15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40" w:type="dxa"/>
            <w:vAlign w:val="bottom"/>
          </w:tcPr>
          <w:p>
            <w:pPr>
              <w:jc w:val="center"/>
              <w:ind w:right="3304"/>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04"/>
              <w:spacing w:after="0"/>
              <w:rPr>
                <w:sz w:val="20"/>
                <w:szCs w:val="20"/>
                <w:color w:val="auto"/>
              </w:rPr>
            </w:pPr>
            <w:r>
              <w:rPr>
                <w:rFonts w:ascii="Arial" w:cs="Arial" w:eastAsia="Arial" w:hAnsi="Arial"/>
                <w:sz w:val="14"/>
                <w:szCs w:val="14"/>
                <w:b w:val="1"/>
                <w:bCs w:val="1"/>
                <w:color w:val="auto"/>
                <w:w w:val="96"/>
              </w:rPr>
              <w:t>Identification No.)</w:t>
            </w:r>
          </w:p>
        </w:tc>
      </w:tr>
      <w:tr>
        <w:trPr>
          <w:trHeight w:val="430"/>
        </w:trPr>
        <w:tc>
          <w:tcPr>
            <w:tcW w:w="6140" w:type="dxa"/>
            <w:vAlign w:val="bottom"/>
          </w:tcPr>
          <w:p>
            <w:pPr>
              <w:jc w:val="center"/>
              <w:ind w:right="3304"/>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1420" w:type="dxa"/>
            <w:vAlign w:val="bottom"/>
          </w:tcPr>
          <w:p>
            <w:pPr>
              <w:spacing w:after="0"/>
              <w:rPr>
                <w:sz w:val="24"/>
                <w:szCs w:val="24"/>
                <w:color w:val="auto"/>
              </w:rPr>
            </w:pPr>
          </w:p>
        </w:tc>
      </w:tr>
      <w:tr>
        <w:trPr>
          <w:trHeight w:val="237"/>
        </w:trPr>
        <w:tc>
          <w:tcPr>
            <w:tcW w:w="6140" w:type="dxa"/>
            <w:vAlign w:val="bottom"/>
          </w:tcPr>
          <w:p>
            <w:pPr>
              <w:jc w:val="center"/>
              <w:ind w:right="3304"/>
              <w:spacing w:after="0"/>
              <w:rPr>
                <w:sz w:val="20"/>
                <w:szCs w:val="20"/>
                <w:color w:val="auto"/>
              </w:rPr>
            </w:pPr>
            <w:r>
              <w:rPr>
                <w:rFonts w:ascii="Arial" w:cs="Arial" w:eastAsia="Arial" w:hAnsi="Arial"/>
                <w:sz w:val="16"/>
                <w:szCs w:val="16"/>
                <w:b w:val="1"/>
                <w:bCs w:val="1"/>
                <w:color w:val="auto"/>
                <w:w w:val="90"/>
              </w:rPr>
              <w:t>Waltham, Massachusetts</w:t>
            </w:r>
          </w:p>
        </w:tc>
        <w:tc>
          <w:tcPr>
            <w:tcW w:w="142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97"/>
        </w:trPr>
        <w:tc>
          <w:tcPr>
            <w:tcW w:w="6140" w:type="dxa"/>
            <w:vAlign w:val="bottom"/>
          </w:tcPr>
          <w:p>
            <w:pPr>
              <w:jc w:val="center"/>
              <w:ind w:right="332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4"/>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6140" w:type="dxa"/>
            <w:vAlign w:val="bottom"/>
          </w:tcPr>
          <w:p>
            <w:pPr>
              <w:jc w:val="right"/>
              <w:ind w:right="1384"/>
              <w:spacing w:after="0"/>
              <w:rPr>
                <w:sz w:val="20"/>
                <w:szCs w:val="20"/>
                <w:color w:val="auto"/>
              </w:rPr>
            </w:pPr>
            <w:r>
              <w:rPr>
                <w:rFonts w:ascii="Arial" w:cs="Arial" w:eastAsia="Arial" w:hAnsi="Arial"/>
                <w:sz w:val="16"/>
                <w:szCs w:val="16"/>
                <w:b w:val="1"/>
                <w:bCs w:val="1"/>
                <w:color w:val="auto"/>
              </w:rPr>
              <w:t>(781) 419-1400</w:t>
            </w:r>
          </w:p>
        </w:tc>
        <w:tc>
          <w:tcPr>
            <w:tcW w:w="1420" w:type="dxa"/>
            <w:vAlign w:val="bottom"/>
          </w:tcPr>
          <w:p>
            <w:pPr>
              <w:spacing w:after="0"/>
              <w:rPr>
                <w:sz w:val="24"/>
                <w:szCs w:val="24"/>
                <w:color w:val="auto"/>
              </w:rPr>
            </w:pPr>
          </w:p>
        </w:tc>
      </w:tr>
      <w:tr>
        <w:trPr>
          <w:trHeight w:val="186"/>
        </w:trPr>
        <w:tc>
          <w:tcPr>
            <w:tcW w:w="6140" w:type="dxa"/>
            <w:vAlign w:val="bottom"/>
          </w:tcPr>
          <w:p>
            <w:pPr>
              <w:jc w:val="center"/>
              <w:ind w:left="2124"/>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590" w:type="dxa"/>
        <w:tblCellMar>
          <w:top w:w="0" w:type="dxa"/>
          <w:left w:w="0" w:type="dxa"/>
          <w:bottom w:w="0" w:type="dxa"/>
          <w:right w:w="0" w:type="dxa"/>
        </w:tblCellMar>
      </w:tblPr>
      <w:tr>
        <w:trPr>
          <w:trHeight w:val="260"/>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-316865</wp:posOffset>
            </wp:positionV>
            <wp:extent cx="641223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317500"/>
                    </a:xfrm>
                    <a:prstGeom prst="rect">
                      <a:avLst/>
                    </a:prstGeom>
                    <a:noFill/>
                  </pic:spPr>
                </pic:pic>
              </a:graphicData>
            </a:graphic>
          </wp:anchor>
        </w:drawing>
      </w:r>
    </w:p>
    <w:p>
      <w:pPr>
        <w:spacing w:after="0" w:line="78" w:lineRule="exact"/>
        <w:rPr>
          <w:sz w:val="24"/>
          <w:szCs w:val="24"/>
          <w:color w:val="auto"/>
        </w:rPr>
      </w:pPr>
    </w:p>
    <w:p>
      <w:pPr>
        <w:ind w:firstLine="382"/>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20" w:firstLine="382"/>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79" w:lineRule="exact"/>
        <w:rPr>
          <w:sz w:val="24"/>
          <w:szCs w:val="24"/>
          <w:color w:val="auto"/>
        </w:rPr>
      </w:pPr>
    </w:p>
    <w:p>
      <w:pPr>
        <w:ind w:right="300" w:firstLine="38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05" w:lineRule="exact"/>
        <w:rPr>
          <w:sz w:val="24"/>
          <w:szCs w:val="24"/>
          <w:color w:val="auto"/>
        </w:rPr>
      </w:pPr>
    </w:p>
    <w:p>
      <w:pPr>
        <w:ind w:right="200" w:firstLine="382"/>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80" w:right="224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27, 2023, there were 69,484,053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similar expressions.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our research and development activities, clinical trials and preclinical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62"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Eddingpharm Investment Company Limited, UCB Biopharma Sprl, and Vitae Pharmaceuticals, Inc., a subsidiary of Allergan plc, which was acquired by AbbVie Inc.;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 with Incyte Corporation, or Incyte, to further develop and commercialize axatilimab;</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17" w:lineRule="exact"/>
        <w:rPr>
          <w:rFonts w:ascii="Arial" w:cs="Arial" w:eastAsia="Arial" w:hAnsi="Arial"/>
          <w:sz w:val="18"/>
          <w:szCs w:val="18"/>
          <w:color w:val="auto"/>
        </w:rPr>
      </w:pPr>
    </w:p>
    <w:p>
      <w:pPr>
        <w:ind w:left="1020" w:hanging="503"/>
        <w:spacing w:after="0" w:line="27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geo-political actions, including war or the perception that hostilities may be imminent (such as the ongoing war between Russia and Ukraine),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17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Page</w:t>
            </w:r>
          </w:p>
        </w:tc>
      </w:tr>
      <w:tr>
        <w:trPr>
          <w:trHeight w:val="331"/>
        </w:trPr>
        <w:tc>
          <w:tcPr>
            <w:tcW w:w="10420" w:type="dxa"/>
            <w:vAlign w:val="bottom"/>
            <w:gridSpan w:val="15"/>
          </w:tcPr>
          <w:p>
            <w:pPr>
              <w:spacing w:after="0"/>
              <w:rPr>
                <w:sz w:val="20"/>
                <w:szCs w:val="20"/>
                <w:color w:val="auto"/>
              </w:rPr>
            </w:pPr>
            <w:r>
              <w:rPr>
                <w:rFonts w:ascii="Arial" w:cs="Arial" w:eastAsia="Arial" w:hAnsi="Arial"/>
                <w:sz w:val="18"/>
                <w:szCs w:val="18"/>
                <w:b w:val="1"/>
                <w:bCs w:val="1"/>
                <w:color w:val="0000FF"/>
              </w:rPr>
              <w:t>PART I. FINANCIAL INFORMATION</w:t>
            </w:r>
          </w:p>
        </w:tc>
        <w:tc>
          <w:tcPr>
            <w:tcW w:w="800" w:type="dxa"/>
            <w:vAlign w:val="bottom"/>
          </w:tcPr>
          <w:p>
            <w:pPr>
              <w:spacing w:after="0"/>
              <w:rPr>
                <w:sz w:val="24"/>
                <w:szCs w:val="24"/>
                <w:color w:val="auto"/>
              </w:rPr>
            </w:pPr>
          </w:p>
        </w:tc>
      </w:tr>
      <w:tr>
        <w:trPr>
          <w:trHeight w:val="20"/>
        </w:trPr>
        <w:tc>
          <w:tcPr>
            <w:tcW w:w="10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14"/>
          </w:tcPr>
          <w:p>
            <w:pPr>
              <w:spacing w:after="0"/>
              <w:rPr>
                <w:sz w:val="20"/>
                <w:szCs w:val="20"/>
                <w:color w:val="auto"/>
              </w:rPr>
            </w:pPr>
            <w:r>
              <w:rPr>
                <w:rFonts w:ascii="Arial" w:cs="Arial" w:eastAsia="Arial" w:hAnsi="Arial"/>
                <w:sz w:val="18"/>
                <w:szCs w:val="18"/>
                <w:color w:val="0000FF"/>
              </w:rPr>
              <w:t>Unaudited Financial Statements:</w:t>
            </w:r>
          </w:p>
        </w:tc>
        <w:tc>
          <w:tcPr>
            <w:tcW w:w="800" w:type="dxa"/>
            <w:vAlign w:val="bottom"/>
          </w:tcPr>
          <w:p>
            <w:pPr>
              <w:spacing w:after="0"/>
              <w:rPr>
                <w:sz w:val="24"/>
                <w:szCs w:val="24"/>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1"/>
        </w:trPr>
        <w:tc>
          <w:tcPr>
            <w:tcW w:w="108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Arial" w:cs="Arial" w:eastAsia="Arial" w:hAnsi="Arial"/>
                <w:sz w:val="18"/>
                <w:szCs w:val="18"/>
                <w:color w:val="0000FF"/>
              </w:rPr>
              <w:t>Condensed Consolidated Balance Sheets as of June 30, 2023 and December 31, 2022</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Comprehensive Loss for the three and six months ended</w:t>
            </w:r>
          </w:p>
        </w:tc>
        <w:tc>
          <w:tcPr>
            <w:tcW w:w="8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70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rPr>
              <w:t>June 30, 2023 and 2022</w:t>
            </w:r>
          </w:p>
        </w:tc>
        <w:tc>
          <w:tcPr>
            <w:tcW w:w="240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tcBorders>
              <w:left w:val="single" w:sz="8" w:color="0000FF"/>
            </w:tcBorders>
            <w:gridSpan w:val="4"/>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34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tcBorders>
              <w:left w:val="single" w:sz="8" w:color="0000FF"/>
            </w:tcBorders>
            <w:gridSpan w:val="4"/>
            <w:shd w:val="clear" w:color="auto" w:fill="0000FF"/>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34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60" w:type="dxa"/>
            <w:vAlign w:val="bottom"/>
            <w:tcBorders>
              <w:left w:val="single" w:sz="8" w:color="0000FF"/>
            </w:tcBorders>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420" w:type="dxa"/>
            <w:vAlign w:val="bottom"/>
            <w:gridSpan w:val="15"/>
          </w:tcPr>
          <w:p>
            <w:pPr>
              <w:spacing w:after="0"/>
              <w:rPr>
                <w:sz w:val="20"/>
                <w:szCs w:val="20"/>
                <w:color w:val="auto"/>
              </w:rPr>
            </w:pPr>
            <w:r>
              <w:rPr>
                <w:rFonts w:ascii="Arial" w:cs="Arial" w:eastAsia="Arial" w:hAnsi="Arial"/>
                <w:sz w:val="18"/>
                <w:szCs w:val="18"/>
                <w:b w:val="1"/>
                <w:bCs w:val="1"/>
                <w:color w:val="0000FF"/>
              </w:rPr>
              <w:t>PART II. OTHER INFORMATION</w:t>
            </w:r>
          </w:p>
        </w:tc>
        <w:tc>
          <w:tcPr>
            <w:tcW w:w="800" w:type="dxa"/>
            <w:vAlign w:val="bottom"/>
          </w:tcPr>
          <w:p>
            <w:pPr>
              <w:spacing w:after="0"/>
              <w:rPr>
                <w:sz w:val="24"/>
                <w:szCs w:val="24"/>
                <w:color w:val="auto"/>
              </w:rPr>
            </w:pPr>
          </w:p>
        </w:tc>
      </w:tr>
      <w:tr>
        <w:trPr>
          <w:trHeight w:val="20"/>
        </w:trPr>
        <w:tc>
          <w:tcPr>
            <w:tcW w:w="10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14"/>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4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340" w:type="dxa"/>
            <w:vAlign w:val="bottom"/>
            <w:gridSpan w:val="14"/>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4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9340" w:type="dxa"/>
            <w:vAlign w:val="bottom"/>
            <w:gridSpan w:val="14"/>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804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97,275</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301,526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401,446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deposits</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Collaboration receivable, net</w:t>
            </w:r>
          </w:p>
        </w:tc>
        <w:tc>
          <w:tcPr>
            <w:tcW w:w="30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409,080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489,786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 net</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431,340</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10,978</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17,729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24,276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Collaboration payable, net</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Current portion of right-of-use liability</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portion of capital lease</w:t>
            </w:r>
          </w:p>
        </w:tc>
        <w:tc>
          <w:tcPr>
            <w:tcW w:w="3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30,168</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Right-of-use liability, less current portion</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1,115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Capital lease, less current portion</w:t>
            </w:r>
          </w:p>
        </w:tc>
        <w:tc>
          <w:tcPr>
            <w:tcW w:w="3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31,299</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29,787</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20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340"/>
              <w:spacing w:after="0"/>
              <w:rPr>
                <w:sz w:val="20"/>
                <w:szCs w:val="20"/>
                <w:color w:val="auto"/>
              </w:rPr>
            </w:pPr>
            <w:r>
              <w:rPr>
                <w:rFonts w:ascii="Arial" w:cs="Arial" w:eastAsia="Arial" w:hAnsi="Arial"/>
                <w:sz w:val="18"/>
                <w:szCs w:val="18"/>
                <w:color w:val="auto"/>
              </w:rPr>
              <w:t>outstanding at June 30, 2023 and December 31, 2022</w:t>
            </w:r>
          </w:p>
        </w:tc>
        <w:tc>
          <w:tcPr>
            <w:tcW w:w="30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100,000,000 shares authorized; 69,431,198</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68,111,385 shares issued and outstanding at June 30, 2023 and</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2022, respectively</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1,179,389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1,161,288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(574 )</w:t>
            </w:r>
          </w:p>
        </w:tc>
        <w:tc>
          <w:tcPr>
            <w:tcW w:w="20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(806 )</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(778,781 )</w:t>
            </w:r>
          </w:p>
        </w:tc>
        <w:tc>
          <w:tcPr>
            <w:tcW w:w="20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(693,040 )</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400,041</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467,449</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431,340</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980" w:type="dxa"/>
            <w:vAlign w:val="bottom"/>
            <w:gridSpan w:val="3"/>
          </w:tcPr>
          <w:p>
            <w:pPr>
              <w:ind w:left="2060"/>
              <w:spacing w:after="0" w:line="189" w:lineRule="exact"/>
              <w:rPr>
                <w:sz w:val="20"/>
                <w:szCs w:val="20"/>
                <w:color w:val="auto"/>
              </w:rPr>
            </w:pPr>
            <w:r>
              <w:rPr>
                <w:rFonts w:ascii="Arial" w:cs="Arial" w:eastAsia="Arial" w:hAnsi="Arial"/>
                <w:sz w:val="18"/>
                <w:szCs w:val="18"/>
                <w:color w:val="auto"/>
                <w:w w:val="86"/>
              </w:rPr>
              <w:t>The accompanying notes are an integral part of these condensed consolidated financial statements.</w:t>
            </w:r>
          </w:p>
        </w:tc>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55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7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-5374005</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-5374005</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-4439920</wp:posOffset>
            </wp:positionV>
            <wp:extent cx="857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-4439920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-3171190</wp:posOffset>
            </wp:positionV>
            <wp:extent cx="857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-3171190</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-2536825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-2536825</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-2211070</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-2211070</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-548005</wp:posOffset>
            </wp:positionV>
            <wp:extent cx="8572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-548005</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5"/>
          </w:tcPr>
          <w:p>
            <w:pPr>
              <w:jc w:val="right"/>
              <w:ind w:right="89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92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34,764</w:t>
            </w:r>
          </w:p>
        </w:tc>
        <w:tc>
          <w:tcPr>
            <w:tcW w:w="3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29,734</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68,819</w:t>
            </w:r>
          </w:p>
        </w:tc>
        <w:tc>
          <w:tcPr>
            <w:tcW w:w="3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59,756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14,914</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7,990</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26,875</w:t>
            </w:r>
          </w:p>
        </w:tc>
        <w:tc>
          <w:tcPr>
            <w:tcW w:w="3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49,678</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37,724</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95,694</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(49,678</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(37,724</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(95,694</w:t>
            </w:r>
          </w:p>
        </w:tc>
        <w:tc>
          <w:tcPr>
            <w:tcW w:w="3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(35 )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(695 )</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(75 )</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(1,346 )</w:t>
            </w:r>
          </w:p>
        </w:tc>
        <w:tc>
          <w:tcPr>
            <w:tcW w:w="0" w:type="dxa"/>
            <w:vAlign w:val="bottom"/>
          </w:tcPr>
          <w:p>
            <w:pPr>
              <w:spacing w:after="0"/>
              <w:rPr>
                <w:sz w:val="1"/>
                <w:szCs w:val="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878</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(93 )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(31 )</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(240 )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5,063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77"/>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(37,572</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(85,741</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(74,741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gain on marketable securities</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(238 )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(695 )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(1,380 )</w:t>
            </w:r>
          </w:p>
        </w:tc>
        <w:tc>
          <w:tcPr>
            <w:tcW w:w="0" w:type="dxa"/>
            <w:vAlign w:val="bottom"/>
          </w:tcPr>
          <w:p>
            <w:pPr>
              <w:spacing w:after="0"/>
              <w:rPr>
                <w:sz w:val="1"/>
                <w:szCs w:val="1"/>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(44,853 )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(38,267 )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(85,509 )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(76,121 )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(37,572</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(85,741</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(74,741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w w:val="97"/>
              </w:rPr>
              <w:t>Net loss per share attributable to common stockholders—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basic</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(0.64 )</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(0.62 )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(1.23 )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3"/>
        </w:trPr>
        <w:tc>
          <w:tcPr>
            <w:tcW w:w="4500" w:type="dxa"/>
            <w:vAlign w:val="bottom"/>
          </w:tcPr>
          <w:p>
            <w:pPr>
              <w:ind w:left="160"/>
              <w:spacing w:after="0" w:line="203" w:lineRule="exact"/>
              <w:rPr>
                <w:sz w:val="20"/>
                <w:szCs w:val="20"/>
                <w:color w:val="auto"/>
              </w:rPr>
            </w:pPr>
            <w:r>
              <w:rPr>
                <w:rFonts w:ascii="Arial" w:cs="Arial" w:eastAsia="Arial" w:hAnsi="Arial"/>
                <w:sz w:val="18"/>
                <w:szCs w:val="18"/>
                <w:color w:val="auto"/>
              </w:rPr>
              <w:t>and diluted</w:t>
            </w:r>
          </w:p>
        </w:tc>
        <w:tc>
          <w:tcPr>
            <w:tcW w:w="34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Weighted-average number of common shares used to</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8"/>
              </w:rPr>
              <w:t>net loss per share attributable to common stockholders</w:t>
            </w:r>
          </w:p>
        </w:tc>
        <w:tc>
          <w:tcPr>
            <w:tcW w:w="3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69,638,427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60,156,653</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69,539,209</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59,570,888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-2965450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-2965450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-2965450</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-2965450</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-2022475</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-2022475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-2022475</wp:posOffset>
            </wp:positionV>
            <wp:extent cx="857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-2022475</wp:posOffset>
            </wp:positionV>
            <wp:extent cx="857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-1696720</wp:posOffset>
            </wp:positionV>
            <wp:extent cx="33604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0420" cy="17970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-1362710</wp:posOffset>
            </wp:positionV>
            <wp:extent cx="8572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-1362710</wp:posOffset>
            </wp:positionV>
            <wp:extent cx="8572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-1362710</wp:posOffset>
            </wp:positionV>
            <wp:extent cx="8572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-1362710</wp:posOffset>
            </wp:positionV>
            <wp:extent cx="8572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-1019810</wp:posOffset>
            </wp:positionV>
            <wp:extent cx="3360420" cy="454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0420" cy="45466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8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8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(85,741 )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(74,741 )</w:t>
            </w: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r>
      <w:tr>
        <w:trPr>
          <w:trHeight w:val="249"/>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of investments</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(7,685 )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(320 )</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Non-cash operating lease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20"/>
                <w:szCs w:val="20"/>
                <w:color w:val="auto"/>
              </w:rPr>
            </w:pPr>
          </w:p>
        </w:tc>
      </w:tr>
      <w:tr>
        <w:trPr>
          <w:trHeight w:val="249"/>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interest expense</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FF0FC"/>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Changes in fair value of derivative liability</w:t>
            </w:r>
          </w:p>
        </w:tc>
        <w:tc>
          <w:tcPr>
            <w:tcW w:w="340" w:type="dxa"/>
            <w:vAlign w:val="bottom"/>
          </w:tcPr>
          <w:p>
            <w:pPr>
              <w:spacing w:after="0"/>
              <w:rPr>
                <w:sz w:val="20"/>
                <w:szCs w:val="20"/>
                <w:color w:val="auto"/>
              </w:rPr>
            </w:pP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(187 )</w:t>
            </w:r>
          </w:p>
        </w:tc>
      </w:tr>
      <w:tr>
        <w:trPr>
          <w:trHeight w:val="249"/>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14,303</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7,416</w:t>
            </w:r>
          </w:p>
        </w:tc>
        <w:tc>
          <w:tcPr>
            <w:tcW w:w="140" w:type="dxa"/>
            <w:vAlign w:val="bottom"/>
            <w:shd w:val="clear" w:color="auto" w:fill="CFF0FC"/>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(4,930 )</w:t>
            </w:r>
          </w:p>
        </w:tc>
      </w:tr>
      <w:tr>
        <w:trPr>
          <w:trHeight w:val="237"/>
        </w:trPr>
        <w:tc>
          <w:tcPr>
            <w:tcW w:w="7860" w:type="dxa"/>
            <w:vAlign w:val="bottom"/>
          </w:tcPr>
          <w:p>
            <w:pPr>
              <w:ind w:left="560"/>
              <w:spacing w:after="0"/>
              <w:rPr>
                <w:sz w:val="20"/>
                <w:szCs w:val="20"/>
                <w:color w:val="auto"/>
              </w:rPr>
            </w:pPr>
            <w:r>
              <w:rPr>
                <w:rFonts w:ascii="Arial" w:cs="Arial" w:eastAsia="Arial" w:hAnsi="Arial"/>
                <w:sz w:val="18"/>
                <w:szCs w:val="18"/>
                <w:color w:val="auto"/>
              </w:rPr>
              <w:t>Collaboration receivable (payable),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(13,102 )</w:t>
            </w:r>
          </w:p>
        </w:tc>
      </w:tr>
      <w:tr>
        <w:trPr>
          <w:trHeight w:val="249"/>
        </w:trPr>
        <w:tc>
          <w:tcPr>
            <w:tcW w:w="7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FF0FC"/>
          </w:tcPr>
          <w:p>
            <w:pPr>
              <w:spacing w:after="0"/>
              <w:rPr>
                <w:sz w:val="21"/>
                <w:szCs w:val="21"/>
                <w:color w:val="auto"/>
              </w:rPr>
            </w:pPr>
          </w:p>
        </w:tc>
      </w:tr>
      <w:tr>
        <w:trPr>
          <w:trHeight w:val="237"/>
        </w:trPr>
        <w:tc>
          <w:tcPr>
            <w:tcW w:w="7860" w:type="dxa"/>
            <w:vAlign w:val="bottom"/>
          </w:tcPr>
          <w:p>
            <w:pPr>
              <w:ind w:left="5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20"/>
                <w:szCs w:val="20"/>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(6,796 )</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20"/>
                <w:szCs w:val="20"/>
                <w:color w:val="auto"/>
              </w:rPr>
            </w:pPr>
          </w:p>
        </w:tc>
      </w:tr>
      <w:tr>
        <w:trPr>
          <w:trHeight w:val="236"/>
        </w:trPr>
        <w:tc>
          <w:tcPr>
            <w:tcW w:w="78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(74,599</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(82,237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8"/>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 and long-term investments</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(142,593 )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(164,632 )</w:t>
            </w:r>
          </w:p>
        </w:tc>
      </w:tr>
      <w:tr>
        <w:trPr>
          <w:trHeight w:val="237"/>
        </w:trPr>
        <w:tc>
          <w:tcPr>
            <w:tcW w:w="7860" w:type="dxa"/>
            <w:vAlign w:val="bottom"/>
          </w:tcPr>
          <w:p>
            <w:pPr>
              <w:ind w:left="200"/>
              <w:spacing w:after="0"/>
              <w:rPr>
                <w:sz w:val="20"/>
                <w:szCs w:val="20"/>
                <w:color w:val="auto"/>
              </w:rPr>
            </w:pPr>
            <w:r>
              <w:rPr>
                <w:rFonts w:ascii="Arial" w:cs="Arial" w:eastAsia="Arial" w:hAnsi="Arial"/>
                <w:sz w:val="18"/>
                <w:szCs w:val="18"/>
                <w:color w:val="auto"/>
              </w:rPr>
              <w:t>Proceeds from sales and maturities of short-term investments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236,415</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122,866</w:t>
            </w:r>
          </w:p>
        </w:tc>
        <w:tc>
          <w:tcPr>
            <w:tcW w:w="140" w:type="dxa"/>
            <w:vAlign w:val="bottom"/>
          </w:tcPr>
          <w:p>
            <w:pPr>
              <w:spacing w:after="0"/>
              <w:rPr>
                <w:sz w:val="20"/>
                <w:szCs w:val="20"/>
                <w:color w:val="auto"/>
              </w:rPr>
            </w:pPr>
          </w:p>
        </w:tc>
      </w:tr>
      <w:tr>
        <w:trPr>
          <w:trHeight w:val="236"/>
        </w:trPr>
        <w:tc>
          <w:tcPr>
            <w:tcW w:w="7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93,822</w:t>
            </w:r>
          </w:p>
        </w:tc>
        <w:tc>
          <w:tcPr>
            <w:tcW w:w="3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(41,766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21"/>
                <w:szCs w:val="21"/>
                <w:color w:val="auto"/>
              </w:rPr>
            </w:pPr>
          </w:p>
        </w:tc>
      </w:tr>
      <w:tr>
        <w:trPr>
          <w:trHeight w:val="237"/>
        </w:trPr>
        <w:tc>
          <w:tcPr>
            <w:tcW w:w="786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20"/>
                <w:szCs w:val="20"/>
                <w:color w:val="auto"/>
              </w:rPr>
            </w:pPr>
          </w:p>
        </w:tc>
      </w:tr>
      <w:tr>
        <w:trPr>
          <w:trHeight w:val="243"/>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in at-the-market stock offering, net</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19,427</w:t>
            </w:r>
          </w:p>
        </w:tc>
        <w:tc>
          <w:tcPr>
            <w:tcW w:w="140" w:type="dxa"/>
            <w:vAlign w:val="bottom"/>
            <w:shd w:val="clear" w:color="auto" w:fill="CFF0FC"/>
          </w:tcPr>
          <w:p>
            <w:pPr>
              <w:spacing w:after="0"/>
              <w:rPr>
                <w:sz w:val="21"/>
                <w:szCs w:val="21"/>
                <w:color w:val="auto"/>
              </w:rPr>
            </w:pPr>
          </w:p>
        </w:tc>
      </w:tr>
      <w:tr>
        <w:trPr>
          <w:trHeight w:val="237"/>
        </w:trPr>
        <w:tc>
          <w:tcPr>
            <w:tcW w:w="78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3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22,277</w:t>
            </w:r>
          </w:p>
        </w:tc>
        <w:tc>
          <w:tcPr>
            <w:tcW w:w="140" w:type="dxa"/>
            <w:vAlign w:val="bottom"/>
            <w:tcBorders>
              <w:top w:val="single" w:sz="8" w:color="CFF0FC"/>
            </w:tcBorders>
          </w:tcPr>
          <w:p>
            <w:pPr>
              <w:spacing w:after="0"/>
              <w:rPr>
                <w:sz w:val="20"/>
                <w:szCs w:val="20"/>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23,021</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(101,726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CASH—beginning of period</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74,471</w:t>
            </w: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222,080</w:t>
            </w:r>
          </w:p>
        </w:tc>
        <w:tc>
          <w:tcPr>
            <w:tcW w:w="140" w:type="dxa"/>
            <w:vAlign w:val="bottom"/>
          </w:tcPr>
          <w:p>
            <w:pPr>
              <w:spacing w:after="0"/>
              <w:rPr>
                <w:sz w:val="21"/>
                <w:szCs w:val="21"/>
                <w:color w:val="auto"/>
              </w:rPr>
            </w:pPr>
          </w:p>
        </w:tc>
      </w:tr>
      <w:tr>
        <w:trPr>
          <w:trHeight w:val="270"/>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97,492</w:t>
            </w:r>
          </w:p>
        </w:tc>
        <w:tc>
          <w:tcPr>
            <w:tcW w:w="3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120,354</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26"/>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FF0FC"/>
          </w:tcPr>
          <w:p>
            <w:pPr>
              <w:spacing w:after="0"/>
              <w:rPr>
                <w:sz w:val="21"/>
                <w:szCs w:val="21"/>
                <w:color w:val="auto"/>
              </w:rPr>
            </w:pPr>
          </w:p>
        </w:tc>
      </w:tr>
      <w:tr>
        <w:trPr>
          <w:trHeight w:val="242"/>
        </w:trPr>
        <w:tc>
          <w:tcPr>
            <w:tcW w:w="9640" w:type="dxa"/>
            <w:vAlign w:val="bottom"/>
            <w:gridSpan w:val="4"/>
          </w:tcPr>
          <w:p>
            <w:pPr>
              <w:ind w:left="2060"/>
              <w:spacing w:after="0"/>
              <w:rPr>
                <w:sz w:val="20"/>
                <w:szCs w:val="20"/>
                <w:color w:val="auto"/>
              </w:rPr>
            </w:pPr>
            <w:r>
              <w:rPr>
                <w:rFonts w:ascii="Arial" w:cs="Arial" w:eastAsia="Arial" w:hAnsi="Arial"/>
                <w:sz w:val="18"/>
                <w:szCs w:val="18"/>
                <w:color w:val="auto"/>
                <w:w w:val="95"/>
              </w:rPr>
              <w:t>The accompanying notes are an integral part of these condensed consolidated financial statements.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0"/>
        </w:trPr>
        <w:tc>
          <w:tcPr>
            <w:tcW w:w="7860" w:type="dxa"/>
            <w:vAlign w:val="bottom"/>
          </w:tcPr>
          <w:p>
            <w:pPr>
              <w:ind w:left="55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15"/>
        </w:trPr>
        <w:tc>
          <w:tcPr>
            <w:tcW w:w="7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-2622550</wp:posOffset>
            </wp:positionV>
            <wp:extent cx="8572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-2622550</wp:posOffset>
            </wp:positionV>
            <wp:extent cx="8572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-1988185</wp:posOffset>
            </wp:positionV>
            <wp:extent cx="8572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-1988185</wp:posOffset>
            </wp:positionV>
            <wp:extent cx="8572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-1362075</wp:posOffset>
            </wp:positionV>
            <wp:extent cx="8572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-1362075</wp:posOffset>
            </wp:positionV>
            <wp:extent cx="8572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-719455</wp:posOffset>
            </wp:positionV>
            <wp:extent cx="122618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26185"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560" w:firstLine="509"/>
        <w:spacing w:after="0" w:line="263" w:lineRule="auto"/>
        <w:rPr>
          <w:sz w:val="20"/>
          <w:szCs w:val="20"/>
          <w:color w:val="auto"/>
        </w:rPr>
      </w:pPr>
      <w:r>
        <w:rPr>
          <w:rFonts w:ascii="Arial" w:cs="Arial" w:eastAsia="Arial" w:hAnsi="Arial"/>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2023, and the results of operations and comprehensive loss for the three and six months ended June 30, 2023 and 2022, and cash flows for the six months ended June 30, 2023 and 2022. The results for the three and six months ended June 30, 2023 are not necessarily indicative of the results to be expected for the year ending December 31, 2023, any other interim periods, or any future year or period. These interim financial statements should be read in conjunction with the audited financial statements as of and for the year ended December 31, 2022, and the notes thereto, which are included in the Company’s Annual Report on Form 10-K as filed with the Securities and Exchange Commission (“SEC”) on February 28, 2023.</w:t>
      </w:r>
    </w:p>
    <w:p>
      <w:pPr>
        <w:spacing w:after="0" w:line="185"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2011, the Company established a wholly owned subsidiary in the United Kingdom. In 2014, the Company established a wholly owned U.S. subsidiary, and in 2021, the Company established a wholly owned subsidiary in the Netherlands. To date, there have been no material activities for these entities. All intercompany balances and transactions have been eliminated in consolidation.</w:t>
      </w:r>
    </w:p>
    <w:p>
      <w:pPr>
        <w:spacing w:after="0" w:line="288" w:lineRule="exact"/>
        <w:rPr>
          <w:sz w:val="20"/>
          <w:szCs w:val="20"/>
          <w:color w:val="auto"/>
        </w:rPr>
      </w:pPr>
    </w:p>
    <w:p>
      <w:pPr>
        <w:ind w:left="520" w:right="7660" w:hanging="512"/>
        <w:spacing w:after="0" w:line="400" w:lineRule="auto"/>
        <w:tabs>
          <w:tab w:leader="none" w:pos="19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jc w:val="both"/>
        <w:ind w:right="220" w:firstLine="509"/>
        <w:spacing w:after="0" w:line="286" w:lineRule="auto"/>
        <w:rPr>
          <w:sz w:val="20"/>
          <w:szCs w:val="20"/>
          <w:color w:val="auto"/>
        </w:rPr>
      </w:pPr>
      <w:r>
        <w:rPr>
          <w:rFonts w:ascii="Arial" w:cs="Arial" w:eastAsia="Arial" w:hAnsi="Arial"/>
          <w:sz w:val="17"/>
          <w:szCs w:val="17"/>
          <w:color w:val="auto"/>
        </w:rPr>
        <w:t>The Company’s significant accounting policies, which are disclosed in the audited consolidated financial statements for the year ended December 31, 2022, and the notes thereto are included in the Company’s Annual Report on Form 10-K that was filed with the SEC on February 28, 2023. Since the date of filing, there have been no material changes to the Company’s significant accounting policies except as noted below.</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440" w:firstLine="509"/>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8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1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i w:val="1"/>
          <w:iCs w:val="1"/>
          <w:color w:val="auto"/>
        </w:rPr>
        <w:t>Recently Issued and Adopted Accounting Pronouncements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288" w:lineRule="exact"/>
        <w:rPr>
          <w:sz w:val="20"/>
          <w:szCs w:val="20"/>
          <w:color w:val="auto"/>
        </w:rPr>
      </w:pPr>
    </w:p>
    <w:p>
      <w:pPr>
        <w:ind w:left="520" w:right="7340" w:hanging="512"/>
        <w:spacing w:after="0" w:line="377" w:lineRule="auto"/>
        <w:tabs>
          <w:tab w:leader="none" w:pos="19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License Agreements Incyte Collaboration</w:t>
      </w:r>
    </w:p>
    <w:p>
      <w:pPr>
        <w:spacing w:after="0" w:line="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will co-commercialize axatilimab, with the Company having the right to co-promote axatilimab with Incyte, subject to the Company’s exercise of its co-promotion option. Incyte will be responsible for leading all aspects of the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74"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jc w:val="both"/>
        <w:ind w:right="300" w:firstLine="449"/>
        <w:spacing w:after="0" w:line="259" w:lineRule="auto"/>
        <w:rPr>
          <w:sz w:val="20"/>
          <w:szCs w:val="20"/>
          <w:color w:val="auto"/>
        </w:rPr>
      </w:pPr>
      <w:r>
        <w:rPr>
          <w:rFonts w:ascii="Arial" w:cs="Arial" w:eastAsia="Arial" w:hAnsi="Arial"/>
          <w:sz w:val="18"/>
          <w:szCs w:val="18"/>
          <w:color w:val="auto"/>
        </w:rPr>
        <w:t>As of June 30, 2023, the Company has recorded $4.1 million as a collaboration receivable due from Incyte related to the Company's development and pre-commercialization costs under the Incyte Agreements and has recorded approximately $4.6 million as a collaboration payable due to Incyte for development and pre-commercialization costs incurred by Incyte as of June 30, 2023. Both expense and cost offset are recorded as part of research and development expense and general and administrative expense.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3"/>
              </w:rPr>
              <w:t>Three Months Ended June 30,</w:t>
            </w:r>
          </w:p>
        </w:tc>
        <w:tc>
          <w:tcPr>
            <w:tcW w:w="220" w:type="dxa"/>
            <w:vAlign w:val="bottom"/>
          </w:tcPr>
          <w:p>
            <w:pPr>
              <w:spacing w:after="0"/>
              <w:rPr>
                <w:sz w:val="16"/>
                <w:szCs w:val="16"/>
                <w:color w:val="auto"/>
              </w:rPr>
            </w:pPr>
          </w:p>
        </w:tc>
        <w:tc>
          <w:tcPr>
            <w:tcW w:w="28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72"/>
              </w:rPr>
              <w:t>except</w:t>
            </w:r>
          </w:p>
        </w:tc>
        <w:tc>
          <w:tcPr>
            <w:tcW w:w="1420" w:type="dxa"/>
            <w:vAlign w:val="bottom"/>
            <w:gridSpan w:val="2"/>
          </w:tcPr>
          <w:p>
            <w:pPr>
              <w:jc w:val="right"/>
              <w:ind w:right="394"/>
              <w:spacing w:after="0" w:line="133" w:lineRule="exact"/>
              <w:rPr>
                <w:sz w:val="20"/>
                <w:szCs w:val="20"/>
                <w:color w:val="auto"/>
              </w:rPr>
            </w:pPr>
            <w:r>
              <w:rPr>
                <w:rFonts w:ascii="Arial" w:cs="Arial" w:eastAsia="Arial" w:hAnsi="Arial"/>
                <w:sz w:val="14"/>
                <w:szCs w:val="14"/>
                <w:b w:val="1"/>
                <w:bCs w:val="1"/>
                <w:color w:val="auto"/>
              </w:rPr>
              <w:t>share and per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72"/>
              </w:rPr>
              <w:t>except</w:t>
            </w:r>
          </w:p>
        </w:tc>
        <w:tc>
          <w:tcPr>
            <w:tcW w:w="1320" w:type="dxa"/>
            <w:vAlign w:val="bottom"/>
            <w:gridSpan w:val="2"/>
          </w:tcPr>
          <w:p>
            <w:pPr>
              <w:jc w:val="right"/>
              <w:ind w:right="254"/>
              <w:spacing w:after="0" w:line="133" w:lineRule="exact"/>
              <w:rPr>
                <w:sz w:val="20"/>
                <w:szCs w:val="20"/>
                <w:color w:val="auto"/>
              </w:rPr>
            </w:pPr>
            <w:r>
              <w:rPr>
                <w:rFonts w:ascii="Arial" w:cs="Arial" w:eastAsia="Arial" w:hAnsi="Arial"/>
                <w:sz w:val="14"/>
                <w:szCs w:val="14"/>
                <w:b w:val="1"/>
                <w:bCs w:val="1"/>
                <w:color w:val="auto"/>
              </w:rPr>
              <w:t>share and per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center"/>
              <w:ind w:left="679"/>
              <w:spacing w:after="0"/>
              <w:rPr>
                <w:sz w:val="20"/>
                <w:szCs w:val="20"/>
                <w:color w:val="auto"/>
              </w:rPr>
            </w:pPr>
            <w:r>
              <w:rPr>
                <w:rFonts w:ascii="Arial" w:cs="Arial" w:eastAsia="Arial" w:hAnsi="Arial"/>
                <w:sz w:val="14"/>
                <w:szCs w:val="14"/>
                <w:b w:val="1"/>
                <w:bCs w:val="1"/>
                <w:color w:val="auto"/>
                <w:w w:val="90"/>
              </w:rPr>
              <w:t>share data)</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share data)</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Numerator—basic and diluted:</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53"/>
              <w:spacing w:after="0"/>
              <w:rPr>
                <w:sz w:val="20"/>
                <w:szCs w:val="20"/>
                <w:color w:val="auto"/>
              </w:rPr>
            </w:pPr>
            <w:r>
              <w:rPr>
                <w:rFonts w:ascii="Arial" w:cs="Arial" w:eastAsia="Arial" w:hAnsi="Arial"/>
                <w:sz w:val="18"/>
                <w:szCs w:val="18"/>
                <w:color w:val="auto"/>
              </w:rPr>
              <w:t>(44,615 )</w:t>
            </w:r>
          </w:p>
        </w:tc>
        <w:tc>
          <w:tcPr>
            <w:tcW w:w="380" w:type="dxa"/>
            <w:vAlign w:val="bottom"/>
          </w:tcPr>
          <w:p>
            <w:pPr>
              <w:jc w:val="right"/>
              <w:ind w:right="175"/>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(37,572 )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93"/>
              <w:spacing w:after="0"/>
              <w:rPr>
                <w:sz w:val="20"/>
                <w:szCs w:val="20"/>
                <w:color w:val="auto"/>
              </w:rPr>
            </w:pPr>
            <w:r>
              <w:rPr>
                <w:rFonts w:ascii="Arial" w:cs="Arial" w:eastAsia="Arial" w:hAnsi="Arial"/>
                <w:sz w:val="18"/>
                <w:szCs w:val="18"/>
                <w:color w:val="auto"/>
              </w:rPr>
              <w:t>(85,741 )</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(74,741 )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w:t>
            </w: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shd w:val="clear" w:color="auto" w:fill="CFF0FC"/>
          </w:tcPr>
          <w:p>
            <w:pPr>
              <w:jc w:val="right"/>
              <w:ind w:right="153"/>
              <w:spacing w:after="0"/>
              <w:rPr>
                <w:sz w:val="20"/>
                <w:szCs w:val="20"/>
                <w:color w:val="auto"/>
              </w:rPr>
            </w:pPr>
            <w:r>
              <w:rPr>
                <w:rFonts w:ascii="Arial" w:cs="Arial" w:eastAsia="Arial" w:hAnsi="Arial"/>
                <w:sz w:val="18"/>
                <w:szCs w:val="18"/>
                <w:color w:val="auto"/>
              </w:rPr>
              <w:t>(44,615 )</w:t>
            </w:r>
          </w:p>
        </w:tc>
        <w:tc>
          <w:tcPr>
            <w:tcW w:w="380" w:type="dxa"/>
            <w:vAlign w:val="bottom"/>
            <w:vMerge w:val="restart"/>
            <w:shd w:val="clear" w:color="auto" w:fill="CFF0FC"/>
          </w:tcPr>
          <w:p>
            <w:pPr>
              <w:jc w:val="right"/>
              <w:ind w:right="175"/>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(37,572 )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FF0FC"/>
          </w:tcPr>
          <w:p>
            <w:pPr>
              <w:jc w:val="right"/>
              <w:ind w:right="193"/>
              <w:spacing w:after="0"/>
              <w:rPr>
                <w:sz w:val="20"/>
                <w:szCs w:val="20"/>
                <w:color w:val="auto"/>
              </w:rPr>
            </w:pPr>
            <w:r>
              <w:rPr>
                <w:rFonts w:ascii="Arial" w:cs="Arial" w:eastAsia="Arial" w:hAnsi="Arial"/>
                <w:sz w:val="18"/>
                <w:szCs w:val="18"/>
                <w:color w:val="auto"/>
              </w:rPr>
              <w:t>(85,741 )</w:t>
            </w:r>
          </w:p>
        </w:tc>
        <w:tc>
          <w:tcPr>
            <w:tcW w:w="360" w:type="dxa"/>
            <w:vAlign w:val="bottom"/>
            <w:vMerge w:val="restart"/>
            <w:shd w:val="clear" w:color="auto" w:fill="CFF0FC"/>
          </w:tcPr>
          <w:p>
            <w:pPr>
              <w:jc w:val="right"/>
              <w:ind w:right="175"/>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(74,741 )</w:t>
            </w: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stockholders—basic and diluted</w:t>
            </w:r>
          </w:p>
        </w:tc>
        <w:tc>
          <w:tcPr>
            <w:tcW w:w="300" w:type="dxa"/>
            <w:vAlign w:val="bottom"/>
            <w:vMerge w:val="continue"/>
            <w:shd w:val="clear" w:color="auto" w:fill="CFF0FC"/>
          </w:tcPr>
          <w:p>
            <w:pPr>
              <w:spacing w:after="0"/>
              <w:rPr>
                <w:sz w:val="19"/>
                <w:szCs w:val="19"/>
                <w:color w:val="auto"/>
              </w:rPr>
            </w:pPr>
          </w:p>
        </w:tc>
        <w:tc>
          <w:tcPr>
            <w:tcW w:w="1420" w:type="dxa"/>
            <w:vAlign w:val="bottom"/>
            <w:gridSpan w:val="2"/>
            <w:vMerge w:val="continue"/>
            <w:shd w:val="clear" w:color="auto" w:fill="CFF0FC"/>
          </w:tcPr>
          <w:p>
            <w:pPr>
              <w:spacing w:after="0"/>
              <w:rPr>
                <w:sz w:val="19"/>
                <w:szCs w:val="19"/>
                <w:color w:val="auto"/>
              </w:rPr>
            </w:pPr>
          </w:p>
        </w:tc>
        <w:tc>
          <w:tcPr>
            <w:tcW w:w="380" w:type="dxa"/>
            <w:vAlign w:val="bottom"/>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Pr>
          <w:p>
            <w:pPr>
              <w:ind w:left="20"/>
              <w:spacing w:after="0" w:line="195" w:lineRule="exact"/>
              <w:rPr>
                <w:sz w:val="20"/>
                <w:szCs w:val="20"/>
                <w:color w:val="auto"/>
              </w:rPr>
            </w:pPr>
            <w:r>
              <w:rPr>
                <w:rFonts w:ascii="Arial" w:cs="Arial" w:eastAsia="Arial" w:hAnsi="Arial"/>
                <w:sz w:val="18"/>
                <w:szCs w:val="18"/>
                <w:color w:val="auto"/>
              </w:rPr>
              <w:t>Net loss per share attributable to common</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tcPr>
          <w:p>
            <w:pPr>
              <w:jc w:val="right"/>
              <w:ind w:right="153"/>
              <w:spacing w:after="0"/>
              <w:rPr>
                <w:sz w:val="20"/>
                <w:szCs w:val="20"/>
                <w:color w:val="auto"/>
              </w:rPr>
            </w:pPr>
            <w:r>
              <w:rPr>
                <w:rFonts w:ascii="Arial" w:cs="Arial" w:eastAsia="Arial" w:hAnsi="Arial"/>
                <w:sz w:val="18"/>
                <w:szCs w:val="18"/>
                <w:color w:val="auto"/>
              </w:rPr>
              <w:t>(0.64 )</w:t>
            </w:r>
          </w:p>
        </w:tc>
        <w:tc>
          <w:tcPr>
            <w:tcW w:w="380" w:type="dxa"/>
            <w:vAlign w:val="bottom"/>
            <w:vMerge w:val="restart"/>
          </w:tcPr>
          <w:p>
            <w:pPr>
              <w:jc w:val="right"/>
              <w:ind w:right="175"/>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(0.62 )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193"/>
              <w:spacing w:after="0"/>
              <w:rPr>
                <w:sz w:val="20"/>
                <w:szCs w:val="20"/>
                <w:color w:val="auto"/>
              </w:rPr>
            </w:pPr>
            <w:r>
              <w:rPr>
                <w:rFonts w:ascii="Arial" w:cs="Arial" w:eastAsia="Arial" w:hAnsi="Arial"/>
                <w:sz w:val="18"/>
                <w:szCs w:val="18"/>
                <w:color w:val="auto"/>
              </w:rPr>
              <w:t>(1.23 )</w:t>
            </w:r>
          </w:p>
        </w:tc>
        <w:tc>
          <w:tcPr>
            <w:tcW w:w="360" w:type="dxa"/>
            <w:vAlign w:val="bottom"/>
            <w:vMerge w:val="restart"/>
          </w:tcPr>
          <w:p>
            <w:pPr>
              <w:jc w:val="right"/>
              <w:ind w:right="175"/>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3"/>
        </w:trPr>
        <w:tc>
          <w:tcPr>
            <w:tcW w:w="4780" w:type="dxa"/>
            <w:vAlign w:val="bottom"/>
          </w:tcPr>
          <w:p>
            <w:pPr>
              <w:ind w:left="160"/>
              <w:spacing w:after="0" w:line="203" w:lineRule="exact"/>
              <w:rPr>
                <w:sz w:val="20"/>
                <w:szCs w:val="20"/>
                <w:color w:val="auto"/>
              </w:rPr>
            </w:pPr>
            <w:r>
              <w:rPr>
                <w:rFonts w:ascii="Arial" w:cs="Arial" w:eastAsia="Arial" w:hAnsi="Arial"/>
                <w:sz w:val="18"/>
                <w:szCs w:val="18"/>
                <w:color w:val="auto"/>
              </w:rPr>
              <w:t>stockholders—basic and diluted</w:t>
            </w:r>
          </w:p>
        </w:tc>
        <w:tc>
          <w:tcPr>
            <w:tcW w:w="30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Denominator—basic and diluted:</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60"/>
              <w:spacing w:after="0"/>
              <w:rPr>
                <w:sz w:val="20"/>
                <w:szCs w:val="20"/>
                <w:color w:val="auto"/>
              </w:rPr>
            </w:pPr>
            <w:r>
              <w:rPr>
                <w:rFonts w:ascii="Arial" w:cs="Arial" w:eastAsia="Arial" w:hAnsi="Arial"/>
                <w:sz w:val="18"/>
                <w:szCs w:val="18"/>
                <w:color w:val="auto"/>
              </w:rPr>
              <w:t>used to compute net loss per share attributable</w:t>
            </w:r>
          </w:p>
        </w:tc>
        <w:tc>
          <w:tcPr>
            <w:tcW w:w="3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69,638,427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60,156,653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69,539,209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59,570,888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160"/>
              <w:spacing w:after="0" w:line="203" w:lineRule="exact"/>
              <w:rPr>
                <w:sz w:val="20"/>
                <w:szCs w:val="20"/>
                <w:color w:val="auto"/>
              </w:rPr>
            </w:pPr>
            <w:r>
              <w:rPr>
                <w:rFonts w:ascii="Arial" w:cs="Arial" w:eastAsia="Arial" w:hAnsi="Arial"/>
                <w:sz w:val="18"/>
                <w:szCs w:val="18"/>
                <w:color w:val="auto"/>
              </w:rPr>
              <w:t>to common stockholders—basic and diluted</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-899795</wp:posOffset>
            </wp:positionV>
            <wp:extent cx="3197860" cy="316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97860" cy="316865"/>
                    </a:xfrm>
                    <a:prstGeom prst="rect">
                      <a:avLst/>
                    </a:prstGeom>
                    <a:noFill/>
                  </pic:spPr>
                </pic:pic>
              </a:graphicData>
            </a:graphic>
          </wp:anchor>
        </w:drawing>
      </w:r>
    </w:p>
    <w:p>
      <w:pPr>
        <w:spacing w:after="0" w:line="182" w:lineRule="exact"/>
        <w:rPr>
          <w:sz w:val="20"/>
          <w:szCs w:val="20"/>
          <w:color w:val="auto"/>
        </w:rPr>
      </w:pPr>
    </w:p>
    <w:p>
      <w:pPr>
        <w:jc w:val="both"/>
        <w:ind w:right="60" w:firstLine="509"/>
        <w:spacing w:after="0" w:line="269"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ind w:left="8740"/>
        <w:spacing w:after="0"/>
        <w:rPr>
          <w:sz w:val="20"/>
          <w:szCs w:val="20"/>
          <w:color w:val="auto"/>
        </w:rPr>
      </w:pPr>
      <w:r>
        <w:rPr>
          <w:rFonts w:ascii="Arial" w:cs="Arial" w:eastAsia="Arial" w:hAnsi="Arial"/>
          <w:sz w:val="14"/>
          <w:szCs w:val="14"/>
          <w:b w:val="1"/>
          <w:bCs w:val="1"/>
          <w:color w:val="auto"/>
        </w:rPr>
        <w:t>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0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4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10,429,475</w:t>
            </w:r>
          </w:p>
        </w:tc>
        <w:tc>
          <w:tcPr>
            <w:tcW w:w="280" w:type="dxa"/>
            <w:vAlign w:val="bottom"/>
            <w:shd w:val="clear" w:color="auto" w:fill="CFF0FC"/>
          </w:tcPr>
          <w:p>
            <w:pPr>
              <w:spacing w:after="0"/>
              <w:rPr>
                <w:sz w:val="20"/>
                <w:szCs w:val="20"/>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8,046,741</w:t>
            </w:r>
          </w:p>
        </w:tc>
        <w:tc>
          <w:tcPr>
            <w:tcW w:w="140" w:type="dxa"/>
            <w:vAlign w:val="bottom"/>
            <w:shd w:val="clear" w:color="auto" w:fill="CFF0FC"/>
          </w:tcPr>
          <w:p>
            <w:pPr>
              <w:spacing w:after="0"/>
              <w:rPr>
                <w:sz w:val="20"/>
                <w:szCs w:val="20"/>
                <w:color w:val="auto"/>
              </w:rPr>
            </w:pPr>
          </w:p>
        </w:tc>
      </w:tr>
      <w:tr>
        <w:trPr>
          <w:trHeight w:val="237"/>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840" w:type="dxa"/>
            <w:vAlign w:val="bottom"/>
          </w:tcPr>
          <w:p>
            <w:pPr>
              <w:jc w:val="right"/>
              <w:spacing w:after="0"/>
              <w:rPr>
                <w:sz w:val="20"/>
                <w:szCs w:val="20"/>
                <w:color w:val="auto"/>
              </w:rPr>
            </w:pPr>
            <w:r>
              <w:rPr>
                <w:rFonts w:ascii="Arial" w:cs="Arial" w:eastAsia="Arial" w:hAnsi="Arial"/>
                <w:sz w:val="18"/>
                <w:szCs w:val="18"/>
                <w:color w:val="auto"/>
              </w:rPr>
              <w:t>15,331</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10,805</w:t>
            </w:r>
          </w:p>
        </w:tc>
        <w:tc>
          <w:tcPr>
            <w:tcW w:w="140" w:type="dxa"/>
            <w:vAlign w:val="bottom"/>
          </w:tcPr>
          <w:p>
            <w:pPr>
              <w:spacing w:after="0"/>
              <w:rPr>
                <w:sz w:val="20"/>
                <w:szCs w:val="20"/>
                <w:color w:val="auto"/>
              </w:rPr>
            </w:pPr>
          </w:p>
        </w:tc>
      </w:tr>
      <w:tr>
        <w:trPr>
          <w:trHeight w:val="249"/>
        </w:trPr>
        <w:tc>
          <w:tcPr>
            <w:tcW w:w="8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Non-vested restricted stock units (RSUs)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526,736</w:t>
            </w:r>
          </w:p>
        </w:tc>
        <w:tc>
          <w:tcPr>
            <w:tcW w:w="2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259,788</w:t>
            </w:r>
          </w:p>
        </w:tc>
        <w:tc>
          <w:tcPr>
            <w:tcW w:w="140" w:type="dxa"/>
            <w:vAlign w:val="bottom"/>
            <w:shd w:val="clear" w:color="auto" w:fill="CFF0FC"/>
          </w:tcPr>
          <w:p>
            <w:pPr>
              <w:spacing w:after="0"/>
              <w:rPr>
                <w:sz w:val="21"/>
                <w:szCs w:val="2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information related to the Company's common stock see Note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Menin–KMT2A binding interaction (the “Menin Assets”).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Allergan License Agreement for the other party’s uncured material breach or insolvency, and the Company may terminate the Allergan License Agreement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w:t>
      </w:r>
    </w:p>
    <w:p>
      <w:pPr>
        <w:spacing w:after="0" w:line="3" w:lineRule="exact"/>
        <w:rPr>
          <w:sz w:val="20"/>
          <w:szCs w:val="20"/>
          <w:color w:val="auto"/>
        </w:rPr>
      </w:pPr>
    </w:p>
    <w:p>
      <w:pPr>
        <w:ind w:right="160" w:firstLine="8"/>
        <w:spacing w:after="0" w:line="260"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expiration of all regulatory exclusivity applicable to the product in such country; and (iii) 10 years from the date of the first commercial sale of the product in such country.</w:t>
      </w:r>
    </w:p>
    <w:p>
      <w:pPr>
        <w:spacing w:after="0" w:line="7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Since the inception of the Allergan License Agreement, the Company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achieved certain development and regulatory milestones, resulting in $8.0 million in expense, which includes $2.0 million paid in the first quarter of 2023.</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2016, the Company entered into a license agreement (the “UCB License Agreement”), as amended from time to time, with UCB Biopharma Sprl (“UCB”), under which UCB granted to the Company a worldwide, sublicensable, exclusive license to UCB6352, which the Company refers to as axatilimab, an anti-CSF-1R monoclonal antibody.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7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Since the start of the license agreement, the Company achieved certain development and regulatory milestones and has recorded $6.0 million as research and development expense. Additionally, in connection with its most recent amendment of the UCB License Agreement, in the second quarter of 2022 the Company paid UCB $5.8 million, which is recognized as a milestone expense.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In March 2007, the Company entered into a license agreement with Bayer Schering Pharma AG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3"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(unadjusted) in active markets that are accessible at the market date for identical unrestricted assets or liabilities.</w:t>
      </w:r>
    </w:p>
    <w:p>
      <w:pPr>
        <w:spacing w:after="0" w:line="117" w:lineRule="exact"/>
        <w:rPr>
          <w:sz w:val="20"/>
          <w:szCs w:val="20"/>
          <w:color w:val="auto"/>
        </w:rPr>
      </w:pPr>
    </w:p>
    <w:p>
      <w:pPr>
        <w:ind w:left="1020" w:right="220" w:hanging="484"/>
        <w:spacing w:after="0" w:line="263" w:lineRule="auto"/>
        <w:rPr>
          <w:sz w:val="20"/>
          <w:szCs w:val="20"/>
          <w:color w:val="auto"/>
        </w:rPr>
      </w:pPr>
      <w:r>
        <w:rPr>
          <w:rFonts w:ascii="Arial" w:cs="Arial" w:eastAsia="Arial" w:hAnsi="Arial"/>
          <w:sz w:val="18"/>
          <w:szCs w:val="18"/>
          <w:i w:val="1"/>
          <w:iCs w:val="1"/>
          <w:color w:val="auto"/>
        </w:rPr>
        <w:t>Level 2—</w:t>
      </w:r>
      <w:r>
        <w:rPr>
          <w:sz w:val="20"/>
          <w:szCs w:val="20"/>
          <w:color w:val="auto"/>
        </w:rPr>
        <w:t xml:space="preserve"> </w:t>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6" w:lineRule="exact"/>
        <w:rPr>
          <w:sz w:val="20"/>
          <w:szCs w:val="20"/>
          <w:color w:val="auto"/>
        </w:rPr>
      </w:pPr>
    </w:p>
    <w:p>
      <w:pPr>
        <w:jc w:val="center"/>
        <w:ind w:left="740" w:right="12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 w:name="page11"/>
    <w:bookmarkEnd w:id="10"/>
    <w:p>
      <w:pPr>
        <w:ind w:right="40" w:firstLine="509"/>
        <w:spacing w:after="0" w:line="284" w:lineRule="auto"/>
        <w:rPr>
          <w:sz w:val="20"/>
          <w:szCs w:val="20"/>
          <w:color w:val="auto"/>
        </w:rPr>
      </w:pPr>
      <w:r>
        <w:rPr>
          <w:rFonts w:ascii="Arial" w:cs="Arial" w:eastAsia="Arial" w:hAnsi="Arial"/>
          <w:sz w:val="17"/>
          <w:szCs w:val="17"/>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rPr>
              <w:t>Fair Value Measurements Using</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89"/>
              </w:rPr>
              <w:t>Quoted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w w:val="85"/>
              </w:rPr>
              <w:t>Prices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(unadjusted)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in Active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Observable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Unobservable</w:t>
            </w:r>
          </w:p>
        </w:tc>
        <w:tc>
          <w:tcPr>
            <w:tcW w:w="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35"/>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Markets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right"/>
              <w:ind w:right="777"/>
              <w:spacing w:after="0"/>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23"/>
        </w:trPr>
        <w:tc>
          <w:tcPr>
            <w:tcW w:w="20" w:type="dxa"/>
            <w:vAlign w:val="bottom"/>
            <w:shd w:val="clear" w:color="auto" w:fill="CFF0FC"/>
          </w:tcPr>
          <w:p>
            <w:pPr>
              <w:spacing w:after="0"/>
              <w:rPr>
                <w:sz w:val="19"/>
                <w:szCs w:val="19"/>
                <w:color w:val="auto"/>
              </w:rPr>
            </w:pPr>
          </w:p>
        </w:tc>
        <w:tc>
          <w:tcPr>
            <w:tcW w:w="560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June 30, 2023</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20" w:type="dxa"/>
            <w:vAlign w:val="bottom"/>
            <w:tcBorders>
              <w:top w:val="single" w:sz="8" w:color="CFF0F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4560" w:type="dxa"/>
            <w:vAlign w:val="bottom"/>
            <w:tcBorders>
              <w:top w:val="single" w:sz="8" w:color="CFF0FC"/>
            </w:tcBorders>
            <w:gridSpan w:val="2"/>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9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6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97,275</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97,275</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60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301,526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301,526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60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19,483</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60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418,284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97,275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321,009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spacing w:after="0" w:line="176" w:lineRule="exact"/>
              <w:rPr>
                <w:sz w:val="20"/>
                <w:szCs w:val="20"/>
                <w:color w:val="auto"/>
              </w:rPr>
            </w:pPr>
            <w:r>
              <w:rPr>
                <w:rFonts w:ascii="Arial" w:cs="Arial" w:eastAsia="Arial" w:hAnsi="Arial"/>
                <w:sz w:val="18"/>
                <w:szCs w:val="18"/>
                <w:b w:val="1"/>
                <w:bCs w:val="1"/>
                <w:color w:val="auto"/>
                <w:w w:val="88"/>
              </w:rPr>
              <w:t>December 31, 2022</w:t>
            </w:r>
          </w:p>
        </w:tc>
        <w:tc>
          <w:tcPr>
            <w:tcW w:w="4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r>
      <w:tr>
        <w:trPr>
          <w:trHeight w:val="237"/>
        </w:trPr>
        <w:tc>
          <w:tcPr>
            <w:tcW w:w="5620" w:type="dxa"/>
            <w:vAlign w:val="bottom"/>
            <w:gridSpan w:val="4"/>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6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74,356</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59,496</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14,860</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60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401,446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401,446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60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0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481,271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59,496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421,775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-1148080</wp:posOffset>
            </wp:positionV>
            <wp:extent cx="7747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-1148080</wp:posOffset>
            </wp:positionV>
            <wp:extent cx="8572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-1148080</wp:posOffset>
            </wp:positionV>
            <wp:extent cx="8572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-1148080</wp:posOffset>
            </wp:positionV>
            <wp:extent cx="8572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-187960</wp:posOffset>
            </wp:positionV>
            <wp:extent cx="7747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8572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8572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There have been no material impairments of our assets measured and carried at fair value during the period ended June 30, 2023 and 2022. In addition, there have been no changes in valuation techniques during the periods ended June 30, 2023 and 2022. The fair value of Level 1 instruments classified as cash equivalents are valued using quoted market prices in active markets. The fair value of Level 2 instruments classified as cash equivalents and short and long–term investments are determined based on quoted prices in active markets, which are either directly or indirectly observable as of the reporting date with fair value being determined using models or other valuation methodologies.</w:t>
      </w:r>
    </w:p>
    <w:p>
      <w:pPr>
        <w:spacing w:after="0" w:line="17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Company's short and long-term investments are classified as available-for-sale securities. As of June 30, 2023, the remaining contractual maturities of the available-for-sale securities were 1 to 15 months, and the balance in the Company’s accumulated other comprehensive loss was comprised solely of activity related to the Company’s available-for-sale securities. There were no realized gains or losses recognized on the sale or maturity of available-for-sale securities, during the three and six months ended June 30, 2023 and 2022. As a result, the Company did not reclassify any amounts out of accumulated other comprehensive loss for the same periods. The Company has a limited number of available-for-sale securities that are not in significant loss positions as of June 30, 2023, which the Company does not intend to sell, and it has concluded it will not be required to sell before recovery of the amortized cost for the investment at maturity.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available-for-sale securities: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680"/>
              <w:spacing w:after="0"/>
              <w:rPr>
                <w:sz w:val="20"/>
                <w:szCs w:val="20"/>
                <w:color w:val="auto"/>
              </w:rPr>
            </w:pPr>
            <w:r>
              <w:rPr>
                <w:rFonts w:ascii="Arial" w:cs="Arial" w:eastAsia="Arial" w:hAnsi="Arial"/>
                <w:sz w:val="14"/>
                <w:szCs w:val="14"/>
                <w:b w:val="1"/>
                <w:bCs w:val="1"/>
                <w:color w:val="auto"/>
              </w:rPr>
              <w:t>(In</w:t>
            </w:r>
          </w:p>
        </w:tc>
        <w:tc>
          <w:tcPr>
            <w:tcW w:w="144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20" w:type="dxa"/>
            <w:vAlign w:val="bottom"/>
            <w:shd w:val="clear" w:color="auto" w:fill="CFF0FC"/>
          </w:tcPr>
          <w:p>
            <w:pPr>
              <w:spacing w:after="0"/>
              <w:rPr>
                <w:sz w:val="16"/>
                <w:szCs w:val="16"/>
                <w:color w:val="auto"/>
              </w:rPr>
            </w:pPr>
          </w:p>
        </w:tc>
        <w:tc>
          <w:tcPr>
            <w:tcW w:w="35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June 30, 2023</w:t>
            </w:r>
          </w:p>
        </w:tc>
        <w:tc>
          <w:tcPr>
            <w:tcW w:w="2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auto"/>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2080" w:type="dxa"/>
            <w:vAlign w:val="bottom"/>
            <w:tcBorders>
              <w:top w:val="single" w:sz="8" w:color="CFF0FC"/>
            </w:tcBorders>
            <w:shd w:val="clear" w:color="auto" w:fill="CFF0FC"/>
          </w:tcPr>
          <w:p>
            <w:pPr>
              <w:spacing w:after="0"/>
              <w:rPr>
                <w:sz w:val="2"/>
                <w:szCs w:val="2"/>
                <w:color w:val="auto"/>
              </w:rPr>
            </w:pPr>
          </w:p>
        </w:tc>
        <w:tc>
          <w:tcPr>
            <w:tcW w:w="20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Commercial paper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230,918</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230,669</w:t>
            </w:r>
          </w:p>
        </w:tc>
        <w:tc>
          <w:tcPr>
            <w:tcW w:w="14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7,838</w:t>
            </w:r>
          </w:p>
        </w:tc>
        <w:tc>
          <w:tcPr>
            <w:tcW w:w="14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US Treasury</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24,985</w:t>
            </w:r>
          </w:p>
        </w:tc>
        <w:tc>
          <w:tcPr>
            <w:tcW w:w="14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Federal bonds</w:t>
            </w:r>
          </w:p>
        </w:tc>
        <w:tc>
          <w:tcPr>
            <w:tcW w:w="2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57,746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57,517</w:t>
            </w:r>
          </w:p>
        </w:tc>
        <w:tc>
          <w:tcPr>
            <w:tcW w:w="140" w:type="dxa"/>
            <w:vAlign w:val="bottom"/>
            <w:shd w:val="clear" w:color="auto" w:fill="CFF0FC"/>
          </w:tcPr>
          <w:p>
            <w:pPr>
              <w:spacing w:after="0"/>
              <w:rPr>
                <w:sz w:val="21"/>
                <w:szCs w:val="2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321,583</w:t>
            </w:r>
          </w:p>
        </w:tc>
        <w:tc>
          <w:tcPr>
            <w:tcW w:w="28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(574 )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321,009</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spacing w:after="0" w:line="176" w:lineRule="exact"/>
              <w:rPr>
                <w:sz w:val="20"/>
                <w:szCs w:val="20"/>
                <w:color w:val="auto"/>
              </w:rPr>
            </w:pPr>
            <w:r>
              <w:rPr>
                <w:rFonts w:ascii="Arial" w:cs="Arial" w:eastAsia="Arial" w:hAnsi="Arial"/>
                <w:sz w:val="18"/>
                <w:szCs w:val="18"/>
                <w:b w:val="1"/>
                <w:bCs w:val="1"/>
                <w:color w:val="auto"/>
                <w:w w:val="88"/>
              </w:rPr>
              <w:t>December 31, 2022</w:t>
            </w:r>
          </w:p>
        </w:tc>
        <w:tc>
          <w:tcPr>
            <w:tcW w:w="208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Commercial paper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321,630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321,425</w:t>
            </w:r>
          </w:p>
        </w:tc>
        <w:tc>
          <w:tcPr>
            <w:tcW w:w="14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w:t>
            </w:r>
          </w:p>
        </w:tc>
        <w:tc>
          <w:tcPr>
            <w:tcW w:w="2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64,759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(566 )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64,193</w:t>
            </w:r>
          </w:p>
        </w:tc>
        <w:tc>
          <w:tcPr>
            <w:tcW w:w="14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Federal bonds</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36,157</w:t>
            </w:r>
          </w:p>
        </w:tc>
        <w:tc>
          <w:tcPr>
            <w:tcW w:w="140" w:type="dxa"/>
            <w:vAlign w:val="bottom"/>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2080" w:type="dxa"/>
            <w:vAlign w:val="bottom"/>
            <w:tcBorders>
              <w:bottom w:val="single" w:sz="8" w:color="CFF0FC"/>
            </w:tcBorders>
            <w:shd w:val="clear" w:color="auto" w:fill="CFF0FC"/>
          </w:tcPr>
          <w:p>
            <w:pPr>
              <w:spacing w:after="0"/>
              <w:rPr>
                <w:sz w:val="24"/>
                <w:szCs w:val="24"/>
                <w:color w:val="auto"/>
              </w:rPr>
            </w:pPr>
          </w:p>
        </w:tc>
        <w:tc>
          <w:tcPr>
            <w:tcW w:w="20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422,581</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421,775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40" w:type="dxa"/>
            <w:vAlign w:val="bottom"/>
            <w:gridSpan w:val="2"/>
          </w:tcPr>
          <w:p>
            <w:pPr>
              <w:jc w:val="right"/>
              <w:ind w:right="50"/>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-1353820</wp:posOffset>
            </wp:positionV>
            <wp:extent cx="7747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-1353820</wp:posOffset>
            </wp:positionV>
            <wp:extent cx="8572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-1353820</wp:posOffset>
            </wp:positionV>
            <wp:extent cx="8572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-1353820</wp:posOffset>
            </wp:positionV>
            <wp:extent cx="8572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-385445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-367665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-385445</wp:posOffset>
            </wp:positionV>
            <wp:extent cx="857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-367665</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-385445</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-367665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-385445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-367665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8. Prepaid Expenses and Other Current Assets</w:t>
            </w: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24"/>
        </w:trPr>
        <w:tc>
          <w:tcPr>
            <w:tcW w:w="8020" w:type="dxa"/>
            <w:vAlign w:val="bottom"/>
            <w:gridSpan w:val="2"/>
          </w:tcPr>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32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2023</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December 31, 2022</w:t>
            </w:r>
          </w:p>
        </w:tc>
        <w:tc>
          <w:tcPr>
            <w:tcW w:w="140" w:type="dxa"/>
            <w:vAlign w:val="bottom"/>
          </w:tcPr>
          <w:p>
            <w:pPr>
              <w:spacing w:after="0"/>
              <w:rPr>
                <w:sz w:val="22"/>
                <w:szCs w:val="22"/>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1700" w:type="dxa"/>
            <w:vAlign w:val="bottom"/>
          </w:tcPr>
          <w:p>
            <w:pPr>
              <w:jc w:val="right"/>
              <w:ind w:right="15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692</w:t>
            </w:r>
          </w:p>
        </w:tc>
        <w:tc>
          <w:tcPr>
            <w:tcW w:w="140" w:type="dxa"/>
            <w:vAlign w:val="bottom"/>
          </w:tcPr>
          <w:p>
            <w:pPr>
              <w:spacing w:after="0"/>
              <w:rPr>
                <w:sz w:val="20"/>
                <w:szCs w:val="20"/>
                <w:color w:val="auto"/>
              </w:rPr>
            </w:pP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 on investments</w:t>
            </w:r>
          </w:p>
        </w:tc>
        <w:tc>
          <w:tcPr>
            <w:tcW w:w="17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FF0FC"/>
          </w:tcPr>
          <w:p>
            <w:pPr>
              <w:spacing w:after="0"/>
              <w:rPr>
                <w:sz w:val="21"/>
                <w:szCs w:val="2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Prepaid subscription</w:t>
            </w:r>
          </w:p>
        </w:tc>
        <w:tc>
          <w:tcPr>
            <w:tcW w:w="17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20"/>
                <w:szCs w:val="20"/>
                <w:color w:val="auto"/>
              </w:rPr>
            </w:pPr>
          </w:p>
        </w:tc>
      </w:tr>
      <w:tr>
        <w:trPr>
          <w:trHeight w:val="243"/>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17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40" w:type="dxa"/>
            <w:vAlign w:val="bottom"/>
          </w:tcPr>
          <w:p>
            <w:pPr>
              <w:spacing w:after="0"/>
              <w:rPr>
                <w:sz w:val="20"/>
                <w:szCs w:val="20"/>
                <w:color w:val="auto"/>
              </w:rPr>
            </w:pPr>
          </w:p>
        </w:tc>
      </w:tr>
      <w:tr>
        <w:trPr>
          <w:trHeight w:val="20"/>
        </w:trPr>
        <w:tc>
          <w:tcPr>
            <w:tcW w:w="6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-187960</wp:posOffset>
            </wp:positionV>
            <wp:extent cx="857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2023</w:t>
            </w:r>
          </w:p>
        </w:tc>
        <w:tc>
          <w:tcPr>
            <w:tcW w:w="5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December 31, 2022</w:t>
            </w:r>
          </w:p>
        </w:tc>
        <w:tc>
          <w:tcPr>
            <w:tcW w:w="140" w:type="dxa"/>
            <w:vAlign w:val="bottom"/>
          </w:tcPr>
          <w:p>
            <w:pPr>
              <w:spacing w:after="0"/>
              <w:rPr>
                <w:sz w:val="20"/>
                <w:szCs w:val="20"/>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Accrued clinical study and trial costs</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10,633</w:t>
            </w:r>
          </w:p>
        </w:tc>
        <w:tc>
          <w:tcPr>
            <w:tcW w:w="3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14,375</w:t>
            </w:r>
          </w:p>
        </w:tc>
        <w:tc>
          <w:tcPr>
            <w:tcW w:w="140" w:type="dxa"/>
            <w:vAlign w:val="bottom"/>
          </w:tcPr>
          <w:p>
            <w:pPr>
              <w:spacing w:after="0"/>
              <w:rPr>
                <w:sz w:val="20"/>
                <w:szCs w:val="20"/>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costs</w:t>
            </w:r>
          </w:p>
        </w:tc>
        <w:tc>
          <w:tcPr>
            <w:tcW w:w="15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w:t>
            </w: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w:t>
            </w:r>
          </w:p>
        </w:tc>
        <w:tc>
          <w:tcPr>
            <w:tcW w:w="140" w:type="dxa"/>
            <w:vAlign w:val="bottom"/>
            <w:shd w:val="clear" w:color="auto" w:fill="CFF0FC"/>
          </w:tcPr>
          <w:p>
            <w:pPr>
              <w:spacing w:after="0"/>
              <w:rPr>
                <w:sz w:val="21"/>
                <w:szCs w:val="2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5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936</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1,352</w:t>
            </w:r>
          </w:p>
        </w:tc>
        <w:tc>
          <w:tcPr>
            <w:tcW w:w="140" w:type="dxa"/>
            <w:vAlign w:val="bottom"/>
          </w:tcPr>
          <w:p>
            <w:pPr>
              <w:spacing w:after="0"/>
              <w:rPr>
                <w:sz w:val="20"/>
                <w:szCs w:val="20"/>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milestone costs</w:t>
            </w:r>
          </w:p>
        </w:tc>
        <w:tc>
          <w:tcPr>
            <w:tcW w:w="15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21"/>
                <w:szCs w:val="2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20"/>
                <w:szCs w:val="20"/>
                <w:color w:val="auto"/>
              </w:rPr>
            </w:pPr>
          </w:p>
        </w:tc>
      </w:tr>
      <w:tr>
        <w:trPr>
          <w:trHeight w:val="277"/>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580" w:type="dxa"/>
            <w:vAlign w:val="bottom"/>
            <w:tcBorders>
              <w:bottom w:val="single" w:sz="8" w:color="auto"/>
            </w:tcBorders>
            <w:shd w:val="clear" w:color="auto" w:fill="CFF0FC"/>
          </w:tcPr>
          <w:p>
            <w:pPr>
              <w:jc w:val="right"/>
              <w:ind w:right="13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17,729</w:t>
            </w:r>
          </w:p>
        </w:tc>
        <w:tc>
          <w:tcPr>
            <w:tcW w:w="3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24,276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January 2023, the number of shares of common stock available for issuance under the Company's 2015 Omnibus Incentive Plan (“2015 Plan”) was increased by 2,724,455 shares due to the automatic annual provision to increase shares available under the 2015 Plan. As of June 30, 2023, the total number of shares of common stock available for issuance under the 2015 Plan was 2,776,464. The Company recognized stock-based compensation expense related to the issuance of stock option awards to employees and non-employees and related to the Company's 2015 Employee Stock Purchase Plan (“ESPP”) in the condensed consolidated statements of comprehensive loss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4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w:t>
            </w:r>
          </w:p>
        </w:tc>
        <w:tc>
          <w:tcPr>
            <w:tcW w:w="128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1,358</w:t>
            </w:r>
          </w:p>
        </w:tc>
        <w:tc>
          <w:tcPr>
            <w:tcW w:w="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6,476</w:t>
            </w:r>
          </w:p>
        </w:tc>
        <w:tc>
          <w:tcPr>
            <w:tcW w:w="7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w:t>
            </w:r>
          </w:p>
        </w:tc>
        <w:tc>
          <w:tcPr>
            <w:tcW w:w="140" w:type="dxa"/>
            <w:vAlign w:val="bottom"/>
            <w:shd w:val="clear" w:color="auto" w:fill="CFF0FC"/>
          </w:tcPr>
          <w:p>
            <w:pPr>
              <w:spacing w:after="0"/>
              <w:rPr>
                <w:sz w:val="21"/>
                <w:szCs w:val="2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3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2,580</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7,827</w:t>
            </w:r>
          </w:p>
        </w:tc>
        <w:tc>
          <w:tcPr>
            <w:tcW w:w="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40" w:type="dxa"/>
            <w:vAlign w:val="bottom"/>
          </w:tcPr>
          <w:p>
            <w:pPr>
              <w:spacing w:after="0"/>
              <w:rPr>
                <w:sz w:val="20"/>
                <w:szCs w:val="20"/>
                <w:color w:val="auto"/>
              </w:rPr>
            </w:pPr>
          </w:p>
        </w:tc>
      </w:tr>
      <w:tr>
        <w:trPr>
          <w:trHeight w:val="276"/>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8,065</w:t>
            </w:r>
          </w:p>
        </w:tc>
        <w:tc>
          <w:tcPr>
            <w:tcW w:w="3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3,938</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14,303</w:t>
            </w:r>
          </w:p>
        </w:tc>
        <w:tc>
          <w:tcPr>
            <w:tcW w:w="4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-24765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and six months ended June 30, 2023 and 2022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30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7,019</w:t>
            </w:r>
          </w:p>
        </w:tc>
        <w:tc>
          <w:tcPr>
            <w:tcW w:w="142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12,411</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978</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0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8,065</w:t>
            </w:r>
          </w:p>
        </w:tc>
        <w:tc>
          <w:tcPr>
            <w:tcW w:w="142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3,938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14,303</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jc w:val="right"/>
              <w:ind w:right="176"/>
              <w:spacing w:after="0"/>
              <w:rPr>
                <w:sz w:val="20"/>
                <w:szCs w:val="20"/>
                <w:color w:val="auto"/>
              </w:rPr>
            </w:pPr>
            <w:r>
              <w:rPr>
                <w:rFonts w:ascii="Arial" w:cs="Arial" w:eastAsia="Arial" w:hAnsi="Arial"/>
                <w:sz w:val="15"/>
                <w:szCs w:val="15"/>
                <w:color w:val="auto"/>
                <w:w w:val="71"/>
              </w:rPr>
              <w:t>9</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-1263650</wp:posOffset>
            </wp:positionV>
            <wp:extent cx="4641850" cy="2527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41850" cy="25273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-548005</wp:posOffset>
            </wp:positionV>
            <wp:extent cx="8572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-548005</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-548005</wp:posOffset>
            </wp:positionV>
            <wp:extent cx="857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-548005</wp:posOffset>
            </wp:positionV>
            <wp:extent cx="857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jc w:val="both"/>
        <w:ind w:right="120" w:firstLine="509"/>
        <w:spacing w:after="0" w:line="311" w:lineRule="auto"/>
        <w:rPr>
          <w:sz w:val="20"/>
          <w:szCs w:val="20"/>
          <w:color w:val="auto"/>
        </w:rPr>
      </w:pPr>
      <w:r>
        <w:rPr>
          <w:rFonts w:ascii="Arial" w:cs="Arial" w:eastAsia="Arial" w:hAnsi="Arial"/>
          <w:sz w:val="16"/>
          <w:szCs w:val="16"/>
          <w:color w:val="auto"/>
        </w:rPr>
        <w:t>During the six months ended June 30, 2023, the Company granted 2,998,941 stock options to certain executives, consultants and employees having service-based vesting conditions. The grant date fair value of the options granted in the six months ended June 30, 2023, was $52.4 million, or $17.47 per share on a weighted-average basis and will be recognized as compensation expense over the requisite service period of two to four years.</w:t>
      </w:r>
    </w:p>
    <w:p>
      <w:pPr>
        <w:spacing w:after="0" w:line="41"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In February 2022, the Company granted to certain employees 140,000 performance-based stock options (“2022 Performance Awards”) related to the achievement of certain clinical and regulatory development milestones and market-based conditions. Recognition of stock-based compensation expense associated with these performance-based stock options commences when the performance condition is probable of achievement, using management’s best estimates, which consider the inherent risk and uncertainty regarding the future outcomes of the milestones.</w:t>
      </w:r>
    </w:p>
    <w:p>
      <w:pPr>
        <w:spacing w:after="0" w:line="54" w:lineRule="exact"/>
        <w:rPr>
          <w:sz w:val="20"/>
          <w:szCs w:val="20"/>
          <w:color w:val="auto"/>
        </w:rPr>
      </w:pPr>
    </w:p>
    <w:p>
      <w:pPr>
        <w:jc w:val="both"/>
        <w:ind w:right="340" w:firstLine="509"/>
        <w:spacing w:after="0" w:line="311" w:lineRule="auto"/>
        <w:rPr>
          <w:sz w:val="20"/>
          <w:szCs w:val="20"/>
          <w:color w:val="auto"/>
        </w:rPr>
      </w:pPr>
      <w:r>
        <w:rPr>
          <w:rFonts w:ascii="Arial" w:cs="Arial" w:eastAsia="Arial" w:hAnsi="Arial"/>
          <w:sz w:val="16"/>
          <w:szCs w:val="16"/>
          <w:color w:val="auto"/>
        </w:rPr>
        <w:t>In the first quarter of 2022, management estimated one of the milestones for the 2022 Performance Awards was probable of achievement and, as such, the Company recorded approximately $258,000 and $214,000 of stock compensation expense for these awards for the six months ended June 30, 2023 and 2022, respectively. As of June 30, 2023, 140,000 stock options outstanding were unvested, and no options had been canceled.</w:t>
      </w:r>
    </w:p>
    <w:p>
      <w:pPr>
        <w:spacing w:after="0" w:line="4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During the six months ended June 30, 2023, 439,543 options were exercised for cash proceeds of approximately $3.4 million. During the six months ended June 30, 2022, 286,572 options were exercised for cash proceeds of $2.7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color w:val="auto"/>
        </w:rPr>
        <w:t>RSUs awarded to members of the Company's board of directors or employees vest on either (i) the one year anniversary date of the related grant or (ii) 25% on each anniversary date of the related grant for 4 years. The following table summarizes the Company's RSU activity: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80" w:type="dxa"/>
            <w:vAlign w:val="bottom"/>
            <w:vMerge w:val="restart"/>
          </w:tcPr>
          <w:p>
            <w:pPr>
              <w:jc w:val="center"/>
              <w:ind w:left="668"/>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60" w:type="dxa"/>
            <w:vAlign w:val="bottom"/>
          </w:tcPr>
          <w:p>
            <w:pPr>
              <w:spacing w:after="0"/>
              <w:rPr>
                <w:sz w:val="16"/>
                <w:szCs w:val="16"/>
                <w:color w:val="auto"/>
              </w:rPr>
            </w:pPr>
          </w:p>
        </w:tc>
        <w:tc>
          <w:tcPr>
            <w:tcW w:w="168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b w:val="1"/>
                <w:bCs w:val="1"/>
                <w:color w:val="auto"/>
                <w:w w:val="89"/>
              </w:rPr>
              <w:t>Shares</w:t>
            </w:r>
          </w:p>
        </w:tc>
        <w:tc>
          <w:tcPr>
            <w:tcW w:w="7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Grant Date 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Unvested—December 31, 2022</w:t>
            </w:r>
          </w:p>
        </w:tc>
        <w:tc>
          <w:tcPr>
            <w:tcW w:w="16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224,788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2"/>
                <w:szCs w:val="12"/>
                <w:color w:val="auto"/>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308,550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(6,602 )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 xml:space="preserve">Unvested—June 30, 2023 </w:t>
            </w:r>
            <w:r>
              <w:rPr>
                <w:rFonts w:ascii="Arial" w:cs="Arial" w:eastAsia="Arial" w:hAnsi="Arial"/>
                <w:sz w:val="12"/>
                <w:szCs w:val="12"/>
                <w:color w:val="auto"/>
              </w:rPr>
              <w:t>(2)</w:t>
            </w:r>
          </w:p>
        </w:tc>
        <w:tc>
          <w:tcPr>
            <w:tcW w:w="16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526,736</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22.14</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-187960</wp:posOffset>
            </wp:positionV>
            <wp:extent cx="8572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120" w:firstLine="517"/>
        <w:spacing w:after="0" w:line="277" w:lineRule="auto"/>
        <w:tabs>
          <w:tab w:leader="none" w:pos="732" w:val="left"/>
        </w:tabs>
        <w:numPr>
          <w:ilvl w:val="0"/>
          <w:numId w:val="7"/>
        </w:numPr>
        <w:rPr>
          <w:rFonts w:ascii="Arial" w:cs="Arial" w:eastAsia="Arial" w:hAnsi="Arial"/>
          <w:sz w:val="15"/>
          <w:szCs w:val="15"/>
          <w:color w:val="auto"/>
        </w:rPr>
      </w:pPr>
      <w:r>
        <w:rPr>
          <w:rFonts w:ascii="Arial" w:cs="Arial" w:eastAsia="Arial" w:hAnsi="Arial"/>
          <w:sz w:val="18"/>
          <w:szCs w:val="18"/>
          <w:color w:val="auto"/>
        </w:rPr>
        <w:t>RSUs granted in 2023 and 2022 had a weighted average grant date fair value of $24.94 and $15.79, respectively. The fair values of RSUs vested in 2023 and 2022 totaled $75,000 and $36,000, respectively.</w:t>
      </w:r>
    </w:p>
    <w:p>
      <w:pPr>
        <w:spacing w:after="0" w:line="170" w:lineRule="exact"/>
        <w:rPr>
          <w:rFonts w:ascii="Arial" w:cs="Arial" w:eastAsia="Arial" w:hAnsi="Arial"/>
          <w:sz w:val="15"/>
          <w:szCs w:val="15"/>
          <w:color w:val="auto"/>
        </w:rPr>
      </w:pPr>
    </w:p>
    <w:p>
      <w:pPr>
        <w:ind w:right="100" w:firstLine="517"/>
        <w:spacing w:after="0" w:line="277" w:lineRule="auto"/>
        <w:tabs>
          <w:tab w:leader="none" w:pos="733" w:val="left"/>
        </w:tabs>
        <w:numPr>
          <w:ilvl w:val="0"/>
          <w:numId w:val="7"/>
        </w:numPr>
        <w:rPr>
          <w:rFonts w:ascii="Arial" w:cs="Arial" w:eastAsia="Arial" w:hAnsi="Arial"/>
          <w:sz w:val="15"/>
          <w:szCs w:val="15"/>
          <w:color w:val="auto"/>
        </w:rPr>
      </w:pPr>
      <w:r>
        <w:rPr>
          <w:rFonts w:ascii="Arial" w:cs="Arial" w:eastAsia="Arial" w:hAnsi="Arial"/>
          <w:sz w:val="18"/>
          <w:szCs w:val="18"/>
          <w:color w:val="auto"/>
        </w:rPr>
        <w:t>Unvested RSUs as of June 30, 2023, include 317,333 RSUs which were granted to members of the Company's board of directors and will not be considered issued and outstanding until the occurrence of a separation from service, death, disability, or a change in control.</w:t>
      </w:r>
    </w:p>
    <w:p>
      <w:pPr>
        <w:spacing w:after="0" w:line="170" w:lineRule="exact"/>
        <w:rPr>
          <w:sz w:val="20"/>
          <w:szCs w:val="20"/>
          <w:color w:val="auto"/>
        </w:rPr>
      </w:pPr>
    </w:p>
    <w:p>
      <w:pPr>
        <w:ind w:right="240" w:firstLine="509"/>
        <w:spacing w:after="0" w:line="291" w:lineRule="auto"/>
        <w:rPr>
          <w:sz w:val="20"/>
          <w:szCs w:val="20"/>
          <w:color w:val="auto"/>
        </w:rPr>
      </w:pPr>
      <w:r>
        <w:rPr>
          <w:rFonts w:ascii="Arial" w:cs="Arial" w:eastAsia="Arial" w:hAnsi="Arial"/>
          <w:sz w:val="16"/>
          <w:szCs w:val="16"/>
          <w:color w:val="auto"/>
        </w:rPr>
        <w:t>As of June 30, 2023, there were $87.1 million of unrecognized compensation costs related to employee and non-employee unvested stock options and RSUs granted under the 2015 and 2007 Plans, which are expected to be recognized over a weighted-average remaining service period of 3.1 years.</w:t>
      </w: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six months ended June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000" w:type="dxa"/>
            <w:vAlign w:val="bottom"/>
            <w:gridSpan w:val="3"/>
            <w:vMerge w:val="restart"/>
          </w:tcPr>
          <w:p>
            <w:pPr>
              <w:jc w:val="center"/>
              <w:ind w:left="113"/>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000" w:type="dxa"/>
            <w:vAlign w:val="bottom"/>
            <w:gridSpan w:val="3"/>
          </w:tcPr>
          <w:p>
            <w:pPr>
              <w:jc w:val="center"/>
              <w:ind w:left="113"/>
              <w:spacing w:after="0" w:line="149" w:lineRule="exact"/>
              <w:rPr>
                <w:sz w:val="20"/>
                <w:szCs w:val="20"/>
                <w:color w:val="auto"/>
              </w:rPr>
            </w:pPr>
            <w:r>
              <w:rPr>
                <w:rFonts w:ascii="Arial" w:cs="Arial" w:eastAsia="Arial" w:hAnsi="Arial"/>
                <w:sz w:val="14"/>
                <w:szCs w:val="14"/>
                <w:b w:val="1"/>
                <w:bCs w:val="1"/>
                <w:color w:val="auto"/>
                <w:w w:val="94"/>
              </w:rPr>
              <w:t>$0.0001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6"/>
              </w:rPr>
              <w:t>e</w:t>
            </w:r>
          </w:p>
        </w:tc>
        <w:tc>
          <w:tcPr>
            <w:tcW w:w="1220" w:type="dxa"/>
            <w:vAlign w:val="bottom"/>
            <w:gridSpan w:val="3"/>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00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68,111,385</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1,161,288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(806 )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(693,040 )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467,449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Stock purchase under ESPP</w:t>
            </w:r>
          </w:p>
        </w:tc>
        <w:tc>
          <w:tcPr>
            <w:tcW w:w="1000" w:type="dxa"/>
            <w:vAlign w:val="bottom"/>
          </w:tcPr>
          <w:p>
            <w:pPr>
              <w:jc w:val="right"/>
              <w:spacing w:after="0"/>
              <w:rPr>
                <w:sz w:val="20"/>
                <w:szCs w:val="20"/>
                <w:color w:val="auto"/>
              </w:rPr>
            </w:pPr>
            <w:r>
              <w:rPr>
                <w:rFonts w:ascii="Arial" w:cs="Arial" w:eastAsia="Arial" w:hAnsi="Arial"/>
                <w:sz w:val="18"/>
                <w:szCs w:val="18"/>
                <w:color w:val="auto"/>
              </w:rPr>
              <w:t>16,537</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Unrealized gains on 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RSU</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Employee withholdings ESPP</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Prefunded warrants, exercise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85,998</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276,506</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(41,126 )</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(41,126 )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Balance as of March 31, 2023</w:t>
            </w:r>
          </w:p>
        </w:tc>
        <w:tc>
          <w:tcPr>
            <w:tcW w:w="1000" w:type="dxa"/>
            <w:vAlign w:val="bottom"/>
          </w:tcPr>
          <w:p>
            <w:pPr>
              <w:jc w:val="right"/>
              <w:spacing w:after="0"/>
              <w:rPr>
                <w:sz w:val="20"/>
                <w:szCs w:val="20"/>
                <w:color w:val="auto"/>
              </w:rPr>
            </w:pPr>
            <w:r>
              <w:rPr>
                <w:rFonts w:ascii="Arial" w:cs="Arial" w:eastAsia="Arial" w:hAnsi="Arial"/>
                <w:sz w:val="18"/>
                <w:szCs w:val="18"/>
                <w:color w:val="auto"/>
              </w:rPr>
              <w:t>68,495,426</w:t>
            </w:r>
          </w:p>
        </w:tc>
        <w:tc>
          <w:tcPr>
            <w:tcW w:w="260" w:type="dxa"/>
            <w:vAlign w:val="bottom"/>
          </w:tcPr>
          <w:p>
            <w:pPr>
              <w:spacing w:after="0"/>
              <w:rPr>
                <w:sz w:val="20"/>
                <w:szCs w:val="20"/>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1,170,000</w:t>
            </w:r>
          </w:p>
        </w:tc>
        <w:tc>
          <w:tcPr>
            <w:tcW w:w="260" w:type="dxa"/>
            <w:vAlign w:val="bottom"/>
          </w:tcPr>
          <w:p>
            <w:pPr>
              <w:spacing w:after="0"/>
              <w:rPr>
                <w:sz w:val="20"/>
                <w:szCs w:val="20"/>
                <w:color w:val="auto"/>
              </w:rPr>
            </w:pPr>
          </w:p>
        </w:tc>
        <w:tc>
          <w:tcPr>
            <w:tcW w:w="220" w:type="dxa"/>
            <w:vAlign w:val="bottom"/>
          </w:tcPr>
          <w:p>
            <w:pPr>
              <w:jc w:val="right"/>
              <w:ind w:right="17"/>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(336 )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(734,166 )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435,505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Unrealized gains on 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(238 )</w:t>
            </w: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RSU</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Employee withholdings ESPP</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Prefunded warrants, exercise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771,133</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163,037</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(44,615 )</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(44,615 )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000" w:type="dxa"/>
            <w:vAlign w:val="bottom"/>
          </w:tcPr>
          <w:p>
            <w:pPr>
              <w:jc w:val="right"/>
              <w:spacing w:after="0"/>
              <w:rPr>
                <w:sz w:val="20"/>
                <w:szCs w:val="20"/>
                <w:color w:val="auto"/>
              </w:rPr>
            </w:pPr>
            <w:r>
              <w:rPr>
                <w:rFonts w:ascii="Arial" w:cs="Arial" w:eastAsia="Arial" w:hAnsi="Arial"/>
                <w:sz w:val="18"/>
                <w:szCs w:val="18"/>
                <w:color w:val="auto"/>
              </w:rPr>
              <w:t>69,431,198</w:t>
            </w:r>
          </w:p>
        </w:tc>
        <w:tc>
          <w:tcPr>
            <w:tcW w:w="260" w:type="dxa"/>
            <w:vAlign w:val="bottom"/>
          </w:tcPr>
          <w:p>
            <w:pPr>
              <w:spacing w:after="0"/>
              <w:rPr>
                <w:sz w:val="20"/>
                <w:szCs w:val="20"/>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1,179,389</w:t>
            </w:r>
          </w:p>
        </w:tc>
        <w:tc>
          <w:tcPr>
            <w:tcW w:w="260" w:type="dxa"/>
            <w:vAlign w:val="bottom"/>
          </w:tcPr>
          <w:p>
            <w:pPr>
              <w:spacing w:after="0"/>
              <w:rPr>
                <w:sz w:val="20"/>
                <w:szCs w:val="20"/>
                <w:color w:val="auto"/>
              </w:rPr>
            </w:pPr>
          </w:p>
        </w:tc>
        <w:tc>
          <w:tcPr>
            <w:tcW w:w="220" w:type="dxa"/>
            <w:vAlign w:val="bottom"/>
          </w:tcPr>
          <w:p>
            <w:pPr>
              <w:jc w:val="right"/>
              <w:ind w:right="17"/>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(574 )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(778,781 )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-1456690</wp:posOffset>
            </wp:positionV>
            <wp:extent cx="857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-1456690</wp:posOffset>
            </wp:positionV>
            <wp:extent cx="857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-1456690</wp:posOffset>
            </wp:positionV>
            <wp:extent cx="8572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-1456690</wp:posOffset>
            </wp:positionV>
            <wp:extent cx="8572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-1456690</wp:posOffset>
            </wp:positionV>
            <wp:extent cx="857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-1456690</wp:posOffset>
            </wp:positionV>
            <wp:extent cx="8572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-187960</wp:posOffset>
            </wp:positionV>
            <wp:extent cx="8572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-187960</wp:posOffset>
            </wp:positionV>
            <wp:extent cx="8572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8572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8572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8572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six months ended June 30,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000" w:type="dxa"/>
            <w:vAlign w:val="bottom"/>
            <w:gridSpan w:val="3"/>
            <w:vMerge w:val="restart"/>
          </w:tcPr>
          <w:p>
            <w:pPr>
              <w:jc w:val="center"/>
              <w:ind w:left="114"/>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2"/>
                <w:szCs w:val="12"/>
                <w:color w:val="auto"/>
              </w:rPr>
            </w:pPr>
          </w:p>
        </w:tc>
        <w:tc>
          <w:tcPr>
            <w:tcW w:w="122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76"/>
              </w:rPr>
              <w:t>e</w:t>
            </w:r>
          </w:p>
        </w:tc>
        <w:tc>
          <w:tcPr>
            <w:tcW w:w="122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000" w:type="dxa"/>
            <w:vAlign w:val="bottom"/>
            <w:gridSpan w:val="3"/>
          </w:tcPr>
          <w:p>
            <w:pPr>
              <w:jc w:val="center"/>
              <w:ind w:left="114"/>
              <w:spacing w:after="0" w:line="149" w:lineRule="exact"/>
              <w:rPr>
                <w:sz w:val="20"/>
                <w:szCs w:val="20"/>
                <w:color w:val="auto"/>
              </w:rPr>
            </w:pPr>
            <w:r>
              <w:rPr>
                <w:rFonts w:ascii="Arial" w:cs="Arial" w:eastAsia="Arial" w:hAnsi="Arial"/>
                <w:sz w:val="14"/>
                <w:szCs w:val="14"/>
                <w:b w:val="1"/>
                <w:bCs w:val="1"/>
                <w:color w:val="auto"/>
                <w:w w:val="94"/>
              </w:rPr>
              <w:t>$0.0001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50"/>
              <w:spacing w:after="0" w:line="149" w:lineRule="exact"/>
              <w:rPr>
                <w:sz w:val="20"/>
                <w:szCs w:val="20"/>
                <w:color w:val="auto"/>
              </w:rPr>
            </w:pPr>
            <w:r>
              <w:rPr>
                <w:rFonts w:ascii="Arial" w:cs="Arial" w:eastAsia="Arial" w:hAnsi="Arial"/>
                <w:sz w:val="14"/>
                <w:szCs w:val="14"/>
                <w:b w:val="1"/>
                <w:bCs w:val="1"/>
                <w:color w:val="auto"/>
                <w:w w:val="94"/>
              </w:rPr>
              <w:t>Income /</w:t>
            </w:r>
          </w:p>
        </w:tc>
        <w:tc>
          <w:tcPr>
            <w:tcW w:w="1220" w:type="dxa"/>
            <w:vAlign w:val="bottom"/>
            <w:gridSpan w:val="3"/>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00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0"/>
              </w:rPr>
              <w:t>(Loss)</w:t>
            </w:r>
          </w:p>
        </w:tc>
        <w:tc>
          <w:tcPr>
            <w:tcW w:w="200" w:type="dxa"/>
            <w:vAlign w:val="bottom"/>
          </w:tcPr>
          <w:p>
            <w:pPr>
              <w:spacing w:after="0"/>
              <w:rPr>
                <w:sz w:val="16"/>
                <w:szCs w:val="16"/>
                <w:color w:val="auto"/>
              </w:rPr>
            </w:pPr>
          </w:p>
        </w:tc>
        <w:tc>
          <w:tcPr>
            <w:tcW w:w="10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54,983,105</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952,019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7"/>
              </w:rPr>
              <w:t>(543,702 )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408,368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Stock purchase under ESPP</w:t>
            </w:r>
          </w:p>
        </w:tc>
        <w:tc>
          <w:tcPr>
            <w:tcW w:w="1000" w:type="dxa"/>
            <w:vAlign w:val="bottom"/>
          </w:tcPr>
          <w:p>
            <w:pPr>
              <w:jc w:val="right"/>
              <w:spacing w:after="0"/>
              <w:rPr>
                <w:sz w:val="20"/>
                <w:szCs w:val="20"/>
                <w:color w:val="auto"/>
              </w:rPr>
            </w:pPr>
            <w:r>
              <w:rPr>
                <w:rFonts w:ascii="Arial" w:cs="Arial" w:eastAsia="Arial" w:hAnsi="Arial"/>
                <w:sz w:val="18"/>
                <w:szCs w:val="18"/>
                <w:color w:val="auto"/>
              </w:rPr>
              <w:t>18,946</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Unrealized loss on short-term 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(685 )</w:t>
            </w:r>
          </w:p>
        </w:tc>
        <w:tc>
          <w:tcPr>
            <w:tcW w:w="200" w:type="dxa"/>
            <w:vAlign w:val="bottom"/>
          </w:tcPr>
          <w:p>
            <w:pPr>
              <w:spacing w:after="0"/>
              <w:rPr>
                <w:sz w:val="20"/>
                <w:szCs w:val="20"/>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withholdings ESPP</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28,839</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(37,169 )</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(37,169 )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Balance as of March 31, 2022</w:t>
            </w:r>
          </w:p>
        </w:tc>
        <w:tc>
          <w:tcPr>
            <w:tcW w:w="1000" w:type="dxa"/>
            <w:vAlign w:val="bottom"/>
          </w:tcPr>
          <w:p>
            <w:pPr>
              <w:jc w:val="right"/>
              <w:spacing w:after="0"/>
              <w:rPr>
                <w:sz w:val="20"/>
                <w:szCs w:val="20"/>
                <w:color w:val="auto"/>
              </w:rPr>
            </w:pPr>
            <w:r>
              <w:rPr>
                <w:rFonts w:ascii="Arial" w:cs="Arial" w:eastAsia="Arial" w:hAnsi="Arial"/>
                <w:sz w:val="18"/>
                <w:szCs w:val="18"/>
                <w:color w:val="auto"/>
              </w:rPr>
              <w:t>55,030,890</w:t>
            </w:r>
          </w:p>
        </w:tc>
        <w:tc>
          <w:tcPr>
            <w:tcW w:w="260" w:type="dxa"/>
            <w:vAlign w:val="bottom"/>
          </w:tcPr>
          <w:p>
            <w:pPr>
              <w:spacing w:after="0"/>
              <w:rPr>
                <w:sz w:val="20"/>
                <w:szCs w:val="20"/>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956,054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(640 )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(580,871 )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374,549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ATM sales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1,111,111</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on short-term investments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(695 )</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(695 )</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Employee withholdings ESPP</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257,733</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(37,572 )</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(37,572 )</w:t>
            </w:r>
          </w:p>
        </w:tc>
        <w:tc>
          <w:tcPr>
            <w:tcW w:w="0" w:type="dxa"/>
            <w:vAlign w:val="bottom"/>
          </w:tcPr>
          <w:p>
            <w:pPr>
              <w:spacing w:after="0"/>
              <w:rPr>
                <w:sz w:val="1"/>
                <w:szCs w:val="1"/>
                <w:color w:val="auto"/>
              </w:rPr>
            </w:pPr>
          </w:p>
        </w:tc>
      </w:tr>
      <w:tr>
        <w:trPr>
          <w:trHeight w:val="27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June 30, 2022</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56,399,734</w:t>
            </w:r>
          </w:p>
        </w:tc>
        <w:tc>
          <w:tcPr>
            <w:tcW w:w="2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981,712</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(618,443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361,940</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-1302385</wp:posOffset>
            </wp:positionV>
            <wp:extent cx="8572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-1302385</wp:posOffset>
            </wp:positionV>
            <wp:extent cx="857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-1302385</wp:posOffset>
            </wp:positionV>
            <wp:extent cx="85725"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-1302385</wp:posOffset>
            </wp:positionV>
            <wp:extent cx="8572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-1302385</wp:posOffset>
            </wp:positionV>
            <wp:extent cx="8572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-1302385</wp:posOffset>
            </wp:positionV>
            <wp:extent cx="8572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85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March 2021, the Company entered into a sales agreement with Cowen and Company, LLC (“TD Cowen”) under which the Company could, from time to time, issue and sell shares of its common stock having aggregate sales proceeds of up to $75.0 million, in a series of one or more At-the-Market (“ATM”) equity offerings (the “2021 ATM Program”). On May 26, 2023, the Company terminated the 2021 ATM Program. Prior to termination the Company sold shares for aggregate proceeds of approximately $25.0 million.</w:t>
      </w:r>
    </w:p>
    <w:p>
      <w:pPr>
        <w:spacing w:after="0" w:line="18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 May 2023, the Company entered into a new sales agreement with TD Cowen under which the Company could, from time to time, issue and sell shares of its common stock having aggregate sales proceeds of up to $200.0 million, in a series of one or more ATM equity offerings (the “2023 ATM Program”). TD Cowen is not required to sell any specific share amounts but acts as the Company’s sales agent, using commercially reasonable efforts consistent with its normal trading and sales practices. Pursuant to the sales agreement, shares will be sold pursuant to the previous shelf registration statement on Form S-3ASR (Registration No.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ind w:right="100"/>
        <w:spacing w:after="0" w:line="263" w:lineRule="auto"/>
        <w:rPr>
          <w:sz w:val="20"/>
          <w:szCs w:val="20"/>
          <w:color w:val="auto"/>
        </w:rPr>
      </w:pPr>
      <w:r>
        <w:rPr>
          <w:rFonts w:ascii="Arial" w:cs="Arial" w:eastAsia="Arial" w:hAnsi="Arial"/>
          <w:sz w:val="18"/>
          <w:szCs w:val="18"/>
          <w:color w:val="auto"/>
        </w:rPr>
        <w:t>333-254661), which became automatically effective upon the filing on March 24, 2021. The Company’s common stock will be sold at prevailing market prices at the time of the sale, and as a result, prices may vary. For the period ended June 30, 2023, the Company sold no shares of common stock under the 2023 ATM Program.</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December 2021, the Company issued 3,802,144 shares of common stock and granted pre-funded warrants to purchase 1,142,856 shares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offering price for the securities was $17.50 per share or $17.4999 for each pre-funded warrant, with net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$81.2 million. On April 12, 2023, 273,000 pre-funded warrants were exercised for 272,996 shares of common stock, under a cashless exercise. On May 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2023, 498,142 pre-funded warrants were exercised for 498,137 shares of common stock, under a cashless exercise. As of June 30, 2023, 285,714 pre-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funded warrants were outstanding.</w:t>
      </w:r>
    </w:p>
    <w:p>
      <w:pPr>
        <w:spacing w:after="0" w:line="21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December 2021, in connection with the Incyte License and the Incyte Share Purchase Agreement, the Company issued 1,421,523 shares of common stock, with net proceeds of approximately $35.0 million. The Company recorded the equity issuance at a fair value of $24.8 million based on the market price of the stock on the date of issuance.</w:t>
      </w:r>
    </w:p>
    <w:p>
      <w:pPr>
        <w:spacing w:after="0" w:line="18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 December 2022, the Company issued 7,840,909 shares of common stock in a public offering. The offering price for the securities was $22.00 per share, with net proceeds of approximately $162.0 million.</w:t>
      </w:r>
    </w:p>
    <w:p>
      <w:pPr>
        <w:spacing w:after="0" w:line="170"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60" w:type="dxa"/>
            <w:vAlign w:val="bottom"/>
          </w:tcPr>
          <w:p>
            <w:pPr>
              <w:spacing w:after="0"/>
              <w:rPr>
                <w:sz w:val="20"/>
                <w:szCs w:val="20"/>
                <w:color w:val="auto"/>
              </w:rPr>
            </w:pPr>
          </w:p>
        </w:tc>
        <w:tc>
          <w:tcPr>
            <w:tcW w:w="32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Pr>
          <w:p>
            <w:pPr>
              <w:spacing w:after="0"/>
              <w:rPr>
                <w:sz w:val="20"/>
                <w:szCs w:val="20"/>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issuable under pre-funded warrants</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285,714</w:t>
            </w:r>
          </w:p>
        </w:tc>
        <w:tc>
          <w:tcPr>
            <w:tcW w:w="140" w:type="dxa"/>
            <w:vAlign w:val="bottom"/>
            <w:shd w:val="clear" w:color="auto" w:fill="CFF0FC"/>
          </w:tcPr>
          <w:p>
            <w:pPr>
              <w:spacing w:after="0"/>
              <w:rPr>
                <w:sz w:val="21"/>
                <w:szCs w:val="2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3240" w:type="dxa"/>
            <w:vAlign w:val="bottom"/>
          </w:tcPr>
          <w:p>
            <w:pPr>
              <w:jc w:val="right"/>
              <w:spacing w:after="0"/>
              <w:rPr>
                <w:sz w:val="20"/>
                <w:szCs w:val="20"/>
                <w:color w:val="auto"/>
              </w:rPr>
            </w:pPr>
            <w:r>
              <w:rPr>
                <w:rFonts w:ascii="Arial" w:cs="Arial" w:eastAsia="Arial" w:hAnsi="Arial"/>
                <w:sz w:val="18"/>
                <w:szCs w:val="18"/>
                <w:color w:val="auto"/>
              </w:rPr>
              <w:t>13,732,675</w:t>
            </w:r>
          </w:p>
        </w:tc>
        <w:tc>
          <w:tcPr>
            <w:tcW w:w="140" w:type="dxa"/>
            <w:vAlign w:val="bottom"/>
          </w:tcPr>
          <w:p>
            <w:pPr>
              <w:spacing w:after="0"/>
              <w:rPr>
                <w:sz w:val="20"/>
                <w:szCs w:val="20"/>
                <w:color w:val="auto"/>
              </w:rPr>
            </w:pPr>
          </w:p>
        </w:tc>
      </w:tr>
      <w:tr>
        <w:trPr>
          <w:trHeight w:val="24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1,750,874</w:t>
            </w:r>
          </w:p>
        </w:tc>
        <w:tc>
          <w:tcPr>
            <w:tcW w:w="140" w:type="dxa"/>
            <w:vAlign w:val="bottom"/>
            <w:shd w:val="clear" w:color="auto" w:fill="CFF0FC"/>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June 30, 2023.</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February 28,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We are a clinical-stage biopharmaceutical company developing an innovative pipeline of cancer therapies. Our two lead product candidates are revumenib (SNDX-5613), and axatilimab (SNDX-6352). 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nucleophosmin 1, also known as NPM1, mutant AML. We are also exploring the use of revumenib as a treatment in solid tumors, specifically its activity in metastatic colorectal cancer. We are developing axatilimab, a monoclonal antibody that blocks the colony stimulating factor 1, or CSF-1 receptor,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spacing w:after="0" w:line="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Except for 2021, we have not been profitable and have incurred losses in each period since our inception in 2005. For the six months ended June 30, 2023 and 2022, we reported a net loss of $85.7 million and $74.7 million, respectively. As of June 30, 2023, we had an accumulated deficit of $778.8 million. As of June 30, 2023, we had cash, cash equivalents and short and long-term investments of $418.3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Revumenib</w:t>
      </w:r>
    </w:p>
    <w:p>
      <w:pPr>
        <w:spacing w:after="0" w:line="117" w:lineRule="exact"/>
        <w:rPr>
          <w:sz w:val="20"/>
          <w:szCs w:val="20"/>
          <w:color w:val="auto"/>
        </w:rPr>
      </w:pPr>
    </w:p>
    <w:p>
      <w:pPr>
        <w:ind w:left="760" w:hanging="378"/>
        <w:spacing w:after="0" w:line="259"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pivotal Phase 2 portion of AUGMENT-101 is enrolling relapsed/refractory (R/R) patients across distinct trial populations: patients with mNPM1 AML, patients with KMT2Ar AML, and patients with KMT2Ar ALL. We expect to share topline data from a pooled analysis of the KMT2Ar cohorts in the third quarter of 2023 and submit a NDA filing by the end of 2023. We also expect to complete enrollment of the mNPM1 AML cohort by year-end 2023.</w:t>
      </w:r>
    </w:p>
    <w:p>
      <w:pPr>
        <w:spacing w:after="0" w:line="78" w:lineRule="exact"/>
        <w:rPr>
          <w:rFonts w:ascii="Arial" w:cs="Arial" w:eastAsia="Arial" w:hAnsi="Arial"/>
          <w:sz w:val="18"/>
          <w:szCs w:val="18"/>
          <w:color w:val="auto"/>
        </w:rPr>
      </w:pPr>
    </w:p>
    <w:p>
      <w:pPr>
        <w:ind w:left="760" w:righ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several trials of revumenib ongoing across the treatment landscape in mNPM1 and KMT2Ar acute leukemias that include the following:</w:t>
      </w:r>
    </w:p>
    <w:p>
      <w:pPr>
        <w:spacing w:after="0" w:line="62" w:lineRule="exact"/>
        <w:rPr>
          <w:sz w:val="20"/>
          <w:szCs w:val="20"/>
          <w:color w:val="auto"/>
        </w:rPr>
      </w:pPr>
    </w:p>
    <w:p>
      <w:pPr>
        <w:ind w:left="1500" w:right="140" w:hanging="369"/>
        <w:spacing w:after="0" w:line="2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BEAT-AML: Evaluating the combination of revumenib with VENCLEXTA® and azacitidine in front-line AML patients, being conducted as part of the Leukemia &amp; Lymphoma Society’s Beat AML® Master Clinical Trial. We expect to receive initial safety data at a potential recommended Phase 2 dose (RP2D) by year-end 2023.</w:t>
      </w:r>
    </w:p>
    <w:p>
      <w:pPr>
        <w:spacing w:after="0" w:line="75" w:lineRule="exact"/>
        <w:rPr>
          <w:rFonts w:ascii="Arial" w:cs="Arial" w:eastAsia="Arial" w:hAnsi="Arial"/>
          <w:sz w:val="18"/>
          <w:szCs w:val="18"/>
          <w:color w:val="auto"/>
        </w:rPr>
      </w:pPr>
    </w:p>
    <w:p>
      <w:pPr>
        <w:ind w:left="1500" w:right="580" w:hanging="369"/>
        <w:spacing w:after="0" w:line="27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SAVE: Evaluating the combination of revumenib with VENCLEXTA® and INQOVI® in R/R AML or mixed phenotype acute leukemias being conducted by investigators from the MD Anderson Cancer Center.</w:t>
      </w:r>
    </w:p>
    <w:p>
      <w:pPr>
        <w:spacing w:after="0" w:line="62" w:lineRule="exact"/>
        <w:rPr>
          <w:rFonts w:ascii="Arial" w:cs="Arial" w:eastAsia="Arial" w:hAnsi="Arial"/>
          <w:sz w:val="18"/>
          <w:szCs w:val="18"/>
          <w:color w:val="auto"/>
        </w:rPr>
      </w:pPr>
    </w:p>
    <w:p>
      <w:pPr>
        <w:ind w:left="1500" w:right="280" w:hanging="369"/>
        <w:spacing w:after="0" w:line="27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AUGMENT-102: Evaluating the combination of revumenib with chemotherapy in patients with R/R acute leukemias. We expect to provide an update on initial safety data along with the RP2D from the trial by year-end 2023.</w:t>
      </w:r>
    </w:p>
    <w:p>
      <w:pPr>
        <w:spacing w:after="0" w:line="62" w:lineRule="exact"/>
        <w:rPr>
          <w:rFonts w:ascii="Arial" w:cs="Arial" w:eastAsia="Arial" w:hAnsi="Arial"/>
          <w:sz w:val="18"/>
          <w:szCs w:val="18"/>
          <w:color w:val="auto"/>
        </w:rPr>
      </w:pPr>
    </w:p>
    <w:p>
      <w:pPr>
        <w:ind w:left="1500" w:right="360" w:hanging="369"/>
        <w:spacing w:after="0" w:line="27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INTERCEPT: Evaluating revumenib as a monotherapy in patients with AML who are minimal residual disease-positive following initial treatment as part of the INTERCEPT AML Master Clinical Trial.</w:t>
      </w:r>
    </w:p>
    <w:p>
      <w:pPr>
        <w:spacing w:after="0" w:line="62" w:lineRule="exact"/>
        <w:rPr>
          <w:rFonts w:ascii="Arial" w:cs="Arial" w:eastAsia="Arial" w:hAnsi="Arial"/>
          <w:sz w:val="18"/>
          <w:szCs w:val="18"/>
          <w:color w:val="auto"/>
        </w:rPr>
      </w:pPr>
    </w:p>
    <w:p>
      <w:pPr>
        <w:ind w:left="760" w:right="5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plan to initiate a trial of revumenib with 7+3 cytarabine and daunorubicin chemotherapy followed by maintenance treatment in newly diagnosed patients with mNPM1 or KMT2Ar acute leukemias by year-end 2023.</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proof-of-concept clinical trial of revumenib in patients with unresectable metastatic microsatellite stable colorectal cancer is enrolling patients, and we expect to provide an update on the Phase 1 trial by year-end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w:t>
      </w:r>
    </w:p>
    <w:p>
      <w:pPr>
        <w:spacing w:after="0" w:line="117" w:lineRule="exact"/>
        <w:rPr>
          <w:sz w:val="20"/>
          <w:szCs w:val="20"/>
          <w:color w:val="auto"/>
        </w:rPr>
      </w:pPr>
    </w:p>
    <w:p>
      <w:pPr>
        <w:ind w:left="760" w:right="20" w:hanging="378"/>
        <w:spacing w:after="0" w:line="286"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July 2023, we and our partner, Incyte, announced positive topline data from the pivotal Phase 2 AGAVE-201 trial of axatilimab, our anti-CSF-1R antibody, in patients with cGVHD following two or more prior lines of therapy. All three dose cohorts, 0.3 mg/kg every two weeks, 1.0 mg/kg every two weeks and 3.0 mg/kg every four weeks, met the primary endpoint by demonstrating overall response rate within the first six months of treatment of 74%, 67% and 50%, respectively (95% Confidence Interval [CI]: [63,83], [55,77] and [39,61], respectively). Responses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were durable and accompanied by 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6" w:name="page17"/>
    <w:bookmarkEnd w:id="16"/>
    <w:p>
      <w:pPr>
        <w:ind w:left="760" w:right="220"/>
        <w:spacing w:after="0" w:line="263" w:lineRule="auto"/>
        <w:rPr>
          <w:sz w:val="20"/>
          <w:szCs w:val="20"/>
          <w:color w:val="auto"/>
        </w:rPr>
      </w:pPr>
      <w:r>
        <w:rPr>
          <w:rFonts w:ascii="Arial" w:cs="Arial" w:eastAsia="Arial" w:hAnsi="Arial"/>
          <w:sz w:val="18"/>
          <w:szCs w:val="18"/>
          <w:color w:val="auto"/>
        </w:rPr>
        <w:t>reduction in symptom burden in a notably advanced and heavily pretreated patient population. Furthermore, axatilimab was generally well tolerated and the most common adverse events were consistent with on target effects and prior trials. Along with Incyte, we expect to submit a BLA filing by year-end 2023, pending agreement from regulatory authorities.</w:t>
      </w:r>
    </w:p>
    <w:p>
      <w:pPr>
        <w:spacing w:after="0" w:line="76"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Along with Incyte, we expect to initiate a trial assessing axatilimab in combination with Jakafi® in cGVHD by year-end 2023.</w:t>
      </w:r>
    </w:p>
    <w:p>
      <w:pPr>
        <w:spacing w:after="0" w:line="117" w:lineRule="exact"/>
        <w:rPr>
          <w:rFonts w:ascii="Arial" w:cs="Arial" w:eastAsia="Arial" w:hAnsi="Arial"/>
          <w:sz w:val="18"/>
          <w:szCs w:val="18"/>
          <w:color w:val="auto"/>
        </w:rPr>
      </w:pPr>
    </w:p>
    <w:p>
      <w:pPr>
        <w:ind w:left="760" w:right="64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to initiate a randomized, double-blind and placebo-controlled Phase 2 trial that assesses the efficacy, safety and tolerability of axatilimab in patients with IPF by year-end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2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current high inflation rates may materially affect our business and operating results by increasing the cost of our clinical trial materials and supplies, driving the Federal Reserve to increase interest rates and increasing our overhead costs. Rising interest rates could make it more difficult for us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 or results of operations to date, ongoing high inflation could increase our operating costs, including our labor costs and research and development costs. These costs may also be negatively impacted due to supply chain constraints, the global geopolitical tension as a result of the ongoing war between Russia and Ukraine, worsening macroeconomic conditions and employee availability and wage increases, which may result in additional stress on our working capital.</w:t>
      </w:r>
    </w:p>
    <w:p>
      <w:pPr>
        <w:spacing w:after="0" w:line="88"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We generated no revenue during the three and six months ended June 30, 2023 and 2022.</w:t>
      </w:r>
    </w:p>
    <w:p>
      <w:pPr>
        <w:spacing w:after="0" w:line="76"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September 2021, we entered into the Incyte Agreements covering the worldwide development and commercialization of axatilimab. We granted Incyte an exclusive license to develop and commercialize axatilimab in the United States and the rest of the world. For the three and six months ended June 30, 2023, no revenue has been recognized under the Incyte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20" w:right="100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7" w:name="page18"/>
    <w:bookmarkEnd w:id="17"/>
    <w:p>
      <w:pPr>
        <w:ind w:right="160" w:firstLine="509"/>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9"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7"/>
          <w:szCs w:val="17"/>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6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6"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further increase in the future as we continue to increase our headcount to support our continued research and development and anticipated commercialization of our product candidates. Additionally, if and when we believe a regulatory approval of the one or more of our product candidates appears likely, we anticipate an increase in payroll and related expenses as a result of our preparation for commercial operations, especially as it relates to the sales and marketing of our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operational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income earned on our cash, cash equivalents and short and long-term investment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(expense), net includes income (expense) consisting of foreign currency gains (losses) on short and long-term investment balances.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 xml:space="preserve">For a discussion of new accounting pronouncements please read </w:t>
      </w:r>
      <w:r>
        <w:rPr>
          <w:rFonts w:ascii="Arial" w:cs="Arial" w:eastAsia="Arial" w:hAnsi="Arial"/>
          <w:sz w:val="18"/>
          <w:szCs w:val="18"/>
          <w:i w:val="1"/>
          <w:iCs w:val="1"/>
          <w:color w:val="auto"/>
        </w:rPr>
        <w:t>Note 3 Summary of Significant Accounting Policies</w:t>
      </w:r>
      <w:r>
        <w:rPr>
          <w:rFonts w:ascii="Arial" w:cs="Arial" w:eastAsia="Arial" w:hAnsi="Arial"/>
          <w:sz w:val="18"/>
          <w:szCs w:val="18"/>
          <w:color w:val="auto"/>
        </w:rPr>
        <w:t>, to our unaudited condensed consolidated financial statements included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69" w:lineRule="exact"/>
        <w:rPr>
          <w:sz w:val="20"/>
          <w:szCs w:val="20"/>
          <w:color w:val="auto"/>
        </w:rPr>
      </w:pPr>
    </w:p>
    <w:p>
      <w:pPr>
        <w:ind w:right="420" w:firstLine="509"/>
        <w:spacing w:after="0" w:line="308" w:lineRule="auto"/>
        <w:rPr>
          <w:sz w:val="20"/>
          <w:szCs w:val="20"/>
          <w:color w:val="auto"/>
        </w:rPr>
      </w:pPr>
      <w:r>
        <w:rPr>
          <w:rFonts w:ascii="Arial" w:cs="Arial" w:eastAsia="Arial" w:hAnsi="Arial"/>
          <w:sz w:val="17"/>
          <w:szCs w:val="17"/>
          <w:color w:val="auto"/>
        </w:rPr>
        <w:t>There have been no material changes to our critical accounting estimates described in the “Management’s Discussion and Analysis of Financial Condition and Results of Operations” contained in our Annual Report on Form 10-K for the fiscal year ended December 31,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jc w:val="right"/>
              <w:ind w:right="74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1500" w:type="dxa"/>
            <w:vAlign w:val="bottom"/>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76"/>
              </w:rPr>
              <w:t>thousands)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34,764</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29,734</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14,914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6,924</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49,678</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37,724</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11,954</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(49,678 </w:t>
            </w:r>
            <w:r>
              <w:rPr>
                <w:rFonts w:ascii="Arial" w:cs="Arial" w:eastAsia="Arial" w:hAnsi="Arial"/>
                <w:sz w:val="18"/>
                <w:szCs w:val="18"/>
                <w:color w:val="auto"/>
                <w:highlight w:val="white"/>
              </w:rPr>
              <w:t>)</w:t>
            </w:r>
          </w:p>
        </w:tc>
        <w:tc>
          <w:tcPr>
            <w:tcW w:w="320" w:type="dxa"/>
            <w:vAlign w:val="bottom"/>
          </w:tcPr>
          <w:p>
            <w:pPr>
              <w:spacing w:after="0"/>
              <w:rPr>
                <w:sz w:val="20"/>
                <w:szCs w:val="20"/>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(37,724 )</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11,954</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color w:val="auto"/>
                <w:highlight w:val="white"/>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(35 )</w:t>
            </w:r>
          </w:p>
        </w:tc>
        <w:tc>
          <w:tcPr>
            <w:tcW w:w="320" w:type="dxa"/>
            <w:vAlign w:val="bottom"/>
          </w:tcPr>
          <w:p>
            <w:pPr>
              <w:spacing w:after="0"/>
              <w:rPr>
                <w:sz w:val="20"/>
                <w:szCs w:val="20"/>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(695 )</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5,191</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491 %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(93 )</w:t>
            </w:r>
          </w:p>
        </w:tc>
        <w:tc>
          <w:tcPr>
            <w:tcW w:w="320" w:type="dxa"/>
            <w:vAlign w:val="bottom"/>
          </w:tcPr>
          <w:p>
            <w:pPr>
              <w:spacing w:after="0"/>
              <w:rPr>
                <w:sz w:val="20"/>
                <w:szCs w:val="20"/>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(31 )</w:t>
            </w:r>
          </w:p>
        </w:tc>
        <w:tc>
          <w:tcPr>
            <w:tcW w:w="4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(62 )</w:t>
            </w: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5,063</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4,911</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(44,615 </w:t>
            </w:r>
            <w:r>
              <w:rPr>
                <w:rFonts w:ascii="Arial" w:cs="Arial" w:eastAsia="Arial" w:hAnsi="Arial"/>
                <w:sz w:val="18"/>
                <w:szCs w:val="18"/>
                <w:color w:val="auto"/>
                <w:highlight w:val="white"/>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(37,572 )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7,043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color w:val="auto"/>
                <w:highlight w:val="white"/>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-1130935</wp:posOffset>
            </wp:positionV>
            <wp:extent cx="8572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-1130935</wp:posOffset>
            </wp:positionV>
            <wp:extent cx="7747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8572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For the three months ended June 30, 2023, our total research and development expenses increased $5.0 million, or 17%, to $34.8 million from $29.7 million for the comparable period in the prior year. The increase in research and development expenses was primarily due to increased employee related expenses of $7.1 million, professional fees of $1.5 million and other expenses of $0.3 million, partially offset by decreased clinical and manufacturing expenses of $3.9 million. Increased employee related activities were primarily due to increased headcount expense of $4.7 million and increased stock compensation of $2.4 million. Decreased clinical and manufacturing expenses were primarily due to decreased axatilimab manufacturing activities of $6.0 million and decreased revumenib manufacturing activities of $4.8 million, partially offset by increased revumenib clinical activities of $3.7 million and increased collaboration costs of $3.2 million. We expect research and development expenses to continue to fluctuate from quarter to quarter depending on the timing of clinical trial activities, clinical manufacturing and other development activities.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9"/>
              </w:rPr>
              <w:t>thousands)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research and development expenses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21,314</w:t>
            </w:r>
          </w:p>
        </w:tc>
        <w:tc>
          <w:tcPr>
            <w:tcW w:w="6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23,688</w:t>
            </w:r>
          </w:p>
        </w:tc>
        <w:tc>
          <w:tcPr>
            <w:tcW w:w="80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(2,374 )</w:t>
            </w: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1"/>
                <w:szCs w:val="2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Internal research and development expenses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6,046</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7,404</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20" w:type="dxa"/>
            <w:vAlign w:val="bottom"/>
          </w:tcPr>
          <w:p>
            <w:pPr>
              <w:spacing w:after="0"/>
              <w:rPr>
                <w:sz w:val="20"/>
                <w:szCs w:val="20"/>
                <w:color w:val="auto"/>
              </w:rPr>
            </w:pPr>
          </w:p>
        </w:tc>
      </w:tr>
      <w:tr>
        <w:trPr>
          <w:trHeight w:val="27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34,764</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29,734</w:t>
            </w:r>
          </w:p>
        </w:tc>
        <w:tc>
          <w:tcPr>
            <w:tcW w:w="3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4"/>
                <w:szCs w:val="24"/>
                <w:color w:val="auto"/>
              </w:rPr>
            </w:pPr>
          </w:p>
        </w:tc>
      </w:tr>
      <w:tr>
        <w:trPr>
          <w:trHeight w:val="419"/>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-385445</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-368300</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-385445</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-368300</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-385445</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-368300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-385445</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-368300</wp:posOffset>
            </wp:positionV>
            <wp:extent cx="85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For the three months ended June 30, 2023, our total general and administrative expenses increased $6.9 million, or 87%, to $14.9 million from $8.0 million for the comparable period in the prior year. The increase in general and administrative expenses was primarily due to increased employee-related expenses of $4.2 million, increased professional fees of $1.5 million and other expenses of $1.2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17" w:lineRule="exact"/>
        <w:rPr>
          <w:sz w:val="20"/>
          <w:szCs w:val="20"/>
          <w:color w:val="auto"/>
        </w:rPr>
      </w:pPr>
    </w:p>
    <w:p>
      <w:pPr>
        <w:jc w:val="both"/>
        <w:ind w:right="100" w:firstLine="509"/>
        <w:spacing w:after="0" w:line="342" w:lineRule="auto"/>
        <w:rPr>
          <w:sz w:val="20"/>
          <w:szCs w:val="20"/>
          <w:color w:val="auto"/>
        </w:rPr>
      </w:pPr>
      <w:r>
        <w:rPr>
          <w:rFonts w:ascii="Arial" w:cs="Arial" w:eastAsia="Arial" w:hAnsi="Arial"/>
          <w:sz w:val="16"/>
          <w:szCs w:val="16"/>
          <w:color w:val="auto"/>
        </w:rPr>
        <w:t>For the three months ended June 30, 2023, interest income increased $4.3 million to $5.2 million from $0.9 million for the comparable period in the prior year primarily due to increased interest rates and an increased average balance on cash equivalents and short and long-term investments.</w:t>
      </w:r>
    </w:p>
    <w:p>
      <w:pPr>
        <w:spacing w:after="0" w:line="16"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For the three months ended June 30, 2023, interest expense decreased $0.7 million to $35 thousand from $0.7 million for the comparable period in the prior year primarily due to the interest expense related to the amended loan agreement, by and between the Company and Hercules Capital, Inc., which was terminated in September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For the three months ended June 30, 2023, other income (expense), net decreased from the comparable period in the prior year primarily due to an increase in foreign currency losses on short and long-term investments.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jc w:val="right"/>
              <w:ind w:right="839"/>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Pr>
          <w:p>
            <w:pPr>
              <w:spacing w:after="0"/>
              <w:rPr>
                <w:sz w:val="16"/>
                <w:szCs w:val="16"/>
                <w:color w:val="auto"/>
              </w:rPr>
            </w:pPr>
          </w:p>
        </w:tc>
        <w:tc>
          <w:tcPr>
            <w:tcW w:w="1500" w:type="dxa"/>
            <w:vAlign w:val="bottom"/>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5"/>
              </w:rPr>
              <w:t>thousands)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68,819</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59,756</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9,063</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26,875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14,827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95,694</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74,583</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21,111</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(95,694 </w:t>
            </w:r>
            <w:r>
              <w:rPr>
                <w:rFonts w:ascii="Arial" w:cs="Arial" w:eastAsia="Arial" w:hAnsi="Arial"/>
                <w:sz w:val="18"/>
                <w:szCs w:val="18"/>
                <w:color w:val="auto"/>
                <w:highlight w:val="white"/>
              </w:rPr>
              <w:t>)</w:t>
            </w:r>
          </w:p>
        </w:tc>
        <w:tc>
          <w:tcPr>
            <w:tcW w:w="320" w:type="dxa"/>
            <w:vAlign w:val="bottom"/>
          </w:tcPr>
          <w:p>
            <w:pPr>
              <w:spacing w:after="0"/>
              <w:rPr>
                <w:sz w:val="20"/>
                <w:szCs w:val="20"/>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8"/>
                <w:szCs w:val="18"/>
                <w:color w:val="auto"/>
              </w:rPr>
              <w:t>(74,583 )</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21,111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color w:val="auto"/>
                <w:highlight w:val="white"/>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(75 )</w:t>
            </w:r>
          </w:p>
        </w:tc>
        <w:tc>
          <w:tcPr>
            <w:tcW w:w="320" w:type="dxa"/>
            <w:vAlign w:val="bottom"/>
          </w:tcPr>
          <w:p>
            <w:pPr>
              <w:spacing w:after="0"/>
              <w:rPr>
                <w:sz w:val="20"/>
                <w:szCs w:val="20"/>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8"/>
                <w:szCs w:val="18"/>
                <w:color w:val="auto"/>
              </w:rPr>
              <w:t>(1,346 )</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10,268</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831 %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(240 )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(325 )</w:t>
            </w: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9,953</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10,111</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(85,741 </w:t>
            </w:r>
            <w:r>
              <w:rPr>
                <w:rFonts w:ascii="Arial" w:cs="Arial" w:eastAsia="Arial" w:hAnsi="Arial"/>
                <w:sz w:val="18"/>
                <w:szCs w:val="18"/>
                <w:color w:val="auto"/>
                <w:highlight w:val="white"/>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39"/>
              <w:spacing w:after="0"/>
              <w:rPr>
                <w:sz w:val="20"/>
                <w:szCs w:val="20"/>
                <w:color w:val="auto"/>
              </w:rPr>
            </w:pPr>
            <w:r>
              <w:rPr>
                <w:rFonts w:ascii="Arial" w:cs="Arial" w:eastAsia="Arial" w:hAnsi="Arial"/>
                <w:sz w:val="18"/>
                <w:szCs w:val="18"/>
                <w:color w:val="auto"/>
              </w:rPr>
              <w:t>(74,741 )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color w:val="auto"/>
                <w:highlight w:val="white"/>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-1130935</wp:posOffset>
            </wp:positionV>
            <wp:extent cx="85725"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-1130935</wp:posOffset>
            </wp:positionV>
            <wp:extent cx="7747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8572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For the six months ended June 30, 2023, our total research and development expenses increased $9.1 million, or 15%, to $68.8 million from $59.8 million for the comparable period in the prior year. The increase in research and development expenses was primarily due to increased employee related expenses of $12.1 million, professional fees of $2.0 million and other expenses of $0.3 million, partially offset by decreased clinical and manufacturing expenses of $5.3 million. Increased employee related activities were primarily due to increased headcount expense of $8.2 million and increased stock compensation of $3.8 million. Decreased clinical and manufacturing expenses were primarily due to decreased axatilimab manufacturing activities of $11.7 million, decreased license fees of $7.8 million and decreased revumenib manufacturing activities of $0.8 million, partially offset by increased collaboration cost reimbursement of $7.9 million and increased revumenib clinical activities of $7.1 million. We expect research and development expenses to continue to fluctuate from quarter to quarter depending on the timing of clinical trial activities, clinical manufacturing and other development activities.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9"/>
              </w:rPr>
              <w:t>thousands)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research and development expenses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24,714</w:t>
            </w:r>
          </w:p>
        </w:tc>
        <w:tc>
          <w:tcPr>
            <w:tcW w:w="6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47,445</w:t>
            </w:r>
          </w:p>
        </w:tc>
        <w:tc>
          <w:tcPr>
            <w:tcW w:w="80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(22,731 )</w:t>
            </w: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-48 %</w:t>
            </w:r>
          </w:p>
        </w:tc>
        <w:tc>
          <w:tcPr>
            <w:tcW w:w="20" w:type="dxa"/>
            <w:vAlign w:val="bottom"/>
          </w:tcPr>
          <w:p>
            <w:pPr>
              <w:spacing w:after="0"/>
              <w:rPr>
                <w:sz w:val="21"/>
                <w:szCs w:val="2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Internal research and development expenses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44,105</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12,311</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31,794</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20" w:type="dxa"/>
            <w:vAlign w:val="bottom"/>
          </w:tcPr>
          <w:p>
            <w:pPr>
              <w:spacing w:after="0"/>
              <w:rPr>
                <w:sz w:val="20"/>
                <w:szCs w:val="20"/>
                <w:color w:val="auto"/>
              </w:rPr>
            </w:pPr>
          </w:p>
        </w:tc>
      </w:tr>
      <w:tr>
        <w:trPr>
          <w:trHeight w:val="27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68,819</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59,756</w:t>
            </w:r>
          </w:p>
        </w:tc>
        <w:tc>
          <w:tcPr>
            <w:tcW w:w="3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9,063</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4"/>
                <w:szCs w:val="24"/>
                <w:color w:val="auto"/>
              </w:rPr>
            </w:pPr>
          </w:p>
        </w:tc>
      </w:tr>
      <w:tr>
        <w:trPr>
          <w:trHeight w:val="419"/>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-385445</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-367665</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-385445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-367665</wp:posOffset>
            </wp:positionV>
            <wp:extent cx="85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-385445</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-367665</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-385445</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-367665</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For the six months ended June 30, 2023, our total general and administrative expenses increased $12.1 million, or 81%, to $26.9 million from $14.8 million for the comparable period in the prior year. The increase in general and administrative expenses was primarily due to increased employee-related expenses of $7.6 million, professional fees of $2.7 million and other expenses of $1.8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17"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For the six months ended June 30, 2023, interest income increased $9.2 million to $10.3 million from $1.1 million for the comparable period in the prior year primarily due to increased interest rates and an increased average balance on cash equivalents and short and long-term investments.</w:t>
      </w:r>
    </w:p>
    <w:p>
      <w:pPr>
        <w:spacing w:after="0" w:line="1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For the six months ended June 30, 2023, interest expense decreased $1.3 million to $0.1 million from $1.4 million for the comparable period in the prior year primarily due to the interest expense related to the amended loan agreement, by and between the Company and Hercules Capital, Inc., which was terminated in September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For the six months ended June 30, 2023, other income (expense), net decreased from the comparable period in the prior year primarily due to an increase in foreign currency losses on short and long-term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As of June 30, 2023, we had cash, cash equivalents and short and long-term investments totaling $418.3 million. Our operations to-date have been primarily financed by net proceeds from public stock offerings, and revenue from our license agreements. We believe that our present cash, cash equivalents and short and long-term investments as of June 30, 2023,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March 2021, we entered into a sales agreement with Cowen and Company, LLC (“TD Cowen”) under which we could, from time to time, issue and sell shares of its common stock having aggregate sales proceeds of up to $75.0 million, in a series of one or more At-the-Market (“ATM”) equity offerings (the “2021 ATM Program”). On May 26, 2023, we terminated the 2021 ATM Program. Prior to termination, we sold shares for aggregate proceeds of approximately $25.0 million.</w:t>
      </w:r>
    </w:p>
    <w:p>
      <w:pPr>
        <w:spacing w:after="0" w:line="7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May 2023, we entered into a new sales agreement with TD Cowen under which we could, from time to time, issue and sell shares of our common stock having aggregate sales proceeds of up to $200.0 million, in a series of one or more ATM equity offerings (the “2023 ATM Program”). TD Cowen is not required to sell any specific share amounts but acts as the Company’s sales agent, using commercially reasonable efforts consistent with its normal trading and sales practices. Pursuant to the sales agreement, shares will be sold to the shelf registration statement on Form S-3ASR (Registration No. 333-254661), which became automatically effective upon the filing on March 24, 2021. The Company’s common stock will be sold at prevailing market prices at the time of the sale, and as a result, prices may vary. For the three months ended June 30, 2023, we did not sell any shares of common stock under the 2023 ATM Program. As of July 27, 2023, the Company had $200.0 million available under the 2023 ATM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believe that our available cash, cash equivalents and short and long-term investments are sufficient to fund existing and planned cash requirements for the next 12 months.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63" w:lineRule="exact"/>
        <w:rPr>
          <w:sz w:val="20"/>
          <w:szCs w:val="20"/>
          <w:color w:val="auto"/>
        </w:rPr>
      </w:pPr>
    </w:p>
    <w:p>
      <w:pPr>
        <w:ind w:right="260" w:firstLine="509"/>
        <w:spacing w:after="0" w:line="255"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1" w:name="page22"/>
    <w:bookmarkEnd w:id="21"/>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20" w:right="320" w:hanging="503"/>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20" w:right="26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disruptions to our supply chain and operations, and associated delays in the manufacturing and supply of our products, which would adversely impact our ability to continue our clinical trial operations.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0"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5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Our material contractual obligations and commitments as of June 30, 2023, primarily relate to our maturities of operating leases for office space and equipment and capital leases for office equipment. As of June 30, 2023, we have $1.2 million payable within 12 months.</w:t>
      </w:r>
    </w:p>
    <w:p>
      <w:pPr>
        <w:spacing w:after="0" w:line="170"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76"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color w:val="auto"/>
        </w:rPr>
        <w:t>We have incurred losses and cumulative negative cash flows from operations since our inception, excluding the year ended December 31, 2021. As of June 30, 2023, we had an accumulated deficit of $778.8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4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r>
      <w:tr>
        <w:trPr>
          <w:trHeight w:val="169"/>
        </w:trPr>
        <w:tc>
          <w:tcPr>
            <w:tcW w:w="7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82"/>
              </w:rPr>
              <w:t>thousands)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w w:val="99"/>
              </w:rPr>
              <w:t>(74,599 )</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(82,237 )</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93,822</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(41,766 )</w:t>
            </w:r>
          </w:p>
        </w:tc>
      </w:tr>
      <w:tr>
        <w:trPr>
          <w:trHeight w:val="243"/>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3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22,277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4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23,021</w:t>
            </w:r>
          </w:p>
        </w:tc>
        <w:tc>
          <w:tcPr>
            <w:tcW w:w="38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(101,726 )</w:t>
            </w:r>
          </w:p>
        </w:tc>
      </w:tr>
      <w:tr>
        <w:trPr>
          <w:trHeight w:val="20"/>
        </w:trPr>
        <w:tc>
          <w:tcPr>
            <w:tcW w:w="7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-187960</wp:posOffset>
            </wp:positionV>
            <wp:extent cx="857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Net cash used in operating activities for the six months ended June 30, 2023, was $74.6 million and consisted of our net loss of $85.7 million adjusted for non-cash items, including stock-based compensation of $14.3 million, an investment accretion of $7.7 million, a net increase in operating assets and liabilities of $4.3 million and an increase in operating lease and depreciation expenses of $0.2 million. The increase in net loss was primarily due to increased clinical trial activities and manufacturing expenses. The net increase in operating assets and liabilities primarily consisted of accounts payable of $6.6 million, increased other payables of $4.0 million and increased prepaids and deposits of $0.5 million, partially offset by decreased accrued expenses and other liabilities of $6.8 million.</w:t>
      </w:r>
    </w:p>
    <w:p>
      <w:pPr>
        <w:spacing w:after="0" w:line="84"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auto"/>
        </w:rPr>
        <w:t>Net cash used in operating activities for the six months ended June 30, 2022, was $82.2 million and consisted of our net loss of $74.7 million adjusted for non-cash items, including stock-based compensation of $7.4 million, a net decrease in operating assets and liabilities of $14.9 million, an investment accretion of $0.3 million, a non-cash interest expense associated with the term loan of $0.3 million and a non-cash operating lease expense of $0.2 million. The increase in net loss was primarily due to increased clinical trial activities and CMC expenses. The net decrease in operating assets and liabilities primarily consisted of increased other receivables of $13.1 million, increased prepayments and deposits of $4.9 million, increased accrued expenses and liabilities of $2.3 million and increased accounts payable of $0.8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Net cash provided by investing activities for the six months ended June 30, 2023, was $93.8 million and was due to $236.4 million of proceeds from the maturities of available-for-sale securities, offset by the purchase of $142.6 million of available for sale securities.</w:t>
      </w:r>
    </w:p>
    <w:p>
      <w:pPr>
        <w:spacing w:after="0" w:line="62" w:lineRule="exact"/>
        <w:rPr>
          <w:sz w:val="20"/>
          <w:szCs w:val="20"/>
          <w:color w:val="auto"/>
        </w:rPr>
      </w:pPr>
    </w:p>
    <w:p>
      <w:pPr>
        <w:ind w:right="360" w:firstLine="509"/>
        <w:spacing w:after="0" w:line="274" w:lineRule="auto"/>
        <w:rPr>
          <w:sz w:val="20"/>
          <w:szCs w:val="20"/>
          <w:color w:val="auto"/>
        </w:rPr>
      </w:pPr>
      <w:r>
        <w:rPr>
          <w:rFonts w:ascii="Arial" w:cs="Arial" w:eastAsia="Arial" w:hAnsi="Arial"/>
          <w:sz w:val="17"/>
          <w:szCs w:val="17"/>
          <w:color w:val="auto"/>
        </w:rPr>
        <w:t>Net cash used in investing activities for the six months ended June 30, 2022, was $41.8 million and was primarily due to the purchase of $164.6 million of available-for-sale securities partially offset by the $122.8 million of proceeds from the maturities of available-for-sale securities.</w:t>
      </w: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2023, was $3.8 million and was due to proceeds from the exercise of stock options of $3.4 million and employee participation in our Employee Stock Purchase Plan of $0.4 million.</w:t>
      </w:r>
    </w:p>
    <w:p>
      <w:pPr>
        <w:spacing w:after="0" w:line="62"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2022, was $22.3 million and was primarily due to proceeds from sales under the 2021 ATM Program, net of discounts and commissions of $19.4 million, proceeds from the exercise of stock of $2.7 million and employee participation in our Employee Stock Purchase Plan of $0.2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June 30, 2023, we had cash and cash equivalents of $97.3 million, consisting of overnight investments, interest-bearing money market funds and commercial paper, and short-term investments of $301.5 million, consisting of commercial paper, treasury and federal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 and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ind w:right="60"/>
        <w:spacing w:after="0" w:line="255" w:lineRule="auto"/>
        <w:rPr>
          <w:sz w:val="20"/>
          <w:szCs w:val="20"/>
          <w:color w:val="auto"/>
        </w:rPr>
      </w:pPr>
      <w:r>
        <w:rPr>
          <w:rFonts w:ascii="Arial" w:cs="Arial" w:eastAsia="Arial" w:hAnsi="Arial"/>
          <w:sz w:val="18"/>
          <w:szCs w:val="18"/>
          <w:color w:val="auto"/>
        </w:rPr>
        <w:t>15d-15(e) under the Securities Exchange Act of 1934, as amended), as of June 30, 2023. Based upon that evaluation, our principal executive officer and principal financial officer concluded that, as of the end of the period covered by this report, our disclosure controls and procedures are effective in ensuring that:</w:t>
      </w:r>
    </w:p>
    <w:p>
      <w:pPr>
        <w:spacing w:after="0" w:line="82" w:lineRule="exact"/>
        <w:rPr>
          <w:sz w:val="20"/>
          <w:szCs w:val="20"/>
          <w:color w:val="auto"/>
        </w:rPr>
      </w:pPr>
    </w:p>
    <w:p>
      <w:pPr>
        <w:ind w:left="900" w:right="580" w:hanging="383"/>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required to be disclosed by us in the reports we file or submit under the Securities Exchange Act is recorded, processed, summarized and reported within the time periods specified in the U.S. Securities and Exchange Commission’s rules and forms; and</w:t>
      </w:r>
    </w:p>
    <w:p>
      <w:pPr>
        <w:spacing w:after="0" w:line="15" w:lineRule="exact"/>
        <w:rPr>
          <w:rFonts w:ascii="Arial" w:cs="Arial" w:eastAsia="Arial" w:hAnsi="Arial"/>
          <w:sz w:val="16"/>
          <w:szCs w:val="16"/>
          <w:color w:val="auto"/>
        </w:rPr>
      </w:pPr>
    </w:p>
    <w:p>
      <w:pPr>
        <w:ind w:left="900" w:right="10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is accumulated and communicated to our management, including our principal executive officer and principal financial officer as appropriate to allow timely decisions regarding required disclosure.</w:t>
      </w:r>
    </w:p>
    <w:p>
      <w:pPr>
        <w:spacing w:after="0" w:line="62" w:lineRule="exact"/>
        <w:rPr>
          <w:sz w:val="20"/>
          <w:szCs w:val="20"/>
          <w:color w:val="auto"/>
        </w:rPr>
      </w:pPr>
    </w:p>
    <w:p>
      <w:pPr>
        <w:ind w:right="260" w:firstLine="509"/>
        <w:spacing w:after="0" w:line="286" w:lineRule="auto"/>
        <w:rPr>
          <w:sz w:val="20"/>
          <w:szCs w:val="20"/>
          <w:color w:val="auto"/>
        </w:rPr>
      </w:pPr>
      <w:r>
        <w:rPr>
          <w:rFonts w:ascii="Arial" w:cs="Arial" w:eastAsia="Arial" w:hAnsi="Arial"/>
          <w:sz w:val="17"/>
          <w:szCs w:val="17"/>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40" w:firstLine="509"/>
        <w:spacing w:after="0" w:line="258"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2023, that has materially affected, or is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2023, we were not party to any material legal or arbitration proceedings. No governmental proceedings are pending or, to our knowledge, contemplated against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unaudited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Selected Risks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business is subject to numerous risks and uncertainties, of which you should be aware before making a decision to invest in our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include, among others, the following:</w:t>
      </w:r>
    </w:p>
    <w:p>
      <w:pPr>
        <w:spacing w:after="0" w:line="103" w:lineRule="exact"/>
        <w:rPr>
          <w:sz w:val="20"/>
          <w:szCs w:val="20"/>
          <w:color w:val="auto"/>
        </w:rPr>
      </w:pPr>
    </w:p>
    <w:p>
      <w:pPr>
        <w:ind w:left="1020" w:right="12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Revumenib has undergone limited clinical testing and we may fail to show that it is well tolerated and provides sufficient clinical benefit for patients.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Axatilimab has undergone limited clinical testing and we may fail to show that it is well tolerated and provides a sufficient clinical benefit for patients.</w:t>
      </w:r>
    </w:p>
    <w:p>
      <w:pPr>
        <w:spacing w:after="0" w:line="62" w:lineRule="exact"/>
        <w:rPr>
          <w:rFonts w:ascii="Arial" w:cs="Arial" w:eastAsia="Arial" w:hAnsi="Arial"/>
          <w:sz w:val="18"/>
          <w:szCs w:val="18"/>
          <w:color w:val="auto"/>
        </w:rPr>
      </w:pPr>
    </w:p>
    <w:p>
      <w:pPr>
        <w:ind w:left="1020" w:right="100" w:hanging="503"/>
        <w:spacing w:after="0" w:line="30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rFonts w:ascii="Arial" w:cs="Arial" w:eastAsia="Arial" w:hAnsi="Arial"/>
          <w:sz w:val="17"/>
          <w:szCs w:val="17"/>
          <w:color w:val="auto"/>
        </w:rPr>
      </w:pPr>
    </w:p>
    <w:p>
      <w:pPr>
        <w:ind w:left="1020" w:right="5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Incyte may fail to perform its obligations as expected under the collaboration or may deprioritize its investment to further develop and commercialize axatilimab.</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or our collaborators are unable to enroll patients in clinical trials, these clinical trials may not be completed on a timely basis or at all.</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to be commercially successful.</w:t>
      </w:r>
    </w:p>
    <w:p>
      <w:pPr>
        <w:spacing w:after="0" w:line="62" w:lineRule="exact"/>
        <w:rPr>
          <w:rFonts w:ascii="Arial" w:cs="Arial" w:eastAsia="Arial" w:hAnsi="Arial"/>
          <w:sz w:val="18"/>
          <w:szCs w:val="18"/>
          <w:color w:val="auto"/>
        </w:rPr>
      </w:pPr>
    </w:p>
    <w:p>
      <w:pPr>
        <w:ind w:left="1020" w:right="100" w:hanging="503"/>
        <w:spacing w:after="0" w:line="286"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117"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ind w:left="1020" w:right="4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incurred net losses since our inception, except 2021, and anticipate that we will continue to incur net losses for the foreseeable future.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117"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stockholders could lose all or part of their investment.</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520" w:firstLine="578"/>
        <w:spacing w:after="0" w:line="311"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41"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our research and development activities, clinical trials and preclinical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revumenib and axatilimab;</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key clinical trial activities, in connection with public health threats or any future geopolitical tensions, such as the ongoing war between Russia and Ukraine;</w:t>
      </w:r>
    </w:p>
    <w:p>
      <w:pPr>
        <w:spacing w:after="0" w:line="62"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 prior to receiving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use of our product candidates to treat various cancer indications and fibrotic diseases;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collaboration partner and of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with respect to our product candidates.</w:t>
      </w:r>
    </w:p>
    <w:p>
      <w:pPr>
        <w:spacing w:after="0" w:line="117" w:lineRule="exact"/>
        <w:rPr>
          <w:sz w:val="20"/>
          <w:szCs w:val="20"/>
          <w:color w:val="auto"/>
        </w:rPr>
      </w:pPr>
    </w:p>
    <w:p>
      <w:pPr>
        <w:ind w:firstLine="578"/>
        <w:spacing w:after="0" w:line="258"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i w:val="1"/>
          <w:iCs w:val="1"/>
          <w:color w:val="auto"/>
        </w:rPr>
        <w:t>Revumenib has undergone limited clinical testing and we may fail to show that it is well tolerated and provides sufficient clinical benefit for patients</w:t>
      </w:r>
      <w:r>
        <w:rPr>
          <w:rFonts w:ascii="Arial" w:cs="Arial" w:eastAsia="Arial" w:hAnsi="Arial"/>
          <w:sz w:val="15"/>
          <w:szCs w:val="15"/>
          <w:i w:val="1"/>
          <w:iCs w:val="1"/>
          <w:color w:val="auto"/>
        </w:rPr>
        <w:t>.</w:t>
      </w:r>
    </w:p>
    <w:p>
      <w:pPr>
        <w:spacing w:after="0" w:line="152" w:lineRule="exact"/>
        <w:rPr>
          <w:sz w:val="20"/>
          <w:szCs w:val="20"/>
          <w:color w:val="auto"/>
        </w:rPr>
      </w:pPr>
    </w:p>
    <w:p>
      <w:pPr>
        <w:ind w:firstLine="584"/>
        <w:spacing w:after="0" w:line="268" w:lineRule="auto"/>
        <w:rPr>
          <w:sz w:val="20"/>
          <w:szCs w:val="20"/>
          <w:color w:val="auto"/>
        </w:rPr>
      </w:pPr>
      <w:r>
        <w:rPr>
          <w:rFonts w:ascii="Arial" w:cs="Arial" w:eastAsia="Arial" w:hAnsi="Arial"/>
          <w:sz w:val="17"/>
          <w:szCs w:val="17"/>
          <w:color w:val="auto"/>
        </w:rPr>
        <w:t>Research suggests that certain acute leukemias, such as lysine methyltransferase 2A rearranged, or KMT2Ar, acute myeloid or lymphoid leukemia (AML or ALL) and nucleophosmin 1, or NPM1, mutant AML, are driven by the interaction of menin, a nuclear protein involved in transcription, with the N-terminus of KMT2A protein. In NPM1 mutant AML the interaction with menin occurs via the wild type KMT2A protein, and in KMT2Ar acute leukemia, the interaction occurs via a mutant form of KMT2A, a fusion protein known as KMT2Ar. KMT2Ar results from a rare, spontaneous fusion between the N-terminus of the KMT2A gene and a host of signaling molecules and nuclear transcription factors. This fusion produces an aberrant transcription program that drives leukemic transformation. In pre-clinical animal models, small molecule inhibitors of the menin-KMT2Ar interaction, such as revumenib, which bind to, and block the interaction of menin with either KMT2A rearranged or wildtype, have demonstrated deep and durable single agent treatment effects in multiple leukemic xenograft models harboring KMT2A fusions or NPM1 mutations. Our strategy for developing revumenib is to conduct a Phase 1/2 clinical trial in r/r patients with KMT2Ar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R/R patients with KMT2Ar ALL, KMT2Ar AML, and NPM1 mutant AML. While we believe that we have established sufficient efficacy to warrant continued development in these indications, we have not yet sufficiently demonstrated a favorable risk-benefit of revumenib in patients.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 has undergone limited clinical testing and we may fail to show that it is well tolerated and provides a clinical benefit for patients.</w:t>
      </w:r>
    </w:p>
    <w:p>
      <w:pPr>
        <w:spacing w:after="0" w:line="140" w:lineRule="exact"/>
        <w:rPr>
          <w:sz w:val="20"/>
          <w:szCs w:val="20"/>
          <w:color w:val="auto"/>
        </w:rPr>
      </w:pPr>
    </w:p>
    <w:p>
      <w:pPr>
        <w:ind w:firstLine="584"/>
        <w:spacing w:after="0" w:line="269" w:lineRule="auto"/>
        <w:rPr>
          <w:sz w:val="20"/>
          <w:szCs w:val="20"/>
          <w:color w:val="auto"/>
        </w:rPr>
      </w:pPr>
      <w:r>
        <w:rPr>
          <w:rFonts w:ascii="Arial" w:cs="Arial" w:eastAsia="Arial" w:hAnsi="Arial"/>
          <w:sz w:val="17"/>
          <w:szCs w:val="17"/>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In 2018, we commenced a Phase 1/2 clinical trial with axatilimab in subjects with active cGVHD who had failed at least two prior lines of therapy. Following our end of Phase 1 meeting with the FDA, we aligned on a regulatory path for axatilimab for the treatment of cGVHD and commenced a pivotal Phase 2 clinical trial, AGAVE-201, to assess the safety and efficacy of different doses and schedules of axatilimab for the treatment of patients with cGVHD. In July 2023, we announced that AGAVE-201 met its primary endpoint across all cohorts and that, along with Incyte, we intend to file a BLA by year-end 2023. While we believe that we have established sufficient efficacy to warrant a BLA filing and continued development in this indication, we may not yet have sufficiently demonstrated a favorable risk-benefit of axatilimab in patients.</w:t>
      </w:r>
    </w:p>
    <w:p>
      <w:pPr>
        <w:spacing w:after="0" w:line="18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38" w:lineRule="exact"/>
        <w:rPr>
          <w:sz w:val="20"/>
          <w:szCs w:val="20"/>
          <w:color w:val="auto"/>
        </w:rPr>
      </w:pPr>
    </w:p>
    <w:p>
      <w:pPr>
        <w:ind w:right="60" w:firstLine="578"/>
        <w:spacing w:after="0" w:line="270" w:lineRule="auto"/>
        <w:rPr>
          <w:sz w:val="20"/>
          <w:szCs w:val="20"/>
          <w:color w:val="auto"/>
        </w:rPr>
      </w:pPr>
      <w:r>
        <w:rPr>
          <w:rFonts w:ascii="Arial" w:cs="Arial" w:eastAsia="Arial" w:hAnsi="Arial"/>
          <w:sz w:val="17"/>
          <w:szCs w:val="17"/>
          <w:color w:val="auto"/>
        </w:rPr>
        <w:t>From time to time, we may publish interim top-line or preliminary data from our clinical trials. For example, in November 2022, we announced interim data from our Phase 1/2 clinical trial of revumenib.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62" w:lineRule="exact"/>
        <w:rPr>
          <w:sz w:val="20"/>
          <w:szCs w:val="20"/>
          <w:color w:val="auto"/>
        </w:rPr>
      </w:pPr>
    </w:p>
    <w:p>
      <w:pPr>
        <w:ind w:right="20" w:firstLine="578"/>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right="140"/>
        <w:spacing w:after="0" w:line="286" w:lineRule="auto"/>
        <w:rPr>
          <w:sz w:val="20"/>
          <w:szCs w:val="20"/>
          <w:color w:val="auto"/>
        </w:rPr>
      </w:pPr>
      <w:r>
        <w:rPr>
          <w:rFonts w:ascii="Arial" w:cs="Arial" w:eastAsia="Arial" w:hAnsi="Arial"/>
          <w:sz w:val="17"/>
          <w:szCs w:val="17"/>
          <w:b w:val="1"/>
          <w:bCs w:val="1"/>
          <w:i w:val="1"/>
          <w:iCs w:val="1"/>
          <w:color w:val="auto"/>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spacing w:after="0" w:line="57" w:lineRule="exact"/>
        <w:rPr>
          <w:sz w:val="20"/>
          <w:szCs w:val="20"/>
          <w:color w:val="auto"/>
        </w:rPr>
      </w:pPr>
    </w:p>
    <w:p>
      <w:pPr>
        <w:ind w:right="520" w:firstLine="578"/>
        <w:spacing w:after="0" w:line="277" w:lineRule="auto"/>
        <w:rPr>
          <w:sz w:val="20"/>
          <w:szCs w:val="20"/>
          <w:color w:val="auto"/>
        </w:rPr>
      </w:pPr>
      <w:r>
        <w:rPr>
          <w:rFonts w:ascii="Arial" w:cs="Arial" w:eastAsia="Arial" w:hAnsi="Arial"/>
          <w:sz w:val="18"/>
          <w:szCs w:val="18"/>
          <w:color w:val="auto"/>
        </w:rPr>
        <w:t>We are subject to numerous risks related to the Incyte Collaboration Agreement to collaborate on the development and commercialization of axatilimab.</w:t>
      </w:r>
    </w:p>
    <w:p>
      <w:pPr>
        <w:spacing w:after="0" w:line="62" w:lineRule="exact"/>
        <w:rPr>
          <w:sz w:val="20"/>
          <w:szCs w:val="20"/>
          <w:color w:val="auto"/>
        </w:rPr>
      </w:pPr>
    </w:p>
    <w:p>
      <w:pPr>
        <w:ind w:right="300" w:firstLine="578"/>
        <w:spacing w:after="0" w:line="296" w:lineRule="auto"/>
        <w:rPr>
          <w:sz w:val="20"/>
          <w:szCs w:val="20"/>
          <w:color w:val="auto"/>
        </w:rPr>
      </w:pPr>
      <w:r>
        <w:rPr>
          <w:rFonts w:ascii="Arial" w:cs="Arial" w:eastAsia="Arial" w:hAnsi="Arial"/>
          <w:sz w:val="16"/>
          <w:szCs w:val="16"/>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53" w:lineRule="exact"/>
        <w:rPr>
          <w:sz w:val="20"/>
          <w:szCs w:val="20"/>
          <w:color w:val="auto"/>
        </w:rPr>
      </w:pPr>
    </w:p>
    <w:p>
      <w:pPr>
        <w:ind w:left="1040" w:right="1040" w:hanging="377"/>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62" w:lineRule="exact"/>
        <w:rPr>
          <w:rFonts w:ascii="Arial" w:cs="Arial" w:eastAsia="Arial" w:hAnsi="Arial"/>
          <w:sz w:val="18"/>
          <w:szCs w:val="18"/>
          <w:color w:val="auto"/>
        </w:rPr>
      </w:pPr>
    </w:p>
    <w:p>
      <w:pPr>
        <w:ind w:left="1040" w:right="280" w:hanging="377"/>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Incyte may change the focus of its development and commercialization efforts or prioritize other programs more highly and, accordingly, reduce the efforts and resources allocated to axatilimab</w:t>
      </w:r>
    </w:p>
    <w:p>
      <w:pPr>
        <w:spacing w:after="0" w:line="62" w:lineRule="exact"/>
        <w:rPr>
          <w:rFonts w:ascii="Arial" w:cs="Arial" w:eastAsia="Arial" w:hAnsi="Arial"/>
          <w:sz w:val="18"/>
          <w:szCs w:val="18"/>
          <w:color w:val="auto"/>
        </w:rPr>
      </w:pPr>
    </w:p>
    <w:p>
      <w:pPr>
        <w:ind w:left="1040" w:right="20" w:hanging="377"/>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Incyte may, within its commercially reasonable discretion, choose not to develop and commercialize axatilimab in all relevant markets or for one or more indications, if at all; and</w:t>
      </w:r>
    </w:p>
    <w:p>
      <w:pPr>
        <w:spacing w:after="0" w:line="62" w:lineRule="exact"/>
        <w:rPr>
          <w:rFonts w:ascii="Arial" w:cs="Arial" w:eastAsia="Arial" w:hAnsi="Arial"/>
          <w:sz w:val="18"/>
          <w:szCs w:val="18"/>
          <w:color w:val="auto"/>
        </w:rPr>
      </w:pPr>
    </w:p>
    <w:p>
      <w:pPr>
        <w:ind w:left="1040" w:right="360" w:hanging="377"/>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cannot ensure that the potential strategic benefits and opportunities expected from this collaboration with be realized on our anticipated timeline or at all.</w:t>
      </w:r>
    </w:p>
    <w:p>
      <w:pPr>
        <w:spacing w:after="0" w:line="170" w:lineRule="exact"/>
        <w:rPr>
          <w:sz w:val="20"/>
          <w:szCs w:val="20"/>
          <w:color w:val="auto"/>
        </w:rPr>
      </w:pPr>
    </w:p>
    <w:p>
      <w:pPr>
        <w:jc w:val="center"/>
        <w:ind w:right="840"/>
        <w:spacing w:after="0" w:line="422" w:lineRule="auto"/>
        <w:rPr>
          <w:sz w:val="20"/>
          <w:szCs w:val="20"/>
          <w:color w:val="auto"/>
        </w:rPr>
      </w:pPr>
      <w:r>
        <w:rPr>
          <w:rFonts w:ascii="Arial" w:cs="Arial" w:eastAsia="Arial" w:hAnsi="Arial"/>
          <w:sz w:val="16"/>
          <w:szCs w:val="16"/>
          <w:b w:val="1"/>
          <w:bCs w:val="1"/>
          <w:i w:val="1"/>
          <w:iCs w:val="1"/>
          <w:color w:val="auto"/>
        </w:rPr>
        <w:t xml:space="preserve">If we or our collaborators are unable to enroll patients in clinical trials, these clinical trials may not be completed on a timely basis or at all. </w:t>
      </w:r>
      <w:r>
        <w:rPr>
          <w:rFonts w:ascii="Arial" w:cs="Arial" w:eastAsia="Arial" w:hAnsi="Arial"/>
          <w:sz w:val="16"/>
          <w:szCs w:val="16"/>
          <w:color w:val="auto"/>
        </w:rPr>
        <w:t>The timely completion of clinical trials largely depends on patient enrollment. Many factors affect patient enrollment, including:</w:t>
      </w:r>
    </w:p>
    <w:p>
      <w:pPr>
        <w:spacing w:after="0" w:line="1"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public health crises, or geopolitical tensions, such as the ongoing war between Russia and Ukraine;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we are pursuing;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8" w:name="page29"/>
    <w:bookmarkEnd w:id="28"/>
    <w:p>
      <w:pPr>
        <w:ind w:left="1020" w:right="11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sales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20" w:right="104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62"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cGMP, current Good Laboratory Practices and current Good Clinical Practices,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74" w:lineRule="exact"/>
        <w:rPr>
          <w:sz w:val="20"/>
          <w:szCs w:val="20"/>
          <w:color w:val="auto"/>
        </w:rPr>
      </w:pPr>
    </w:p>
    <w:p>
      <w:pPr>
        <w:ind w:right="500" w:firstLine="578"/>
        <w:spacing w:after="0" w:line="277" w:lineRule="auto"/>
        <w:rPr>
          <w:sz w:val="20"/>
          <w:szCs w:val="20"/>
          <w:color w:val="auto"/>
        </w:rPr>
      </w:pPr>
      <w:r>
        <w:rPr>
          <w:rFonts w:ascii="Arial" w:cs="Arial" w:eastAsia="Arial" w:hAnsi="Arial"/>
          <w:sz w:val="18"/>
          <w:szCs w:val="18"/>
          <w:color w:val="auto"/>
        </w:rPr>
        <w:t>In addition, our product candidates could fail to receive regulatory approval from the FDA or foreign regulatory authorities for other reasons, including but not limited to:</w:t>
      </w:r>
    </w:p>
    <w:p>
      <w:pPr>
        <w:spacing w:after="0" w:line="62"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demonstrate that our product candidates are effective for their proposed indication and have an acceptable safety profile;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with the design, size, conduct or implementation of our or our collaborators’ trials;</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BLA or other submission or to obtain regulatory approval;</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product supplies or preclinical or clinical testing;</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ind w:firstLine="578"/>
        <w:spacing w:after="0" w:line="289"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 Moreover, if adopted in the form proposed, the recent European Commission proposals to revise the existing EU laws governing authorization of medicinal products may result in a decrease in data and market exclusivity for our product candidates in the EU.</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62" w:lineRule="exact"/>
        <w:rPr>
          <w:sz w:val="20"/>
          <w:szCs w:val="20"/>
          <w:color w:val="auto"/>
        </w:rPr>
      </w:pPr>
    </w:p>
    <w:p>
      <w:pPr>
        <w:ind w:right="120" w:firstLine="578"/>
        <w:spacing w:after="0" w:line="301"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49"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17" w:lineRule="exact"/>
        <w:rPr>
          <w:sz w:val="20"/>
          <w:szCs w:val="20"/>
          <w:color w:val="auto"/>
        </w:rPr>
      </w:pPr>
    </w:p>
    <w:p>
      <w:pPr>
        <w:ind w:right="120" w:firstLine="57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rely on third-party suppliers as well as Incyte to manufacture and distribute our clinical drug supplies for our product candidates, we intend to rely on these parties for commercial manufacturing and distribution of our product candidates and we expect to rely on third parties for manufacturing and distribution of preclinical, clinical and commercial supplies of any future product candidates.</w:t>
      </w:r>
    </w:p>
    <w:p>
      <w:pPr>
        <w:spacing w:after="0" w:line="57" w:lineRule="exact"/>
        <w:rPr>
          <w:sz w:val="20"/>
          <w:szCs w:val="20"/>
          <w:color w:val="auto"/>
        </w:rPr>
      </w:pPr>
    </w:p>
    <w:p>
      <w:pPr>
        <w:ind w:right="80" w:firstLine="578"/>
        <w:spacing w:after="0" w:line="255"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ind w:right="340"/>
        <w:spacing w:after="0" w:line="342" w:lineRule="auto"/>
        <w:rPr>
          <w:sz w:val="20"/>
          <w:szCs w:val="20"/>
          <w:color w:val="auto"/>
        </w:rPr>
      </w:pPr>
      <w:r>
        <w:rPr>
          <w:rFonts w:ascii="Arial" w:cs="Arial" w:eastAsia="Arial" w:hAnsi="Arial"/>
          <w:sz w:val="16"/>
          <w:szCs w:val="16"/>
          <w:color w:val="auto"/>
        </w:rPr>
        <w:t>these parties to maintain adequate manufacturing capacity and capabilities to serve our needs, including quality control, quality assurance and qualified personnel. In addition, public health crises, may impact the ability of our existing or future manufacturers to perform their obligations to us.</w:t>
      </w:r>
    </w:p>
    <w:p>
      <w:pPr>
        <w:spacing w:after="0" w:line="16" w:lineRule="exact"/>
        <w:rPr>
          <w:sz w:val="20"/>
          <w:szCs w:val="20"/>
          <w:color w:val="auto"/>
        </w:rPr>
      </w:pPr>
    </w:p>
    <w:p>
      <w:pPr>
        <w:ind w:right="40" w:firstLine="578"/>
        <w:spacing w:after="0" w:line="287" w:lineRule="auto"/>
        <w:rPr>
          <w:sz w:val="20"/>
          <w:szCs w:val="20"/>
          <w:color w:val="auto"/>
        </w:rPr>
      </w:pPr>
      <w:r>
        <w:rPr>
          <w:rFonts w:ascii="Arial" w:cs="Arial" w:eastAsia="Arial" w:hAnsi="Arial"/>
          <w:sz w:val="16"/>
          <w:szCs w:val="16"/>
          <w:color w:val="auto"/>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4"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17"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62" w:lineRule="exact"/>
        <w:rPr>
          <w:sz w:val="20"/>
          <w:szCs w:val="20"/>
          <w:color w:val="auto"/>
        </w:rPr>
      </w:pPr>
    </w:p>
    <w:p>
      <w:pPr>
        <w:ind w:right="40" w:firstLine="578"/>
        <w:spacing w:after="0" w:line="284" w:lineRule="auto"/>
        <w:rPr>
          <w:sz w:val="20"/>
          <w:szCs w:val="20"/>
          <w:color w:val="auto"/>
        </w:rPr>
      </w:pPr>
      <w:r>
        <w:rPr>
          <w:rFonts w:ascii="Arial" w:cs="Arial" w:eastAsia="Arial" w:hAnsi="Arial"/>
          <w:sz w:val="16"/>
          <w:szCs w:val="16"/>
          <w:color w:val="auto"/>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right="660"/>
        <w:spacing w:after="0" w:line="277" w:lineRule="auto"/>
        <w:rPr>
          <w:sz w:val="20"/>
          <w:szCs w:val="20"/>
          <w:color w:val="auto"/>
        </w:rPr>
      </w:pPr>
      <w:r>
        <w:rPr>
          <w:rFonts w:ascii="Arial" w:cs="Arial" w:eastAsia="Arial" w:hAnsi="Arial"/>
          <w:sz w:val="18"/>
          <w:szCs w:val="18"/>
          <w:color w:val="auto"/>
        </w:rPr>
        <w:t>criminal sanctions by the government. Additionally, foreign regulatory authorities will heavily scrutinize advertising and promotion of any product candidate that obtains approval in their respective jurisdictions.</w:t>
      </w:r>
    </w:p>
    <w:p>
      <w:pPr>
        <w:spacing w:after="0" w:line="62" w:lineRule="exact"/>
        <w:rPr>
          <w:sz w:val="20"/>
          <w:szCs w:val="20"/>
          <w:color w:val="auto"/>
        </w:rPr>
      </w:pPr>
    </w:p>
    <w:p>
      <w:pPr>
        <w:ind w:right="60" w:firstLine="578"/>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84"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20" w:right="620" w:hanging="503"/>
        <w:spacing w:after="0" w:line="26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20" w:firstLine="57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spacing w:after="0" w:line="290" w:lineRule="auto"/>
        <w:rPr>
          <w:sz w:val="20"/>
          <w:szCs w:val="20"/>
          <w:color w:val="auto"/>
        </w:rPr>
      </w:pPr>
      <w:r>
        <w:rPr>
          <w:rFonts w:ascii="Arial" w:cs="Arial" w:eastAsia="Arial" w:hAnsi="Arial"/>
          <w:sz w:val="16"/>
          <w:szCs w:val="16"/>
          <w:color w:val="auto"/>
        </w:rPr>
        <w:t>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320" w:firstLine="578"/>
        <w:spacing w:after="0" w:line="291" w:lineRule="auto"/>
        <w:rPr>
          <w:sz w:val="20"/>
          <w:szCs w:val="20"/>
          <w:color w:val="auto"/>
        </w:rPr>
      </w:pPr>
      <w:r>
        <w:rPr>
          <w:rFonts w:ascii="Arial" w:cs="Arial" w:eastAsia="Arial" w:hAnsi="Arial"/>
          <w:sz w:val="16"/>
          <w:szCs w:val="16"/>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several</w:t>
      </w:r>
    </w:p>
    <w:p>
      <w:pPr>
        <w:ind w:right="180"/>
        <w:spacing w:after="0" w:line="232" w:lineRule="auto"/>
        <w:rPr>
          <w:sz w:val="20"/>
          <w:szCs w:val="20"/>
          <w:color w:val="auto"/>
        </w:rPr>
      </w:pPr>
      <w:r>
        <w:rPr>
          <w:rFonts w:ascii="Arial" w:cs="Arial" w:eastAsia="Arial" w:hAnsi="Arial"/>
          <w:sz w:val="17"/>
          <w:szCs w:val="17"/>
          <w:color w:val="auto"/>
        </w:rPr>
        <w:t xml:space="preserve">years, the FDA has approved three drugs, ibrutinib ( </w:t>
      </w:r>
      <w:r>
        <w:rPr>
          <w:rFonts w:ascii="Arial" w:cs="Arial" w:eastAsia="Arial" w:hAnsi="Arial"/>
          <w:sz w:val="17"/>
          <w:szCs w:val="17"/>
          <w:i w:val="1"/>
          <w:iCs w:val="1"/>
          <w:color w:val="auto"/>
        </w:rPr>
        <w:t>Imbruvica</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belomosidil (</w:t>
      </w:r>
      <w:r>
        <w:rPr>
          <w:rFonts w:ascii="Arial" w:cs="Arial" w:eastAsia="Arial" w:hAnsi="Arial"/>
          <w:sz w:val="17"/>
          <w:szCs w:val="17"/>
          <w:i w:val="1"/>
          <w:iCs w:val="1"/>
          <w:color w:val="auto"/>
        </w:rPr>
        <w:t>Rezurock</w:t>
      </w:r>
      <w:r>
        <w:rPr>
          <w:rFonts w:ascii="Arial" w:cs="Arial" w:eastAsia="Arial" w:hAnsi="Arial"/>
          <w:sz w:val="23"/>
          <w:szCs w:val="23"/>
          <w:color w:val="auto"/>
          <w:vertAlign w:val="superscript"/>
        </w:rPr>
        <w:t>®</w:t>
      </w:r>
      <w:r>
        <w:rPr>
          <w:rFonts w:ascii="Arial" w:cs="Arial" w:eastAsia="Arial" w:hAnsi="Arial"/>
          <w:sz w:val="17"/>
          <w:szCs w:val="17"/>
          <w:color w:val="auto"/>
        </w:rPr>
        <w:t>) and ruxolitinib (</w:t>
      </w:r>
      <w:r>
        <w:rPr>
          <w:rFonts w:ascii="Arial" w:cs="Arial" w:eastAsia="Arial" w:hAnsi="Arial"/>
          <w:sz w:val="17"/>
          <w:szCs w:val="17"/>
          <w:i w:val="1"/>
          <w:iCs w:val="1"/>
          <w:color w:val="auto"/>
        </w:rPr>
        <w:t>Jakafi</w:t>
      </w:r>
      <w:r>
        <w:rPr>
          <w:rFonts w:ascii="Arial" w:cs="Arial" w:eastAsia="Arial" w:hAnsi="Arial"/>
          <w:sz w:val="23"/>
          <w:szCs w:val="23"/>
          <w:color w:val="auto"/>
          <w:vertAlign w:val="superscript"/>
        </w:rPr>
        <w:t>®</w:t>
      </w:r>
      <w:r>
        <w:rPr>
          <w:rFonts w:ascii="Arial" w:cs="Arial" w:eastAsia="Arial" w:hAnsi="Arial"/>
          <w:sz w:val="17"/>
          <w:szCs w:val="17"/>
          <w:color w:val="auto"/>
        </w:rPr>
        <w:t>), for use in patients with cGVHD after failure of one or more lines of systemic therapy. All three of these drugs may compete with axatilimab in patients diagnosed with cGVHD.</w:t>
      </w:r>
    </w:p>
    <w:p>
      <w:pPr>
        <w:spacing w:after="0" w:line="95" w:lineRule="exact"/>
        <w:rPr>
          <w:sz w:val="20"/>
          <w:szCs w:val="20"/>
          <w:color w:val="auto"/>
        </w:rPr>
      </w:pPr>
    </w:p>
    <w:p>
      <w:pPr>
        <w:ind w:firstLine="578"/>
        <w:spacing w:after="0" w:line="279" w:lineRule="auto"/>
        <w:rPr>
          <w:sz w:val="20"/>
          <w:szCs w:val="20"/>
          <w:color w:val="auto"/>
        </w:rPr>
      </w:pPr>
      <w:r>
        <w:rPr>
          <w:rFonts w:ascii="Arial" w:cs="Arial" w:eastAsia="Arial" w:hAnsi="Arial"/>
          <w:sz w:val="17"/>
          <w:szCs w:val="17"/>
          <w:color w:val="auto"/>
        </w:rPr>
        <w:t>Revumenib is being developed for the treatment of R/R adult and pediatric patients with KMT2Ar ALL, KMT2Ar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KMT2Ar ALL, KMT2Ar AML and/or NPM1 mutant AML.</w:t>
      </w:r>
    </w:p>
    <w:p>
      <w:pPr>
        <w:spacing w:after="0" w:line="63" w:lineRule="exact"/>
        <w:rPr>
          <w:sz w:val="20"/>
          <w:szCs w:val="20"/>
          <w:color w:val="auto"/>
        </w:rPr>
      </w:pPr>
    </w:p>
    <w:p>
      <w:pPr>
        <w:ind w:right="240" w:firstLine="578"/>
        <w:spacing w:after="0" w:line="291"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20" w:right="5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 relative to marketed products and product candidates in development by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negotiate preferential formulary status for our product candidates.</w:t>
      </w:r>
    </w:p>
    <w:p>
      <w:pPr>
        <w:spacing w:after="0" w:line="117" w:lineRule="exact"/>
        <w:rPr>
          <w:sz w:val="20"/>
          <w:szCs w:val="20"/>
          <w:color w:val="auto"/>
        </w:rPr>
      </w:pPr>
    </w:p>
    <w:p>
      <w:pPr>
        <w:jc w:val="both"/>
        <w:ind w:right="220" w:firstLine="57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17" w:lineRule="exact"/>
        <w:rPr>
          <w:sz w:val="20"/>
          <w:szCs w:val="20"/>
          <w:color w:val="auto"/>
        </w:rPr>
      </w:pPr>
    </w:p>
    <w:p>
      <w:pPr>
        <w:ind w:right="200" w:firstLine="578"/>
        <w:spacing w:after="0" w:line="253" w:lineRule="auto"/>
        <w:rPr>
          <w:sz w:val="20"/>
          <w:szCs w:val="20"/>
          <w:color w:val="auto"/>
        </w:rPr>
      </w:pPr>
      <w:r>
        <w:rPr>
          <w:rFonts w:ascii="Arial" w:cs="Arial" w:eastAsia="Arial" w:hAnsi="Arial"/>
          <w:sz w:val="18"/>
          <w:szCs w:val="18"/>
          <w:color w:val="auto"/>
        </w:rPr>
        <w:t>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ind w:right="640"/>
        <w:spacing w:after="0" w:line="277" w:lineRule="auto"/>
        <w:rPr>
          <w:sz w:val="20"/>
          <w:szCs w:val="20"/>
          <w:color w:val="auto"/>
        </w:rPr>
      </w:pPr>
      <w:r>
        <w:rPr>
          <w:rFonts w:ascii="Arial" w:cs="Arial" w:eastAsia="Arial" w:hAnsi="Arial"/>
          <w:sz w:val="18"/>
          <w:szCs w:val="18"/>
          <w:color w:val="auto"/>
        </w:rPr>
        <w:t>sell axatilimab may be terminated as well. The occurrence of any of these events could adversely affect the development and commercialization of axatilimab, and materially harm our business.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To succeed, 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w:t>
      </w:r>
    </w:p>
    <w:p>
      <w:pPr>
        <w:spacing w:after="0" w:line="70" w:lineRule="exact"/>
        <w:rPr>
          <w:sz w:val="20"/>
          <w:szCs w:val="20"/>
          <w:color w:val="auto"/>
        </w:rPr>
      </w:pPr>
    </w:p>
    <w:p>
      <w:pPr>
        <w:ind w:right="60" w:firstLine="578"/>
        <w:spacing w:after="0" w:line="301"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00" w:firstLine="578"/>
        <w:spacing w:after="0" w:line="293" w:lineRule="auto"/>
        <w:rPr>
          <w:sz w:val="20"/>
          <w:szCs w:val="20"/>
          <w:color w:val="auto"/>
        </w:rPr>
      </w:pPr>
      <w:r>
        <w:rPr>
          <w:rFonts w:ascii="Arial" w:cs="Arial" w:eastAsia="Arial" w:hAnsi="Arial"/>
          <w:sz w:val="16"/>
          <w:szCs w:val="16"/>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w:t>
      </w:r>
    </w:p>
    <w:p>
      <w:pPr>
        <w:spacing w:after="0" w:line="56" w:lineRule="exact"/>
        <w:rPr>
          <w:sz w:val="20"/>
          <w:szCs w:val="20"/>
          <w:color w:val="auto"/>
        </w:rPr>
      </w:pPr>
    </w:p>
    <w:p>
      <w:pPr>
        <w:ind w:right="260" w:firstLine="578"/>
        <w:spacing w:after="0" w:line="263"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6" w:lineRule="exact"/>
        <w:rPr>
          <w:sz w:val="20"/>
          <w:szCs w:val="20"/>
          <w:color w:val="auto"/>
        </w:rPr>
      </w:pPr>
    </w:p>
    <w:p>
      <w:pPr>
        <w:ind w:right="80" w:firstLine="578"/>
        <w:spacing w:after="0" w:line="253" w:lineRule="auto"/>
        <w:rPr>
          <w:sz w:val="20"/>
          <w:szCs w:val="20"/>
          <w:color w:val="auto"/>
        </w:rPr>
      </w:pPr>
      <w:r>
        <w:rPr>
          <w:rFonts w:ascii="Arial" w:cs="Arial" w:eastAsia="Arial" w:hAnsi="Arial"/>
          <w:sz w:val="18"/>
          <w:szCs w:val="18"/>
          <w:color w:val="auto"/>
        </w:rPr>
        <w:t>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4" w:name="page35"/>
    <w:bookmarkEnd w:id="34"/>
    <w:p>
      <w:pPr>
        <w:spacing w:after="0" w:line="259" w:lineRule="auto"/>
        <w:rPr>
          <w:sz w:val="20"/>
          <w:szCs w:val="20"/>
          <w:color w:val="auto"/>
        </w:rPr>
      </w:pPr>
      <w:r>
        <w:rPr>
          <w:rFonts w:ascii="Arial" w:cs="Arial" w:eastAsia="Arial" w:hAnsi="Arial"/>
          <w:sz w:val="18"/>
          <w:szCs w:val="18"/>
          <w:color w:val="auto"/>
        </w:rPr>
        <w:t>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79"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Private payors often follow decisions by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87"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70" w:lineRule="exact"/>
        <w:rPr>
          <w:sz w:val="20"/>
          <w:szCs w:val="20"/>
          <w:color w:val="auto"/>
        </w:rPr>
      </w:pPr>
    </w:p>
    <w:p>
      <w:pPr>
        <w:ind w:right="180" w:firstLine="57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jc w:val="both"/>
        <w:ind w:right="20" w:firstLine="578"/>
        <w:spacing w:after="0" w:line="263"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76" w:lineRule="exact"/>
        <w:rPr>
          <w:sz w:val="20"/>
          <w:szCs w:val="20"/>
          <w:color w:val="auto"/>
        </w:rPr>
      </w:pPr>
    </w:p>
    <w:p>
      <w:pPr>
        <w:jc w:val="both"/>
        <w:ind w:right="300" w:firstLine="578"/>
        <w:spacing w:after="0" w:line="311" w:lineRule="auto"/>
        <w:rPr>
          <w:sz w:val="20"/>
          <w:szCs w:val="20"/>
          <w:color w:val="auto"/>
        </w:rPr>
      </w:pPr>
      <w:r>
        <w:rPr>
          <w:rFonts w:ascii="Arial" w:cs="Arial" w:eastAsia="Arial" w:hAnsi="Arial"/>
          <w:sz w:val="16"/>
          <w:szCs w:val="16"/>
          <w:color w:val="auto"/>
        </w:rPr>
        <w:t>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have been executive, judicial and Congressional challenges to certain aspects of the Affordable Care Act.</w:t>
      </w:r>
    </w:p>
    <w:p>
      <w:pPr>
        <w:spacing w:after="0" w:line="117" w:lineRule="exact"/>
        <w:rPr>
          <w:sz w:val="20"/>
          <w:szCs w:val="20"/>
          <w:color w:val="auto"/>
        </w:rPr>
      </w:pPr>
    </w:p>
    <w:p>
      <w:pPr>
        <w:ind w:right="40" w:firstLine="578"/>
        <w:spacing w:after="0" w:line="288" w:lineRule="auto"/>
        <w:rPr>
          <w:sz w:val="20"/>
          <w:szCs w:val="20"/>
          <w:color w:val="auto"/>
        </w:rPr>
      </w:pPr>
      <w:r>
        <w:rPr>
          <w:rFonts w:ascii="Arial" w:cs="Arial" w:eastAsia="Arial" w:hAnsi="Arial"/>
          <w:sz w:val="16"/>
          <w:szCs w:val="16"/>
          <w:color w:val="auto"/>
        </w:rPr>
        <w:t>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60"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2031 unless additional Congressional action is taken. Under current legislation, the actual reduction in Medicare payments will vary from 1% in 2022 to up to 4% in the final fiscal year of this sequester.</w:t>
      </w:r>
    </w:p>
    <w:p>
      <w:pPr>
        <w:spacing w:after="0" w:line="79" w:lineRule="exact"/>
        <w:rPr>
          <w:sz w:val="20"/>
          <w:szCs w:val="20"/>
          <w:color w:val="auto"/>
        </w:rPr>
      </w:pPr>
    </w:p>
    <w:p>
      <w:pPr>
        <w:ind w:right="100" w:firstLine="578"/>
        <w:spacing w:after="0" w:line="258" w:lineRule="auto"/>
        <w:rPr>
          <w:sz w:val="20"/>
          <w:szCs w:val="20"/>
          <w:color w:val="auto"/>
        </w:rPr>
      </w:pPr>
      <w:r>
        <w:rPr>
          <w:rFonts w:ascii="Arial" w:cs="Arial" w:eastAsia="Arial" w:hAnsi="Arial"/>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ended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5" w:name="page36"/>
    <w:bookmarkEnd w:id="35"/>
    <w:p>
      <w:pPr>
        <w:ind w:right="60"/>
        <w:spacing w:after="0" w:line="263" w:lineRule="auto"/>
        <w:rPr>
          <w:sz w:val="20"/>
          <w:szCs w:val="20"/>
          <w:color w:val="auto"/>
        </w:rPr>
      </w:pPr>
      <w:r>
        <w:rPr>
          <w:rFonts w:ascii="Arial" w:cs="Arial" w:eastAsia="Arial" w:hAnsi="Arial"/>
          <w:sz w:val="18"/>
          <w:szCs w:val="18"/>
          <w:color w:val="auto"/>
        </w:rPr>
        <w:t>the use of the statutory formula and established a quality payment program, also referred to as the Quality Payment Program. In November 2019, CMS issued a final rule finalizing the changes to the Quality Payment Program. At this time, the full impact to overall physician reimbursement as a result of the introduction of the Quality Payment Program remains unclear.</w:t>
      </w:r>
    </w:p>
    <w:p>
      <w:pPr>
        <w:spacing w:after="0" w:line="76" w:lineRule="exact"/>
        <w:rPr>
          <w:sz w:val="20"/>
          <w:szCs w:val="20"/>
          <w:color w:val="auto"/>
        </w:rPr>
      </w:pPr>
    </w:p>
    <w:p>
      <w:pPr>
        <w:ind w:right="60" w:firstLine="578"/>
        <w:spacing w:after="0" w:line="285" w:lineRule="auto"/>
        <w:rPr>
          <w:sz w:val="20"/>
          <w:szCs w:val="20"/>
          <w:color w:val="auto"/>
        </w:rPr>
      </w:pPr>
      <w:r>
        <w:rPr>
          <w:rFonts w:ascii="Arial" w:cs="Arial" w:eastAsia="Arial" w:hAnsi="Arial"/>
          <w:sz w:val="16"/>
          <w:szCs w:val="16"/>
          <w:color w:val="auto"/>
        </w:rPr>
        <w:t>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President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the Secretary of HHS to negotiate the price of certain high-expenditure, single-source drugs and biologics covered under Medicare Part B and Medicare Part D,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These provisions will take effect progressively starting in fiscal year 2023, although they may be subject to legal challenges. Further,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have increasingly passed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8" w:lineRule="exact"/>
        <w:rPr>
          <w:sz w:val="20"/>
          <w:szCs w:val="20"/>
          <w:color w:val="auto"/>
        </w:rPr>
      </w:pPr>
    </w:p>
    <w:p>
      <w:pPr>
        <w:ind w:firstLine="578"/>
        <w:spacing w:after="0" w:line="275" w:lineRule="auto"/>
        <w:rPr>
          <w:sz w:val="20"/>
          <w:szCs w:val="20"/>
          <w:color w:val="auto"/>
        </w:rPr>
      </w:pPr>
      <w:r>
        <w:rPr>
          <w:rFonts w:ascii="Arial" w:cs="Arial" w:eastAsia="Arial" w:hAnsi="Arial"/>
          <w:sz w:val="17"/>
          <w:szCs w:val="17"/>
          <w:color w:val="auto"/>
        </w:rPr>
        <w:t>We expect these and other healthcare reform measures that may be adopted in the future, may result in more rigorous coverage criteria and in additional downward pressure on the price that we receive for any approved drug. For example, based on a recent executive order, the Biden administration expressed its intent to pursue certain policy initiatives to reduce drug prices.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the process of building our sales, marketing and distribution infrastructure.</w:t>
      </w:r>
    </w:p>
    <w:p>
      <w:pPr>
        <w:spacing w:after="0" w:line="117" w:lineRule="exact"/>
        <w:rPr>
          <w:sz w:val="20"/>
          <w:szCs w:val="20"/>
          <w:color w:val="auto"/>
        </w:rPr>
      </w:pPr>
    </w:p>
    <w:p>
      <w:pPr>
        <w:ind w:right="260" w:firstLine="578"/>
        <w:spacing w:after="0" w:line="301" w:lineRule="auto"/>
        <w:rPr>
          <w:sz w:val="20"/>
          <w:szCs w:val="20"/>
          <w:color w:val="auto"/>
        </w:rPr>
      </w:pPr>
      <w:r>
        <w:rPr>
          <w:rFonts w:ascii="Arial" w:cs="Arial" w:eastAsia="Arial" w:hAnsi="Arial"/>
          <w:sz w:val="16"/>
          <w:szCs w:val="16"/>
          <w:color w:val="auto"/>
        </w:rPr>
        <w:t>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49"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organization;</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7" w:lineRule="exact"/>
        <w:rPr>
          <w:rFonts w:ascii="Arial" w:cs="Arial" w:eastAsia="Arial" w:hAnsi="Arial"/>
          <w:sz w:val="18"/>
          <w:szCs w:val="18"/>
          <w:color w:val="auto"/>
        </w:rPr>
      </w:pPr>
    </w:p>
    <w:p>
      <w:pPr>
        <w:ind w:left="1020" w:right="100" w:hanging="503"/>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76" w:lineRule="exact"/>
        <w:rPr>
          <w:sz w:val="20"/>
          <w:szCs w:val="20"/>
          <w:color w:val="auto"/>
        </w:rPr>
      </w:pPr>
    </w:p>
    <w:p>
      <w:pPr>
        <w:ind w:right="200" w:firstLine="57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40" w:lineRule="exact"/>
        <w:rPr>
          <w:sz w:val="20"/>
          <w:szCs w:val="20"/>
          <w:color w:val="auto"/>
        </w:rPr>
      </w:pPr>
    </w:p>
    <w:p>
      <w:pPr>
        <w:ind w:right="180" w:firstLine="578"/>
        <w:spacing w:after="0" w:line="255"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6" w:name="page37"/>
    <w:bookmarkEnd w:id="36"/>
    <w:p>
      <w:pPr>
        <w:ind w:right="60"/>
        <w:spacing w:after="0" w:line="277" w:lineRule="auto"/>
        <w:rPr>
          <w:sz w:val="20"/>
          <w:szCs w:val="20"/>
          <w:color w:val="auto"/>
        </w:rPr>
      </w:pPr>
      <w:r>
        <w:rPr>
          <w:rFonts w:ascii="Arial" w:cs="Arial" w:eastAsia="Arial" w:hAnsi="Arial"/>
          <w:sz w:val="18"/>
          <w:szCs w:val="18"/>
          <w:color w:val="auto"/>
        </w:rPr>
        <w:t>successfully defend ourselves against claims that our product candidates or other products that we may develop caused injuries, we could incur substantial liabilities. Regardless of merit or eventual outcome, liability claims may result in:</w:t>
      </w:r>
    </w:p>
    <w:p>
      <w:pPr>
        <w:spacing w:after="0" w:line="62"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49" w:lineRule="exact"/>
        <w:rPr>
          <w:sz w:val="20"/>
          <w:szCs w:val="20"/>
          <w:color w:val="auto"/>
        </w:rPr>
      </w:pPr>
    </w:p>
    <w:p>
      <w:pPr>
        <w:ind w:right="20" w:firstLine="578"/>
        <w:spacing w:after="0" w:line="275" w:lineRule="auto"/>
        <w:rPr>
          <w:sz w:val="20"/>
          <w:szCs w:val="20"/>
          <w:color w:val="auto"/>
        </w:rPr>
      </w:pPr>
      <w:r>
        <w:rPr>
          <w:rFonts w:ascii="Arial" w:cs="Arial" w:eastAsia="Arial" w:hAnsi="Arial"/>
          <w:sz w:val="17"/>
          <w:szCs w:val="17"/>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8" w:lineRule="exact"/>
        <w:rPr>
          <w:sz w:val="20"/>
          <w:szCs w:val="20"/>
          <w:color w:val="auto"/>
        </w:rPr>
      </w:pPr>
    </w:p>
    <w:p>
      <w:pPr>
        <w:ind w:left="1020" w:right="100" w:hanging="503"/>
        <w:spacing w:after="0" w:line="279"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020" w:hanging="503"/>
        <w:spacing w:after="0" w:line="259"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20" w:right="20" w:hanging="503"/>
        <w:spacing w:after="0" w:line="25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6" w:lineRule="exact"/>
        <w:rPr>
          <w:rFonts w:ascii="Arial" w:cs="Arial" w:eastAsia="Arial" w:hAnsi="Arial"/>
          <w:sz w:val="18"/>
          <w:szCs w:val="18"/>
          <w:color w:val="auto"/>
        </w:rPr>
      </w:pPr>
    </w:p>
    <w:p>
      <w:pPr>
        <w:ind w:left="1020" w:hanging="503"/>
        <w:spacing w:after="0" w:line="286"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identifiable health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37" w:name="page38"/>
    <w:bookmarkEnd w:id="37"/>
    <w:p>
      <w:pPr>
        <w:ind w:left="1020" w:right="60" w:hanging="503"/>
        <w:spacing w:after="0" w:line="273"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69" w:lineRule="exact"/>
        <w:rPr>
          <w:rFonts w:ascii="Arial" w:cs="Arial" w:eastAsia="Arial" w:hAnsi="Arial"/>
          <w:sz w:val="17"/>
          <w:szCs w:val="17"/>
          <w:color w:val="auto"/>
        </w:rPr>
      </w:pPr>
    </w:p>
    <w:p>
      <w:pPr>
        <w:ind w:left="1020" w:hanging="503"/>
        <w:spacing w:after="0" w:line="269"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71" w:lineRule="exact"/>
        <w:rPr>
          <w:sz w:val="20"/>
          <w:szCs w:val="20"/>
          <w:color w:val="auto"/>
        </w:rPr>
      </w:pPr>
    </w:p>
    <w:p>
      <w:pPr>
        <w:ind w:right="60" w:firstLine="578"/>
        <w:spacing w:after="0" w:line="287"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78"/>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we currently offer a hybrid-work environment,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83" w:lineRule="exact"/>
        <w:rPr>
          <w:sz w:val="20"/>
          <w:szCs w:val="20"/>
          <w:color w:val="auto"/>
        </w:rPr>
      </w:pPr>
    </w:p>
    <w:p>
      <w:pPr>
        <w:ind w:right="440" w:firstLine="578"/>
        <w:spacing w:after="0" w:line="258"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ind w:right="200"/>
        <w:spacing w:after="0" w:line="275" w:lineRule="auto"/>
        <w:rPr>
          <w:sz w:val="20"/>
          <w:szCs w:val="20"/>
          <w:color w:val="auto"/>
        </w:rPr>
      </w:pPr>
      <w:r>
        <w:rPr>
          <w:rFonts w:ascii="Arial" w:cs="Arial" w:eastAsia="Arial" w:hAnsi="Arial"/>
          <w:sz w:val="17"/>
          <w:szCs w:val="17"/>
          <w:color w:val="auto"/>
        </w:rPr>
        <w:t>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68"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media platforms and artificial intelligence-based platforms present new risks and challenges to our business.</w:t>
      </w:r>
    </w:p>
    <w:p>
      <w:pPr>
        <w:spacing w:after="0" w:line="11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artificial intelligence, or AI, 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our inception, except 2021, and anticipate that we will continue to incur net losses for the foreseeable future.</w:t>
      </w:r>
    </w:p>
    <w:p>
      <w:pPr>
        <w:spacing w:after="0" w:line="140" w:lineRule="exact"/>
        <w:rPr>
          <w:sz w:val="20"/>
          <w:szCs w:val="20"/>
          <w:color w:val="auto"/>
        </w:rPr>
      </w:pPr>
    </w:p>
    <w:p>
      <w:pPr>
        <w:ind w:firstLine="578"/>
        <w:spacing w:after="0" w:line="253"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ind w:right="80" w:firstLine="509"/>
        <w:spacing w:after="0" w:line="272" w:lineRule="auto"/>
        <w:rPr>
          <w:sz w:val="20"/>
          <w:szCs w:val="20"/>
          <w:color w:val="auto"/>
        </w:rPr>
      </w:pPr>
      <w:r>
        <w:rPr>
          <w:rFonts w:ascii="Arial" w:cs="Arial" w:eastAsia="Arial" w:hAnsi="Arial"/>
          <w:sz w:val="17"/>
          <w:szCs w:val="17"/>
          <w:color w:val="auto"/>
        </w:rPr>
        <w:t>For the quarter ended June 30, 2023, we reported a net loss attributable to stockholders of $44.6 million. As of June 30, 2023, we had an accumulated deficit of $778.8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revenues, if any. Our prior losses and expected future losses have had and will continue to have an adverse effect on our stockholders’ equity and working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jc w:val="both"/>
        <w:ind w:right="120" w:firstLine="578"/>
        <w:spacing w:after="0" w:line="263"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6"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17" w:lineRule="exact"/>
        <w:rPr>
          <w:sz w:val="20"/>
          <w:szCs w:val="20"/>
          <w:color w:val="auto"/>
        </w:rPr>
      </w:pPr>
    </w:p>
    <w:p>
      <w:pPr>
        <w:ind w:right="180" w:firstLine="578"/>
        <w:spacing w:after="0" w:line="275" w:lineRule="auto"/>
        <w:rPr>
          <w:sz w:val="20"/>
          <w:szCs w:val="20"/>
          <w:color w:val="auto"/>
        </w:rPr>
      </w:pPr>
      <w:r>
        <w:rPr>
          <w:rFonts w:ascii="Arial" w:cs="Arial" w:eastAsia="Arial" w:hAnsi="Arial"/>
          <w:sz w:val="17"/>
          <w:szCs w:val="17"/>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68" w:lineRule="exact"/>
        <w:rPr>
          <w:sz w:val="20"/>
          <w:szCs w:val="20"/>
          <w:color w:val="auto"/>
        </w:rPr>
      </w:pPr>
    </w:p>
    <w:p>
      <w:pPr>
        <w:ind w:right="120" w:firstLine="584"/>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6" w:lineRule="exact"/>
        <w:rPr>
          <w:sz w:val="20"/>
          <w:szCs w:val="20"/>
          <w:color w:val="auto"/>
        </w:rPr>
      </w:pPr>
    </w:p>
    <w:p>
      <w:pPr>
        <w:ind w:right="40" w:firstLine="578"/>
        <w:spacing w:after="0" w:line="293"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w:t>
      </w:r>
    </w:p>
    <w:p>
      <w:pPr>
        <w:spacing w:after="0" w:line="56" w:lineRule="exact"/>
        <w:rPr>
          <w:sz w:val="20"/>
          <w:szCs w:val="20"/>
          <w:color w:val="auto"/>
        </w:rPr>
      </w:pPr>
    </w:p>
    <w:p>
      <w:pPr>
        <w:ind w:firstLine="578"/>
        <w:spacing w:after="0" w:line="263"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w:t>
      </w:r>
    </w:p>
    <w:p>
      <w:pPr>
        <w:spacing w:after="0" w:line="76" w:lineRule="exact"/>
        <w:rPr>
          <w:sz w:val="20"/>
          <w:szCs w:val="20"/>
          <w:color w:val="auto"/>
        </w:rPr>
      </w:pPr>
    </w:p>
    <w:p>
      <w:pPr>
        <w:ind w:right="200" w:firstLine="578"/>
        <w:spacing w:after="0" w:line="258" w:lineRule="auto"/>
        <w:rPr>
          <w:sz w:val="20"/>
          <w:szCs w:val="20"/>
          <w:color w:val="auto"/>
        </w:rPr>
      </w:pPr>
      <w:r>
        <w:rPr>
          <w:rFonts w:ascii="Arial" w:cs="Arial" w:eastAsia="Arial" w:hAnsi="Arial"/>
          <w:sz w:val="18"/>
          <w:szCs w:val="18"/>
          <w:color w:val="auto"/>
        </w:rPr>
        <w:t>While the long-term economic impacts associated with public health crises and global geopolitical tensions, like the ongoing war between Russia and Ukraine, are difficult to assess or predict, each of these events has caused significant disruptions to the global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ind w:right="200"/>
        <w:spacing w:after="0" w:line="291" w:lineRule="auto"/>
        <w:rPr>
          <w:sz w:val="20"/>
          <w:szCs w:val="20"/>
          <w:color w:val="auto"/>
        </w:rPr>
      </w:pPr>
      <w:r>
        <w:rPr>
          <w:rFonts w:ascii="Arial" w:cs="Arial" w:eastAsia="Arial" w:hAnsi="Arial"/>
          <w:sz w:val="16"/>
          <w:szCs w:val="16"/>
          <w:color w:val="auto"/>
        </w:rPr>
        <w:t>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spacing w:after="0" w:line="58"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2" w:lineRule="exact"/>
        <w:rPr>
          <w:sz w:val="20"/>
          <w:szCs w:val="20"/>
          <w:color w:val="auto"/>
        </w:rPr>
      </w:pPr>
    </w:p>
    <w:p>
      <w:pPr>
        <w:ind w:right="120" w:firstLine="578"/>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020" w:right="340" w:hanging="503"/>
        <w:spacing w:after="0" w:line="30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20" w:right="28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need to acquire and implement additional internal systems and infrastructure, including compliance and financial and reporting systems, as we grow our company; and</w:t>
      </w:r>
    </w:p>
    <w:p>
      <w:pPr>
        <w:spacing w:after="0" w:line="62" w:lineRule="exact"/>
        <w:rPr>
          <w:rFonts w:ascii="Arial" w:cs="Arial" w:eastAsia="Arial" w:hAnsi="Arial"/>
          <w:sz w:val="18"/>
          <w:szCs w:val="18"/>
          <w:color w:val="auto"/>
        </w:rPr>
      </w:pPr>
    </w:p>
    <w:p>
      <w:pPr>
        <w:ind w:left="1020" w:right="30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or the perception that hostilities may be imminent (such as the ongoing war between Russia and Ukraine), terrorism, natural disasters, including earthquakes, typhoons, floods and fires, or public health crises.</w:t>
      </w:r>
    </w:p>
    <w:p>
      <w:pPr>
        <w:spacing w:after="0" w:line="76"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17" w:lineRule="exact"/>
        <w:rPr>
          <w:sz w:val="20"/>
          <w:szCs w:val="20"/>
          <w:color w:val="auto"/>
        </w:rPr>
      </w:pPr>
    </w:p>
    <w:p>
      <w:pPr>
        <w:ind w:firstLine="578"/>
        <w:spacing w:after="0" w:line="284" w:lineRule="auto"/>
        <w:rPr>
          <w:sz w:val="20"/>
          <w:szCs w:val="20"/>
          <w:color w:val="auto"/>
        </w:rPr>
      </w:pPr>
      <w:r>
        <w:rPr>
          <w:rFonts w:ascii="Arial" w:cs="Arial" w:eastAsia="Arial" w:hAnsi="Arial"/>
          <w:sz w:val="16"/>
          <w:szCs w:val="16"/>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ind w:right="60"/>
        <w:spacing w:after="0" w:line="271" w:lineRule="auto"/>
        <w:rPr>
          <w:sz w:val="20"/>
          <w:szCs w:val="20"/>
          <w:color w:val="auto"/>
        </w:rPr>
      </w:pPr>
      <w:r>
        <w:rPr>
          <w:rFonts w:ascii="Arial" w:cs="Arial" w:eastAsia="Arial" w:hAnsi="Arial"/>
          <w:sz w:val="17"/>
          <w:szCs w:val="17"/>
          <w:color w:val="auto"/>
        </w:rPr>
        <w:t>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7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0"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3" w:lineRule="exact"/>
        <w:rPr>
          <w:sz w:val="20"/>
          <w:szCs w:val="20"/>
          <w:color w:val="auto"/>
        </w:rPr>
      </w:pPr>
    </w:p>
    <w:p>
      <w:pPr>
        <w:ind w:firstLine="578"/>
        <w:spacing w:after="0" w:line="28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ind w:right="280"/>
        <w:spacing w:after="0" w:line="255" w:lineRule="auto"/>
        <w:rPr>
          <w:sz w:val="20"/>
          <w:szCs w:val="20"/>
          <w:color w:val="auto"/>
        </w:rPr>
      </w:pPr>
      <w:r>
        <w:rPr>
          <w:rFonts w:ascii="Arial" w:cs="Arial" w:eastAsia="Arial" w:hAnsi="Arial"/>
          <w:sz w:val="18"/>
          <w:szCs w:val="18"/>
          <w:color w:val="auto"/>
        </w:rPr>
        <w:t>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4" w:lineRule="exact"/>
        <w:rPr>
          <w:sz w:val="20"/>
          <w:szCs w:val="20"/>
          <w:color w:val="auto"/>
        </w:rPr>
      </w:pPr>
    </w:p>
    <w:p>
      <w:pPr>
        <w:ind w:right="100" w:firstLine="57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80" w:lineRule="exact"/>
        <w:rPr>
          <w:sz w:val="20"/>
          <w:szCs w:val="20"/>
          <w:color w:val="auto"/>
        </w:rPr>
      </w:pPr>
    </w:p>
    <w:p>
      <w:pPr>
        <w:ind w:right="60" w:firstLine="578"/>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United States Patent and Trademark Office, or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71"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70"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2036. The actual term of any patents granted based on the pending applications we licensed from UCB can only be determined after such patents are granted.</w:t>
      </w:r>
    </w:p>
    <w:p>
      <w:pPr>
        <w:spacing w:after="0" w:line="87"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granted.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ind w:right="120"/>
        <w:spacing w:after="0" w:line="259" w:lineRule="auto"/>
        <w:rPr>
          <w:sz w:val="20"/>
          <w:szCs w:val="20"/>
          <w:color w:val="auto"/>
        </w:rPr>
      </w:pPr>
      <w:r>
        <w:rPr>
          <w:rFonts w:ascii="Arial" w:cs="Arial" w:eastAsia="Arial" w:hAnsi="Arial"/>
          <w:sz w:val="18"/>
          <w:szCs w:val="18"/>
          <w:color w:val="auto"/>
        </w:rPr>
        <w:t>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79" w:lineRule="exact"/>
        <w:rPr>
          <w:sz w:val="20"/>
          <w:szCs w:val="20"/>
          <w:color w:val="auto"/>
        </w:rPr>
      </w:pPr>
    </w:p>
    <w:p>
      <w:pPr>
        <w:ind w:right="20" w:firstLine="57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70"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2" w:lineRule="exact"/>
        <w:rPr>
          <w:sz w:val="20"/>
          <w:szCs w:val="20"/>
          <w:color w:val="auto"/>
        </w:rPr>
      </w:pPr>
    </w:p>
    <w:p>
      <w:pPr>
        <w:ind w:right="40" w:firstLine="57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70" w:lineRule="exact"/>
        <w:rPr>
          <w:sz w:val="20"/>
          <w:szCs w:val="20"/>
          <w:color w:val="auto"/>
        </w:rPr>
      </w:pPr>
    </w:p>
    <w:p>
      <w:pPr>
        <w:ind w:right="60" w:firstLine="578"/>
        <w:spacing w:after="0" w:line="275"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8" w:lineRule="exact"/>
        <w:rPr>
          <w:sz w:val="20"/>
          <w:szCs w:val="20"/>
          <w:color w:val="auto"/>
        </w:rPr>
      </w:pPr>
    </w:p>
    <w:p>
      <w:pPr>
        <w:ind w:right="20" w:firstLine="57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80" w:lineRule="exact"/>
        <w:rPr>
          <w:sz w:val="20"/>
          <w:szCs w:val="20"/>
          <w:color w:val="auto"/>
        </w:rPr>
      </w:pPr>
    </w:p>
    <w:p>
      <w:pPr>
        <w:ind w:firstLine="578"/>
        <w:spacing w:after="0" w:line="279" w:lineRule="auto"/>
        <w:rPr>
          <w:sz w:val="20"/>
          <w:szCs w:val="20"/>
          <w:color w:val="auto"/>
        </w:rPr>
      </w:pPr>
      <w:r>
        <w:rPr>
          <w:rFonts w:ascii="Arial" w:cs="Arial" w:eastAsia="Arial" w:hAnsi="Arial"/>
          <w:sz w:val="17"/>
          <w:szCs w:val="17"/>
          <w:color w:val="auto"/>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revumenib or if the license agreement is otherwise terminated, we could lose the ability to continue the development and commercialization of revumenib.</w:t>
      </w:r>
    </w:p>
    <w:p>
      <w:pPr>
        <w:spacing w:after="0" w:line="62" w:lineRule="exact"/>
        <w:rPr>
          <w:sz w:val="20"/>
          <w:szCs w:val="20"/>
          <w:color w:val="auto"/>
        </w:rPr>
      </w:pPr>
    </w:p>
    <w:p>
      <w:pPr>
        <w:ind w:right="480" w:firstLine="578"/>
        <w:spacing w:after="0" w:line="258" w:lineRule="auto"/>
        <w:rPr>
          <w:sz w:val="20"/>
          <w:szCs w:val="20"/>
          <w:color w:val="auto"/>
        </w:rPr>
      </w:pPr>
      <w:r>
        <w:rPr>
          <w:rFonts w:ascii="Arial" w:cs="Arial" w:eastAsia="Arial" w:hAnsi="Arial"/>
          <w:sz w:val="18"/>
          <w:szCs w:val="18"/>
          <w:color w:val="auto"/>
        </w:rPr>
        <w:t>Our commercial success depends upon our ability to develop, manufacture, market and sell revumenib. Subject to the achievement of certain milestone events, we may be required to pay Vitae, which is now a subsidiary of AbbVie, up to $99.0 million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4" w:name="page45"/>
    <w:bookmarkEnd w:id="44"/>
    <w:p>
      <w:pPr>
        <w:ind w:right="40"/>
        <w:spacing w:after="0" w:line="257" w:lineRule="auto"/>
        <w:rPr>
          <w:sz w:val="20"/>
          <w:szCs w:val="20"/>
          <w:color w:val="auto"/>
        </w:rPr>
      </w:pPr>
      <w:r>
        <w:rPr>
          <w:rFonts w:ascii="Arial" w:cs="Arial" w:eastAsia="Arial" w:hAnsi="Arial"/>
          <w:sz w:val="18"/>
          <w:szCs w:val="18"/>
          <w:color w:val="auto"/>
        </w:rPr>
        <w:t>in one-time development and regulatory milestone payments over the term of the AbbVie license agreement. In the event that we or any of our affiliates or sublicensees commercializes revumenib, we will also be obligated to pay AbbVie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AbbVie.</w:t>
      </w:r>
    </w:p>
    <w:p>
      <w:pPr>
        <w:spacing w:after="0" w:line="80" w:lineRule="exact"/>
        <w:rPr>
          <w:sz w:val="20"/>
          <w:szCs w:val="20"/>
          <w:color w:val="auto"/>
        </w:rPr>
      </w:pPr>
    </w:p>
    <w:p>
      <w:pPr>
        <w:ind w:firstLine="578"/>
        <w:spacing w:after="0" w:line="257" w:lineRule="auto"/>
        <w:rPr>
          <w:sz w:val="20"/>
          <w:szCs w:val="20"/>
          <w:color w:val="auto"/>
        </w:rPr>
      </w:pPr>
      <w:r>
        <w:rPr>
          <w:rFonts w:ascii="Arial" w:cs="Arial" w:eastAsia="Arial" w:hAnsi="Arial"/>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80"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revumenib have occurred and the last-to-expire relevant patent covering revumenib in a given country may change in the future.</w:t>
      </w:r>
    </w:p>
    <w:p>
      <w:pPr>
        <w:spacing w:after="0" w:line="80" w:lineRule="exact"/>
        <w:rPr>
          <w:sz w:val="20"/>
          <w:szCs w:val="20"/>
          <w:color w:val="auto"/>
        </w:rPr>
      </w:pPr>
    </w:p>
    <w:p>
      <w:pPr>
        <w:ind w:right="80" w:firstLine="57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60" w:firstLine="578"/>
        <w:spacing w:after="0" w:line="257" w:lineRule="auto"/>
        <w:rPr>
          <w:sz w:val="20"/>
          <w:szCs w:val="20"/>
          <w:color w:val="auto"/>
        </w:rPr>
      </w:pPr>
      <w:r>
        <w:rPr>
          <w:rFonts w:ascii="Arial" w:cs="Arial" w:eastAsia="Arial" w:hAnsi="Arial"/>
          <w:sz w:val="18"/>
          <w:szCs w:val="18"/>
          <w:color w:val="auto"/>
        </w:rPr>
        <w:t>We have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0" w:lineRule="exact"/>
        <w:rPr>
          <w:sz w:val="20"/>
          <w:szCs w:val="20"/>
          <w:color w:val="auto"/>
        </w:rPr>
      </w:pPr>
    </w:p>
    <w:p>
      <w:pPr>
        <w:ind w:right="40" w:firstLine="578"/>
        <w:spacing w:after="0" w:line="291" w:lineRule="auto"/>
        <w:rPr>
          <w:sz w:val="20"/>
          <w:szCs w:val="20"/>
          <w:color w:val="auto"/>
        </w:rPr>
      </w:pPr>
      <w:r>
        <w:rPr>
          <w:rFonts w:ascii="Arial" w:cs="Arial" w:eastAsia="Arial" w:hAnsi="Arial"/>
          <w:sz w:val="16"/>
          <w:szCs w:val="16"/>
          <w:color w:val="auto"/>
        </w:rPr>
        <w:t>We are obligated to pay Bayer up to approximately $50.0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58"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70"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9" w:lineRule="exact"/>
        <w:rPr>
          <w:sz w:val="20"/>
          <w:szCs w:val="20"/>
          <w:color w:val="auto"/>
        </w:rPr>
      </w:pPr>
    </w:p>
    <w:p>
      <w:pPr>
        <w:ind w:right="40" w:firstLine="578"/>
        <w:spacing w:after="0" w:line="284"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may weaken our and our licensors’ ability to obtain new patents or to enforce existing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5" w:name="page46"/>
    <w:bookmarkEnd w:id="45"/>
    <w:p>
      <w:pPr>
        <w:spacing w:after="0" w:line="259" w:lineRule="auto"/>
        <w:rPr>
          <w:sz w:val="20"/>
          <w:szCs w:val="20"/>
          <w:color w:val="auto"/>
        </w:rPr>
      </w:pPr>
      <w:r>
        <w:rPr>
          <w:rFonts w:ascii="Arial" w:cs="Arial" w:eastAsia="Arial" w:hAnsi="Arial"/>
          <w:sz w:val="18"/>
          <w:szCs w:val="18"/>
          <w:color w:val="auto"/>
        </w:rPr>
        <w:t>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79"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1"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firstLine="57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right="160" w:firstLine="57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71" w:lineRule="exact"/>
        <w:rPr>
          <w:sz w:val="20"/>
          <w:szCs w:val="20"/>
          <w:color w:val="auto"/>
        </w:rPr>
      </w:pPr>
    </w:p>
    <w:p>
      <w:pPr>
        <w:ind w:right="100" w:firstLine="578"/>
        <w:spacing w:after="0" w:line="266"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ind w:right="60" w:firstLine="57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6"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84"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jc w:val="both"/>
        <w:ind w:right="140" w:firstLine="578"/>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4" w:lineRule="exact"/>
        <w:rPr>
          <w:sz w:val="20"/>
          <w:szCs w:val="20"/>
          <w:color w:val="auto"/>
        </w:rPr>
      </w:pPr>
    </w:p>
    <w:p>
      <w:pPr>
        <w:ind w:right="20" w:firstLine="578"/>
        <w:spacing w:after="0" w:line="263"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76" w:lineRule="exact"/>
        <w:rPr>
          <w:sz w:val="20"/>
          <w:szCs w:val="20"/>
          <w:color w:val="auto"/>
        </w:rPr>
      </w:pPr>
    </w:p>
    <w:p>
      <w:pPr>
        <w:ind w:right="60" w:firstLine="57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7" w:name="page48"/>
    <w:bookmarkEnd w:id="47"/>
    <w:p>
      <w:pPr>
        <w:ind w:left="258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140" w:firstLine="57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20" w:right="70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 including, but not limited to new or ongoing public health crises and the war between Russia and Ukraine.</w:t>
      </w:r>
    </w:p>
    <w:p>
      <w:pPr>
        <w:spacing w:after="0" w:line="62"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share price.</w:t>
      </w:r>
    </w:p>
    <w:p>
      <w:pPr>
        <w:spacing w:after="0" w:line="129" w:lineRule="exact"/>
        <w:rPr>
          <w:sz w:val="20"/>
          <w:szCs w:val="20"/>
          <w:color w:val="auto"/>
        </w:rPr>
      </w:pPr>
    </w:p>
    <w:p>
      <w:pPr>
        <w:ind w:firstLine="562"/>
        <w:spacing w:after="0" w:line="267"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global capital markets. Similarly, the current Russia-Ukraine war exacerbated volatility in the global capital markets and continues to disrupt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 in interest rates could have a material adverse effect on our business, results of operations and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8" w:name="page49"/>
    <w:bookmarkEnd w:id="48"/>
    <w:p>
      <w:pPr>
        <w:ind w:right="90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jc w:val="both"/>
        <w:ind w:right="280" w:firstLine="578"/>
        <w:spacing w:after="0" w:line="257" w:lineRule="auto"/>
        <w:rPr>
          <w:sz w:val="20"/>
          <w:szCs w:val="20"/>
          <w:color w:val="auto"/>
        </w:rPr>
      </w:pPr>
      <w:r>
        <w:rPr>
          <w:rFonts w:ascii="Arial" w:cs="Arial" w:eastAsia="Arial" w:hAnsi="Arial"/>
          <w:sz w:val="18"/>
          <w:szCs w:val="18"/>
          <w:color w:val="auto"/>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in December 2022, we sold a total of 7,840,909 shares of our common stock in a public offering. The issuance of these shares of our common stock resulted, and any future issuance pursuant to sales under the 2023 ATM Program will result, in dilution to our stockholders.</w:t>
      </w:r>
    </w:p>
    <w:p>
      <w:pPr>
        <w:spacing w:after="0" w:line="80" w:lineRule="exact"/>
        <w:rPr>
          <w:sz w:val="20"/>
          <w:szCs w:val="20"/>
          <w:color w:val="auto"/>
        </w:rPr>
      </w:pPr>
    </w:p>
    <w:p>
      <w:pPr>
        <w:ind w:right="140" w:firstLine="578"/>
        <w:spacing w:after="0" w:line="255" w:lineRule="auto"/>
        <w:rPr>
          <w:sz w:val="20"/>
          <w:szCs w:val="20"/>
          <w:color w:val="auto"/>
        </w:rPr>
      </w:pPr>
      <w:r>
        <w:rPr>
          <w:rFonts w:ascii="Arial" w:cs="Arial" w:eastAsia="Arial" w:hAnsi="Arial"/>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84" w:lineRule="exact"/>
        <w:rPr>
          <w:sz w:val="20"/>
          <w:szCs w:val="20"/>
          <w:color w:val="auto"/>
        </w:rPr>
      </w:pPr>
    </w:p>
    <w:p>
      <w:pPr>
        <w:jc w:val="both"/>
        <w:ind w:right="100" w:firstLine="578"/>
        <w:spacing w:after="0" w:line="263"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As of June 30, 2023, our executive officers, directors, and holders of 5% or more of our capital stock and their respective affiliates beneficially owned approximately 40.5%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180" w:firstLine="509"/>
        <w:spacing w:after="0" w:line="286" w:lineRule="auto"/>
        <w:rPr>
          <w:sz w:val="20"/>
          <w:szCs w:val="20"/>
          <w:color w:val="auto"/>
        </w:rPr>
      </w:pPr>
      <w:r>
        <w:rPr>
          <w:rFonts w:ascii="Arial" w:cs="Arial" w:eastAsia="Arial" w:hAnsi="Arial"/>
          <w:sz w:val="16"/>
          <w:szCs w:val="16"/>
          <w:color w:val="auto"/>
        </w:rPr>
        <w:t>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w:t>
      </w:r>
    </w:p>
    <w:p>
      <w:pPr>
        <w:spacing w:after="0" w:line="1" w:lineRule="exact"/>
        <w:rPr>
          <w:sz w:val="20"/>
          <w:szCs w:val="20"/>
          <w:color w:val="auto"/>
        </w:rPr>
      </w:pPr>
    </w:p>
    <w:p>
      <w:pPr>
        <w:ind w:right="100" w:firstLine="8"/>
        <w:spacing w:after="0" w:line="286" w:lineRule="auto"/>
        <w:tabs>
          <w:tab w:leader="none" w:pos="357"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9"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Trading Arrangements</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During our last fiscal quarter, our directors and officers (as defined in Rule 16a-1(f) under the Exchange Act) adopted or terminated the contracts, instructions or written plans for the purchase or sale of our securities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058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058545"/>
                    </a:xfrm>
                    <a:prstGeom prst="rect">
                      <a:avLst/>
                    </a:prstGeom>
                    <a:noFill/>
                  </pic:spPr>
                </pic:pic>
              </a:graphicData>
            </a:graphic>
          </wp:anchor>
        </w:drawing>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500" w:type="dxa"/>
            <w:vAlign w:val="bottom"/>
            <w:tcBorders>
              <w:top w:val="single" w:sz="8" w:color="auto"/>
              <w:bottom w:val="single" w:sz="8" w:color="auto"/>
              <w:right w:val="single" w:sz="8" w:color="auto"/>
            </w:tcBorders>
          </w:tcPr>
          <w:p>
            <w:pPr>
              <w:spacing w:after="0"/>
              <w:rPr>
                <w:sz w:val="22"/>
                <w:szCs w:val="22"/>
                <w:color w:val="auto"/>
              </w:rPr>
            </w:pPr>
          </w:p>
        </w:tc>
        <w:tc>
          <w:tcPr>
            <w:tcW w:w="1540" w:type="dxa"/>
            <w:vAlign w:val="bottom"/>
            <w:tcBorders>
              <w:top w:val="single" w:sz="8" w:color="auto"/>
              <w:bottom w:val="single" w:sz="8" w:color="auto"/>
              <w:right w:val="single" w:sz="8" w:color="auto"/>
            </w:tcBorders>
          </w:tcPr>
          <w:p>
            <w:pPr>
              <w:spacing w:after="0"/>
              <w:rPr>
                <w:sz w:val="22"/>
                <w:szCs w:val="22"/>
                <w:color w:val="auto"/>
              </w:rPr>
            </w:pPr>
          </w:p>
        </w:tc>
        <w:tc>
          <w:tcPr>
            <w:tcW w:w="258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Type of Trading Arrangement</w:t>
            </w:r>
          </w:p>
        </w:tc>
        <w:tc>
          <w:tcPr>
            <w:tcW w:w="1260" w:type="dxa"/>
            <w:vAlign w:val="bottom"/>
            <w:tcBorders>
              <w:top w:val="single" w:sz="8" w:color="auto"/>
              <w:bottom w:val="single" w:sz="8" w:color="auto"/>
            </w:tcBorders>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spacing w:after="0"/>
              <w:rPr>
                <w:sz w:val="22"/>
                <w:szCs w:val="22"/>
                <w:color w:val="auto"/>
              </w:rPr>
            </w:pPr>
          </w:p>
        </w:tc>
        <w:tc>
          <w:tcPr>
            <w:tcW w:w="132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68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Total Shares</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Total Shares of</w:t>
            </w:r>
          </w:p>
        </w:tc>
        <w:tc>
          <w:tcPr>
            <w:tcW w:w="1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of Common</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Adoption/Termina</w:t>
            </w:r>
          </w:p>
        </w:tc>
        <w:tc>
          <w:tcPr>
            <w:tcW w:w="14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Non- Rule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Stock to be</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and Position</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Action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tion Date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Rule 10b5-1*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10b5-1**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Sold</w:t>
            </w:r>
          </w:p>
        </w:tc>
        <w:tc>
          <w:tcPr>
            <w:tcW w:w="16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0" w:type="dxa"/>
            <w:vAlign w:val="bottom"/>
          </w:tcPr>
          <w:p>
            <w:pPr>
              <w:spacing w:after="0"/>
              <w:rPr>
                <w:sz w:val="1"/>
                <w:szCs w:val="1"/>
                <w:color w:val="auto"/>
              </w:rPr>
            </w:pPr>
          </w:p>
        </w:tc>
      </w:tr>
      <w:tr>
        <w:trPr>
          <w:trHeight w:val="215"/>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William Meury</w:t>
            </w:r>
          </w:p>
        </w:tc>
        <w:tc>
          <w:tcPr>
            <w:tcW w:w="15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restart"/>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Director</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Adoption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5/3/2023</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160" w:type="dxa"/>
            <w:vAlign w:val="bottom"/>
            <w:tcBorders>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4/26/2024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0" w:firstLine="8"/>
        <w:spacing w:after="0" w:line="274" w:lineRule="auto"/>
        <w:tabs>
          <w:tab w:leader="none" w:pos="1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Contract, instructions, or written plan intended to satisfy the affirmative defense conditions of Rule 10b5-1(c) under the Exchange Act. ** “Non-Rule 10b5-1 trading arrangement” as defined in Item 408(c) of Regulation S-K under the Exchange Act.</w:t>
      </w: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160" w:type="dxa"/>
            <w:vAlign w:val="bottom"/>
            <w:gridSpan w:val="7"/>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716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FF"/>
                <w:w w:val="94"/>
              </w:rPr>
            </w:pPr>
            <w:hyperlink r:id="rId212">
              <w:r>
                <w:rPr>
                  <w:rFonts w:ascii="Arial" w:cs="Arial" w:eastAsia="Arial" w:hAnsi="Arial"/>
                  <w:sz w:val="18"/>
                  <w:szCs w:val="18"/>
                  <w:color w:val="0000FF"/>
                  <w:w w:val="94"/>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FF"/>
              </w:rPr>
            </w:pPr>
            <w:hyperlink r:id="rId212">
              <w:r>
                <w:rPr>
                  <w:rFonts w:ascii="Arial" w:cs="Arial" w:eastAsia="Arial" w:hAnsi="Arial"/>
                  <w:sz w:val="18"/>
                  <w:szCs w:val="18"/>
                  <w:color w:val="0000FF"/>
                </w:rPr>
                <w:t>Current Report on Form 8-K (File No. 001-37708), as filed with the SEC on March 8, 2016).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FF"/>
                <w:w w:val="92"/>
              </w:rPr>
            </w:pPr>
            <w:hyperlink r:id="rId213">
              <w:r>
                <w:rPr>
                  <w:rFonts w:ascii="Arial" w:cs="Arial" w:eastAsia="Arial" w:hAnsi="Arial"/>
                  <w:sz w:val="18"/>
                  <w:szCs w:val="18"/>
                  <w:color w:val="0000FF"/>
                  <w:w w:val="92"/>
                </w:rPr>
                <w:t>Certificate of Amendment to the Amended and Restated Certificate of Incorporation of the Company (incorporated herein by reference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FF"/>
              </w:rPr>
            </w:pPr>
            <w:hyperlink r:id="rId213">
              <w:r>
                <w:rPr>
                  <w:rFonts w:ascii="Arial" w:cs="Arial" w:eastAsia="Arial" w:hAnsi="Arial"/>
                  <w:sz w:val="18"/>
                  <w:szCs w:val="18"/>
                  <w:color w:val="0000FF"/>
                </w:rPr>
                <w:t>Exhibit 3.1 to the Company’s Current Report on Form 8-K (File No. 001-37708), as filed with the SEC on May 18,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0040" w:type="dxa"/>
            <w:vAlign w:val="bottom"/>
            <w:gridSpan w:val="9"/>
          </w:tcPr>
          <w:p>
            <w:pPr>
              <w:spacing w:after="0"/>
              <w:rPr>
                <w:rFonts w:ascii="Arial" w:cs="Arial" w:eastAsia="Arial" w:hAnsi="Arial"/>
                <w:sz w:val="18"/>
                <w:szCs w:val="18"/>
                <w:color w:val="0000FF"/>
                <w:w w:val="94"/>
              </w:rPr>
            </w:pPr>
            <w:hyperlink r:id="rId214">
              <w:r>
                <w:rPr>
                  <w:rFonts w:ascii="Arial" w:cs="Arial" w:eastAsia="Arial" w:hAnsi="Arial"/>
                  <w:sz w:val="18"/>
                  <w:szCs w:val="18"/>
                  <w:color w:val="0000FF"/>
                  <w:w w:val="94"/>
                </w:rPr>
                <w:t>Amended and Restated Bylaws of the Company (incorporated herein by reference to Exhibit 3.2 to the Company’s Current Report 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30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FF"/>
              </w:rPr>
            </w:pPr>
            <w:hyperlink r:id="rId214">
              <w:r>
                <w:rPr>
                  <w:rFonts w:ascii="Arial" w:cs="Arial" w:eastAsia="Arial" w:hAnsi="Arial"/>
                  <w:sz w:val="18"/>
                  <w:szCs w:val="18"/>
                  <w:color w:val="0000FF"/>
                </w:rPr>
                <w:t>Form 8-K (File No. 001-37708), as filed with the SEC on March 8, 2016).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0000FF"/>
                <w:w w:val="92"/>
              </w:rPr>
              <w:t>Certification of Principal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700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9"/>
          </w:tcPr>
          <w:p>
            <w:pPr>
              <w:spacing w:after="0" w:line="196" w:lineRule="exact"/>
              <w:rPr>
                <w:sz w:val="20"/>
                <w:szCs w:val="20"/>
                <w:color w:val="auto"/>
              </w:rPr>
            </w:pPr>
            <w:r>
              <w:rPr>
                <w:rFonts w:ascii="Arial" w:cs="Arial" w:eastAsia="Arial" w:hAnsi="Arial"/>
                <w:sz w:val="18"/>
                <w:szCs w:val="18"/>
                <w:color w:val="0000FF"/>
              </w:rPr>
              <w:t>1934, as amended.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0000FF"/>
                <w:w w:val="92"/>
              </w:rPr>
              <w:t>Certification of Principal Financial Officer pursuant to Rules 13a-14(a) and 15d-14(a) promulgated under the Securities Exchange Act of</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70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9"/>
          </w:tcPr>
          <w:p>
            <w:pPr>
              <w:spacing w:after="0" w:line="196" w:lineRule="exact"/>
              <w:rPr>
                <w:sz w:val="20"/>
                <w:szCs w:val="20"/>
                <w:color w:val="auto"/>
              </w:rPr>
            </w:pPr>
            <w:r>
              <w:rPr>
                <w:rFonts w:ascii="Arial" w:cs="Arial" w:eastAsia="Arial" w:hAnsi="Arial"/>
                <w:sz w:val="18"/>
                <w:szCs w:val="18"/>
                <w:color w:val="0000FF"/>
              </w:rPr>
              <w:t>1934, as amended.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0000FF"/>
                <w:w w:val="93"/>
              </w:rPr>
              <w:t>Certifications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70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9"/>
          </w:tcPr>
          <w:p>
            <w:pPr>
              <w:spacing w:after="0" w:line="196" w:lineRule="exact"/>
              <w:rPr>
                <w:sz w:val="20"/>
                <w:szCs w:val="20"/>
                <w:color w:val="auto"/>
              </w:rPr>
            </w:pPr>
            <w:r>
              <w:rPr>
                <w:rFonts w:ascii="Arial" w:cs="Arial" w:eastAsia="Arial" w:hAnsi="Arial"/>
                <w:sz w:val="18"/>
                <w:szCs w:val="18"/>
                <w:color w:val="0000FF"/>
              </w:rPr>
              <w:t>906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7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91"/>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159"/>
        <w:spacing w:after="0"/>
        <w:tabs>
          <w:tab w:leader="none" w:pos="11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Furnished herewith and not deemed to be “filed” for purposes of Section 18 of the Securities Exchange Act of 1934, as amended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9512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93"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23495</wp:posOffset>
            </wp:positionV>
            <wp:extent cx="25374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Michael A. Metzger</w:t>
      </w:r>
    </w:p>
    <w:p>
      <w:pPr>
        <w:spacing w:after="0" w:line="3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23495</wp:posOffset>
            </wp:positionV>
            <wp:extent cx="25374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Keith A. Goldan</w:t>
      </w:r>
    </w:p>
    <w:p>
      <w:pPr>
        <w:spacing w:after="0" w:line="3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 and Treasurer</w:t>
      </w:r>
    </w:p>
    <w:p>
      <w:pPr>
        <w:spacing w:after="0" w:line="36"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(Principal Financial Officer and Principal Accounting</w:t>
      </w:r>
    </w:p>
    <w:p>
      <w:pPr>
        <w:spacing w:after="0" w:line="3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102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A. Metzger, certify that:</w:t>
      </w:r>
    </w:p>
    <w:p>
      <w:pPr>
        <w:spacing w:after="0" w:line="225" w:lineRule="exact"/>
        <w:rPr>
          <w:sz w:val="20"/>
          <w:szCs w:val="20"/>
          <w:color w:val="auto"/>
        </w:rPr>
      </w:pPr>
    </w:p>
    <w:p>
      <w:pPr>
        <w:ind w:left="700" w:hanging="183"/>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40" w:firstLine="517"/>
        <w:spacing w:after="0" w:line="342" w:lineRule="auto"/>
        <w:tabs>
          <w:tab w:leader="none" w:pos="689"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17"/>
        <w:spacing w:after="0" w:line="277" w:lineRule="auto"/>
        <w:tabs>
          <w:tab w:leader="none" w:pos="6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517"/>
        <w:spacing w:after="0" w:line="263" w:lineRule="auto"/>
        <w:tabs>
          <w:tab w:leader="none" w:pos="6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80" w:firstLine="506"/>
        <w:spacing w:after="0" w:line="263" w:lineRule="auto"/>
        <w:tabs>
          <w:tab w:leader="none" w:pos="127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00" w:firstLine="506"/>
        <w:spacing w:after="0" w:line="263" w:lineRule="auto"/>
        <w:tabs>
          <w:tab w:leader="none" w:pos="12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20" w:firstLine="506"/>
        <w:spacing w:after="0" w:line="342" w:lineRule="auto"/>
        <w:tabs>
          <w:tab w:leader="none" w:pos="1274"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00" w:firstLine="506"/>
        <w:spacing w:after="0" w:line="263" w:lineRule="auto"/>
        <w:tabs>
          <w:tab w:leader="none" w:pos="12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17"/>
        <w:spacing w:after="0" w:line="308" w:lineRule="auto"/>
        <w:tabs>
          <w:tab w:leader="none" w:pos="68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60" w:firstLine="506"/>
        <w:spacing w:after="0" w:line="308" w:lineRule="auto"/>
        <w:tabs>
          <w:tab w:leader="none" w:pos="126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40" w:firstLine="506"/>
        <w:spacing w:after="0" w:line="277" w:lineRule="auto"/>
        <w:tabs>
          <w:tab w:leader="none" w:pos="127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680" w:val="left"/>
          <w:tab w:leader="none" w:pos="724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23495</wp:posOffset>
            </wp:positionV>
            <wp:extent cx="25374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Michael A. Metzger</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102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A. Goldan, certify that:</w:t>
      </w:r>
    </w:p>
    <w:p>
      <w:pPr>
        <w:spacing w:after="0" w:line="225" w:lineRule="exact"/>
        <w:rPr>
          <w:sz w:val="20"/>
          <w:szCs w:val="20"/>
          <w:color w:val="auto"/>
        </w:rPr>
      </w:pPr>
    </w:p>
    <w:p>
      <w:pPr>
        <w:ind w:left="700" w:hanging="183"/>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40" w:firstLine="517"/>
        <w:spacing w:after="0" w:line="342" w:lineRule="auto"/>
        <w:tabs>
          <w:tab w:leader="none" w:pos="6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17"/>
        <w:spacing w:after="0" w:line="277" w:lineRule="auto"/>
        <w:tabs>
          <w:tab w:leader="none" w:pos="6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517"/>
        <w:spacing w:after="0" w:line="263" w:lineRule="auto"/>
        <w:tabs>
          <w:tab w:leader="none" w:pos="6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80" w:firstLine="506"/>
        <w:spacing w:after="0" w:line="263" w:lineRule="auto"/>
        <w:tabs>
          <w:tab w:leader="none" w:pos="12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00" w:firstLine="506"/>
        <w:spacing w:after="0" w:line="263" w:lineRule="auto"/>
        <w:tabs>
          <w:tab w:leader="none" w:pos="128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20" w:firstLine="506"/>
        <w:spacing w:after="0" w:line="342" w:lineRule="auto"/>
        <w:tabs>
          <w:tab w:leader="none" w:pos="1274"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00" w:firstLine="506"/>
        <w:spacing w:after="0" w:line="263" w:lineRule="auto"/>
        <w:tabs>
          <w:tab w:leader="none" w:pos="128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17"/>
        <w:spacing w:after="0" w:line="308" w:lineRule="auto"/>
        <w:tabs>
          <w:tab w:leader="none" w:pos="68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60" w:firstLine="506"/>
        <w:spacing w:after="0" w:line="308" w:lineRule="auto"/>
        <w:tabs>
          <w:tab w:leader="none" w:pos="126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40" w:firstLine="506"/>
        <w:spacing w:after="0" w:line="277" w:lineRule="auto"/>
        <w:tabs>
          <w:tab w:leader="none" w:pos="12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700" w:val="left"/>
          <w:tab w:leader="none" w:pos="724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23495</wp:posOffset>
            </wp:positionV>
            <wp:extent cx="25374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Keith A. Goldan</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(Principal Financial Officer and Principal Accounting</w:t>
      </w:r>
    </w:p>
    <w:p>
      <w:pPr>
        <w:spacing w:after="0" w:line="21"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June 30, 2023, as filed with the Securities and Exchange Commission on the date hereof (the “Report”), each of the undersigned officers of the Company hereby certifies, pursuant to 18 U.S.C. Section 1350, that to his or her knowledge:</w:t>
      </w:r>
    </w:p>
    <w:p>
      <w:pPr>
        <w:spacing w:after="0" w:line="184" w:lineRule="exact"/>
        <w:rPr>
          <w:sz w:val="20"/>
          <w:szCs w:val="20"/>
          <w:color w:val="auto"/>
        </w:rPr>
      </w:pPr>
    </w:p>
    <w:p>
      <w:pPr>
        <w:ind w:left="1380" w:hanging="839"/>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200" w:hanging="479"/>
        <w:spacing w:after="0" w:line="277" w:lineRule="auto"/>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60" w:type="dxa"/>
            <w:vAlign w:val="bottom"/>
          </w:tcPr>
          <w:p>
            <w:pPr>
              <w:ind w:left="20"/>
              <w:spacing w:after="0"/>
              <w:rPr>
                <w:sz w:val="20"/>
                <w:szCs w:val="20"/>
                <w:color w:val="auto"/>
              </w:rPr>
            </w:pPr>
            <w:r>
              <w:rPr>
                <w:rFonts w:ascii="Arial" w:cs="Arial" w:eastAsia="Arial" w:hAnsi="Arial"/>
                <w:sz w:val="18"/>
                <w:szCs w:val="18"/>
                <w:color w:val="auto"/>
              </w:rPr>
              <w:t>Date: August 3, 2023</w:t>
            </w:r>
          </w:p>
        </w:tc>
        <w:tc>
          <w:tcPr>
            <w:tcW w:w="3080" w:type="dxa"/>
            <w:vAlign w:val="bottom"/>
          </w:tcPr>
          <w:p>
            <w:pPr>
              <w:ind w:left="26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Metzger</w:t>
            </w:r>
          </w:p>
        </w:tc>
      </w:tr>
      <w:tr>
        <w:trPr>
          <w:trHeight w:val="209"/>
        </w:trPr>
        <w:tc>
          <w:tcPr>
            <w:tcW w:w="4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Michael A. Metzger</w:t>
            </w:r>
          </w:p>
        </w:tc>
      </w:tr>
      <w:tr>
        <w:trPr>
          <w:trHeight w:val="230"/>
        </w:trPr>
        <w:tc>
          <w:tcPr>
            <w:tcW w:w="4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53"/>
        </w:trPr>
        <w:tc>
          <w:tcPr>
            <w:tcW w:w="4160" w:type="dxa"/>
            <w:vAlign w:val="bottom"/>
          </w:tcPr>
          <w:p>
            <w:pPr>
              <w:ind w:left="20"/>
              <w:spacing w:after="0"/>
              <w:rPr>
                <w:sz w:val="20"/>
                <w:szCs w:val="20"/>
                <w:color w:val="auto"/>
              </w:rPr>
            </w:pPr>
            <w:r>
              <w:rPr>
                <w:rFonts w:ascii="Arial" w:cs="Arial" w:eastAsia="Arial" w:hAnsi="Arial"/>
                <w:sz w:val="18"/>
                <w:szCs w:val="18"/>
                <w:color w:val="auto"/>
              </w:rPr>
              <w:t>Date: August 3, 2023</w:t>
            </w:r>
          </w:p>
        </w:tc>
        <w:tc>
          <w:tcPr>
            <w:tcW w:w="3080" w:type="dxa"/>
            <w:vAlign w:val="bottom"/>
          </w:tcPr>
          <w:p>
            <w:pPr>
              <w:ind w:left="26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Goldan</w:t>
            </w:r>
          </w:p>
        </w:tc>
      </w:tr>
      <w:tr>
        <w:trPr>
          <w:trHeight w:val="209"/>
        </w:trPr>
        <w:tc>
          <w:tcPr>
            <w:tcW w:w="4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Keith A. Goldan</w:t>
            </w:r>
          </w:p>
        </w:tc>
      </w:tr>
      <w:tr>
        <w:trPr>
          <w:trHeight w:val="230"/>
        </w:trPr>
        <w:tc>
          <w:tcPr>
            <w:tcW w:w="4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614"/>
        </w:trPr>
        <w:tc>
          <w:tcPr>
            <w:tcW w:w="41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1)"/>
      <w:numFmt w:val="lowerRoman"/>
      <w:start w:val="2"/>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lvl w:ilvl="1">
      <w:lvlJc w:val="left"/>
      <w:lvlText w:val="o"/>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404"/>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lvl w:ilvl="1">
      <w:lvlJc w:val="left"/>
      <w:lvlText w:val="%2"/>
      <w:numFmt w:val="decimal"/>
      <w:start w:val="104"/>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12" Type="http://schemas.openxmlformats.org/officeDocument/2006/relationships/hyperlink" Target="https://www.sec.gov/Archives/edgar/data/1395937/000119312516496764/d119516dex31.htm" TargetMode="External"/><Relationship Id="rId213" Type="http://schemas.openxmlformats.org/officeDocument/2006/relationships/hyperlink" Target="https://www.sec.gov/Archives/edgar/data/1395937/000095017023022802/sndx-ex3_1.htm" TargetMode="External"/><Relationship Id="rId214" Type="http://schemas.openxmlformats.org/officeDocument/2006/relationships/hyperlink" Target="https://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2023-08-03T15:27:17Z</dcterms:created>
  <dcterms:modified xsi:type="dcterms:W3CDTF">2023-08-03T15:27:17Z</dcterms:modified>
</cp:coreProperties>
</file>