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201930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216535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6" w:lineRule="exact"/>
        <w:rPr>
          <w:sz w:val="24"/>
          <w:szCs w:val="24"/>
          <w:color w:val="auto"/>
        </w:rPr>
      </w:pPr>
    </w:p>
    <w:p>
      <w:pPr>
        <w:jc w:val="center"/>
        <w:ind w:right="-164"/>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64"/>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77470</wp:posOffset>
            </wp:positionV>
            <wp:extent cx="1435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735" cy="7620"/>
                    </a:xfrm>
                    <a:prstGeom prst="rect">
                      <a:avLst/>
                    </a:prstGeom>
                    <a:noFill/>
                  </pic:spPr>
                </pic:pic>
              </a:graphicData>
            </a:graphic>
          </wp:anchor>
        </w:drawing>
      </w:r>
    </w:p>
    <w:p>
      <w:pPr>
        <w:spacing w:after="0" w:line="181" w:lineRule="exact"/>
        <w:rPr>
          <w:sz w:val="24"/>
          <w:szCs w:val="24"/>
          <w:color w:val="auto"/>
        </w:rPr>
      </w:pPr>
    </w:p>
    <w:p>
      <w:pPr>
        <w:jc w:val="center"/>
        <w:ind w:right="-164"/>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98425</wp:posOffset>
            </wp:positionV>
            <wp:extent cx="1435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735" cy="7620"/>
                    </a:xfrm>
                    <a:prstGeom prst="rect">
                      <a:avLst/>
                    </a:prstGeom>
                    <a:noFill/>
                  </pic:spPr>
                </pic:pic>
              </a:graphicData>
            </a:graphic>
          </wp:anchor>
        </w:drawing>
      </w:r>
    </w:p>
    <w:p>
      <w:pPr>
        <w:spacing w:after="0" w:line="229"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(Mark One)</w:t>
      </w:r>
    </w:p>
    <w:p>
      <w:pPr>
        <w:spacing w:after="0" w:line="24" w:lineRule="exact"/>
        <w:rPr>
          <w:sz w:val="24"/>
          <w:szCs w:val="24"/>
          <w:color w:val="auto"/>
        </w:rPr>
      </w:pPr>
    </w:p>
    <w:p>
      <w:pPr>
        <w:ind w:left="505" w:hanging="505"/>
        <w:spacing w:after="0"/>
        <w:tabs>
          <w:tab w:leader="none" w:pos="50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3" w:lineRule="exact"/>
        <w:rPr>
          <w:rFonts w:ascii="MS PGothic" w:cs="MS PGothic" w:eastAsia="MS PGothic" w:hAnsi="MS PGothic"/>
          <w:sz w:val="16"/>
          <w:szCs w:val="16"/>
          <w:color w:val="auto"/>
        </w:rPr>
      </w:pPr>
    </w:p>
    <w:p>
      <w:pPr>
        <w:ind w:left="4265"/>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June 30, 2020</w:t>
      </w:r>
    </w:p>
    <w:p>
      <w:pPr>
        <w:spacing w:after="0" w:line="111" w:lineRule="exact"/>
        <w:rPr>
          <w:sz w:val="24"/>
          <w:szCs w:val="24"/>
          <w:color w:val="auto"/>
        </w:rPr>
      </w:pPr>
    </w:p>
    <w:p>
      <w:pPr>
        <w:jc w:val="center"/>
        <w:ind w:right="-164"/>
        <w:spacing w:after="0"/>
        <w:rPr>
          <w:sz w:val="20"/>
          <w:szCs w:val="20"/>
          <w:color w:val="auto"/>
        </w:rPr>
      </w:pPr>
      <w:r>
        <w:rPr>
          <w:rFonts w:ascii="Arial" w:cs="Arial" w:eastAsia="Arial" w:hAnsi="Arial"/>
          <w:sz w:val="14"/>
          <w:szCs w:val="14"/>
          <w:b w:val="1"/>
          <w:bCs w:val="1"/>
          <w:color w:val="auto"/>
        </w:rPr>
        <w:t>or</w:t>
      </w:r>
    </w:p>
    <w:p>
      <w:pPr>
        <w:spacing w:after="0" w:line="107" w:lineRule="exact"/>
        <w:rPr>
          <w:sz w:val="24"/>
          <w:szCs w:val="24"/>
          <w:color w:val="auto"/>
        </w:rPr>
      </w:pPr>
    </w:p>
    <w:p>
      <w:pPr>
        <w:ind w:left="505" w:hanging="505"/>
        <w:spacing w:after="0"/>
        <w:tabs>
          <w:tab w:leader="none" w:pos="50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865"/>
        <w:spacing w:after="0"/>
        <w:tabs>
          <w:tab w:leader="none" w:pos="6505"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-3810</wp:posOffset>
            </wp:positionV>
            <wp:extent cx="1044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spacing w:after="0" w:line="91" w:lineRule="exact"/>
        <w:rPr>
          <w:sz w:val="24"/>
          <w:szCs w:val="24"/>
          <w:color w:val="auto"/>
        </w:rPr>
      </w:pPr>
    </w:p>
    <w:p>
      <w:pPr>
        <w:jc w:val="center"/>
        <w:ind w:right="-164"/>
        <w:spacing w:after="0"/>
        <w:rPr>
          <w:sz w:val="20"/>
          <w:szCs w:val="20"/>
          <w:color w:val="auto"/>
        </w:rPr>
      </w:pPr>
      <w:r>
        <w:rPr>
          <w:rFonts w:ascii="Arial" w:cs="Arial" w:eastAsia="Arial" w:hAnsi="Arial"/>
          <w:sz w:val="14"/>
          <w:szCs w:val="14"/>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100965</wp:posOffset>
            </wp:positionV>
            <wp:extent cx="14357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5735" cy="7620"/>
                    </a:xfrm>
                    <a:prstGeom prst="rect">
                      <a:avLst/>
                    </a:prstGeom>
                    <a:noFill/>
                  </pic:spPr>
                </pic:pic>
              </a:graphicData>
            </a:graphic>
          </wp:anchor>
        </w:drawing>
      </w:r>
    </w:p>
    <w:p>
      <w:pPr>
        <w:spacing w:after="0" w:line="213" w:lineRule="exact"/>
        <w:rPr>
          <w:sz w:val="24"/>
          <w:szCs w:val="24"/>
          <w:color w:val="auto"/>
        </w:rPr>
      </w:pPr>
    </w:p>
    <w:p>
      <w:pPr>
        <w:jc w:val="center"/>
        <w:ind w:right="-164"/>
        <w:spacing w:after="0"/>
        <w:rPr>
          <w:sz w:val="20"/>
          <w:szCs w:val="20"/>
          <w:color w:val="auto"/>
        </w:rPr>
      </w:pPr>
      <w:r>
        <w:rPr>
          <w:rFonts w:ascii="Arial" w:cs="Arial" w:eastAsia="Arial" w:hAnsi="Arial"/>
          <w:sz w:val="32"/>
          <w:szCs w:val="32"/>
          <w:b w:val="1"/>
          <w:bCs w:val="1"/>
          <w:color w:val="auto"/>
        </w:rPr>
        <w:t>Syndax Pharmaceuticals, Inc.</w:t>
      </w:r>
    </w:p>
    <w:p>
      <w:pPr>
        <w:spacing w:after="0" w:line="36" w:lineRule="exact"/>
        <w:rPr>
          <w:sz w:val="24"/>
          <w:szCs w:val="24"/>
          <w:color w:val="auto"/>
        </w:rPr>
      </w:pPr>
    </w:p>
    <w:p>
      <w:pPr>
        <w:jc w:val="center"/>
        <w:ind w:right="-164"/>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83185</wp:posOffset>
            </wp:positionV>
            <wp:extent cx="14357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5735" cy="7620"/>
                    </a:xfrm>
                    <a:prstGeom prst="rect">
                      <a:avLst/>
                    </a:prstGeom>
                    <a:noFill/>
                  </pic:spPr>
                </pic:pic>
              </a:graphicData>
            </a:graphic>
          </wp:anchor>
        </w:drawing>
      </w:r>
    </w:p>
    <w:p>
      <w:pPr>
        <w:spacing w:after="0" w:line="229" w:lineRule="exact"/>
        <w:rPr>
          <w:sz w:val="24"/>
          <w:szCs w:val="24"/>
          <w:color w:val="auto"/>
        </w:rPr>
      </w:pPr>
    </w:p>
    <w:tbl>
      <w:tblPr>
        <w:tblLayout w:type="fixed"/>
        <w:tblInd w:w="2285" w:type="dxa"/>
        <w:tblCellMar>
          <w:top w:w="0" w:type="dxa"/>
          <w:left w:w="0" w:type="dxa"/>
          <w:bottom w:w="0" w:type="dxa"/>
          <w:right w:w="0" w:type="dxa"/>
        </w:tblCellMar>
      </w:tblPr>
      <w:tr>
        <w:trPr>
          <w:trHeight w:val="170"/>
        </w:trPr>
        <w:tc>
          <w:tcPr>
            <w:tcW w:w="3700" w:type="dxa"/>
            <w:vAlign w:val="bottom"/>
          </w:tcPr>
          <w:p>
            <w:pPr>
              <w:jc w:val="center"/>
              <w:ind w:right="1213"/>
              <w:spacing w:after="0"/>
              <w:rPr>
                <w:sz w:val="20"/>
                <w:szCs w:val="20"/>
                <w:color w:val="auto"/>
              </w:rPr>
            </w:pPr>
            <w:r>
              <w:rPr>
                <w:rFonts w:ascii="Arial" w:cs="Arial" w:eastAsia="Arial" w:hAnsi="Arial"/>
                <w:sz w:val="14"/>
                <w:szCs w:val="14"/>
                <w:b w:val="1"/>
                <w:bCs w:val="1"/>
                <w:color w:val="auto"/>
                <w:w w:val="94"/>
              </w:rPr>
              <w:t>Delaware</w:t>
            </w:r>
          </w:p>
        </w:tc>
        <w:tc>
          <w:tcPr>
            <w:tcW w:w="2260" w:type="dxa"/>
            <w:vAlign w:val="bottom"/>
          </w:tcPr>
          <w:p>
            <w:pPr>
              <w:jc w:val="right"/>
              <w:ind w:right="74"/>
              <w:spacing w:after="0"/>
              <w:rPr>
                <w:sz w:val="20"/>
                <w:szCs w:val="20"/>
                <w:color w:val="auto"/>
              </w:rPr>
            </w:pPr>
            <w:r>
              <w:rPr>
                <w:rFonts w:ascii="Arial" w:cs="Arial" w:eastAsia="Arial" w:hAnsi="Arial"/>
                <w:sz w:val="14"/>
                <w:szCs w:val="14"/>
                <w:b w:val="1"/>
                <w:bCs w:val="1"/>
                <w:color w:val="auto"/>
              </w:rPr>
              <w:t>32-0162505</w:t>
            </w:r>
          </w:p>
        </w:tc>
      </w:tr>
      <w:tr>
        <w:trPr>
          <w:trHeight w:val="130"/>
        </w:trPr>
        <w:tc>
          <w:tcPr>
            <w:tcW w:w="3700" w:type="dxa"/>
            <w:vAlign w:val="bottom"/>
          </w:tcPr>
          <w:p>
            <w:pPr>
              <w:jc w:val="center"/>
              <w:ind w:right="1213"/>
              <w:spacing w:after="0" w:line="131" w:lineRule="exact"/>
              <w:rPr>
                <w:sz w:val="20"/>
                <w:szCs w:val="20"/>
                <w:color w:val="auto"/>
              </w:rPr>
            </w:pPr>
            <w:r>
              <w:rPr>
                <w:rFonts w:ascii="Arial" w:cs="Arial" w:eastAsia="Arial" w:hAnsi="Arial"/>
                <w:sz w:val="13"/>
                <w:szCs w:val="13"/>
                <w:b w:val="1"/>
                <w:bCs w:val="1"/>
                <w:color w:val="auto"/>
                <w:w w:val="87"/>
              </w:rPr>
              <w:t>(State or Other Jurisdiction of</w:t>
            </w:r>
          </w:p>
        </w:tc>
        <w:tc>
          <w:tcPr>
            <w:tcW w:w="2260" w:type="dxa"/>
            <w:vAlign w:val="bottom"/>
          </w:tcPr>
          <w:p>
            <w:pPr>
              <w:jc w:val="center"/>
              <w:ind w:left="1214"/>
              <w:spacing w:after="0" w:line="131"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700" w:type="dxa"/>
            <w:vAlign w:val="bottom"/>
          </w:tcPr>
          <w:p>
            <w:pPr>
              <w:jc w:val="center"/>
              <w:ind w:right="1213"/>
              <w:spacing w:after="0"/>
              <w:rPr>
                <w:sz w:val="20"/>
                <w:szCs w:val="20"/>
                <w:color w:val="auto"/>
              </w:rPr>
            </w:pPr>
            <w:r>
              <w:rPr>
                <w:rFonts w:ascii="Arial" w:cs="Arial" w:eastAsia="Arial" w:hAnsi="Arial"/>
                <w:sz w:val="13"/>
                <w:szCs w:val="13"/>
                <w:b w:val="1"/>
                <w:bCs w:val="1"/>
                <w:color w:val="auto"/>
                <w:w w:val="90"/>
              </w:rPr>
              <w:t>Incorporation or Organization)</w:t>
            </w:r>
          </w:p>
        </w:tc>
        <w:tc>
          <w:tcPr>
            <w:tcW w:w="2260" w:type="dxa"/>
            <w:vAlign w:val="bottom"/>
          </w:tcPr>
          <w:p>
            <w:pPr>
              <w:jc w:val="center"/>
              <w:ind w:left="1214"/>
              <w:spacing w:after="0"/>
              <w:rPr>
                <w:sz w:val="20"/>
                <w:szCs w:val="20"/>
                <w:color w:val="auto"/>
              </w:rPr>
            </w:pPr>
            <w:r>
              <w:rPr>
                <w:rFonts w:ascii="Arial" w:cs="Arial" w:eastAsia="Arial" w:hAnsi="Arial"/>
                <w:sz w:val="13"/>
                <w:szCs w:val="13"/>
                <w:b w:val="1"/>
                <w:bCs w:val="1"/>
                <w:color w:val="auto"/>
                <w:w w:val="89"/>
              </w:rPr>
              <w:t>Identification No.)</w:t>
            </w:r>
          </w:p>
        </w:tc>
      </w:tr>
      <w:tr>
        <w:trPr>
          <w:trHeight w:val="352"/>
        </w:trPr>
        <w:tc>
          <w:tcPr>
            <w:tcW w:w="3700" w:type="dxa"/>
            <w:vAlign w:val="bottom"/>
          </w:tcPr>
          <w:p>
            <w:pPr>
              <w:jc w:val="center"/>
              <w:ind w:right="1213"/>
              <w:spacing w:after="0"/>
              <w:rPr>
                <w:sz w:val="20"/>
                <w:szCs w:val="20"/>
                <w:color w:val="auto"/>
              </w:rPr>
            </w:pPr>
            <w:r>
              <w:rPr>
                <w:rFonts w:ascii="Arial" w:cs="Arial" w:eastAsia="Arial" w:hAnsi="Arial"/>
                <w:sz w:val="14"/>
                <w:szCs w:val="14"/>
                <w:b w:val="1"/>
                <w:bCs w:val="1"/>
                <w:color w:val="auto"/>
                <w:w w:val="92"/>
              </w:rPr>
              <w:t>35 Gatehouse Drive, Building D, Floor 3</w:t>
            </w:r>
          </w:p>
        </w:tc>
        <w:tc>
          <w:tcPr>
            <w:tcW w:w="2260" w:type="dxa"/>
            <w:vAlign w:val="bottom"/>
          </w:tcPr>
          <w:p>
            <w:pPr>
              <w:spacing w:after="0"/>
              <w:rPr>
                <w:sz w:val="24"/>
                <w:szCs w:val="24"/>
                <w:color w:val="auto"/>
              </w:rPr>
            </w:pPr>
          </w:p>
        </w:tc>
      </w:tr>
      <w:tr>
        <w:trPr>
          <w:trHeight w:val="182"/>
        </w:trPr>
        <w:tc>
          <w:tcPr>
            <w:tcW w:w="3700" w:type="dxa"/>
            <w:vAlign w:val="bottom"/>
          </w:tcPr>
          <w:p>
            <w:pPr>
              <w:jc w:val="center"/>
              <w:ind w:right="1213"/>
              <w:spacing w:after="0"/>
              <w:rPr>
                <w:sz w:val="20"/>
                <w:szCs w:val="20"/>
                <w:color w:val="auto"/>
              </w:rPr>
            </w:pPr>
            <w:r>
              <w:rPr>
                <w:rFonts w:ascii="Arial" w:cs="Arial" w:eastAsia="Arial" w:hAnsi="Arial"/>
                <w:sz w:val="14"/>
                <w:szCs w:val="14"/>
                <w:b w:val="1"/>
                <w:bCs w:val="1"/>
                <w:color w:val="auto"/>
                <w:w w:val="90"/>
              </w:rPr>
              <w:t>Waltham, Massachusetts</w:t>
            </w:r>
          </w:p>
        </w:tc>
        <w:tc>
          <w:tcPr>
            <w:tcW w:w="2260" w:type="dxa"/>
            <w:vAlign w:val="bottom"/>
          </w:tcPr>
          <w:p>
            <w:pPr>
              <w:jc w:val="right"/>
              <w:ind w:right="234"/>
              <w:spacing w:after="0"/>
              <w:rPr>
                <w:sz w:val="20"/>
                <w:szCs w:val="20"/>
                <w:color w:val="auto"/>
              </w:rPr>
            </w:pPr>
            <w:r>
              <w:rPr>
                <w:rFonts w:ascii="Arial" w:cs="Arial" w:eastAsia="Arial" w:hAnsi="Arial"/>
                <w:sz w:val="14"/>
                <w:szCs w:val="14"/>
                <w:b w:val="1"/>
                <w:bCs w:val="1"/>
                <w:color w:val="auto"/>
              </w:rPr>
              <w:t>02451</w:t>
            </w:r>
          </w:p>
        </w:tc>
      </w:tr>
      <w:tr>
        <w:trPr>
          <w:trHeight w:val="164"/>
        </w:trPr>
        <w:tc>
          <w:tcPr>
            <w:tcW w:w="3700" w:type="dxa"/>
            <w:vAlign w:val="bottom"/>
          </w:tcPr>
          <w:p>
            <w:pPr>
              <w:jc w:val="center"/>
              <w:ind w:right="119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60" w:type="dxa"/>
            <w:vAlign w:val="bottom"/>
          </w:tcPr>
          <w:p>
            <w:pPr>
              <w:jc w:val="center"/>
              <w:ind w:left="1214"/>
              <w:spacing w:after="0"/>
              <w:rPr>
                <w:sz w:val="20"/>
                <w:szCs w:val="20"/>
                <w:color w:val="auto"/>
              </w:rPr>
            </w:pPr>
            <w:r>
              <w:rPr>
                <w:rFonts w:ascii="Arial" w:cs="Arial" w:eastAsia="Arial" w:hAnsi="Arial"/>
                <w:sz w:val="13"/>
                <w:szCs w:val="13"/>
                <w:b w:val="1"/>
                <w:bCs w:val="1"/>
                <w:color w:val="auto"/>
                <w:w w:val="90"/>
              </w:rPr>
              <w:t>(Zip Code)</w:t>
            </w:r>
          </w:p>
        </w:tc>
      </w:tr>
    </w:tbl>
    <w:p>
      <w:pPr>
        <w:spacing w:after="0" w:line="68" w:lineRule="exact"/>
        <w:rPr>
          <w:sz w:val="24"/>
          <w:szCs w:val="24"/>
          <w:color w:val="auto"/>
        </w:rPr>
      </w:pPr>
    </w:p>
    <w:p>
      <w:pPr>
        <w:jc w:val="center"/>
        <w:ind w:right="-164"/>
        <w:spacing w:after="0"/>
        <w:rPr>
          <w:sz w:val="20"/>
          <w:szCs w:val="20"/>
          <w:color w:val="auto"/>
        </w:rPr>
      </w:pPr>
      <w:r>
        <w:rPr>
          <w:rFonts w:ascii="Arial" w:cs="Arial" w:eastAsia="Arial" w:hAnsi="Arial"/>
          <w:sz w:val="14"/>
          <w:szCs w:val="14"/>
          <w:b w:val="1"/>
          <w:bCs w:val="1"/>
          <w:color w:val="auto"/>
        </w:rPr>
        <w:t>(781) 419-1400</w:t>
      </w:r>
    </w:p>
    <w:p>
      <w:pPr>
        <w:spacing w:after="0" w:line="23" w:lineRule="exact"/>
        <w:rPr>
          <w:sz w:val="24"/>
          <w:szCs w:val="24"/>
          <w:color w:val="auto"/>
        </w:rPr>
      </w:pPr>
    </w:p>
    <w:p>
      <w:pPr>
        <w:jc w:val="center"/>
        <w:ind w:right="-164"/>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66675</wp:posOffset>
            </wp:positionV>
            <wp:extent cx="14357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5735" cy="7620"/>
                    </a:xfrm>
                    <a:prstGeom prst="rect">
                      <a:avLst/>
                    </a:prstGeom>
                    <a:noFill/>
                  </pic:spPr>
                </pic:pic>
              </a:graphicData>
            </a:graphic>
          </wp:anchor>
        </w:drawing>
      </w:r>
    </w:p>
    <w:p>
      <w:pPr>
        <w:spacing w:after="0" w:line="183" w:lineRule="exact"/>
        <w:rPr>
          <w:sz w:val="24"/>
          <w:szCs w:val="24"/>
          <w:color w:val="auto"/>
        </w:rPr>
      </w:pPr>
    </w:p>
    <w:p>
      <w:pPr>
        <w:ind w:left="385"/>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p>
    <w:tbl>
      <w:tblPr>
        <w:tblLayout w:type="fixed"/>
        <w:tblInd w:w="575" w:type="dxa"/>
        <w:tblCellMar>
          <w:top w:w="0" w:type="dxa"/>
          <w:left w:w="0" w:type="dxa"/>
          <w:bottom w:w="0" w:type="dxa"/>
          <w:right w:w="0" w:type="dxa"/>
        </w:tblCellMar>
      </w:tblPr>
      <w:tr>
        <w:trPr>
          <w:trHeight w:val="186"/>
        </w:trPr>
        <w:tc>
          <w:tcPr>
            <w:tcW w:w="3400" w:type="dxa"/>
            <w:vAlign w:val="bottom"/>
            <w:tcBorders>
              <w:top w:val="single" w:sz="8" w:color="auto"/>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4"/>
                <w:szCs w:val="14"/>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86" w:lineRule="exact"/>
        <w:rPr>
          <w:sz w:val="24"/>
          <w:szCs w:val="24"/>
          <w:color w:val="auto"/>
        </w:rPr>
      </w:pPr>
    </w:p>
    <w:p>
      <w:pPr>
        <w:ind w:left="5" w:firstLine="383"/>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77" w:lineRule="exact"/>
        <w:rPr>
          <w:sz w:val="24"/>
          <w:szCs w:val="24"/>
          <w:color w:val="auto"/>
        </w:rPr>
      </w:pPr>
    </w:p>
    <w:p>
      <w:pPr>
        <w:ind w:left="5" w:right="60" w:firstLine="383"/>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77" w:lineRule="exact"/>
        <w:rPr>
          <w:sz w:val="24"/>
          <w:szCs w:val="24"/>
          <w:color w:val="auto"/>
        </w:rPr>
      </w:pPr>
    </w:p>
    <w:p>
      <w:pPr>
        <w:ind w:left="5" w:right="160" w:firstLine="383"/>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5" w:type="dxa"/>
        <w:tblCellMar>
          <w:top w:w="0" w:type="dxa"/>
          <w:left w:w="0" w:type="dxa"/>
          <w:bottom w:w="0" w:type="dxa"/>
          <w:right w:w="0" w:type="dxa"/>
        </w:tblCellMar>
      </w:tblPr>
      <w:tr>
        <w:trPr>
          <w:trHeight w:val="178"/>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46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8"/>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46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88" w:lineRule="exact"/>
        <w:rPr>
          <w:sz w:val="24"/>
          <w:szCs w:val="24"/>
          <w:color w:val="auto"/>
        </w:rPr>
      </w:pPr>
    </w:p>
    <w:p>
      <w:pPr>
        <w:ind w:left="5" w:right="160" w:firstLine="383"/>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52" w:lineRule="exact"/>
        <w:rPr>
          <w:sz w:val="24"/>
          <w:szCs w:val="24"/>
          <w:color w:val="auto"/>
        </w:rPr>
      </w:pPr>
    </w:p>
    <w:p>
      <w:pPr>
        <w:ind w:left="385" w:right="3180"/>
        <w:spacing w:after="0" w:line="23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5, 2020, there were 38,549,198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184150</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567690</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05"/>
          </w:cols>
          <w:pgMar w:left="315" w:top="396"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FORWARD-LOOKING STATEMENTS</w:t>
      </w:r>
    </w:p>
    <w:p>
      <w:pPr>
        <w:spacing w:after="0" w:line="199" w:lineRule="exact"/>
        <w:rPr>
          <w:sz w:val="20"/>
          <w:szCs w:val="20"/>
          <w:color w:val="auto"/>
        </w:rPr>
      </w:pPr>
    </w:p>
    <w:p>
      <w:pPr>
        <w:ind w:right="180" w:firstLine="511"/>
        <w:spacing w:after="0" w:line="254" w:lineRule="auto"/>
        <w:rPr>
          <w:sz w:val="20"/>
          <w:szCs w:val="20"/>
          <w:color w:val="auto"/>
        </w:rPr>
      </w:pPr>
      <w:r>
        <w:rPr>
          <w:rFonts w:ascii="Arial" w:cs="Arial" w:eastAsia="Arial" w:hAnsi="Arial"/>
          <w:sz w:val="16"/>
          <w:szCs w:val="16"/>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100" w:lineRule="exact"/>
        <w:rPr>
          <w:sz w:val="20"/>
          <w:szCs w:val="20"/>
          <w:color w:val="auto"/>
        </w:rPr>
      </w:pPr>
    </w:p>
    <w:p>
      <w:pPr>
        <w:ind w:left="1020" w:right="140" w:hanging="516"/>
        <w:spacing w:after="0" w:line="25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statements regarding 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1"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our expenses, future revenues, anticipated capital requirements and our needs for additional financing;</w:t>
      </w:r>
    </w:p>
    <w:p>
      <w:pPr>
        <w:spacing w:after="0" w:line="100" w:lineRule="exact"/>
        <w:rPr>
          <w:rFonts w:ascii="Arial" w:cs="Arial" w:eastAsia="Arial" w:hAnsi="Arial"/>
          <w:sz w:val="16"/>
          <w:szCs w:val="16"/>
          <w:color w:val="auto"/>
        </w:rPr>
      </w:pPr>
    </w:p>
    <w:p>
      <w:pPr>
        <w:ind w:left="1020" w:right="24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1b/2 clinical trial of axatilimab in chronic Graft Versus Host Disease (cGVHD);</w:t>
      </w:r>
    </w:p>
    <w:p>
      <w:pPr>
        <w:spacing w:after="0" w:line="100" w:lineRule="exact"/>
        <w:rPr>
          <w:rFonts w:ascii="Arial" w:cs="Arial" w:eastAsia="Arial" w:hAnsi="Arial"/>
          <w:sz w:val="16"/>
          <w:szCs w:val="16"/>
          <w:color w:val="auto"/>
        </w:rPr>
      </w:pPr>
    </w:p>
    <w:p>
      <w:pPr>
        <w:ind w:left="1020" w:right="16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1b/2 clinical trial of entinostat with Tecentriq® (atezolizumab) from Genentech, Inc., a member of the Roche Group, in advanced HR+, HER2- breast cancer;</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replicate results in future clinical trials;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safety, efficacy or clinical utility of our product candidates;</w:t>
      </w:r>
    </w:p>
    <w:p>
      <w:pPr>
        <w:spacing w:after="0" w:line="100" w:lineRule="exact"/>
        <w:rPr>
          <w:rFonts w:ascii="Arial" w:cs="Arial" w:eastAsia="Arial" w:hAnsi="Arial"/>
          <w:sz w:val="16"/>
          <w:szCs w:val="16"/>
          <w:color w:val="auto"/>
        </w:rPr>
      </w:pPr>
    </w:p>
    <w:p>
      <w:pPr>
        <w:ind w:left="1020" w:right="56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6"/>
          <w:szCs w:val="16"/>
          <w:color w:val="auto"/>
        </w:rPr>
      </w:pPr>
    </w:p>
    <w:p>
      <w:pPr>
        <w:ind w:left="102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licenses with Bayer Pharma AG, Eddingpharm Investment Company Limited, Kyowa Kirin Co., Ltd., UCB Biopharma Sprl, and Vitae Pharmaceuticals, Inc., a subsidiary of Allergan plc, which was acquired by AbbVie Inc.;</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milestone and royalty payments under certain of our license agreements;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strategic plans for our business and development of our product candidates;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establish and maintain for intellectual property rights covering our product candidates and our technology;</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adoption of our product candidates by physicians and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and</w:t>
      </w:r>
    </w:p>
    <w:p>
      <w:pPr>
        <w:spacing w:after="0" w:line="100" w:lineRule="exact"/>
        <w:rPr>
          <w:rFonts w:ascii="Arial" w:cs="Arial" w:eastAsia="Arial" w:hAnsi="Arial"/>
          <w:sz w:val="16"/>
          <w:szCs w:val="16"/>
          <w:color w:val="auto"/>
        </w:rPr>
      </w:pPr>
    </w:p>
    <w:p>
      <w:pPr>
        <w:ind w:left="1020" w:right="10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social and economic instability, natural disasters or public health crisis, including but not limited to the COVID-19 pandemic, in countries where we or our collaborators do business.</w:t>
      </w:r>
    </w:p>
    <w:p>
      <w:pPr>
        <w:spacing w:after="0" w:line="157" w:lineRule="exact"/>
        <w:rPr>
          <w:sz w:val="20"/>
          <w:szCs w:val="20"/>
          <w:color w:val="auto"/>
        </w:rPr>
      </w:pPr>
    </w:p>
    <w:p>
      <w:pPr>
        <w:ind w:right="20" w:firstLine="511"/>
        <w:spacing w:after="0" w:line="311" w:lineRule="auto"/>
        <w:rPr>
          <w:sz w:val="20"/>
          <w:szCs w:val="20"/>
          <w:color w:val="auto"/>
        </w:rPr>
      </w:pPr>
      <w:r>
        <w:rPr>
          <w:rFonts w:ascii="Arial" w:cs="Arial" w:eastAsia="Arial" w:hAnsi="Arial"/>
          <w:sz w:val="14"/>
          <w:szCs w:val="14"/>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32" w:lineRule="exact"/>
        <w:rPr>
          <w:sz w:val="20"/>
          <w:szCs w:val="20"/>
          <w:color w:val="auto"/>
        </w:rPr>
      </w:pPr>
    </w:p>
    <w:p>
      <w:pPr>
        <w:ind w:right="20" w:firstLine="511"/>
        <w:spacing w:after="0" w:line="25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Page</w:t>
            </w:r>
          </w:p>
        </w:tc>
      </w:tr>
      <w:tr>
        <w:trPr>
          <w:trHeight w:val="286"/>
        </w:trPr>
        <w:tc>
          <w:tcPr>
            <w:tcW w:w="10480" w:type="dxa"/>
            <w:vAlign w:val="bottom"/>
            <w:gridSpan w:val="8"/>
          </w:tcPr>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1.</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Unaudited Financial Statements:</w:t>
              </w:r>
            </w:hyperlink>
          </w:p>
        </w:tc>
        <w:tc>
          <w:tcPr>
            <w:tcW w:w="780" w:type="dxa"/>
            <w:vAlign w:val="bottom"/>
          </w:tcPr>
          <w:p>
            <w:pPr>
              <w:spacing w:after="0"/>
              <w:rPr>
                <w:sz w:val="24"/>
                <w:szCs w:val="24"/>
                <w:color w:val="auto"/>
              </w:rPr>
            </w:pPr>
          </w:p>
        </w:tc>
      </w:tr>
      <w:tr>
        <w:trPr>
          <w:trHeight w:val="296"/>
        </w:trPr>
        <w:tc>
          <w:tcPr>
            <w:tcW w:w="800" w:type="dxa"/>
            <w:vAlign w:val="bottom"/>
          </w:tcPr>
          <w:p>
            <w:pPr>
              <w:spacing w:after="0"/>
              <w:rPr>
                <w:sz w:val="24"/>
                <w:szCs w:val="24"/>
                <w:color w:val="auto"/>
              </w:rPr>
            </w:pP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 as of June 30, 2020 and December 31, 2019</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2"/>
        </w:trPr>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100" w:type="dxa"/>
            <w:vAlign w:val="bottom"/>
            <w:tcBorders>
              <w:bottom w:val="single" w:sz="8" w:color="0000EE"/>
            </w:tcBorders>
            <w:gridSpan w:val="5"/>
          </w:tcPr>
          <w:p>
            <w:pPr>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Condensed Consolidated Statements of Comprehensive Loss for the three and six months ended</w:t>
              </w:r>
            </w:hyperlink>
          </w:p>
        </w:tc>
        <w:tc>
          <w:tcPr>
            <w:tcW w:w="33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40" w:type="dxa"/>
            <w:vAlign w:val="bottom"/>
            <w:gridSpan w:val="5"/>
          </w:tcPr>
          <w:p>
            <w:pPr>
              <w:spacing w:after="0" w:line="169" w:lineRule="exact"/>
              <w:rPr>
                <w:rFonts w:ascii="Arial" w:cs="Arial" w:eastAsia="Arial" w:hAnsi="Arial"/>
                <w:sz w:val="16"/>
                <w:szCs w:val="16"/>
                <w:color w:val="0000EE"/>
              </w:rPr>
            </w:pPr>
            <w:hyperlink w:anchor="page5">
              <w:r>
                <w:rPr>
                  <w:rFonts w:ascii="Arial" w:cs="Arial" w:eastAsia="Arial" w:hAnsi="Arial"/>
                  <w:sz w:val="16"/>
                  <w:szCs w:val="16"/>
                  <w:color w:val="0000EE"/>
                </w:rPr>
                <w:t>June 30, 2020 and 2019</w:t>
              </w:r>
            </w:hyperlink>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r>
      <w:tr>
        <w:trPr>
          <w:trHeight w:val="20"/>
        </w:trPr>
        <w:tc>
          <w:tcPr>
            <w:tcW w:w="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20" w:type="dxa"/>
            <w:vAlign w:val="bottom"/>
            <w:tcBorders>
              <w:bottom w:val="single" w:sz="8" w:color="0000EE"/>
            </w:tcBorders>
            <w:gridSpan w:val="4"/>
          </w:tcPr>
          <w:p>
            <w:pPr>
              <w:spacing w:after="0"/>
              <w:rPr>
                <w:rFonts w:ascii="Arial" w:cs="Arial" w:eastAsia="Arial" w:hAnsi="Arial"/>
                <w:sz w:val="16"/>
                <w:szCs w:val="16"/>
                <w:color w:val="0000EE"/>
                <w:w w:val="88"/>
              </w:rPr>
            </w:pPr>
            <w:hyperlink w:anchor="page6">
              <w:r>
                <w:rPr>
                  <w:rFonts w:ascii="Arial" w:cs="Arial" w:eastAsia="Arial" w:hAnsi="Arial"/>
                  <w:sz w:val="16"/>
                  <w:szCs w:val="16"/>
                  <w:color w:val="0000EE"/>
                  <w:w w:val="88"/>
                </w:rPr>
                <w:t>Condensed Consolidated Statements of Cash Flows for the six months ended June 30, 2020</w:t>
              </w:r>
            </w:hyperlink>
          </w:p>
        </w:tc>
        <w:tc>
          <w:tcPr>
            <w:tcW w:w="364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40" w:type="dxa"/>
            <w:vAlign w:val="bottom"/>
            <w:gridSpan w:val="5"/>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and 2019</w:t>
              </w:r>
            </w:hyperlink>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r>
      <w:tr>
        <w:trPr>
          <w:trHeight w:val="20"/>
        </w:trPr>
        <w:tc>
          <w:tcPr>
            <w:tcW w:w="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0"/>
        </w:trPr>
        <w:tc>
          <w:tcPr>
            <w:tcW w:w="800" w:type="dxa"/>
            <w:vAlign w:val="bottom"/>
          </w:tcPr>
          <w:p>
            <w:pPr>
              <w:spacing w:after="0"/>
              <w:rPr>
                <w:sz w:val="24"/>
                <w:szCs w:val="24"/>
                <w:color w:val="auto"/>
              </w:rPr>
            </w:pP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2.</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3.</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4.</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96"/>
        </w:trPr>
        <w:tc>
          <w:tcPr>
            <w:tcW w:w="10480" w:type="dxa"/>
            <w:vAlign w:val="bottom"/>
            <w:gridSpan w:val="8"/>
          </w:tcPr>
          <w:p>
            <w:pPr>
              <w:spacing w:after="0"/>
              <w:rPr>
                <w:rFonts w:ascii="Arial" w:cs="Arial" w:eastAsia="Arial" w:hAnsi="Arial"/>
                <w:sz w:val="16"/>
                <w:szCs w:val="16"/>
                <w:b w:val="1"/>
                <w:bCs w:val="1"/>
                <w:u w:val="single" w:color="auto"/>
                <w:color w:val="0000EE"/>
              </w:rPr>
            </w:pPr>
            <w:hyperlink w:anchor="page31">
              <w:r>
                <w:rPr>
                  <w:rFonts w:ascii="Arial" w:cs="Arial" w:eastAsia="Arial" w:hAnsi="Arial"/>
                  <w:sz w:val="16"/>
                  <w:szCs w:val="16"/>
                  <w:b w:val="1"/>
                  <w:bCs w:val="1"/>
                  <w:u w:val="single" w:color="auto"/>
                  <w:color w:val="0000EE"/>
                </w:rPr>
                <w:t>PART II. OTHER INFORMATION</w:t>
              </w:r>
            </w:hyperlink>
          </w:p>
        </w:tc>
        <w:tc>
          <w:tcPr>
            <w:tcW w:w="780" w:type="dxa"/>
            <w:vAlign w:val="bottom"/>
          </w:tcPr>
          <w:p>
            <w:pPr>
              <w:spacing w:after="0"/>
              <w:rPr>
                <w:sz w:val="24"/>
                <w:szCs w:val="24"/>
                <w:color w:val="auto"/>
              </w:rPr>
            </w:pP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1.</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1A.</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2.</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3.</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96"/>
        </w:trPr>
        <w:tc>
          <w:tcPr>
            <w:tcW w:w="800" w:type="dxa"/>
            <w:vAlign w:val="bottom"/>
          </w:tcPr>
          <w:p>
            <w:pPr>
              <w:spacing w:after="0"/>
              <w:rPr>
                <w:sz w:val="20"/>
                <w:szCs w:val="20"/>
                <w:color w:val="auto"/>
              </w:rPr>
            </w:pPr>
            <w:r>
              <w:rPr>
                <w:rFonts w:ascii="Arial" w:cs="Arial" w:eastAsia="Arial" w:hAnsi="Arial"/>
                <w:sz w:val="16"/>
                <w:szCs w:val="16"/>
                <w:color w:val="auto"/>
              </w:rPr>
              <w:t>Item 6.</w:t>
            </w:r>
          </w:p>
        </w:tc>
        <w:tc>
          <w:tcPr>
            <w:tcW w:w="9680" w:type="dxa"/>
            <w:vAlign w:val="bottom"/>
            <w:gridSpan w:val="7"/>
          </w:tcPr>
          <w:p>
            <w:pPr>
              <w:ind w:left="2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6"/>
          <w:szCs w:val="16"/>
          <w:b w:val="1"/>
          <w:bCs w:val="1"/>
          <w:color w:val="auto"/>
        </w:rPr>
        <w:t>Part I:</w:t>
      </w:r>
      <w:r>
        <w:rPr>
          <w:sz w:val="20"/>
          <w:szCs w:val="20"/>
          <w:color w:val="auto"/>
        </w:rPr>
        <w:tab/>
      </w:r>
      <w:r>
        <w:rPr>
          <w:rFonts w:ascii="Arial" w:cs="Arial" w:eastAsia="Arial" w:hAnsi="Arial"/>
          <w:sz w:val="16"/>
          <w:szCs w:val="16"/>
          <w:b w:val="1"/>
          <w:bCs w:val="1"/>
          <w:color w:val="auto"/>
        </w:rPr>
        <w:t>FINANCIAL INFORMATION</w:t>
      </w:r>
    </w:p>
    <w:p>
      <w:pPr>
        <w:spacing w:after="0" w:line="10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2"/>
          <w:szCs w:val="12"/>
          <w:b w:val="1"/>
          <w:bCs w:val="1"/>
          <w:color w:val="auto"/>
        </w:rPr>
        <w:t>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June 30, 2020</w:t>
            </w:r>
          </w:p>
        </w:tc>
        <w:tc>
          <w:tcPr>
            <w:tcW w:w="220" w:type="dxa"/>
            <w:vAlign w:val="bottom"/>
          </w:tcPr>
          <w:p>
            <w:pPr>
              <w:spacing w:after="0"/>
              <w:rPr>
                <w:sz w:val="13"/>
                <w:szCs w:val="13"/>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December 31, 2019</w:t>
            </w:r>
          </w:p>
        </w:tc>
        <w:tc>
          <w:tcPr>
            <w:tcW w:w="0" w:type="dxa"/>
            <w:vAlign w:val="bottom"/>
          </w:tcPr>
          <w:p>
            <w:pPr>
              <w:spacing w:after="0"/>
              <w:rPr>
                <w:sz w:val="1"/>
                <w:szCs w:val="1"/>
                <w:color w:val="auto"/>
              </w:rPr>
            </w:pPr>
          </w:p>
        </w:tc>
      </w:tr>
      <w:tr>
        <w:trPr>
          <w:trHeight w:val="19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6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36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investments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133,142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191,807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 net</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0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192,628</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3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1,832</w:t>
            </w:r>
          </w:p>
        </w:tc>
        <w:tc>
          <w:tcPr>
            <w:tcW w:w="30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6,178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Current portion of deferred revenue</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Current portion of right-of-use liability</w:t>
            </w:r>
          </w:p>
        </w:tc>
        <w:tc>
          <w:tcPr>
            <w:tcW w:w="10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current liabilities</w:t>
            </w:r>
          </w:p>
        </w:tc>
        <w:tc>
          <w:tcPr>
            <w:tcW w:w="10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12,467</w:t>
            </w:r>
          </w:p>
        </w:tc>
        <w:tc>
          <w:tcPr>
            <w:tcW w:w="3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Long-term liabilities:</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Deferred revenue, less current portion</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12,375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13,133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Right-of-use liability, less current portion</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Loan payable</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19,896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long-term liabilities</w:t>
            </w:r>
          </w:p>
        </w:tc>
        <w:tc>
          <w:tcPr>
            <w:tcW w:w="10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long-term liabilities</w:t>
            </w:r>
          </w:p>
        </w:tc>
        <w:tc>
          <w:tcPr>
            <w:tcW w:w="10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32,514</w:t>
            </w:r>
          </w:p>
        </w:tc>
        <w:tc>
          <w:tcPr>
            <w:tcW w:w="3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44,981</w:t>
            </w:r>
          </w:p>
        </w:tc>
        <w:tc>
          <w:tcPr>
            <w:tcW w:w="3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31,925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60" w:type="dxa"/>
            <w:vAlign w:val="bottom"/>
          </w:tcPr>
          <w:p>
            <w:pPr>
              <w:spacing w:after="0"/>
              <w:rPr>
                <w:sz w:val="20"/>
                <w:szCs w:val="20"/>
                <w:color w:val="auto"/>
              </w:rPr>
            </w:pPr>
            <w:r>
              <w:rPr>
                <w:rFonts w:ascii="Arial" w:cs="Arial" w:eastAsia="Arial" w:hAnsi="Arial"/>
                <w:sz w:val="16"/>
                <w:szCs w:val="16"/>
                <w:color w:val="auto"/>
              </w:rPr>
              <w:t>Commitments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60" w:type="dxa"/>
            <w:vAlign w:val="bottom"/>
          </w:tcPr>
          <w:p>
            <w:pPr>
              <w:ind w:left="220"/>
              <w:spacing w:after="0"/>
              <w:rPr>
                <w:sz w:val="20"/>
                <w:szCs w:val="20"/>
                <w:color w:val="auto"/>
              </w:rPr>
            </w:pPr>
            <w:r>
              <w:rPr>
                <w:rFonts w:ascii="Arial" w:cs="Arial" w:eastAsia="Arial" w:hAnsi="Arial"/>
                <w:sz w:val="16"/>
                <w:szCs w:val="16"/>
                <w:color w:val="auto"/>
              </w:rPr>
              <w:t>Preferred stock, $0.001 par value, 10,000,000 shares authorized; 0 shares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320"/>
              <w:spacing w:after="0"/>
              <w:rPr>
                <w:sz w:val="20"/>
                <w:szCs w:val="20"/>
                <w:color w:val="auto"/>
              </w:rPr>
            </w:pPr>
            <w:r>
              <w:rPr>
                <w:rFonts w:ascii="Arial" w:cs="Arial" w:eastAsia="Arial" w:hAnsi="Arial"/>
                <w:sz w:val="16"/>
                <w:szCs w:val="16"/>
                <w:color w:val="auto"/>
              </w:rPr>
              <w:t>outstanding at June 30, 2020 and December 31, 2019</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Common stock, $0.0001 par value, 100,000,000 shares authorized; 38,512,744</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27,140,484 shares issued and outstanding at June 30, 2020 and</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2019, respectively</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675,294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527,067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2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(527,768)</w:t>
            </w:r>
          </w:p>
        </w:tc>
        <w:tc>
          <w:tcPr>
            <w:tcW w:w="2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(495,470)</w:t>
            </w:r>
          </w:p>
        </w:tc>
        <w:tc>
          <w:tcPr>
            <w:tcW w:w="0" w:type="dxa"/>
            <w:vAlign w:val="bottom"/>
          </w:tcPr>
          <w:p>
            <w:pPr>
              <w:spacing w:after="0"/>
              <w:rPr>
                <w:sz w:val="1"/>
                <w:szCs w:val="1"/>
                <w:color w:val="auto"/>
              </w:rPr>
            </w:pPr>
          </w:p>
        </w:tc>
      </w:tr>
      <w:tr>
        <w:trPr>
          <w:trHeight w:val="19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147,647</w:t>
            </w: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31,600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06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192,628</w:t>
            </w:r>
          </w:p>
        </w:tc>
        <w:tc>
          <w:tcPr>
            <w:tcW w:w="300" w:type="dxa"/>
            <w:vAlign w:val="bottom"/>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6"/>
          </w:tcPr>
          <w:p>
            <w:pPr>
              <w:jc w:val="right"/>
              <w:ind w:right="940"/>
              <w:spacing w:after="0"/>
              <w:rPr>
                <w:sz w:val="20"/>
                <w:szCs w:val="20"/>
                <w:color w:val="auto"/>
              </w:rPr>
            </w:pPr>
            <w:r>
              <w:rPr>
                <w:rFonts w:ascii="Arial" w:cs="Arial" w:eastAsia="Arial" w:hAnsi="Arial"/>
                <w:sz w:val="13"/>
                <w:szCs w:val="13"/>
                <w:b w:val="1"/>
                <w:bCs w:val="1"/>
                <w:color w:val="auto"/>
              </w:rPr>
              <w:t>Three Months Ended June 30,</w:t>
            </w:r>
          </w:p>
        </w:tc>
        <w:tc>
          <w:tcPr>
            <w:tcW w:w="28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52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3"/>
              <w:spacing w:after="0" w:line="134"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2"/>
              <w:spacing w:after="0" w:line="134"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3"/>
              <w:spacing w:after="0" w:line="13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2"/>
              <w:spacing w:after="0" w:line="13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80" w:type="dxa"/>
            <w:vAlign w:val="bottom"/>
          </w:tcPr>
          <w:p>
            <w:pPr>
              <w:ind w:left="220"/>
              <w:spacing w:after="0"/>
              <w:rPr>
                <w:sz w:val="20"/>
                <w:szCs w:val="20"/>
                <w:color w:val="auto"/>
              </w:rPr>
            </w:pPr>
            <w:r>
              <w:rPr>
                <w:rFonts w:ascii="Arial" w:cs="Arial" w:eastAsia="Arial" w:hAnsi="Arial"/>
                <w:sz w:val="16"/>
                <w:szCs w:val="16"/>
                <w:color w:val="auto"/>
              </w:rPr>
              <w:t>License fees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379</w:t>
            </w:r>
          </w:p>
        </w:tc>
        <w:tc>
          <w:tcPr>
            <w:tcW w:w="16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379</w:t>
            </w:r>
          </w:p>
        </w:tc>
        <w:tc>
          <w:tcPr>
            <w:tcW w:w="38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758</w:t>
            </w:r>
          </w:p>
        </w:tc>
        <w:tc>
          <w:tcPr>
            <w:tcW w:w="140" w:type="dxa"/>
            <w:vAlign w:val="bottom"/>
          </w:tcPr>
          <w:p>
            <w:pPr>
              <w:spacing w:after="0"/>
              <w:rPr>
                <w:sz w:val="17"/>
                <w:szCs w:val="17"/>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3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12,290</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6,046</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3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16,989</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15,753</w:t>
            </w:r>
          </w:p>
        </w:tc>
        <w:tc>
          <w:tcPr>
            <w:tcW w:w="3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32,468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30,943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80" w:type="dxa"/>
            <w:vAlign w:val="bottom"/>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(15,374)</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Pr>
          <w:p>
            <w:pPr>
              <w:ind w:left="220"/>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(expense) income</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3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(17,062)</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(14,916)</w:t>
            </w:r>
          </w:p>
        </w:tc>
        <w:tc>
          <w:tcPr>
            <w:tcW w:w="3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8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Other comprehensive loss:</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80" w:type="dxa"/>
            <w:vAlign w:val="bottom"/>
          </w:tcPr>
          <w:p>
            <w:pPr>
              <w:ind w:left="220"/>
              <w:spacing w:after="0"/>
              <w:rPr>
                <w:sz w:val="20"/>
                <w:szCs w:val="20"/>
                <w:color w:val="auto"/>
              </w:rPr>
            </w:pPr>
            <w:r>
              <w:rPr>
                <w:rFonts w:ascii="Arial" w:cs="Arial" w:eastAsia="Arial" w:hAnsi="Arial"/>
                <w:sz w:val="16"/>
                <w:szCs w:val="16"/>
                <w:color w:val="auto"/>
              </w:rPr>
              <w:t>Unrealized gain on marketable securities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7"/>
                <w:szCs w:val="17"/>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7"/>
                <w:szCs w:val="17"/>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(16,993)</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(14,866)</w:t>
            </w:r>
          </w:p>
        </w:tc>
        <w:tc>
          <w:tcPr>
            <w:tcW w:w="38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(32,181)</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(29,135)</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Borders>
              <w:bottom w:val="single" w:sz="8" w:color="CFF0FC"/>
            </w:tcBorders>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(17,062)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(14,916)</w:t>
            </w:r>
          </w:p>
        </w:tc>
        <w:tc>
          <w:tcPr>
            <w:tcW w:w="3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(36,204)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(29,218)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80" w:type="dxa"/>
            <w:vAlign w:val="bottom"/>
            <w:shd w:val="clear" w:color="auto" w:fill="CFF0FC"/>
          </w:tcPr>
          <w:p>
            <w:pPr>
              <w:spacing w:after="0" w:line="165" w:lineRule="exact"/>
              <w:rPr>
                <w:sz w:val="20"/>
                <w:szCs w:val="20"/>
                <w:color w:val="auto"/>
              </w:rPr>
            </w:pPr>
            <w:r>
              <w:rPr>
                <w:rFonts w:ascii="Arial" w:cs="Arial" w:eastAsia="Arial" w:hAnsi="Arial"/>
                <w:sz w:val="16"/>
                <w:szCs w:val="16"/>
                <w:color w:val="auto"/>
              </w:rPr>
              <w:t>Net loss per share attributable to common stockholders—basic</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diluted</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(0.42)</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(0.47)</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(0.97)</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Weighted-average number of common shares used to compute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6"/>
                <w:szCs w:val="16"/>
                <w:color w:val="auto"/>
              </w:rPr>
              <w:t>net loss per share attributable to common stockholders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80" w:type="dxa"/>
            <w:vAlign w:val="bottom"/>
          </w:tcPr>
          <w:p>
            <w:pPr>
              <w:ind w:left="12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40,609,205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31,605,279</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37,468,922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29,327,029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3"/>
                <w:szCs w:val="13"/>
                <w:b w:val="1"/>
                <w:bCs w:val="1"/>
                <w:color w:val="auto"/>
                <w:w w:val="86"/>
              </w:rPr>
              <w:t>Six Months Ended June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2200" w:type="dxa"/>
            <w:vAlign w:val="bottom"/>
            <w:gridSpan w:val="2"/>
          </w:tcPr>
          <w:p>
            <w:pPr>
              <w:jc w:val="right"/>
              <w:ind w:right="692"/>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(32,298)</w:t>
            </w:r>
          </w:p>
        </w:tc>
        <w:tc>
          <w:tcPr>
            <w:tcW w:w="1020" w:type="dxa"/>
            <w:vAlign w:val="bottom"/>
            <w:gridSpan w:val="2"/>
          </w:tcPr>
          <w:p>
            <w:pPr>
              <w:jc w:val="right"/>
              <w:ind w:right="747"/>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(29,218)</w:t>
            </w: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Adjustments to reconcile net loss to net cash from operating activities:</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420"/>
              <w:spacing w:after="0"/>
              <w:rPr>
                <w:sz w:val="20"/>
                <w:szCs w:val="20"/>
                <w:color w:val="auto"/>
              </w:rPr>
            </w:pPr>
            <w:r>
              <w:rPr>
                <w:rFonts w:ascii="Arial" w:cs="Arial" w:eastAsia="Arial" w:hAnsi="Arial"/>
                <w:sz w:val="16"/>
                <w:szCs w:val="16"/>
                <w:color w:val="auto"/>
              </w:rPr>
              <w:t>Depreciation</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and accretion of investments</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620" w:type="dxa"/>
            <w:vAlign w:val="bottom"/>
          </w:tcPr>
          <w:p>
            <w:pPr>
              <w:ind w:left="420"/>
              <w:spacing w:after="0"/>
              <w:rPr>
                <w:sz w:val="20"/>
                <w:szCs w:val="20"/>
                <w:color w:val="auto"/>
              </w:rPr>
            </w:pPr>
            <w:r>
              <w:rPr>
                <w:rFonts w:ascii="Arial" w:cs="Arial" w:eastAsia="Arial" w:hAnsi="Arial"/>
                <w:sz w:val="16"/>
                <w:szCs w:val="16"/>
                <w:color w:val="auto"/>
              </w:rPr>
              <w:t>Non-cash operating lease expense</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Non-cash interest expense</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6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1"/>
        </w:trPr>
        <w:tc>
          <w:tcPr>
            <w:tcW w:w="6620" w:type="dxa"/>
            <w:vAlign w:val="bottom"/>
          </w:tcPr>
          <w:p>
            <w:pPr>
              <w:ind w:left="420"/>
              <w:spacing w:after="0"/>
              <w:rPr>
                <w:sz w:val="20"/>
                <w:szCs w:val="20"/>
                <w:color w:val="auto"/>
              </w:rPr>
            </w:pPr>
            <w:r>
              <w:rPr>
                <w:rFonts w:ascii="Arial" w:cs="Arial" w:eastAsia="Arial" w:hAnsi="Arial"/>
                <w:sz w:val="16"/>
                <w:szCs w:val="16"/>
                <w:color w:val="auto"/>
              </w:rPr>
              <w:t>Changes in operating assets and liabilities:</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64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(2,384)</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01"/>
        </w:trPr>
        <w:tc>
          <w:tcPr>
            <w:tcW w:w="662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(4,346)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640"/>
              <w:spacing w:after="0"/>
              <w:rPr>
                <w:sz w:val="20"/>
                <w:szCs w:val="20"/>
                <w:color w:val="auto"/>
              </w:rPr>
            </w:pPr>
            <w:r>
              <w:rPr>
                <w:rFonts w:ascii="Arial" w:cs="Arial" w:eastAsia="Arial" w:hAnsi="Arial"/>
                <w:sz w:val="16"/>
                <w:szCs w:val="16"/>
                <w:color w:val="auto"/>
              </w:rPr>
              <w:t>Deferred revenue</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01"/>
        </w:trPr>
        <w:tc>
          <w:tcPr>
            <w:tcW w:w="6620" w:type="dxa"/>
            <w:vAlign w:val="bottom"/>
          </w:tcPr>
          <w:p>
            <w:pPr>
              <w:ind w:left="640"/>
              <w:spacing w:after="0"/>
              <w:rPr>
                <w:sz w:val="20"/>
                <w:szCs w:val="20"/>
                <w:color w:val="auto"/>
              </w:rPr>
            </w:pPr>
            <w:r>
              <w:rPr>
                <w:rFonts w:ascii="Arial" w:cs="Arial" w:eastAsia="Arial" w:hAnsi="Arial"/>
                <w:sz w:val="16"/>
                <w:szCs w:val="16"/>
                <w:color w:val="auto"/>
              </w:rPr>
              <w:t>Accrued expenses and other liabilities</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3"/>
        </w:trPr>
        <w:tc>
          <w:tcPr>
            <w:tcW w:w="662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Net cash used in operating activities</w:t>
            </w:r>
          </w:p>
        </w:tc>
        <w:tc>
          <w:tcPr>
            <w:tcW w:w="136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(37,332)</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7"/>
              </w:rPr>
              <w:t>(29,356)</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Purchases of short-term investments</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(131,125)</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(59,894)</w:t>
            </w:r>
          </w:p>
        </w:tc>
        <w:tc>
          <w:tcPr>
            <w:tcW w:w="0" w:type="dxa"/>
            <w:vAlign w:val="bottom"/>
          </w:tcPr>
          <w:p>
            <w:pPr>
              <w:spacing w:after="0"/>
              <w:rPr>
                <w:sz w:val="1"/>
                <w:szCs w:val="1"/>
                <w:color w:val="auto"/>
              </w:rPr>
            </w:pPr>
          </w:p>
        </w:tc>
      </w:tr>
      <w:tr>
        <w:trPr>
          <w:trHeight w:val="201"/>
        </w:trPr>
        <w:tc>
          <w:tcPr>
            <w:tcW w:w="6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Proceeds from sales and maturities of short-term investments</w:t>
            </w:r>
          </w:p>
        </w:tc>
        <w:tc>
          <w:tcPr>
            <w:tcW w:w="13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cash used in investing activities</w:t>
            </w:r>
          </w:p>
        </w:tc>
        <w:tc>
          <w:tcPr>
            <w:tcW w:w="136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(97,665)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(6,179)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issuance of common stock in at-the-market stock offering, net</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direct stock offering, net</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142,767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debt agreement, net</w:t>
            </w:r>
          </w:p>
        </w:tc>
        <w:tc>
          <w:tcPr>
            <w:tcW w:w="1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stock option exercises</w:t>
            </w:r>
          </w:p>
        </w:tc>
        <w:tc>
          <w:tcPr>
            <w:tcW w:w="136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Net cash provided by financing activities</w:t>
            </w:r>
          </w:p>
        </w:tc>
        <w:tc>
          <w:tcPr>
            <w:tcW w:w="13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163,999</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28,432</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1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13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136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9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53,726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26,882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2200" w:type="dxa"/>
            <w:vAlign w:val="bottom"/>
            <w:gridSpan w:val="2"/>
            <w:shd w:val="clear" w:color="auto" w:fill="CFF0FC"/>
          </w:tcPr>
          <w:p>
            <w:pPr>
              <w:jc w:val="right"/>
              <w:ind w:right="69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47"/>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1. Nature of Business</w:t>
      </w:r>
    </w:p>
    <w:p>
      <w:pPr>
        <w:spacing w:after="0" w:line="104" w:lineRule="exact"/>
        <w:rPr>
          <w:sz w:val="20"/>
          <w:szCs w:val="20"/>
          <w:color w:val="auto"/>
        </w:rPr>
      </w:pPr>
    </w:p>
    <w:p>
      <w:pPr>
        <w:ind w:left="505"/>
        <w:spacing w:after="0"/>
        <w:rPr>
          <w:sz w:val="20"/>
          <w:szCs w:val="20"/>
          <w:color w:val="auto"/>
        </w:rPr>
      </w:pPr>
      <w:r>
        <w:rPr>
          <w:rFonts w:ascii="Arial" w:cs="Arial" w:eastAsia="Arial" w:hAnsi="Arial"/>
          <w:sz w:val="14"/>
          <w:szCs w:val="14"/>
          <w:color w:val="auto"/>
        </w:rPr>
        <w:t>Syndax Pharmaceuticals, Inc. (“we,” “us,” “our” or the “Company”) is a clinical stage biopharmaceutical company developing an innovative pipeline of cancer therapies.</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were incorporated in Delaware in 2005. We base our operations in Waltham, Massachusetts and we operate in one segment.</w:t>
      </w: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2. Basis of Presentation</w:t>
      </w:r>
    </w:p>
    <w:p>
      <w:pPr>
        <w:spacing w:after="0" w:line="104" w:lineRule="exact"/>
        <w:rPr>
          <w:sz w:val="20"/>
          <w:szCs w:val="20"/>
          <w:color w:val="auto"/>
        </w:rPr>
      </w:pPr>
    </w:p>
    <w:p>
      <w:pPr>
        <w:ind w:left="5" w:right="120" w:firstLine="511"/>
        <w:spacing w:after="0" w:line="268" w:lineRule="auto"/>
        <w:rPr>
          <w:sz w:val="20"/>
          <w:szCs w:val="20"/>
          <w:color w:val="auto"/>
        </w:rPr>
      </w:pPr>
      <w:r>
        <w:rPr>
          <w:rFonts w:ascii="Arial" w:cs="Arial" w:eastAsia="Arial" w:hAnsi="Arial"/>
          <w:sz w:val="15"/>
          <w:szCs w:val="15"/>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2020, and the results of operations and comprehensive loss for the three and six months ended June 30, 2020 and 2019, and cash flows for the six months ended June 30, 2020 and 2019. The results for the three and six months ended June 30,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that was filed with the Securities and Exchange Commission (“SEC”) on March 5, 2020.</w:t>
      </w:r>
    </w:p>
    <w:p>
      <w:pPr>
        <w:spacing w:after="0" w:line="161" w:lineRule="exact"/>
        <w:rPr>
          <w:sz w:val="20"/>
          <w:szCs w:val="20"/>
          <w:color w:val="auto"/>
        </w:rPr>
      </w:pPr>
    </w:p>
    <w:p>
      <w:pPr>
        <w:ind w:left="5" w:firstLine="511"/>
        <w:spacing w:after="0" w:line="257"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7" w:lineRule="exact"/>
        <w:rPr>
          <w:sz w:val="20"/>
          <w:szCs w:val="20"/>
          <w:color w:val="auto"/>
        </w:rPr>
      </w:pPr>
    </w:p>
    <w:p>
      <w:pPr>
        <w:ind w:left="505" w:right="8120" w:hanging="505"/>
        <w:spacing w:after="0" w:line="426" w:lineRule="auto"/>
        <w:tabs>
          <w:tab w:leader="none" w:pos="153"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i w:val="1"/>
          <w:iCs w:val="1"/>
          <w:color w:val="auto"/>
        </w:rPr>
        <w:t>Significant Accounting Policies</w:t>
      </w:r>
    </w:p>
    <w:p>
      <w:pPr>
        <w:spacing w:after="0" w:line="1" w:lineRule="exact"/>
        <w:rPr>
          <w:sz w:val="20"/>
          <w:szCs w:val="20"/>
          <w:color w:val="auto"/>
        </w:rPr>
      </w:pPr>
    </w:p>
    <w:p>
      <w:pPr>
        <w:ind w:left="5" w:right="80" w:firstLine="511"/>
        <w:spacing w:after="0" w:line="257" w:lineRule="auto"/>
        <w:rPr>
          <w:sz w:val="20"/>
          <w:szCs w:val="20"/>
          <w:color w:val="auto"/>
        </w:rPr>
      </w:pPr>
      <w:r>
        <w:rPr>
          <w:rFonts w:ascii="Arial" w:cs="Arial" w:eastAsia="Arial" w:hAnsi="Arial"/>
          <w:sz w:val="16"/>
          <w:szCs w:val="16"/>
          <w:color w:val="auto"/>
        </w:rPr>
        <w:t>The Company’s significant accounting policies, which are disclosed in the audited consolidated financial statements for the year ended December 31, 2019 and the notes thereto are included in the Company’s Annual Report on Form 10-K that was filed with the SEC on March 5, 2020. Since the date of that filing, there have been no material changes to the Company’s significant accounting policies except as noted below.</w:t>
      </w:r>
    </w:p>
    <w:p>
      <w:pPr>
        <w:spacing w:after="0" w:line="72" w:lineRule="exact"/>
        <w:rPr>
          <w:sz w:val="20"/>
          <w:szCs w:val="20"/>
          <w:color w:val="auto"/>
        </w:rPr>
      </w:pPr>
    </w:p>
    <w:p>
      <w:pPr>
        <w:ind w:left="505"/>
        <w:spacing w:after="0"/>
        <w:rPr>
          <w:sz w:val="20"/>
          <w:szCs w:val="20"/>
          <w:color w:val="auto"/>
        </w:rPr>
      </w:pPr>
      <w:r>
        <w:rPr>
          <w:rFonts w:ascii="Arial" w:cs="Arial" w:eastAsia="Arial" w:hAnsi="Arial"/>
          <w:sz w:val="16"/>
          <w:szCs w:val="16"/>
          <w:i w:val="1"/>
          <w:iCs w:val="1"/>
          <w:color w:val="auto"/>
        </w:rPr>
        <w:t>Significant Risks and Uncertainties</w:t>
      </w:r>
    </w:p>
    <w:p>
      <w:pPr>
        <w:spacing w:after="0" w:line="100" w:lineRule="exact"/>
        <w:rPr>
          <w:sz w:val="20"/>
          <w:szCs w:val="20"/>
          <w:color w:val="auto"/>
        </w:rPr>
      </w:pPr>
    </w:p>
    <w:p>
      <w:pPr>
        <w:ind w:left="5" w:firstLine="511"/>
        <w:spacing w:after="0" w:line="269" w:lineRule="auto"/>
        <w:rPr>
          <w:sz w:val="20"/>
          <w:szCs w:val="20"/>
          <w:color w:val="auto"/>
        </w:rPr>
      </w:pPr>
      <w:r>
        <w:rPr>
          <w:rFonts w:ascii="Arial" w:cs="Arial" w:eastAsia="Arial" w:hAnsi="Arial"/>
          <w:sz w:val="15"/>
          <w:szCs w:val="15"/>
          <w:color w:val="auto"/>
        </w:rPr>
        <w:t>With the global spread of the ongoing COVID-19 pandemic in 2020, the Company has implemented business continuity plans designed to address and mitigate the impact of the COVID-19 pandemic on our business. The Company anticipate that the COVID-19 pandemic could have an impact on the clinical development timelines for one or more of our clinical programs. The extent to which the COVID-19 pandemic impacts the Company’s business, clinical development, manufacturing of clinical and commercial drug substance and drug product, and regulatory efforts, the corporate development objectives and the value of and market for the Company’s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its business, financial condition, results of operations and growth prospects.</w:t>
      </w:r>
    </w:p>
    <w:p>
      <w:pPr>
        <w:spacing w:after="0" w:line="63" w:lineRule="exact"/>
        <w:rPr>
          <w:sz w:val="20"/>
          <w:szCs w:val="20"/>
          <w:color w:val="auto"/>
        </w:rPr>
      </w:pPr>
    </w:p>
    <w:p>
      <w:pPr>
        <w:ind w:left="5" w:firstLine="511"/>
        <w:spacing w:after="0" w:line="270" w:lineRule="auto"/>
        <w:rPr>
          <w:sz w:val="20"/>
          <w:szCs w:val="20"/>
          <w:color w:val="auto"/>
        </w:rPr>
      </w:pPr>
      <w:r>
        <w:rPr>
          <w:rFonts w:ascii="Arial" w:cs="Arial" w:eastAsia="Arial" w:hAnsi="Arial"/>
          <w:sz w:val="15"/>
          <w:szCs w:val="15"/>
          <w:color w:val="auto"/>
        </w:rPr>
        <w:t>In addition, the Company is subject to other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 In addition, to the extent the ongoing COVID-19 pandemic adversely affects the Company’s business and results of operations, it may also have the effect of heightening many of the other risks and uncertainties discussed above.</w:t>
      </w:r>
    </w:p>
    <w:p>
      <w:pPr>
        <w:spacing w:after="0" w:line="15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312" w:right="339" w:bottom="1440" w:gutter="0" w:footer="0" w:header="0"/>
        </w:sectPr>
      </w:pPr>
    </w:p>
    <w:bookmarkStart w:id="7" w:name="page8"/>
    <w:bookmarkEnd w:id="7"/>
    <w:p>
      <w:pPr>
        <w:ind w:left="500"/>
        <w:spacing w:after="0"/>
        <w:rPr>
          <w:sz w:val="20"/>
          <w:szCs w:val="20"/>
          <w:color w:val="auto"/>
        </w:rPr>
      </w:pPr>
      <w:r>
        <w:rPr>
          <w:rFonts w:ascii="Arial" w:cs="Arial" w:eastAsia="Arial" w:hAnsi="Arial"/>
          <w:sz w:val="16"/>
          <w:szCs w:val="16"/>
          <w:i w:val="1"/>
          <w:iCs w:val="1"/>
          <w:color w:val="auto"/>
        </w:rPr>
        <w:t>Debt Issuance Cost</w:t>
      </w:r>
    </w:p>
    <w:p>
      <w:pPr>
        <w:spacing w:after="0" w:line="100" w:lineRule="exact"/>
        <w:rPr>
          <w:sz w:val="20"/>
          <w:szCs w:val="20"/>
          <w:color w:val="auto"/>
        </w:rPr>
      </w:pPr>
    </w:p>
    <w:p>
      <w:pPr>
        <w:ind w:right="80" w:firstLine="511"/>
        <w:spacing w:after="0" w:line="276" w:lineRule="auto"/>
        <w:rPr>
          <w:sz w:val="20"/>
          <w:szCs w:val="20"/>
          <w:color w:val="auto"/>
        </w:rPr>
      </w:pPr>
      <w:r>
        <w:rPr>
          <w:rFonts w:ascii="Arial" w:cs="Arial" w:eastAsia="Arial" w:hAnsi="Arial"/>
          <w:sz w:val="15"/>
          <w:szCs w:val="15"/>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Derivative Financial Instruments</w:t>
      </w:r>
    </w:p>
    <w:p>
      <w:pPr>
        <w:spacing w:after="0" w:line="100" w:lineRule="exact"/>
        <w:rPr>
          <w:sz w:val="20"/>
          <w:szCs w:val="20"/>
          <w:color w:val="auto"/>
        </w:rPr>
      </w:pPr>
    </w:p>
    <w:p>
      <w:pPr>
        <w:jc w:val="both"/>
        <w:ind w:right="200" w:firstLine="511"/>
        <w:spacing w:after="0" w:line="254" w:lineRule="auto"/>
        <w:rPr>
          <w:sz w:val="20"/>
          <w:szCs w:val="20"/>
          <w:color w:val="auto"/>
        </w:rPr>
      </w:pPr>
      <w:r>
        <w:rPr>
          <w:rFonts w:ascii="Arial" w:cs="Arial" w:eastAsia="Arial" w:hAnsi="Arial"/>
          <w:sz w:val="16"/>
          <w:szCs w:val="16"/>
          <w:color w:val="auto"/>
        </w:rPr>
        <w:t>The Company accounts for derivative financial instruments as either equity or liabilities in accordance with Accounting Standards Codification Topic 815, Derivatives and Hedging, based on the characteristics and provisions of each instrument. Embedded derivatives are required to be bifurcated from the host instruments and recorded at fair value if the derivatives are not clearly and closely related to the host instruments on issuance date. The Company did not have any material embedded derivatives that required bifurcation upon issuance or as of June 30, 2020.</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Use of Estimates</w:t>
      </w:r>
    </w:p>
    <w:p>
      <w:pPr>
        <w:spacing w:after="0" w:line="100" w:lineRule="exact"/>
        <w:rPr>
          <w:sz w:val="20"/>
          <w:szCs w:val="20"/>
          <w:color w:val="auto"/>
        </w:rPr>
      </w:pPr>
    </w:p>
    <w:p>
      <w:pPr>
        <w:ind w:right="120" w:firstLine="511"/>
        <w:spacing w:after="0" w:line="273"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61" w:lineRule="exact"/>
        <w:rPr>
          <w:sz w:val="20"/>
          <w:szCs w:val="20"/>
          <w:color w:val="auto"/>
        </w:rPr>
      </w:pPr>
    </w:p>
    <w:p>
      <w:pPr>
        <w:ind w:right="40" w:firstLine="511"/>
        <w:spacing w:after="0" w:line="251" w:lineRule="auto"/>
        <w:rPr>
          <w:sz w:val="20"/>
          <w:szCs w:val="20"/>
          <w:color w:val="auto"/>
        </w:rPr>
      </w:pPr>
      <w:r>
        <w:rPr>
          <w:rFonts w:ascii="Arial" w:cs="Arial" w:eastAsia="Arial" w:hAnsi="Arial"/>
          <w:sz w:val="16"/>
          <w:szCs w:val="16"/>
          <w:color w:val="auto"/>
        </w:rPr>
        <w:t>Management anticipates that the COVID-19 pandemic will have an impact on the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from Contracts with Customers</w:t>
      </w:r>
    </w:p>
    <w:p>
      <w:pPr>
        <w:spacing w:after="0" w:line="104" w:lineRule="exact"/>
        <w:rPr>
          <w:sz w:val="20"/>
          <w:szCs w:val="20"/>
          <w:color w:val="auto"/>
        </w:rPr>
      </w:pPr>
    </w:p>
    <w:p>
      <w:pPr>
        <w:ind w:right="20" w:firstLine="511"/>
        <w:spacing w:after="0" w:line="267" w:lineRule="auto"/>
        <w:rPr>
          <w:sz w:val="20"/>
          <w:szCs w:val="20"/>
          <w:color w:val="auto"/>
        </w:rPr>
      </w:pPr>
      <w:r>
        <w:rPr>
          <w:rFonts w:ascii="Arial" w:cs="Arial" w:eastAsia="Arial" w:hAnsi="Arial"/>
          <w:sz w:val="15"/>
          <w:szCs w:val="15"/>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68" w:lineRule="exact"/>
        <w:rPr>
          <w:sz w:val="20"/>
          <w:szCs w:val="20"/>
          <w:color w:val="auto"/>
        </w:rPr>
      </w:pPr>
    </w:p>
    <w:p>
      <w:pPr>
        <w:ind w:firstLine="511"/>
        <w:spacing w:after="0" w:line="257" w:lineRule="auto"/>
        <w:rPr>
          <w:sz w:val="20"/>
          <w:szCs w:val="20"/>
          <w:color w:val="auto"/>
        </w:rPr>
      </w:pPr>
      <w:r>
        <w:rPr>
          <w:rFonts w:ascii="Arial" w:cs="Arial" w:eastAsia="Arial" w:hAnsi="Arial"/>
          <w:sz w:val="16"/>
          <w:szCs w:val="16"/>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72" w:lineRule="exact"/>
        <w:rPr>
          <w:sz w:val="20"/>
          <w:szCs w:val="20"/>
          <w:color w:val="auto"/>
        </w:rPr>
      </w:pPr>
    </w:p>
    <w:p>
      <w:pPr>
        <w:ind w:right="420" w:firstLine="511"/>
        <w:spacing w:after="0" w:line="257" w:lineRule="auto"/>
        <w:rPr>
          <w:sz w:val="20"/>
          <w:szCs w:val="20"/>
          <w:color w:val="auto"/>
        </w:rPr>
      </w:pPr>
      <w:r>
        <w:rPr>
          <w:rFonts w:ascii="Arial" w:cs="Arial" w:eastAsia="Arial" w:hAnsi="Arial"/>
          <w:sz w:val="16"/>
          <w:szCs w:val="16"/>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72" w:lineRule="exact"/>
        <w:rPr>
          <w:sz w:val="20"/>
          <w:szCs w:val="20"/>
          <w:color w:val="auto"/>
        </w:rPr>
      </w:pPr>
    </w:p>
    <w:p>
      <w:pPr>
        <w:ind w:right="40" w:firstLine="511"/>
        <w:spacing w:after="0" w:line="311" w:lineRule="auto"/>
        <w:rPr>
          <w:sz w:val="20"/>
          <w:szCs w:val="20"/>
          <w:color w:val="auto"/>
        </w:rPr>
      </w:pPr>
      <w:r>
        <w:rPr>
          <w:rFonts w:ascii="Arial" w:cs="Arial" w:eastAsia="Arial" w:hAnsi="Arial"/>
          <w:sz w:val="14"/>
          <w:szCs w:val="14"/>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 w:name="page9"/>
    <w:bookmarkEnd w:id="8"/>
    <w:p>
      <w:pPr>
        <w:ind w:right="20"/>
        <w:spacing w:after="0" w:line="266" w:lineRule="auto"/>
        <w:rPr>
          <w:sz w:val="20"/>
          <w:szCs w:val="20"/>
          <w:color w:val="auto"/>
        </w:rPr>
      </w:pPr>
      <w:r>
        <w:rPr>
          <w:rFonts w:ascii="Arial" w:cs="Arial" w:eastAsia="Arial" w:hAnsi="Arial"/>
          <w:sz w:val="15"/>
          <w:szCs w:val="15"/>
          <w:color w:val="auto"/>
        </w:rPr>
        <w:t>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72" w:lineRule="exact"/>
        <w:rPr>
          <w:sz w:val="20"/>
          <w:szCs w:val="20"/>
          <w:color w:val="auto"/>
        </w:rPr>
      </w:pPr>
    </w:p>
    <w:p>
      <w:pPr>
        <w:ind w:right="40" w:firstLine="511"/>
        <w:spacing w:after="0" w:line="257" w:lineRule="auto"/>
        <w:rPr>
          <w:sz w:val="20"/>
          <w:szCs w:val="20"/>
          <w:color w:val="auto"/>
        </w:rPr>
      </w:pPr>
      <w:r>
        <w:rPr>
          <w:rFonts w:ascii="Arial" w:cs="Arial" w:eastAsia="Arial" w:hAnsi="Arial"/>
          <w:sz w:val="16"/>
          <w:szCs w:val="16"/>
          <w:color w:val="auto"/>
        </w:rPr>
        <w:t>Contract liabilities consisted of deferred revenue, as presented on the consolidated balance sheet, as of June 30, 2020. Deferred revenue related to the KKC License Agreement was $13.9 million as of June 30, 2020 and will be recognized over the remainder of the contract term. The Company will continue to monitor the impact of the results of E2112 on the KKC License Agreement. As of the date of these financial statements the agreement remains in force.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Net Loss per Share Attributable to Common Stockholders</w:t>
      </w:r>
    </w:p>
    <w:p>
      <w:pPr>
        <w:spacing w:after="0" w:line="104" w:lineRule="exact"/>
        <w:rPr>
          <w:sz w:val="20"/>
          <w:szCs w:val="20"/>
          <w:color w:val="auto"/>
        </w:rPr>
      </w:pPr>
    </w:p>
    <w:p>
      <w:pPr>
        <w:ind w:right="140" w:firstLine="511"/>
        <w:spacing w:after="0" w:line="254"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79"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8"/>
              </w:rPr>
              <w:t>Three Months Ended June 30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7"/>
              </w:rPr>
              <w:t>Six Months Ended June 30 ,</w:t>
            </w: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8"/>
              <w:spacing w:after="0" w:line="13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564"/>
              <w:spacing w:after="0" w:line="134"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08"/>
              <w:spacing w:after="0" w:line="13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24"/>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20" w:type="dxa"/>
            <w:vAlign w:val="bottom"/>
            <w:gridSpan w:val="5"/>
          </w:tcPr>
          <w:p>
            <w:pPr>
              <w:jc w:val="center"/>
              <w:ind w:right="184"/>
              <w:spacing w:after="0" w:line="114" w:lineRule="exact"/>
              <w:rPr>
                <w:sz w:val="20"/>
                <w:szCs w:val="20"/>
                <w:color w:val="auto"/>
              </w:rPr>
            </w:pPr>
            <w:r>
              <w:rPr>
                <w:rFonts w:ascii="Arial" w:cs="Arial" w:eastAsia="Arial" w:hAnsi="Arial"/>
                <w:sz w:val="13"/>
                <w:szCs w:val="13"/>
                <w:b w:val="1"/>
                <w:bCs w:val="1"/>
                <w:color w:val="auto"/>
                <w:w w:val="86"/>
              </w:rPr>
              <w:t>(In thousands, except share and per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60" w:type="dxa"/>
            <w:vAlign w:val="bottom"/>
            <w:gridSpan w:val="4"/>
          </w:tcPr>
          <w:p>
            <w:pPr>
              <w:jc w:val="center"/>
              <w:ind w:right="144"/>
              <w:spacing w:after="0" w:line="114" w:lineRule="exact"/>
              <w:rPr>
                <w:sz w:val="20"/>
                <w:szCs w:val="20"/>
                <w:color w:val="auto"/>
              </w:rPr>
            </w:pPr>
            <w:r>
              <w:rPr>
                <w:rFonts w:ascii="Arial" w:cs="Arial" w:eastAsia="Arial" w:hAnsi="Arial"/>
                <w:sz w:val="13"/>
                <w:szCs w:val="13"/>
                <w:b w:val="1"/>
                <w:bCs w:val="1"/>
                <w:color w:val="auto"/>
                <w:w w:val="86"/>
              </w:rPr>
              <w:t>(In thousands, except share and per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center"/>
              <w:ind w:left="688"/>
              <w:spacing w:after="0"/>
              <w:rPr>
                <w:sz w:val="20"/>
                <w:szCs w:val="20"/>
                <w:color w:val="auto"/>
              </w:rPr>
            </w:pPr>
            <w:r>
              <w:rPr>
                <w:rFonts w:ascii="Arial" w:cs="Arial" w:eastAsia="Arial" w:hAnsi="Arial"/>
                <w:sz w:val="13"/>
                <w:szCs w:val="13"/>
                <w:b w:val="1"/>
                <w:bCs w:val="1"/>
                <w:color w:val="auto"/>
                <w:w w:val="86"/>
              </w:rPr>
              <w:t>share data)</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left="608"/>
              <w:spacing w:after="0"/>
              <w:rPr>
                <w:sz w:val="20"/>
                <w:szCs w:val="20"/>
                <w:color w:val="auto"/>
              </w:rPr>
            </w:pPr>
            <w:r>
              <w:rPr>
                <w:rFonts w:ascii="Arial" w:cs="Arial" w:eastAsia="Arial" w:hAnsi="Arial"/>
                <w:sz w:val="13"/>
                <w:szCs w:val="13"/>
                <w:b w:val="1"/>
                <w:bCs w:val="1"/>
                <w:color w:val="auto"/>
                <w:w w:val="86"/>
              </w:rPr>
              <w:t>share data)</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Numerator—basic and diluted:</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(17,062)</w:t>
            </w:r>
          </w:p>
        </w:tc>
        <w:tc>
          <w:tcPr>
            <w:tcW w:w="56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(14,916)</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(32,298)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(29,218)</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Deemed dividend due to warrant reset</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(3,906)</w:t>
            </w:r>
          </w:p>
        </w:tc>
        <w:tc>
          <w:tcPr>
            <w:tcW w:w="3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4280" w:type="dxa"/>
            <w:vAlign w:val="bottom"/>
          </w:tcPr>
          <w:p>
            <w:pPr>
              <w:spacing w:after="0" w:line="181" w:lineRule="exact"/>
              <w:rPr>
                <w:sz w:val="20"/>
                <w:szCs w:val="20"/>
                <w:color w:val="auto"/>
              </w:rPr>
            </w:pPr>
            <w:r>
              <w:rPr>
                <w:rFonts w:ascii="Arial" w:cs="Arial" w:eastAsia="Arial" w:hAnsi="Arial"/>
                <w:sz w:val="16"/>
                <w:szCs w:val="16"/>
                <w:color w:val="auto"/>
              </w:rPr>
              <w:t>Net loss attributable to common</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80" w:type="dxa"/>
            <w:vAlign w:val="bottom"/>
          </w:tcPr>
          <w:p>
            <w:pPr>
              <w:ind w:left="120"/>
              <w:spacing w:after="0"/>
              <w:rPr>
                <w:sz w:val="20"/>
                <w:szCs w:val="20"/>
                <w:color w:val="auto"/>
              </w:rPr>
            </w:pPr>
            <w:r>
              <w:rPr>
                <w:rFonts w:ascii="Arial" w:cs="Arial" w:eastAsia="Arial" w:hAnsi="Arial"/>
                <w:sz w:val="16"/>
                <w:szCs w:val="16"/>
                <w:color w:val="auto"/>
              </w:rPr>
              <w:t>stockholders—basic and diluted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(17,062)</w:t>
            </w:r>
          </w:p>
        </w:tc>
        <w:tc>
          <w:tcPr>
            <w:tcW w:w="56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(14,916)</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(36,204)</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(29,218)</w:t>
            </w:r>
          </w:p>
        </w:tc>
        <w:tc>
          <w:tcPr>
            <w:tcW w:w="0" w:type="dxa"/>
            <w:vAlign w:val="bottom"/>
          </w:tcPr>
          <w:p>
            <w:pPr>
              <w:spacing w:after="0"/>
              <w:rPr>
                <w:sz w:val="1"/>
                <w:szCs w:val="1"/>
                <w:color w:val="auto"/>
              </w:rPr>
            </w:pPr>
          </w:p>
        </w:tc>
      </w:tr>
      <w:tr>
        <w:trPr>
          <w:trHeight w:val="165"/>
        </w:trPr>
        <w:tc>
          <w:tcPr>
            <w:tcW w:w="4280" w:type="dxa"/>
            <w:vAlign w:val="bottom"/>
            <w:tcBorders>
              <w:top w:val="single" w:sz="8" w:color="CFF0FC"/>
            </w:tcBorders>
            <w:shd w:val="clear" w:color="auto" w:fill="CFF0FC"/>
          </w:tcPr>
          <w:p>
            <w:pPr>
              <w:spacing w:after="0" w:line="165" w:lineRule="exact"/>
              <w:rPr>
                <w:sz w:val="20"/>
                <w:szCs w:val="20"/>
                <w:color w:val="auto"/>
              </w:rPr>
            </w:pPr>
            <w:r>
              <w:rPr>
                <w:rFonts w:ascii="Arial" w:cs="Arial" w:eastAsia="Arial" w:hAnsi="Arial"/>
                <w:sz w:val="16"/>
                <w:szCs w:val="16"/>
                <w:color w:val="auto"/>
              </w:rPr>
              <w:t>Net loss per share attributable to common</w:t>
            </w: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stockholders—basic and diluted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(0.42)</w:t>
            </w:r>
          </w:p>
        </w:tc>
        <w:tc>
          <w:tcPr>
            <w:tcW w:w="560" w:type="dxa"/>
            <w:vAlign w:val="bottom"/>
            <w:gridSpan w:val="2"/>
            <w:shd w:val="clear" w:color="auto" w:fill="CFF0FC"/>
          </w:tcPr>
          <w:p>
            <w:pPr>
              <w:jc w:val="center"/>
              <w:ind w:right="3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(0.47)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(0.97)</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Denominator—basic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used to compute net loss per share attributable</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 common stockholders—basic and diluted</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40,609,205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31,605,279</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37,468,922</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29,327,029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40" w:firstLine="511"/>
        <w:spacing w:after="0" w:line="268" w:lineRule="auto"/>
        <w:rPr>
          <w:sz w:val="20"/>
          <w:szCs w:val="20"/>
          <w:color w:val="auto"/>
        </w:rPr>
      </w:pPr>
      <w:r>
        <w:rPr>
          <w:rFonts w:ascii="Arial" w:cs="Arial" w:eastAsia="Arial" w:hAnsi="Arial"/>
          <w:sz w:val="16"/>
          <w:szCs w:val="16"/>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40" w:type="dxa"/>
            <w:vAlign w:val="bottom"/>
            <w:tcBorders>
              <w:bottom w:val="single" w:sz="8" w:color="auto"/>
            </w:tcBorders>
            <w:gridSpan w:val="3"/>
          </w:tcPr>
          <w:p>
            <w:pPr>
              <w:ind w:left="1180"/>
              <w:spacing w:after="0"/>
              <w:rPr>
                <w:sz w:val="20"/>
                <w:szCs w:val="20"/>
                <w:color w:val="auto"/>
              </w:rPr>
            </w:pPr>
            <w:r>
              <w:rPr>
                <w:rFonts w:ascii="Arial" w:cs="Arial" w:eastAsia="Arial" w:hAnsi="Arial"/>
                <w:sz w:val="13"/>
                <w:szCs w:val="13"/>
                <w:b w:val="1"/>
                <w:bCs w:val="1"/>
                <w:color w:val="auto"/>
              </w:rPr>
              <w:t>June 30,</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34"/>
        </w:trPr>
        <w:tc>
          <w:tcPr>
            <w:tcW w:w="1680" w:type="dxa"/>
            <w:vAlign w:val="bottom"/>
          </w:tcPr>
          <w:p>
            <w:pPr>
              <w:spacing w:after="0"/>
              <w:rPr>
                <w:sz w:val="11"/>
                <w:szCs w:val="11"/>
                <w:color w:val="auto"/>
              </w:rPr>
            </w:pPr>
          </w:p>
        </w:tc>
        <w:tc>
          <w:tcPr>
            <w:tcW w:w="3240" w:type="dxa"/>
            <w:vAlign w:val="bottom"/>
            <w:tcBorders>
              <w:bottom w:val="single" w:sz="8" w:color="CFF0FC"/>
            </w:tcBorders>
          </w:tcPr>
          <w:p>
            <w:pPr>
              <w:spacing w:after="0"/>
              <w:rPr>
                <w:sz w:val="11"/>
                <w:szCs w:val="11"/>
                <w:color w:val="auto"/>
              </w:rPr>
            </w:pPr>
          </w:p>
        </w:tc>
        <w:tc>
          <w:tcPr>
            <w:tcW w:w="1720" w:type="dxa"/>
            <w:vAlign w:val="bottom"/>
            <w:tcBorders>
              <w:bottom w:val="single" w:sz="8" w:color="CFF0FC"/>
            </w:tcBorders>
          </w:tcPr>
          <w:p>
            <w:pPr>
              <w:spacing w:after="0"/>
              <w:rPr>
                <w:sz w:val="11"/>
                <w:szCs w:val="11"/>
                <w:color w:val="auto"/>
              </w:rPr>
            </w:pPr>
          </w:p>
        </w:tc>
        <w:tc>
          <w:tcPr>
            <w:tcW w:w="1400" w:type="dxa"/>
            <w:vAlign w:val="bottom"/>
            <w:tcBorders>
              <w:bottom w:val="single" w:sz="8" w:color="auto"/>
            </w:tcBorders>
          </w:tcPr>
          <w:p>
            <w:pPr>
              <w:jc w:val="right"/>
              <w:ind w:right="552"/>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4"/>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c>
          <w:tcPr>
            <w:tcW w:w="1700" w:type="dxa"/>
            <w:vAlign w:val="bottom"/>
          </w:tcPr>
          <w:p>
            <w:pPr>
              <w:spacing w:after="0"/>
              <w:rPr>
                <w:sz w:val="11"/>
                <w:szCs w:val="11"/>
                <w:color w:val="auto"/>
              </w:rPr>
            </w:pPr>
          </w:p>
        </w:tc>
      </w:tr>
      <w:tr>
        <w:trPr>
          <w:trHeight w:val="193"/>
        </w:trPr>
        <w:tc>
          <w:tcPr>
            <w:tcW w:w="168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172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12"/>
              <w:spacing w:after="0"/>
              <w:rPr>
                <w:sz w:val="20"/>
                <w:szCs w:val="20"/>
                <w:color w:val="auto"/>
              </w:rPr>
            </w:pPr>
            <w:r>
              <w:rPr>
                <w:rFonts w:ascii="Arial" w:cs="Arial" w:eastAsia="Arial" w:hAnsi="Arial"/>
                <w:sz w:val="16"/>
                <w:szCs w:val="16"/>
                <w:color w:val="auto"/>
              </w:rPr>
              <w:t>6,857,741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5,770,616</w:t>
            </w:r>
          </w:p>
        </w:tc>
        <w:tc>
          <w:tcPr>
            <w:tcW w:w="80" w:type="dxa"/>
            <w:vAlign w:val="bottom"/>
            <w:shd w:val="clear" w:color="auto" w:fill="CFF0FC"/>
          </w:tcPr>
          <w:p>
            <w:pPr>
              <w:spacing w:after="0"/>
              <w:rPr>
                <w:sz w:val="16"/>
                <w:szCs w:val="16"/>
                <w:color w:val="auto"/>
              </w:rPr>
            </w:pPr>
          </w:p>
        </w:tc>
        <w:tc>
          <w:tcPr>
            <w:tcW w:w="1700" w:type="dxa"/>
            <w:vAlign w:val="bottom"/>
          </w:tcPr>
          <w:p>
            <w:pPr>
              <w:spacing w:after="0"/>
              <w:rPr>
                <w:sz w:val="16"/>
                <w:szCs w:val="16"/>
                <w:color w:val="auto"/>
              </w:rPr>
            </w:pPr>
          </w:p>
        </w:tc>
      </w:tr>
      <w:tr>
        <w:trPr>
          <w:trHeight w:val="201"/>
        </w:trPr>
        <w:tc>
          <w:tcPr>
            <w:tcW w:w="168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3120" w:type="dxa"/>
            <w:vAlign w:val="bottom"/>
            <w:gridSpan w:val="2"/>
          </w:tcPr>
          <w:p>
            <w:pPr>
              <w:jc w:val="right"/>
              <w:ind w:right="12"/>
              <w:spacing w:after="0"/>
              <w:rPr>
                <w:sz w:val="20"/>
                <w:szCs w:val="20"/>
                <w:color w:val="auto"/>
              </w:rPr>
            </w:pPr>
            <w:r>
              <w:rPr>
                <w:rFonts w:ascii="Arial" w:cs="Arial" w:eastAsia="Arial" w:hAnsi="Arial"/>
                <w:sz w:val="16"/>
                <w:szCs w:val="16"/>
                <w:color w:val="auto"/>
              </w:rPr>
              <w:t>1,105,908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4,595,039</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1680" w:type="dxa"/>
            <w:vAlign w:val="bottom"/>
          </w:tcPr>
          <w:p>
            <w:pPr>
              <w:spacing w:after="0"/>
              <w:rPr>
                <w:sz w:val="17"/>
                <w:szCs w:val="17"/>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Employee Stock Purchase Plan</w:t>
            </w:r>
          </w:p>
        </w:tc>
        <w:tc>
          <w:tcPr>
            <w:tcW w:w="3120" w:type="dxa"/>
            <w:vAlign w:val="bottom"/>
            <w:gridSpan w:val="2"/>
            <w:shd w:val="clear" w:color="auto" w:fill="CFF0FC"/>
          </w:tcPr>
          <w:p>
            <w:pPr>
              <w:jc w:val="right"/>
              <w:ind w:right="12"/>
              <w:spacing w:after="0"/>
              <w:rPr>
                <w:sz w:val="20"/>
                <w:szCs w:val="20"/>
                <w:color w:val="auto"/>
              </w:rPr>
            </w:pPr>
            <w:r>
              <w:rPr>
                <w:rFonts w:ascii="Arial" w:cs="Arial" w:eastAsia="Arial" w:hAnsi="Arial"/>
                <w:sz w:val="16"/>
                <w:szCs w:val="16"/>
                <w:color w:val="auto"/>
              </w:rPr>
              <w:t>24,214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18,848</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168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Non-vested restricted stock units (RSUs)</w:t>
            </w:r>
          </w:p>
        </w:tc>
        <w:tc>
          <w:tcPr>
            <w:tcW w:w="3120" w:type="dxa"/>
            <w:vAlign w:val="bottom"/>
            <w:gridSpan w:val="2"/>
          </w:tcPr>
          <w:p>
            <w:pPr>
              <w:jc w:val="right"/>
              <w:ind w:right="12"/>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7"/>
                <w:szCs w:val="17"/>
                <w:color w:val="auto"/>
              </w:rPr>
            </w:pPr>
          </w:p>
        </w:tc>
      </w:tr>
      <w:tr>
        <w:trPr>
          <w:trHeight w:val="568"/>
        </w:trPr>
        <w:tc>
          <w:tcPr>
            <w:tcW w:w="1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20" w:type="dxa"/>
            <w:vAlign w:val="bottom"/>
          </w:tcPr>
          <w:p>
            <w:pPr>
              <w:jc w:val="right"/>
              <w:ind w:right="901"/>
              <w:spacing w:after="0"/>
              <w:rPr>
                <w:sz w:val="20"/>
                <w:szCs w:val="20"/>
                <w:color w:val="auto"/>
              </w:rPr>
            </w:pPr>
            <w:r>
              <w:rPr>
                <w:rFonts w:ascii="Arial" w:cs="Arial" w:eastAsia="Arial" w:hAnsi="Arial"/>
                <w:sz w:val="16"/>
                <w:szCs w:val="16"/>
                <w:color w:val="auto"/>
              </w:rPr>
              <w:t>6</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0"/>
        </w:trPr>
        <w:tc>
          <w:tcPr>
            <w:tcW w:w="16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color w:val="auto"/>
        </w:rPr>
        <w:t>In June 2018, the Company signed an exchange agreement with an investor under which the investor exchanged 2,000,000 shares of common stock for 2,000,000</w:t>
      </w:r>
    </w:p>
    <w:p>
      <w:pPr>
        <w:spacing w:after="0" w:line="2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warrants. Further, as discussed in Note 13,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w:t>
      </w:r>
    </w:p>
    <w:p>
      <w:pPr>
        <w:spacing w:after="0" w:line="54" w:lineRule="exact"/>
        <w:rPr>
          <w:sz w:val="20"/>
          <w:szCs w:val="20"/>
          <w:color w:val="auto"/>
        </w:rPr>
      </w:pPr>
    </w:p>
    <w:p>
      <w:pPr>
        <w:ind w:right="180" w:firstLine="511"/>
        <w:spacing w:after="0" w:line="276" w:lineRule="auto"/>
        <w:rPr>
          <w:sz w:val="20"/>
          <w:szCs w:val="20"/>
          <w:color w:val="auto"/>
        </w:rPr>
      </w:pPr>
      <w:r>
        <w:rPr>
          <w:rFonts w:ascii="Arial" w:cs="Arial" w:eastAsia="Arial" w:hAnsi="Arial"/>
          <w:sz w:val="15"/>
          <w:szCs w:val="15"/>
          <w:color w:val="auto"/>
        </w:rPr>
        <w:t>In May 2020, a holder of pre-funded warrants exchanged 280,335 warrants for 280,332 shares of common stock in a cashless exercise. Additionally, in May 2020, holders of Series 1 and Series 2 warrants, exercised 3,489,131 warrants and received 1,512,229 shares of common stock in a cashless exercise. As of June 30, 2020, there were 552,953 shares of our common stock issuable upon the exercise of Series 1 warrants outstanding, at an exercise price of $10.00 per share, and there were 552,955 shares of our common stock issuable upon the exercise of Series 2 warrants outstanding, at an exercise price of $13.00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Significant Agreements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Vitae Pharmaceuticals, Inc.</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October 2017, the Company entered into a license agreement (the “AbbVie License Agreement”) with Vitae Pharmaceuticals, Inc. (“Vitae”), which was a subsidiary of</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Allergan plc (“Allergan”) prior to Allergan’s acquisition by AbbVie Inc. (“AbbVie”), under which Vitae granted the Company an exclusive, sublicensable, worldwide license to 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portfolio of preclinical, orally available, small molecule inhibitors of the interaction of Menin with the Mixed Lineage Leukemia (“MLL”) protein (the “Menin Assets”).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Company made a nonrefundable upfront payment of $5.0 million to Allergan in the fourth quarter of 2017. Additionally, subject to the achievement of certain milestone events,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Company may be required to pay AbbVie up to $99.0 million in one-time development and regulatory milestone payments over the term of the AbbVie License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Agreement. In the event that the Company or any of its affiliates or sublicensees commercializes the Menin Assets, the Company will also be obligated to pay AbbVie low single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low double-digit royalties on sales, subject to reduction in certain circumstances, as well as up to an aggregate of $70.0 million in potential one-time, sales-based milestone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payments based on achievement of certain annual sales thresholds. Under certain circumstances, the Company may be required to share a percentage of non-royalty income from</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sublicensees, subject to certain deductions, with AbbVie. The Company is solely responsible for the development and commercialization of the Menin Assets. Each party may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terminate the AbbVie License Agreement for the other party’s uncured material breach or insolvency; and the Company may terminate the AbbVie License Agreement at will at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any time upon advance written notice to AbbVie. AbbVie may terminate the AbbVie License Agreement if the Company or any of its affiliates or sublicensees institutes a legal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challenge to the validity, enforceability, or patentability of the licensed patent rights. Unless terminated earlier in accordance with its terms, the AbbVie License Agreement will</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continue on a country-by-country and product-by-product basis until the later of: (i) the expiration of all of the licensed patent rights in such country; (ii) the expiration of all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regulatory exclusivity applicable to the product in such country; and (iii) 10 years from the date of the first commercial sale of the product in such country. As of the date of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AbbVie License Agreement, the asset acquired had no alternative future use nor had it reached a stage of technological feasibility. As the processes or activities that were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acquired along with the license do not constitute a “business,” the transaction has been accounted for as an asset acquisition. In June 2019, the Company achieved certain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development and regulatory milestones. As a result, in June 2019, the Company recorded $4.0 million as research and development expense. The $4.0 million plus accrued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interest was paid in May 2020.</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UCB Biopharma Sprl</w:t>
      </w:r>
    </w:p>
    <w:p>
      <w:pPr>
        <w:spacing w:after="0" w:line="104" w:lineRule="exact"/>
        <w:rPr>
          <w:sz w:val="20"/>
          <w:szCs w:val="20"/>
          <w:color w:val="auto"/>
        </w:rPr>
      </w:pPr>
    </w:p>
    <w:p>
      <w:pPr>
        <w:ind w:right="20" w:firstLine="511"/>
        <w:spacing w:after="0" w:line="287" w:lineRule="auto"/>
        <w:rPr>
          <w:sz w:val="20"/>
          <w:szCs w:val="20"/>
          <w:color w:val="auto"/>
        </w:rPr>
      </w:pPr>
      <w:r>
        <w:rPr>
          <w:rFonts w:ascii="Arial" w:cs="Arial" w:eastAsia="Arial" w:hAnsi="Arial"/>
          <w:sz w:val="14"/>
          <w:szCs w:val="14"/>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 w:name="page11"/>
    <w:bookmarkEnd w:id="10"/>
    <w:p>
      <w:pPr>
        <w:ind w:left="5" w:right="100" w:hanging="5"/>
        <w:spacing w:after="0" w:line="257" w:lineRule="auto"/>
        <w:tabs>
          <w:tab w:leader="none" w:pos="281" w:val="left"/>
        </w:tabs>
        <w:numPr>
          <w:ilvl w:val="0"/>
          <w:numId w:val="5"/>
        </w:numPr>
        <w:rPr>
          <w:rFonts w:ascii="Arial" w:cs="Arial" w:eastAsia="Arial" w:hAnsi="Arial"/>
          <w:sz w:val="16"/>
          <w:szCs w:val="16"/>
          <w:color w:val="auto"/>
        </w:rPr>
      </w:pPr>
      <w:r>
        <w:rPr>
          <w:rFonts w:ascii="Arial" w:cs="Arial" w:eastAsia="Arial" w:hAnsi="Arial"/>
          <w:sz w:val="16"/>
          <w:szCs w:val="16"/>
          <w:color w:val="auto"/>
        </w:rPr>
        <w:t>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w:t>
      </w:r>
    </w:p>
    <w:p>
      <w:pPr>
        <w:spacing w:after="0" w:line="72" w:lineRule="exact"/>
        <w:rPr>
          <w:sz w:val="20"/>
          <w:szCs w:val="20"/>
          <w:color w:val="auto"/>
        </w:rPr>
      </w:pPr>
    </w:p>
    <w:p>
      <w:pPr>
        <w:ind w:left="5" w:right="120" w:firstLine="511"/>
        <w:spacing w:after="0" w:line="268" w:lineRule="auto"/>
        <w:rPr>
          <w:sz w:val="20"/>
          <w:szCs w:val="20"/>
          <w:color w:val="auto"/>
        </w:rPr>
      </w:pPr>
      <w:r>
        <w:rPr>
          <w:rFonts w:ascii="Arial" w:cs="Arial" w:eastAsia="Arial" w:hAnsi="Arial"/>
          <w:sz w:val="16"/>
          <w:szCs w:val="16"/>
          <w:color w:val="auto"/>
        </w:rPr>
        <w:t>In July 2020, the Company met a clinical milestone under the UCB License Agreement associated with the Phase 1 dose-finding study, and will be required to pay UCB $2.0 million.</w:t>
      </w:r>
    </w:p>
    <w:p>
      <w:pPr>
        <w:spacing w:after="0" w:line="153" w:lineRule="exact"/>
        <w:rPr>
          <w:sz w:val="20"/>
          <w:szCs w:val="20"/>
          <w:color w:val="auto"/>
        </w:rPr>
      </w:pPr>
    </w:p>
    <w:p>
      <w:pPr>
        <w:ind w:left="505"/>
        <w:spacing w:after="0"/>
        <w:rPr>
          <w:sz w:val="20"/>
          <w:szCs w:val="20"/>
          <w:color w:val="auto"/>
        </w:rPr>
      </w:pPr>
      <w:r>
        <w:rPr>
          <w:rFonts w:ascii="Arial" w:cs="Arial" w:eastAsia="Arial" w:hAnsi="Arial"/>
          <w:sz w:val="16"/>
          <w:szCs w:val="16"/>
          <w:b w:val="1"/>
          <w:bCs w:val="1"/>
          <w:color w:val="auto"/>
        </w:rPr>
        <w:t>Eastern Cooperative Oncology Group</w:t>
      </w:r>
    </w:p>
    <w:p>
      <w:pPr>
        <w:spacing w:after="0" w:line="104" w:lineRule="exact"/>
        <w:rPr>
          <w:sz w:val="20"/>
          <w:szCs w:val="20"/>
          <w:color w:val="auto"/>
        </w:rPr>
      </w:pPr>
    </w:p>
    <w:p>
      <w:pPr>
        <w:ind w:left="5" w:firstLine="511"/>
        <w:spacing w:after="0" w:line="268" w:lineRule="auto"/>
        <w:rPr>
          <w:sz w:val="20"/>
          <w:szCs w:val="20"/>
          <w:color w:val="auto"/>
        </w:rPr>
      </w:pPr>
      <w:r>
        <w:rPr>
          <w:rFonts w:ascii="Arial" w:cs="Arial" w:eastAsia="Arial" w:hAnsi="Arial"/>
          <w:sz w:val="15"/>
          <w:szCs w:val="15"/>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$5.1 million. The Company has agreed to provide this additional financial support to fund the additional activities required to ensure that the E2112 clinical trial will satisfy FDA registration requirements.</w:t>
      </w:r>
    </w:p>
    <w:p>
      <w:pPr>
        <w:spacing w:after="0" w:line="66" w:lineRule="exact"/>
        <w:rPr>
          <w:sz w:val="20"/>
          <w:szCs w:val="20"/>
          <w:color w:val="auto"/>
        </w:rPr>
      </w:pPr>
    </w:p>
    <w:p>
      <w:pPr>
        <w:jc w:val="both"/>
        <w:ind w:left="5" w:right="140" w:firstLine="511"/>
        <w:spacing w:after="0" w:line="254" w:lineRule="auto"/>
        <w:rPr>
          <w:sz w:val="20"/>
          <w:szCs w:val="20"/>
          <w:color w:val="auto"/>
        </w:rPr>
      </w:pPr>
      <w:r>
        <w:rPr>
          <w:rFonts w:ascii="Arial" w:cs="Arial" w:eastAsia="Arial" w:hAnsi="Arial"/>
          <w:sz w:val="16"/>
          <w:szCs w:val="16"/>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June 30, 2020, the Company’s aggregate payment obligations under this agreement are approximately $24.7 million; and its estimated remaining payment obligations are approximately $3.8 million, which are estimated to be paid over a period of approximately two years.</w:t>
      </w:r>
    </w:p>
    <w:p>
      <w:pPr>
        <w:spacing w:after="0" w:line="74" w:lineRule="exact"/>
        <w:rPr>
          <w:sz w:val="20"/>
          <w:szCs w:val="20"/>
          <w:color w:val="auto"/>
        </w:rPr>
      </w:pPr>
    </w:p>
    <w:p>
      <w:pPr>
        <w:ind w:left="5" w:right="60" w:firstLine="511"/>
        <w:spacing w:after="0" w:line="289" w:lineRule="auto"/>
        <w:rPr>
          <w:sz w:val="20"/>
          <w:szCs w:val="20"/>
          <w:color w:val="auto"/>
        </w:rPr>
      </w:pPr>
      <w:r>
        <w:rPr>
          <w:rFonts w:ascii="Arial" w:cs="Arial" w:eastAsia="Arial" w:hAnsi="Arial"/>
          <w:sz w:val="14"/>
          <w:szCs w:val="14"/>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45" w:lineRule="exact"/>
        <w:rPr>
          <w:sz w:val="20"/>
          <w:szCs w:val="20"/>
          <w:color w:val="auto"/>
        </w:rPr>
      </w:pPr>
    </w:p>
    <w:p>
      <w:pPr>
        <w:ind w:left="505"/>
        <w:spacing w:after="0"/>
        <w:rPr>
          <w:sz w:val="20"/>
          <w:szCs w:val="20"/>
          <w:color w:val="auto"/>
        </w:rPr>
      </w:pPr>
      <w:r>
        <w:rPr>
          <w:rFonts w:ascii="Arial" w:cs="Arial" w:eastAsia="Arial" w:hAnsi="Arial"/>
          <w:sz w:val="16"/>
          <w:szCs w:val="16"/>
          <w:b w:val="1"/>
          <w:bCs w:val="1"/>
          <w:color w:val="auto"/>
        </w:rPr>
        <w:t>Bayer Pharma AG (formerly known as Bayer Schering Pharma AG)</w:t>
      </w:r>
    </w:p>
    <w:p>
      <w:pPr>
        <w:spacing w:after="0" w:line="104" w:lineRule="exact"/>
        <w:rPr>
          <w:sz w:val="20"/>
          <w:szCs w:val="20"/>
          <w:color w:val="auto"/>
        </w:rPr>
      </w:pPr>
    </w:p>
    <w:p>
      <w:pPr>
        <w:ind w:left="5" w:right="40" w:firstLine="511"/>
        <w:spacing w:after="0" w:line="297" w:lineRule="auto"/>
        <w:rPr>
          <w:sz w:val="20"/>
          <w:szCs w:val="20"/>
          <w:color w:val="auto"/>
        </w:rPr>
      </w:pPr>
      <w:r>
        <w:rPr>
          <w:rFonts w:ascii="Arial" w:cs="Arial" w:eastAsia="Arial" w:hAnsi="Arial"/>
          <w:sz w:val="14"/>
          <w:szCs w:val="14"/>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7. Fair Value Measurements</w:t>
      </w:r>
    </w:p>
    <w:p>
      <w:pPr>
        <w:spacing w:after="0" w:line="104" w:lineRule="exact"/>
        <w:rPr>
          <w:sz w:val="20"/>
          <w:szCs w:val="20"/>
          <w:color w:val="auto"/>
        </w:rPr>
      </w:pPr>
    </w:p>
    <w:p>
      <w:pPr>
        <w:ind w:left="5" w:right="140" w:firstLine="511"/>
        <w:spacing w:after="0" w:line="251" w:lineRule="auto"/>
        <w:rPr>
          <w:sz w:val="20"/>
          <w:szCs w:val="20"/>
          <w:color w:val="auto"/>
        </w:rPr>
      </w:pPr>
      <w:r>
        <w:rPr>
          <w:rFonts w:ascii="Arial" w:cs="Arial" w:eastAsia="Arial" w:hAnsi="Arial"/>
          <w:sz w:val="16"/>
          <w:szCs w:val="16"/>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18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411" w:right="319" w:bottom="1440" w:gutter="0" w:footer="0" w:header="0"/>
        </w:sectPr>
      </w:pPr>
    </w:p>
    <w:bookmarkStart w:id="11" w:name="page12"/>
    <w:bookmarkEnd w:id="11"/>
    <w:p>
      <w:pPr>
        <w:ind w:left="50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(unadjusted) in active markets that are accessible at the market date for identical unrestricted assets or liabilities.</w:t>
      </w:r>
    </w:p>
    <w:p>
      <w:pPr>
        <w:spacing w:after="0" w:line="100" w:lineRule="exact"/>
        <w:rPr>
          <w:sz w:val="20"/>
          <w:szCs w:val="20"/>
          <w:color w:val="auto"/>
        </w:rPr>
      </w:pPr>
    </w:p>
    <w:p>
      <w:pPr>
        <w:jc w:val="both"/>
        <w:ind w:left="1100" w:hanging="603"/>
        <w:spacing w:after="0" w:line="257"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Inputs other than Level 1 that are observable, either directly or indirectly, such as quoted prices for similar assets or liabilities; quoted prices in markets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active; or other inputs for which all significant inputs are observable or can be corroborated by observable market data for substantially the full term of the assets or liabilities.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95" w:lineRule="exact"/>
        <w:rPr>
          <w:sz w:val="20"/>
          <w:szCs w:val="20"/>
          <w:color w:val="auto"/>
        </w:rPr>
      </w:pPr>
    </w:p>
    <w:p>
      <w:pPr>
        <w:ind w:right="60" w:firstLine="511"/>
        <w:spacing w:after="0" w:line="257" w:lineRule="auto"/>
        <w:rPr>
          <w:sz w:val="20"/>
          <w:szCs w:val="20"/>
          <w:color w:val="auto"/>
        </w:rPr>
      </w:pPr>
      <w:r>
        <w:rPr>
          <w:rFonts w:ascii="Arial" w:cs="Arial" w:eastAsia="Arial" w:hAnsi="Arial"/>
          <w:sz w:val="16"/>
          <w:szCs w:val="16"/>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assets and liabilities carried at fair value in accordance with the hierarchy defined above is as follows:</w:t>
      </w: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8"/>
              </w:rPr>
              <w:t>Fair Value Measurements Using</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0"/>
              <w:spacing w:after="0" w:line="126" w:lineRule="exact"/>
              <w:rPr>
                <w:sz w:val="20"/>
                <w:szCs w:val="20"/>
                <w:color w:val="auto"/>
              </w:rPr>
            </w:pPr>
            <w:r>
              <w:rPr>
                <w:rFonts w:ascii="Arial" w:cs="Arial" w:eastAsia="Arial" w:hAnsi="Arial"/>
                <w:sz w:val="13"/>
                <w:szCs w:val="13"/>
                <w:b w:val="1"/>
                <w:bCs w:val="1"/>
                <w:color w:val="auto"/>
                <w:w w:val="87"/>
              </w:rPr>
              <w:t>Quoted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81"/>
              </w:rPr>
              <w:t>Prices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87"/>
              </w:rPr>
              <w:t>Significant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87"/>
              </w:rPr>
              <w:t>(unadjusted)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3"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3"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9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88"/>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87"/>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3" w:lineRule="exact"/>
              <w:rPr>
                <w:sz w:val="20"/>
                <w:szCs w:val="20"/>
                <w:color w:val="auto"/>
              </w:rPr>
            </w:pPr>
            <w:r>
              <w:rPr>
                <w:rFonts w:ascii="Arial" w:cs="Arial" w:eastAsia="Arial" w:hAnsi="Arial"/>
                <w:sz w:val="13"/>
                <w:szCs w:val="13"/>
                <w:b w:val="1"/>
                <w:bCs w:val="1"/>
                <w:color w:val="auto"/>
                <w:w w:val="93"/>
              </w:rPr>
              <w:t>Carrying</w:t>
            </w:r>
          </w:p>
        </w:tc>
        <w:tc>
          <w:tcPr>
            <w:tcW w:w="120" w:type="dxa"/>
            <w:vAlign w:val="bottom"/>
          </w:tcPr>
          <w:p>
            <w:pPr>
              <w:spacing w:after="0"/>
              <w:rPr>
                <w:sz w:val="12"/>
                <w:szCs w:val="12"/>
                <w:color w:val="auto"/>
              </w:rPr>
            </w:pPr>
          </w:p>
        </w:tc>
        <w:tc>
          <w:tcPr>
            <w:tcW w:w="9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89"/>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3" w:lineRule="exact"/>
              <w:rPr>
                <w:sz w:val="20"/>
                <w:szCs w:val="20"/>
                <w:color w:val="auto"/>
              </w:rPr>
            </w:pPr>
            <w:r>
              <w:rPr>
                <w:rFonts w:ascii="Arial" w:cs="Arial" w:eastAsia="Arial" w:hAnsi="Arial"/>
                <w:sz w:val="13"/>
                <w:szCs w:val="13"/>
                <w:b w:val="1"/>
                <w:bCs w:val="1"/>
                <w:color w:val="auto"/>
                <w:w w:val="92"/>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3"/>
                <w:szCs w:val="13"/>
                <w:color w:val="auto"/>
              </w:rPr>
            </w:pPr>
          </w:p>
        </w:tc>
        <w:tc>
          <w:tcPr>
            <w:tcW w:w="90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(Level 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(Level 3)</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5"/>
          </w:tcPr>
          <w:p>
            <w:pPr>
              <w:jc w:val="center"/>
              <w:ind w:right="340"/>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tcBorders>
            <w:shd w:val="clear" w:color="auto" w:fill="CFF0FC"/>
          </w:tcPr>
          <w:p>
            <w:pPr>
              <w:spacing w:after="0" w:line="166" w:lineRule="exact"/>
              <w:rPr>
                <w:sz w:val="20"/>
                <w:szCs w:val="20"/>
                <w:color w:val="auto"/>
              </w:rPr>
            </w:pPr>
            <w:r>
              <w:rPr>
                <w:rFonts w:ascii="Arial" w:cs="Arial" w:eastAsia="Arial" w:hAnsi="Arial"/>
                <w:sz w:val="16"/>
                <w:szCs w:val="16"/>
                <w:b w:val="1"/>
                <w:bCs w:val="1"/>
                <w:color w:val="auto"/>
                <w:w w:val="86"/>
              </w:rPr>
              <w:t>June 30, 2020</w:t>
            </w:r>
          </w:p>
        </w:tc>
        <w:tc>
          <w:tcPr>
            <w:tcW w:w="2640" w:type="dxa"/>
            <w:vAlign w:val="bottom"/>
            <w:tcBorders>
              <w:bottom w:val="single" w:sz="8" w:color="CFF0FC"/>
            </w:tcBorders>
            <w:gridSpan w:val="2"/>
            <w:shd w:val="clear" w:color="auto" w:fill="CFF0FC"/>
          </w:tcPr>
          <w:p>
            <w:pPr>
              <w:spacing w:after="0"/>
              <w:rPr>
                <w:sz w:val="15"/>
                <w:szCs w:val="15"/>
                <w:color w:val="auto"/>
              </w:rPr>
            </w:pPr>
          </w:p>
        </w:tc>
        <w:tc>
          <w:tcPr>
            <w:tcW w:w="1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60" w:type="dxa"/>
            <w:vAlign w:val="bottom"/>
            <w:gridSpan w:val="3"/>
          </w:tcPr>
          <w:p>
            <w:pPr>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86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560" w:type="dxa"/>
            <w:vAlign w:val="bottom"/>
            <w:gridSpan w:val="3"/>
          </w:tcPr>
          <w:p>
            <w:pPr>
              <w:ind w:left="220"/>
              <w:spacing w:after="0"/>
              <w:rPr>
                <w:sz w:val="20"/>
                <w:szCs w:val="20"/>
                <w:color w:val="auto"/>
              </w:rPr>
            </w:pPr>
            <w:r>
              <w:rPr>
                <w:rFonts w:ascii="Arial" w:cs="Arial" w:eastAsia="Arial" w:hAnsi="Arial"/>
                <w:sz w:val="16"/>
                <w:szCs w:val="16"/>
                <w:color w:val="auto"/>
              </w:rPr>
              <w:t>Short-term investments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133,142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60" w:type="dxa"/>
            <w:vAlign w:val="bottom"/>
            <w:tcBorders>
              <w:top w:val="single" w:sz="8" w:color="CFF0FC"/>
              <w:bottom w:val="single" w:sz="8" w:color="CFF0FC"/>
            </w:tcBorders>
            <w:gridSpan w:val="3"/>
            <w:shd w:val="clear" w:color="auto" w:fill="CFF0FC"/>
          </w:tcPr>
          <w:p>
            <w:pPr>
              <w:ind w:left="440"/>
              <w:spacing w:after="0"/>
              <w:rPr>
                <w:sz w:val="20"/>
                <w:szCs w:val="20"/>
                <w:color w:val="auto"/>
              </w:rPr>
            </w:pPr>
            <w:r>
              <w:rPr>
                <w:rFonts w:ascii="Arial" w:cs="Arial" w:eastAsia="Arial" w:hAnsi="Arial"/>
                <w:sz w:val="16"/>
                <w:szCs w:val="16"/>
                <w:color w:val="auto"/>
              </w:rPr>
              <w:t>Total assets</w:t>
            </w:r>
          </w:p>
        </w:tc>
        <w:tc>
          <w:tcPr>
            <w:tcW w:w="168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186,753</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53,611</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133,142</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line="181" w:lineRule="exact"/>
              <w:rPr>
                <w:sz w:val="20"/>
                <w:szCs w:val="20"/>
                <w:color w:val="auto"/>
              </w:rPr>
            </w:pPr>
            <w:r>
              <w:rPr>
                <w:rFonts w:ascii="Arial" w:cs="Arial" w:eastAsia="Arial" w:hAnsi="Arial"/>
                <w:sz w:val="16"/>
                <w:szCs w:val="16"/>
                <w:b w:val="1"/>
                <w:bCs w:val="1"/>
                <w:color w:val="auto"/>
                <w:w w:val="87"/>
              </w:rPr>
              <w:t>December 31, 2019</w:t>
            </w:r>
          </w:p>
        </w:tc>
        <w:tc>
          <w:tcPr>
            <w:tcW w:w="228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80" w:type="dxa"/>
            <w:vAlign w:val="bottom"/>
            <w:tcBorders>
              <w:bottom w:val="single" w:sz="8" w:color="auto"/>
            </w:tcBorders>
            <w:gridSpan w:val="2"/>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Assets: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60" w:type="dxa"/>
            <w:vAlign w:val="bottom"/>
            <w:gridSpan w:val="3"/>
          </w:tcPr>
          <w:p>
            <w:pPr>
              <w:ind w:left="220"/>
              <w:spacing w:after="0"/>
              <w:rPr>
                <w:sz w:val="20"/>
                <w:szCs w:val="20"/>
                <w:color w:val="auto"/>
              </w:rPr>
            </w:pPr>
            <w:r>
              <w:rPr>
                <w:rFonts w:ascii="Arial" w:cs="Arial" w:eastAsia="Arial" w:hAnsi="Arial"/>
                <w:sz w:val="16"/>
                <w:szCs w:val="16"/>
                <w:color w:val="auto"/>
              </w:rPr>
              <w:t>Cash and cash equivalents</w:t>
            </w:r>
          </w:p>
        </w:tc>
        <w:tc>
          <w:tcPr>
            <w:tcW w:w="18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24,609</w:t>
            </w:r>
          </w:p>
        </w:tc>
        <w:tc>
          <w:tcPr>
            <w:tcW w:w="22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23,439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1,170</w:t>
            </w:r>
          </w:p>
        </w:tc>
        <w:tc>
          <w:tcPr>
            <w:tcW w:w="2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Short-term investments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60" w:type="dxa"/>
            <w:vAlign w:val="bottom"/>
            <w:gridSpan w:val="3"/>
          </w:tcPr>
          <w:p>
            <w:pPr>
              <w:ind w:left="440"/>
              <w:spacing w:after="0"/>
              <w:rPr>
                <w:sz w:val="20"/>
                <w:szCs w:val="20"/>
                <w:color w:val="auto"/>
              </w:rPr>
            </w:pPr>
            <w:r>
              <w:rPr>
                <w:rFonts w:ascii="Arial" w:cs="Arial" w:eastAsia="Arial" w:hAnsi="Arial"/>
                <w:sz w:val="16"/>
                <w:szCs w:val="16"/>
                <w:color w:val="auto"/>
              </w:rPr>
              <w:t>Total assets</w:t>
            </w:r>
          </w:p>
        </w:tc>
        <w:tc>
          <w:tcPr>
            <w:tcW w:w="16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59,775</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23,439</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36,336</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Cash and cash equivalents of $53.6 million and $23.4 million as of June 30, 2020 and December 31, 2019, respectively, consisted of overnight investments and money market funds and are classified within Level 1 of the fair value hierarchy because they are valued using quoted market prices in active markets. Cash equivalents of $1.2 million as of December 31, 2019,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1" w:lineRule="exact"/>
        <w:rPr>
          <w:sz w:val="20"/>
          <w:szCs w:val="20"/>
          <w:color w:val="auto"/>
        </w:rPr>
      </w:pPr>
    </w:p>
    <w:p>
      <w:pPr>
        <w:ind w:right="240" w:firstLine="511"/>
        <w:spacing w:after="0" w:line="311" w:lineRule="auto"/>
        <w:rPr>
          <w:sz w:val="20"/>
          <w:szCs w:val="20"/>
          <w:color w:val="auto"/>
        </w:rPr>
      </w:pPr>
      <w:r>
        <w:rPr>
          <w:rFonts w:ascii="Arial" w:cs="Arial" w:eastAsia="Arial" w:hAnsi="Arial"/>
          <w:sz w:val="14"/>
          <w:szCs w:val="14"/>
          <w:color w:val="auto"/>
        </w:rPr>
        <w:t>Short-term investments of $133.1 million and $35.2 million as of June 30, 2020 and December 31, 2019,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411" w:right="419" w:bottom="1440" w:gutter="0" w:footer="0" w:header="0"/>
        </w:sectPr>
      </w:pPr>
    </w:p>
    <w:bookmarkStart w:id="12" w:name="page13"/>
    <w:bookmarkEnd w:id="12"/>
    <w:p>
      <w:pPr>
        <w:ind w:right="40" w:firstLine="511"/>
        <w:spacing w:after="0" w:line="294" w:lineRule="auto"/>
        <w:rPr>
          <w:sz w:val="20"/>
          <w:szCs w:val="20"/>
          <w:color w:val="auto"/>
        </w:rPr>
      </w:pPr>
      <w:r>
        <w:rPr>
          <w:rFonts w:ascii="Arial" w:cs="Arial" w:eastAsia="Arial" w:hAnsi="Arial"/>
          <w:sz w:val="14"/>
          <w:szCs w:val="14"/>
          <w:color w:val="auto"/>
        </w:rPr>
        <w:t>The short-term investments are classified as available-for-sale securities. As of June 30, 2020,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six months ended June 30, 2020 and 2019. As a result, the Company did not reclassify any amounts out of accumulated other comprehensive income for the same periods. The Company has a limited number of available-for-sale securities in insignificant loss positions as of June 30, 2020, which the Company does not intend to sell and has concluded it will not be required to sell before recovery of the amortized cost for the investment at maturity. The following table summarizes the available-for-sale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3"/>
                <w:szCs w:val="13"/>
                <w:color w:val="auto"/>
              </w:rPr>
            </w:pPr>
          </w:p>
        </w:tc>
        <w:tc>
          <w:tcPr>
            <w:tcW w:w="900" w:type="dxa"/>
            <w:vAlign w:val="bottom"/>
            <w:gridSpan w:val="3"/>
          </w:tcPr>
          <w:p>
            <w:pPr>
              <w:jc w:val="right"/>
              <w:ind w:right="167"/>
              <w:spacing w:after="0"/>
              <w:rPr>
                <w:sz w:val="20"/>
                <w:szCs w:val="20"/>
                <w:color w:val="auto"/>
              </w:rPr>
            </w:pPr>
            <w:r>
              <w:rPr>
                <w:rFonts w:ascii="Arial" w:cs="Arial" w:eastAsia="Arial" w:hAnsi="Arial"/>
                <w:sz w:val="13"/>
                <w:szCs w:val="13"/>
                <w:b w:val="1"/>
                <w:bCs w:val="1"/>
                <w:color w:val="auto"/>
                <w:w w:val="97"/>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Arial" w:cs="Arial" w:eastAsia="Arial" w:hAnsi="Arial"/>
                <w:sz w:val="13"/>
                <w:szCs w:val="13"/>
                <w:b w:val="1"/>
                <w:bCs w:val="1"/>
                <w:color w:val="auto"/>
              </w:rPr>
              <w:t>Gains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6"/>
          </w:tcPr>
          <w:p>
            <w:pPr>
              <w:jc w:val="right"/>
              <w:ind w:right="960"/>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920" w:type="dxa"/>
            <w:vAlign w:val="bottom"/>
            <w:tcBorders>
              <w:bottom w:val="single" w:sz="8" w:color="auto"/>
            </w:tcBorders>
            <w:shd w:val="clear" w:color="auto" w:fill="CFF0FC"/>
          </w:tcPr>
          <w:p>
            <w:pPr>
              <w:spacing w:after="0" w:line="166" w:lineRule="exact"/>
              <w:rPr>
                <w:sz w:val="20"/>
                <w:szCs w:val="20"/>
                <w:color w:val="auto"/>
              </w:rPr>
            </w:pPr>
            <w:r>
              <w:rPr>
                <w:rFonts w:ascii="Arial" w:cs="Arial" w:eastAsia="Arial" w:hAnsi="Arial"/>
                <w:sz w:val="16"/>
                <w:szCs w:val="16"/>
                <w:b w:val="1"/>
                <w:bCs w:val="1"/>
                <w:color w:val="auto"/>
                <w:w w:val="86"/>
              </w:rPr>
              <w:t>June 30, 2020</w:t>
            </w:r>
          </w:p>
        </w:tc>
        <w:tc>
          <w:tcPr>
            <w:tcW w:w="3860" w:type="dxa"/>
            <w:vAlign w:val="bottom"/>
            <w:tcBorders>
              <w:bottom w:val="single" w:sz="8" w:color="CFF0FC"/>
            </w:tcBorders>
            <w:gridSpan w:val="3"/>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780" w:type="dxa"/>
            <w:vAlign w:val="bottom"/>
            <w:gridSpan w:val="4"/>
          </w:tcPr>
          <w:p>
            <w:pPr>
              <w:ind w:left="220"/>
              <w:spacing w:after="0"/>
              <w:rPr>
                <w:sz w:val="20"/>
                <w:szCs w:val="20"/>
                <w:color w:val="auto"/>
              </w:rPr>
            </w:pPr>
            <w:r>
              <w:rPr>
                <w:rFonts w:ascii="Arial" w:cs="Arial" w:eastAsia="Arial" w:hAnsi="Arial"/>
                <w:sz w:val="16"/>
                <w:szCs w:val="16"/>
                <w:color w:val="auto"/>
              </w:rPr>
              <w:t>Commercial paper</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104,308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97"/>
              </w:rPr>
              <w:t>108</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104,401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780" w:type="dxa"/>
            <w:vAlign w:val="bottom"/>
            <w:gridSpan w:val="4"/>
            <w:shd w:val="clear" w:color="auto" w:fill="CFF0FC"/>
          </w:tcPr>
          <w:p>
            <w:pPr>
              <w:ind w:left="220"/>
              <w:spacing w:after="0"/>
              <w:rPr>
                <w:sz w:val="20"/>
                <w:szCs w:val="20"/>
                <w:color w:val="auto"/>
              </w:rPr>
            </w:pPr>
            <w:r>
              <w:rPr>
                <w:rFonts w:ascii="Arial" w:cs="Arial" w:eastAsia="Arial" w:hAnsi="Arial"/>
                <w:sz w:val="16"/>
                <w:szCs w:val="16"/>
                <w:color w:val="auto"/>
              </w:rPr>
              <w:t>Corporate bonds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28,716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28,741</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50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133,024</w:t>
            </w:r>
          </w:p>
        </w:tc>
        <w:tc>
          <w:tcPr>
            <w:tcW w:w="22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135</w:t>
            </w:r>
          </w:p>
        </w:tc>
        <w:tc>
          <w:tcPr>
            <w:tcW w:w="2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133,142</w:t>
            </w:r>
          </w:p>
        </w:tc>
        <w:tc>
          <w:tcPr>
            <w:tcW w:w="8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1280" w:type="dxa"/>
            <w:vAlign w:val="bottom"/>
            <w:tcBorders>
              <w:bottom w:val="single" w:sz="8" w:color="auto"/>
            </w:tcBorders>
            <w:gridSpan w:val="3"/>
            <w:shd w:val="clear" w:color="auto" w:fill="CFF0FC"/>
          </w:tcPr>
          <w:p>
            <w:pPr>
              <w:spacing w:after="0" w:line="142" w:lineRule="exact"/>
              <w:rPr>
                <w:sz w:val="20"/>
                <w:szCs w:val="20"/>
                <w:color w:val="auto"/>
              </w:rPr>
            </w:pPr>
            <w:r>
              <w:rPr>
                <w:rFonts w:ascii="Arial" w:cs="Arial" w:eastAsia="Arial" w:hAnsi="Arial"/>
                <w:sz w:val="16"/>
                <w:szCs w:val="16"/>
                <w:b w:val="1"/>
                <w:bCs w:val="1"/>
                <w:color w:val="auto"/>
                <w:w w:val="87"/>
              </w:rPr>
              <w:t>December 31, 2019</w:t>
            </w:r>
          </w:p>
        </w:tc>
        <w:tc>
          <w:tcPr>
            <w:tcW w:w="35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right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780" w:type="dxa"/>
            <w:vAlign w:val="bottom"/>
            <w:gridSpan w:val="4"/>
          </w:tcPr>
          <w:p>
            <w:pPr>
              <w:ind w:left="220"/>
              <w:spacing w:after="0"/>
              <w:rPr>
                <w:sz w:val="20"/>
                <w:szCs w:val="20"/>
                <w:color w:val="auto"/>
              </w:rPr>
            </w:pPr>
            <w:r>
              <w:rPr>
                <w:rFonts w:ascii="Arial" w:cs="Arial" w:eastAsia="Arial" w:hAnsi="Arial"/>
                <w:sz w:val="16"/>
                <w:szCs w:val="16"/>
                <w:color w:val="auto"/>
              </w:rPr>
              <w:t>Commercial paper</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15,675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15,680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780" w:type="dxa"/>
            <w:vAlign w:val="bottom"/>
            <w:gridSpan w:val="4"/>
            <w:shd w:val="clear" w:color="auto" w:fill="CFF0FC"/>
          </w:tcPr>
          <w:p>
            <w:pPr>
              <w:ind w:left="220"/>
              <w:spacing w:after="0"/>
              <w:rPr>
                <w:sz w:val="20"/>
                <w:szCs w:val="20"/>
                <w:color w:val="auto"/>
              </w:rPr>
            </w:pPr>
            <w:r>
              <w:rPr>
                <w:rFonts w:ascii="Arial" w:cs="Arial" w:eastAsia="Arial" w:hAnsi="Arial"/>
                <w:sz w:val="16"/>
                <w:szCs w:val="16"/>
                <w:color w:val="auto"/>
              </w:rPr>
              <w:t>Corporate bonds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18,361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18,356</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780" w:type="dxa"/>
            <w:vAlign w:val="bottom"/>
            <w:tcBorders>
              <w:bottom w:val="single" w:sz="8" w:color="CFF0FC"/>
            </w:tcBorders>
            <w:gridSpan w:val="4"/>
          </w:tcPr>
          <w:p>
            <w:pPr>
              <w:ind w:left="220"/>
              <w:spacing w:after="0"/>
              <w:rPr>
                <w:sz w:val="20"/>
                <w:szCs w:val="20"/>
                <w:color w:val="auto"/>
              </w:rPr>
            </w:pPr>
            <w:r>
              <w:rPr>
                <w:rFonts w:ascii="Arial" w:cs="Arial" w:eastAsia="Arial" w:hAnsi="Arial"/>
                <w:sz w:val="16"/>
                <w:szCs w:val="16"/>
                <w:color w:val="auto"/>
              </w:rPr>
              <w:t>Asset-backed securities</w:t>
            </w:r>
          </w:p>
        </w:tc>
        <w:tc>
          <w:tcPr>
            <w:tcW w:w="5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2,300</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80" w:type="dxa"/>
            <w:vAlign w:val="bottom"/>
            <w:tcBorders>
              <w:bottom w:val="single" w:sz="8" w:color="CFF0FC"/>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36,336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36,336</w:t>
            </w:r>
          </w:p>
        </w:tc>
        <w:tc>
          <w:tcPr>
            <w:tcW w:w="8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8. Prepaid Expenses and Other Current Assets</w:t>
            </w: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40" w:type="dxa"/>
            <w:vAlign w:val="bottom"/>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340" w:type="dxa"/>
            <w:vAlign w:val="bottom"/>
            <w:gridSpan w:val="5"/>
          </w:tcPr>
          <w:p>
            <w:pPr>
              <w:ind w:left="500"/>
              <w:spacing w:after="0"/>
              <w:rPr>
                <w:sz w:val="20"/>
                <w:szCs w:val="20"/>
                <w:color w:val="auto"/>
              </w:rPr>
            </w:pPr>
            <w:r>
              <w:rPr>
                <w:rFonts w:ascii="Arial" w:cs="Arial" w:eastAsia="Arial" w:hAnsi="Arial"/>
                <w:sz w:val="16"/>
                <w:szCs w:val="16"/>
                <w:color w:val="auto"/>
                <w:w w:val="97"/>
              </w:rPr>
              <w:t>Prepaid expenses and other current assets consisted of the following:</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305"/>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7"/>
              </w:rPr>
              <w:t>December 31, 2019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5"/>
          </w:tcPr>
          <w:p>
            <w:pPr>
              <w:jc w:val="right"/>
              <w:ind w:right="87"/>
              <w:spacing w:after="0" w:line="134" w:lineRule="exact"/>
              <w:rPr>
                <w:sz w:val="20"/>
                <w:szCs w:val="20"/>
                <w:color w:val="auto"/>
              </w:rPr>
            </w:pPr>
            <w:r>
              <w:rPr>
                <w:rFonts w:ascii="Arial" w:cs="Arial" w:eastAsia="Arial" w:hAnsi="Arial"/>
                <w:sz w:val="13"/>
                <w:szCs w:val="13"/>
                <w:b w:val="1"/>
                <w:bCs w:val="1"/>
                <w:color w:val="auto"/>
              </w:rPr>
              <w:t>(In thousands)</w:t>
            </w: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Short-term deposits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7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1,297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Prepaid clinical supplies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receivable on investments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Reimbursable costs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416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Prepaid insurance</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prepaid expenses and other current assets</w:t>
            </w:r>
          </w:p>
        </w:tc>
        <w:tc>
          <w:tcPr>
            <w:tcW w:w="5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4,939</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2,556</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9. Accrued Expenses and Other Current Liabilities</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40" w:type="dxa"/>
            <w:vAlign w:val="bottom"/>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340" w:type="dxa"/>
            <w:vAlign w:val="bottom"/>
            <w:gridSpan w:val="5"/>
          </w:tcPr>
          <w:p>
            <w:pPr>
              <w:ind w:left="500"/>
              <w:spacing w:after="0"/>
              <w:rPr>
                <w:sz w:val="20"/>
                <w:szCs w:val="20"/>
                <w:color w:val="auto"/>
              </w:rPr>
            </w:pPr>
            <w:r>
              <w:rPr>
                <w:rFonts w:ascii="Arial" w:cs="Arial" w:eastAsia="Arial" w:hAnsi="Arial"/>
                <w:sz w:val="16"/>
                <w:szCs w:val="16"/>
                <w:color w:val="auto"/>
                <w:w w:val="94"/>
              </w:rPr>
              <w:t>Accrued expenses and other current liabilities consisted of the following:</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305"/>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7"/>
              </w:rPr>
              <w:t>December 31, 2019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5"/>
          </w:tcPr>
          <w:p>
            <w:pPr>
              <w:jc w:val="right"/>
              <w:ind w:right="87"/>
              <w:spacing w:after="0" w:line="134" w:lineRule="exact"/>
              <w:rPr>
                <w:sz w:val="20"/>
                <w:szCs w:val="20"/>
                <w:color w:val="auto"/>
              </w:rPr>
            </w:pPr>
            <w:r>
              <w:rPr>
                <w:rFonts w:ascii="Arial" w:cs="Arial" w:eastAsia="Arial" w:hAnsi="Arial"/>
                <w:sz w:val="13"/>
                <w:szCs w:val="13"/>
                <w:b w:val="1"/>
                <w:bCs w:val="1"/>
                <w:color w:val="auto"/>
              </w:rPr>
              <w:t>(In thousands)</w:t>
            </w: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Accrued professional fees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7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403</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Accrued compensation and related costs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2,800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Accrued clinical costs</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6,726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accrued expenses and other current liabilities</w:t>
            </w:r>
          </w:p>
        </w:tc>
        <w:tc>
          <w:tcPr>
            <w:tcW w:w="5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8,691</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10,195</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vMerge w:val="restart"/>
          </w:tcPr>
          <w:p>
            <w:pPr>
              <w:jc w:val="right"/>
              <w:ind w:right="6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10. Stock-Based Compensation</w:t>
      </w:r>
    </w:p>
    <w:p>
      <w:pPr>
        <w:spacing w:after="0" w:line="104" w:lineRule="exact"/>
        <w:rPr>
          <w:sz w:val="20"/>
          <w:szCs w:val="20"/>
          <w:color w:val="auto"/>
        </w:rPr>
      </w:pPr>
    </w:p>
    <w:p>
      <w:pPr>
        <w:ind w:right="40" w:firstLine="511"/>
        <w:spacing w:after="0" w:line="302" w:lineRule="auto"/>
        <w:rPr>
          <w:sz w:val="20"/>
          <w:szCs w:val="20"/>
          <w:color w:val="auto"/>
        </w:rPr>
      </w:pPr>
      <w:r>
        <w:rPr>
          <w:rFonts w:ascii="Arial" w:cs="Arial" w:eastAsia="Arial" w:hAnsi="Arial"/>
          <w:sz w:val="14"/>
          <w:szCs w:val="14"/>
          <w:color w:val="auto"/>
        </w:rPr>
        <w:t>In January 2020, the number of shares of common stock available for issuance under the 2015 Omnibus Incentive Plan (“2015 Plan”), was increased by 1,085,619 shares due to the automatic annual provision to increase shares available under the 2015 Plan. As of June 30, 2020, the total number of shares of common stock available for issuance under the 2015 Plan was 714,953.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ectPr>
          <w:pgSz w:w="11900" w:h="16838" w:orient="portrait"/>
          <w:cols w:equalWidth="0" w:num="1">
            <w:col w:w="11240"/>
          </w:cols>
          <w:pgMar w:left="320" w:top="407" w:right="339" w:bottom="1440" w:gutter="0" w:footer="0" w:header="0"/>
        </w:sectPr>
      </w:pP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15240</wp:posOffset>
            </wp:positionV>
            <wp:extent cx="16084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18" w:lineRule="exact"/>
        <w:rPr>
          <w:sz w:val="20"/>
          <w:szCs w:val="20"/>
          <w:color w:val="auto"/>
        </w:rPr>
      </w:pPr>
    </w:p>
    <w:p>
      <w:pPr>
        <w:ind w:left="5180"/>
        <w:spacing w:after="0"/>
        <w:tabs>
          <w:tab w:leader="none" w:pos="654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8255</wp:posOffset>
            </wp:positionV>
            <wp:extent cx="16084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6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7620</wp:posOffset>
            </wp:positionV>
            <wp:extent cx="16160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8255</wp:posOffset>
            </wp:positionV>
            <wp:extent cx="16160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3"/>
          <w:szCs w:val="13"/>
          <w:b w:val="1"/>
          <w:bCs w:val="1"/>
          <w:color w:val="auto"/>
        </w:rPr>
        <w:t>(In thousands)</w:t>
      </w:r>
    </w:p>
    <w:p>
      <w:pPr>
        <w:spacing w:after="0" w:line="17" w:lineRule="exact"/>
        <w:rPr>
          <w:sz w:val="20"/>
          <w:szCs w:val="20"/>
          <w:color w:val="auto"/>
        </w:rPr>
      </w:pPr>
    </w:p>
    <w:p>
      <w:pPr>
        <w:sectPr>
          <w:pgSz w:w="11900" w:h="16838" w:orient="portrait"/>
          <w:cols w:equalWidth="0" w:num="2">
            <w:col w:w="7220" w:space="720"/>
            <w:col w:w="3300"/>
          </w:cols>
          <w:pgMar w:left="320" w:top="407" w:right="339" w:bottom="1440" w:gutter="0" w:footer="0" w:header="0"/>
          <w:type w:val="continuous"/>
        </w:sectPr>
      </w:pPr>
    </w:p>
    <w:tbl>
      <w:tblPr>
        <w:tblLayout w:type="fixed"/>
        <w:tblInd w:w="1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38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640" w:type="dxa"/>
            <w:vAlign w:val="bottom"/>
            <w:gridSpan w:val="2"/>
            <w:shd w:val="clear" w:color="auto" w:fill="CFF0FC"/>
          </w:tcPr>
          <w:p>
            <w:pPr>
              <w:jc w:val="right"/>
              <w:ind w:right="30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660" w:type="dxa"/>
            <w:vAlign w:val="bottom"/>
            <w:gridSpan w:val="2"/>
            <w:shd w:val="clear" w:color="auto" w:fill="CFF0FC"/>
          </w:tcPr>
          <w:p>
            <w:pPr>
              <w:jc w:val="right"/>
              <w:ind w:right="287"/>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660" w:type="dxa"/>
            <w:vAlign w:val="bottom"/>
            <w:gridSpan w:val="2"/>
            <w:shd w:val="clear" w:color="auto" w:fill="CFF0FC"/>
          </w:tcPr>
          <w:p>
            <w:pPr>
              <w:jc w:val="right"/>
              <w:ind w:right="287"/>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w:t>
            </w:r>
          </w:p>
        </w:tc>
        <w:tc>
          <w:tcPr>
            <w:tcW w:w="80" w:type="dxa"/>
            <w:vAlign w:val="bottom"/>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2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2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2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80" w:type="dxa"/>
            <w:vAlign w:val="bottom"/>
            <w:tcBorders>
              <w:bottom w:val="single" w:sz="8" w:color="CFF0FC"/>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w:t>
            </w:r>
          </w:p>
        </w:tc>
        <w:tc>
          <w:tcPr>
            <w:tcW w:w="2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w:t>
            </w: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 expense by type of award in the three and six months ended June 30, 2020 and 2019 was as follows:</w:t>
      </w:r>
    </w:p>
    <w:p>
      <w:pPr>
        <w:sectPr>
          <w:pgSz w:w="11900" w:h="16838" w:orient="portrait"/>
          <w:cols w:equalWidth="0" w:num="1">
            <w:col w:w="11240"/>
          </w:cols>
          <w:pgMar w:left="320" w:top="407" w:right="339" w:bottom="1440" w:gutter="0" w:footer="0" w:header="0"/>
          <w:type w:val="continuous"/>
        </w:sectPr>
      </w:pPr>
    </w:p>
    <w:p>
      <w:pPr>
        <w:spacing w:after="0" w:line="282" w:lineRule="exact"/>
        <w:rPr>
          <w:sz w:val="20"/>
          <w:szCs w:val="20"/>
          <w:color w:val="auto"/>
        </w:rPr>
      </w:pPr>
    </w:p>
    <w:p>
      <w:pPr>
        <w:ind w:left="518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15240</wp:posOffset>
            </wp:positionV>
            <wp:extent cx="16084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18" w:lineRule="exact"/>
        <w:rPr>
          <w:sz w:val="20"/>
          <w:szCs w:val="20"/>
          <w:color w:val="auto"/>
        </w:rPr>
      </w:pPr>
    </w:p>
    <w:p>
      <w:pPr>
        <w:ind w:left="5180"/>
        <w:spacing w:after="0"/>
        <w:tabs>
          <w:tab w:leader="none" w:pos="654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8255</wp:posOffset>
            </wp:positionV>
            <wp:extent cx="1608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right="16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7620</wp:posOffset>
            </wp:positionV>
            <wp:extent cx="16160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8255</wp:posOffset>
            </wp:positionV>
            <wp:extent cx="16160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3"/>
          <w:szCs w:val="13"/>
          <w:b w:val="1"/>
          <w:bCs w:val="1"/>
          <w:color w:val="auto"/>
        </w:rPr>
        <w:t>(In thousands)</w:t>
      </w:r>
    </w:p>
    <w:p>
      <w:pPr>
        <w:spacing w:after="0" w:line="17" w:lineRule="exact"/>
        <w:rPr>
          <w:sz w:val="20"/>
          <w:szCs w:val="20"/>
          <w:color w:val="auto"/>
        </w:rPr>
      </w:pPr>
    </w:p>
    <w:p>
      <w:pPr>
        <w:sectPr>
          <w:pgSz w:w="11900" w:h="16838" w:orient="portrait"/>
          <w:cols w:equalWidth="0" w:num="2">
            <w:col w:w="7220" w:space="720"/>
            <w:col w:w="3300"/>
          </w:cols>
          <w:pgMar w:left="320" w:top="407" w:right="339" w:bottom="1440" w:gutter="0" w:footer="0" w:header="0"/>
          <w:type w:val="continuous"/>
        </w:sectPr>
      </w:pPr>
    </w:p>
    <w:tbl>
      <w:tblPr>
        <w:tblLayout w:type="fixed"/>
        <w:tblInd w:w="1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124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w:t>
            </w:r>
          </w:p>
        </w:tc>
        <w:tc>
          <w:tcPr>
            <w:tcW w:w="640" w:type="dxa"/>
            <w:vAlign w:val="bottom"/>
            <w:gridSpan w:val="2"/>
            <w:shd w:val="clear" w:color="auto" w:fill="CFF0FC"/>
          </w:tcPr>
          <w:p>
            <w:pPr>
              <w:jc w:val="right"/>
              <w:ind w:right="30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w:t>
            </w:r>
          </w:p>
        </w:tc>
        <w:tc>
          <w:tcPr>
            <w:tcW w:w="660" w:type="dxa"/>
            <w:vAlign w:val="bottom"/>
            <w:gridSpan w:val="2"/>
            <w:shd w:val="clear" w:color="auto" w:fill="CFF0FC"/>
          </w:tcPr>
          <w:p>
            <w:pPr>
              <w:jc w:val="right"/>
              <w:ind w:right="287"/>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w:t>
            </w:r>
          </w:p>
        </w:tc>
        <w:tc>
          <w:tcPr>
            <w:tcW w:w="660" w:type="dxa"/>
            <w:vAlign w:val="bottom"/>
            <w:gridSpan w:val="2"/>
            <w:shd w:val="clear" w:color="auto" w:fill="CFF0FC"/>
          </w:tcPr>
          <w:p>
            <w:pPr>
              <w:jc w:val="right"/>
              <w:ind w:right="287"/>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2,867</w:t>
            </w:r>
          </w:p>
        </w:tc>
        <w:tc>
          <w:tcPr>
            <w:tcW w:w="80" w:type="dxa"/>
            <w:vAlign w:val="bottom"/>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Employee Stock Purchase Plan</w:t>
            </w:r>
          </w:p>
        </w:tc>
        <w:tc>
          <w:tcPr>
            <w:tcW w:w="8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FF0FC"/>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w:t>
            </w:r>
          </w:p>
        </w:tc>
        <w:tc>
          <w:tcPr>
            <w:tcW w:w="2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w:t>
            </w: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2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firstLine="511"/>
        <w:spacing w:after="0" w:line="257" w:lineRule="auto"/>
        <w:rPr>
          <w:sz w:val="20"/>
          <w:szCs w:val="20"/>
          <w:color w:val="auto"/>
        </w:rPr>
      </w:pPr>
      <w:r>
        <w:rPr>
          <w:rFonts w:ascii="Arial" w:cs="Arial" w:eastAsia="Arial" w:hAnsi="Arial"/>
          <w:sz w:val="16"/>
          <w:szCs w:val="16"/>
          <w:color w:val="auto"/>
        </w:rPr>
        <w:t>During the six months ended June 30, 2020, the Company granted 1,412,825 stock options to certain executives, consultants, and employees having service-based vesting conditions. The grant date fair value of the options granted in the six months ended June 30, 2020, was $11.1 million, or $7.85 per share on a weighted-average basis and will be recognized as compensation expense over the requisite service period of three to four years.</w:t>
      </w:r>
    </w:p>
    <w:p>
      <w:pPr>
        <w:spacing w:after="0" w:line="72" w:lineRule="exact"/>
        <w:rPr>
          <w:sz w:val="20"/>
          <w:szCs w:val="20"/>
          <w:color w:val="auto"/>
        </w:rPr>
      </w:pPr>
    </w:p>
    <w:p>
      <w:pPr>
        <w:ind w:right="200" w:firstLine="511"/>
        <w:spacing w:after="0" w:line="302" w:lineRule="auto"/>
        <w:rPr>
          <w:sz w:val="20"/>
          <w:szCs w:val="20"/>
          <w:color w:val="auto"/>
        </w:rPr>
      </w:pPr>
      <w:r>
        <w:rPr>
          <w:rFonts w:ascii="Arial" w:cs="Arial" w:eastAsia="Arial" w:hAnsi="Arial"/>
          <w:sz w:val="15"/>
          <w:szCs w:val="15"/>
          <w:color w:val="auto"/>
        </w:rPr>
        <w:t>In April 2020, the Company granted 74,000 stock options to certain employees to purchase shares of common stock that contain a performance-based vesting criterion related to filing a New Drug Application with the FDA. In May 2020, these options were cancelled. No expense had been recognized related to this award.</w:t>
      </w:r>
    </w:p>
    <w:p>
      <w:pPr>
        <w:spacing w:after="0" w:line="39" w:lineRule="exact"/>
        <w:rPr>
          <w:sz w:val="20"/>
          <w:szCs w:val="20"/>
          <w:color w:val="auto"/>
        </w:rPr>
      </w:pPr>
    </w:p>
    <w:p>
      <w:pPr>
        <w:ind w:right="120" w:firstLine="511"/>
        <w:spacing w:after="0" w:line="273" w:lineRule="auto"/>
        <w:rPr>
          <w:sz w:val="20"/>
          <w:szCs w:val="20"/>
          <w:color w:val="auto"/>
        </w:rPr>
      </w:pPr>
      <w:r>
        <w:rPr>
          <w:rFonts w:ascii="Arial" w:cs="Arial" w:eastAsia="Arial" w:hAnsi="Arial"/>
          <w:sz w:val="15"/>
          <w:szCs w:val="15"/>
          <w:color w:val="auto"/>
        </w:rPr>
        <w:t>In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achievement of one of the performance milestones was considered to be probable and the Company recorded approximately $100,000 of stock compensation expense associated with these awards for the six months ended June 30, 2020. One performance milestone was not achieved by December 31, 2019, and therefore 194,338 stock options were cancelled on January 1, 2020. For the remaining award containing performance-based vesting criteria, the achievement of the milestone was not met, and therefore 194,331 stock options were cancelled in June 2020. No expense had been recognized related to this award for the six months ended June 30, 2020.</w:t>
      </w:r>
    </w:p>
    <w:p>
      <w:pPr>
        <w:spacing w:after="0" w:line="64" w:lineRule="exact"/>
        <w:rPr>
          <w:sz w:val="20"/>
          <w:szCs w:val="20"/>
          <w:color w:val="auto"/>
        </w:rPr>
      </w:pPr>
    </w:p>
    <w:p>
      <w:pPr>
        <w:ind w:right="460" w:firstLine="511"/>
        <w:spacing w:after="0" w:line="268" w:lineRule="auto"/>
        <w:rPr>
          <w:sz w:val="20"/>
          <w:szCs w:val="20"/>
          <w:color w:val="auto"/>
        </w:rPr>
      </w:pPr>
      <w:r>
        <w:rPr>
          <w:rFonts w:ascii="Arial" w:cs="Arial" w:eastAsia="Arial" w:hAnsi="Arial"/>
          <w:sz w:val="16"/>
          <w:szCs w:val="16"/>
          <w:color w:val="auto"/>
        </w:rPr>
        <w:t>During the six months ended June 30, 2020, 141,490 options were exercised for cash proceeds of $1.4 million. During the six months ended June 30, 2019, 22,167 options were exercised for cash proceeds of $0.2 million.</w:t>
      </w:r>
    </w:p>
    <w:p>
      <w:pPr>
        <w:spacing w:after="0" w:line="63" w:lineRule="exact"/>
        <w:rPr>
          <w:sz w:val="20"/>
          <w:szCs w:val="20"/>
          <w:color w:val="auto"/>
        </w:rPr>
      </w:pPr>
    </w:p>
    <w:p>
      <w:pPr>
        <w:jc w:val="both"/>
        <w:ind w:right="80" w:firstLine="511"/>
        <w:spacing w:after="0" w:line="257" w:lineRule="auto"/>
        <w:rPr>
          <w:sz w:val="20"/>
          <w:szCs w:val="20"/>
          <w:color w:val="auto"/>
        </w:rPr>
      </w:pPr>
      <w:r>
        <w:rPr>
          <w:rFonts w:ascii="Arial" w:cs="Arial" w:eastAsia="Arial" w:hAnsi="Arial"/>
          <w:sz w:val="16"/>
          <w:szCs w:val="16"/>
          <w:color w:val="auto"/>
        </w:rPr>
        <w:t>As of June 30, 2020, there was $17.2 million of unrecognized compensation cost related to employee and non-employee unvested stock options and RSUs granted under the 2015 and 2007 Plans, which is expected to be recognized over a weighted-average remaining service period of 2.8 years. Stock compensation costs have not been capitalized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95" w:lineRule="exact"/>
        <w:rPr>
          <w:sz w:val="20"/>
          <w:szCs w:val="20"/>
          <w:color w:val="auto"/>
        </w:rPr>
      </w:pPr>
    </w:p>
    <w:p>
      <w:pPr>
        <w:ind w:right="20" w:firstLine="511"/>
        <w:spacing w:after="0" w:line="257" w:lineRule="auto"/>
        <w:rPr>
          <w:sz w:val="20"/>
          <w:szCs w:val="20"/>
          <w:color w:val="auto"/>
        </w:rPr>
      </w:pPr>
      <w:r>
        <w:rPr>
          <w:rFonts w:ascii="Arial" w:cs="Arial" w:eastAsia="Arial" w:hAnsi="Arial"/>
          <w:sz w:val="16"/>
          <w:szCs w:val="16"/>
          <w:color w:val="auto"/>
        </w:rPr>
        <w:t>During the six months ended June 30, 2020, the Company granted 15,000 shares of the Company’s restricted stock units. The shares are scheduled to vest in equal annual tranches over a four-year period on the anniversary date of the related grant. The fair value of these shares totaled $142,000 at the grant date, representing a weighted-average grant date fair value per share of $9.47.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07" w:right="339" w:bottom="1440" w:gutter="0" w:footer="0" w:header="0"/>
          <w:type w:val="continuous"/>
        </w:sectPr>
      </w:pPr>
    </w:p>
    <w:bookmarkStart w:id="14" w:name="page15"/>
    <w:bookmarkEnd w:id="14"/>
    <w:p>
      <w:pPr>
        <w:ind w:left="5"/>
        <w:spacing w:after="0"/>
        <w:rPr>
          <w:sz w:val="20"/>
          <w:szCs w:val="20"/>
          <w:color w:val="auto"/>
        </w:rPr>
      </w:pPr>
      <w:r>
        <w:rPr>
          <w:rFonts w:ascii="Arial" w:cs="Arial" w:eastAsia="Arial" w:hAnsi="Arial"/>
          <w:sz w:val="16"/>
          <w:szCs w:val="16"/>
          <w:b w:val="1"/>
          <w:bCs w:val="1"/>
          <w:color w:val="auto"/>
        </w:rPr>
        <w:t>11. Employee Stock Purchase Plan</w:t>
      </w:r>
    </w:p>
    <w:p>
      <w:pPr>
        <w:spacing w:after="0" w:line="104" w:lineRule="exact"/>
        <w:rPr>
          <w:sz w:val="20"/>
          <w:szCs w:val="20"/>
          <w:color w:val="auto"/>
        </w:rPr>
      </w:pPr>
    </w:p>
    <w:p>
      <w:pPr>
        <w:jc w:val="both"/>
        <w:ind w:left="5" w:right="340" w:firstLine="511"/>
        <w:spacing w:after="0" w:line="257" w:lineRule="auto"/>
        <w:rPr>
          <w:sz w:val="20"/>
          <w:szCs w:val="20"/>
          <w:color w:val="auto"/>
        </w:rPr>
      </w:pPr>
      <w:r>
        <w:rPr>
          <w:rFonts w:ascii="Arial" w:cs="Arial" w:eastAsia="Arial" w:hAnsi="Arial"/>
          <w:sz w:val="16"/>
          <w:szCs w:val="16"/>
          <w:color w:val="auto"/>
        </w:rPr>
        <w:t>In January 2020, the number of shares of common stock available for issuance under the ESPP, was increased by 250,000 shares as a result of the automatic increase provision of the ESPP. As of June 30, 2020, the total number of shares of common stock available for issuance under the ESPP was 1,094,393. The Company issued 12,601 shares during the first six months of 2020.</w:t>
      </w:r>
    </w:p>
    <w:p>
      <w:pPr>
        <w:spacing w:after="0" w:line="167" w:lineRule="exact"/>
        <w:rPr>
          <w:sz w:val="20"/>
          <w:szCs w:val="20"/>
          <w:color w:val="auto"/>
        </w:rPr>
      </w:pPr>
    </w:p>
    <w:p>
      <w:pPr>
        <w:ind w:left="5" w:right="240" w:firstLine="511"/>
        <w:spacing w:after="0" w:line="283" w:lineRule="auto"/>
        <w:rPr>
          <w:sz w:val="20"/>
          <w:szCs w:val="20"/>
          <w:color w:val="auto"/>
        </w:rPr>
      </w:pPr>
      <w:r>
        <w:rPr>
          <w:rFonts w:ascii="Arial" w:cs="Arial" w:eastAsia="Arial" w:hAnsi="Arial"/>
          <w:sz w:val="15"/>
          <w:szCs w:val="15"/>
          <w:color w:val="auto"/>
        </w:rPr>
        <w:t>The ESPP is considered a compensatory plan with the related compensation cost expensed over the six-month offering period starting on February 1 and on August 1. The compensation expense related to the ESPP for the three and six months ended June 30, 2020, was approximately $43,000 and $79,000, respectively. The compensation expense related to the ESPP recorded in the three and six months ended June 30, 2019, was approximately $30,000 and $63,000, respectively.</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12. Loan Payable</w:t>
      </w:r>
    </w:p>
    <w:p>
      <w:pPr>
        <w:spacing w:after="0" w:line="104" w:lineRule="exact"/>
        <w:rPr>
          <w:sz w:val="20"/>
          <w:szCs w:val="20"/>
          <w:color w:val="auto"/>
        </w:rPr>
      </w:pPr>
    </w:p>
    <w:p>
      <w:pPr>
        <w:ind w:left="5" w:right="180" w:firstLine="511"/>
        <w:spacing w:after="0" w:line="290" w:lineRule="auto"/>
        <w:rPr>
          <w:sz w:val="20"/>
          <w:szCs w:val="20"/>
          <w:color w:val="auto"/>
        </w:rPr>
      </w:pPr>
      <w:r>
        <w:rPr>
          <w:rFonts w:ascii="Arial" w:cs="Arial" w:eastAsia="Arial" w:hAnsi="Arial"/>
          <w:sz w:val="14"/>
          <w:szCs w:val="14"/>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w:t>
      </w:r>
    </w:p>
    <w:p>
      <w:pPr>
        <w:spacing w:after="0" w:line="1" w:lineRule="exact"/>
        <w:rPr>
          <w:sz w:val="20"/>
          <w:szCs w:val="20"/>
          <w:color w:val="auto"/>
        </w:rPr>
      </w:pPr>
    </w:p>
    <w:p>
      <w:pPr>
        <w:ind w:left="5" w:hanging="5"/>
        <w:spacing w:after="0" w:line="250" w:lineRule="auto"/>
        <w:tabs>
          <w:tab w:leader="none" w:pos="237"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Hercules’ investment committee approval, an additional term loan of up to $10.0 million, available for borrowing from February 7, 2020 to December 15, 2020 (the “Tranche 2 Advance”). Borrowings under the Loan Agreement bear interest at an annual rate equal to the greater of (i) 9.85% or (ii) 5.10% plus the Wall Street Journal prime rate. As of June 30, 2020, the Company’s interest rate under the Loan Agreement was 9.85%.</w:t>
      </w:r>
    </w:p>
    <w:p>
      <w:pPr>
        <w:spacing w:after="0" w:line="172" w:lineRule="exact"/>
        <w:rPr>
          <w:sz w:val="20"/>
          <w:szCs w:val="20"/>
          <w:color w:val="auto"/>
        </w:rPr>
      </w:pPr>
    </w:p>
    <w:p>
      <w:pPr>
        <w:ind w:left="5" w:right="60" w:firstLine="511"/>
        <w:spacing w:after="0" w:line="290" w:lineRule="auto"/>
        <w:rPr>
          <w:sz w:val="20"/>
          <w:szCs w:val="20"/>
          <w:color w:val="auto"/>
        </w:rPr>
      </w:pPr>
      <w:r>
        <w:rPr>
          <w:rFonts w:ascii="Arial" w:cs="Arial" w:eastAsia="Arial" w:hAnsi="Arial"/>
          <w:sz w:val="14"/>
          <w:szCs w:val="14"/>
          <w:color w:val="auto"/>
        </w:rPr>
        <w:t>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and will pay a $50,000 facility charge in connection with the Tranche 2 Advance.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48" w:lineRule="exact"/>
        <w:rPr>
          <w:sz w:val="20"/>
          <w:szCs w:val="20"/>
          <w:color w:val="auto"/>
        </w:rPr>
      </w:pPr>
    </w:p>
    <w:p>
      <w:pPr>
        <w:ind w:left="5" w:right="20" w:firstLine="511"/>
        <w:spacing w:after="0" w:line="267" w:lineRule="auto"/>
        <w:rPr>
          <w:sz w:val="20"/>
          <w:szCs w:val="20"/>
          <w:color w:val="auto"/>
        </w:rPr>
      </w:pPr>
      <w:r>
        <w:rPr>
          <w:rFonts w:ascii="Arial" w:cs="Arial" w:eastAsia="Arial" w:hAnsi="Arial"/>
          <w:sz w:val="15"/>
          <w:szCs w:val="15"/>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65" w:lineRule="exact"/>
        <w:rPr>
          <w:sz w:val="20"/>
          <w:szCs w:val="20"/>
          <w:color w:val="auto"/>
        </w:rPr>
      </w:pPr>
    </w:p>
    <w:p>
      <w:pPr>
        <w:ind w:left="5" w:right="140" w:firstLine="511"/>
        <w:spacing w:after="0" w:line="257" w:lineRule="auto"/>
        <w:rPr>
          <w:sz w:val="20"/>
          <w:szCs w:val="20"/>
          <w:color w:val="auto"/>
        </w:rPr>
      </w:pPr>
      <w:r>
        <w:rPr>
          <w:rFonts w:ascii="Arial" w:cs="Arial" w:eastAsia="Arial" w:hAnsi="Arial"/>
          <w:sz w:val="16"/>
          <w:szCs w:val="16"/>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67" w:lineRule="exact"/>
        <w:rPr>
          <w:sz w:val="20"/>
          <w:szCs w:val="20"/>
          <w:color w:val="auto"/>
        </w:rPr>
      </w:pPr>
    </w:p>
    <w:p>
      <w:pPr>
        <w:ind w:left="5" w:right="460" w:firstLine="511"/>
        <w:spacing w:after="0" w:line="268" w:lineRule="auto"/>
        <w:rPr>
          <w:sz w:val="20"/>
          <w:szCs w:val="20"/>
          <w:color w:val="auto"/>
        </w:rPr>
      </w:pPr>
      <w:r>
        <w:rPr>
          <w:rFonts w:ascii="Arial" w:cs="Arial" w:eastAsia="Arial" w:hAnsi="Arial"/>
          <w:sz w:val="16"/>
          <w:szCs w:val="16"/>
          <w:color w:val="auto"/>
        </w:rPr>
        <w:t>During the three and six months ended June 30, 2020, the Company recognized $0.6 million and $1.0 million, respectively, of interest expense related to the Initial Advance pursuant to the Loan Agreement.</w:t>
      </w:r>
    </w:p>
    <w:p>
      <w:pPr>
        <w:spacing w:after="0" w:line="15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596"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6"/>
          <w:szCs w:val="16"/>
          <w:color w:val="auto"/>
        </w:rPr>
        <w:t>As of June 30, 2020, the Company’s maturities of principal obligations under its long-term debt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Amount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2020</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2021</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3,057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9,809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2023</w:t>
            </w:r>
          </w:p>
        </w:tc>
        <w:tc>
          <w:tcPr>
            <w:tcW w:w="9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7,134</w:t>
            </w:r>
          </w:p>
        </w:tc>
        <w:tc>
          <w:tcPr>
            <w:tcW w:w="80" w:type="dxa"/>
            <w:vAlign w:val="bottom"/>
            <w:tcBorders>
              <w:bottom w:val="single" w:sz="8" w:color="CFF0FC"/>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1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principal outstanding</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Amortized final fee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Unamortized debt issuance costs</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3180" w:type="dxa"/>
            <w:vAlign w:val="bottom"/>
          </w:tcPr>
          <w:p>
            <w:pPr>
              <w:ind w:left="140"/>
              <w:spacing w:after="0"/>
              <w:rPr>
                <w:sz w:val="20"/>
                <w:szCs w:val="20"/>
                <w:color w:val="auto"/>
              </w:rPr>
            </w:pPr>
            <w:r>
              <w:rPr>
                <w:rFonts w:ascii="Arial" w:cs="Arial" w:eastAsia="Arial" w:hAnsi="Arial"/>
                <w:sz w:val="16"/>
                <w:szCs w:val="16"/>
                <w:color w:val="auto"/>
              </w:rPr>
              <w:t>Total</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19,896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13. Stockholders’ Equity</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40" w:type="dxa"/>
            <w:vAlign w:val="bottom"/>
            <w:gridSpan w:val="11"/>
          </w:tcPr>
          <w:p>
            <w:pPr>
              <w:ind w:left="500"/>
              <w:spacing w:after="0"/>
              <w:rPr>
                <w:sz w:val="20"/>
                <w:szCs w:val="20"/>
                <w:color w:val="auto"/>
              </w:rPr>
            </w:pPr>
            <w:r>
              <w:rPr>
                <w:rFonts w:ascii="Arial" w:cs="Arial" w:eastAsia="Arial" w:hAnsi="Arial"/>
                <w:sz w:val="16"/>
                <w:szCs w:val="16"/>
                <w:color w:val="auto"/>
                <w:w w:val="98"/>
              </w:rPr>
              <w:t>The following table presents the changes in stockholders’ equity for the six months ended June 30, 2020:</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900" w:type="dxa"/>
            <w:vAlign w:val="bottom"/>
            <w:gridSpan w:val="3"/>
            <w:vMerge w:val="restart"/>
          </w:tcPr>
          <w:p>
            <w:pPr>
              <w:jc w:val="right"/>
              <w:ind w:right="34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restart"/>
          </w:tcPr>
          <w:p>
            <w:pPr>
              <w:jc w:val="right"/>
              <w:ind w:right="369"/>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 except share data)</w:t>
            </w:r>
          </w:p>
        </w:tc>
        <w:tc>
          <w:tcPr>
            <w:tcW w:w="1900" w:type="dxa"/>
            <w:vAlign w:val="bottom"/>
            <w:gridSpan w:val="3"/>
          </w:tcPr>
          <w:p>
            <w:pPr>
              <w:jc w:val="right"/>
              <w:ind w:right="569"/>
              <w:spacing w:after="0" w:line="131" w:lineRule="exact"/>
              <w:rPr>
                <w:sz w:val="20"/>
                <w:szCs w:val="20"/>
                <w:color w:val="auto"/>
              </w:rPr>
            </w:pPr>
            <w:r>
              <w:rPr>
                <w:rFonts w:ascii="Arial" w:cs="Arial" w:eastAsia="Arial" w:hAnsi="Arial"/>
                <w:sz w:val="13"/>
                <w:szCs w:val="13"/>
                <w:b w:val="1"/>
                <w:bCs w:val="1"/>
                <w:color w:val="auto"/>
              </w:rPr>
              <w:t>$0.0001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449"/>
              <w:spacing w:after="0" w:line="131" w:lineRule="exact"/>
              <w:rPr>
                <w:sz w:val="20"/>
                <w:szCs w:val="20"/>
                <w:color w:val="auto"/>
              </w:rPr>
            </w:pPr>
            <w:r>
              <w:rPr>
                <w:rFonts w:ascii="Arial" w:cs="Arial" w:eastAsia="Arial" w:hAnsi="Arial"/>
                <w:sz w:val="13"/>
                <w:szCs w:val="13"/>
                <w:b w:val="1"/>
                <w:bCs w:val="1"/>
                <w:color w:val="auto"/>
              </w:rPr>
              <w:t>Paid-In</w:t>
            </w:r>
          </w:p>
        </w:tc>
        <w:tc>
          <w:tcPr>
            <w:tcW w:w="1160" w:type="dxa"/>
            <w:vAlign w:val="bottom"/>
            <w:gridSpan w:val="3"/>
          </w:tcPr>
          <w:p>
            <w:pPr>
              <w:jc w:val="center"/>
              <w:ind w:right="24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0"/>
        </w:trPr>
        <w:tc>
          <w:tcPr>
            <w:tcW w:w="4320" w:type="dxa"/>
            <w:vAlign w:val="bottom"/>
            <w:gridSpan w:val="2"/>
            <w:vMerge w:val="continue"/>
          </w:tcPr>
          <w:p>
            <w:pPr>
              <w:spacing w:after="0"/>
              <w:rPr>
                <w:sz w:val="13"/>
                <w:szCs w:val="13"/>
                <w:color w:val="auto"/>
              </w:rPr>
            </w:pPr>
          </w:p>
        </w:tc>
        <w:tc>
          <w:tcPr>
            <w:tcW w:w="1900" w:type="dxa"/>
            <w:vAlign w:val="bottom"/>
            <w:gridSpan w:val="3"/>
          </w:tcPr>
          <w:p>
            <w:pPr>
              <w:jc w:val="right"/>
              <w:ind w:right="509"/>
              <w:spacing w:after="0"/>
              <w:rPr>
                <w:sz w:val="20"/>
                <w:szCs w:val="20"/>
                <w:color w:val="auto"/>
              </w:rPr>
            </w:pPr>
            <w:r>
              <w:rPr>
                <w:rFonts w:ascii="Arial" w:cs="Arial" w:eastAsia="Arial" w:hAnsi="Arial"/>
                <w:sz w:val="13"/>
                <w:szCs w:val="13"/>
                <w:b w:val="1"/>
                <w:bCs w:val="1"/>
                <w:color w:val="auto"/>
              </w:rPr>
              <w:t>Par Value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469"/>
              <w:spacing w:after="0"/>
              <w:rPr>
                <w:sz w:val="20"/>
                <w:szCs w:val="20"/>
                <w:color w:val="auto"/>
              </w:rPr>
            </w:pPr>
            <w:r>
              <w:rPr>
                <w:rFonts w:ascii="Arial" w:cs="Arial" w:eastAsia="Arial" w:hAnsi="Arial"/>
                <w:sz w:val="13"/>
                <w:szCs w:val="13"/>
                <w:b w:val="1"/>
                <w:bCs w:val="1"/>
                <w:color w:val="auto"/>
              </w:rPr>
              <w:t>Capital</w:t>
            </w: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Income / (Loss)</w:t>
            </w:r>
          </w:p>
        </w:tc>
        <w:tc>
          <w:tcPr>
            <w:tcW w:w="120" w:type="dxa"/>
            <w:vAlign w:val="bottom"/>
          </w:tcPr>
          <w:p>
            <w:pPr>
              <w:spacing w:after="0"/>
              <w:rPr>
                <w:sz w:val="13"/>
                <w:szCs w:val="13"/>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34"/>
        </w:trPr>
        <w:tc>
          <w:tcPr>
            <w:tcW w:w="1140" w:type="dxa"/>
            <w:vAlign w:val="bottom"/>
            <w:tcBorders>
              <w:bottom w:val="single" w:sz="8" w:color="CFF0FC"/>
            </w:tcBorders>
          </w:tcPr>
          <w:p>
            <w:pPr>
              <w:spacing w:after="0"/>
              <w:rPr>
                <w:sz w:val="11"/>
                <w:szCs w:val="11"/>
                <w:color w:val="auto"/>
              </w:rPr>
            </w:pPr>
          </w:p>
        </w:tc>
        <w:tc>
          <w:tcPr>
            <w:tcW w:w="3180" w:type="dxa"/>
            <w:vAlign w:val="bottom"/>
            <w:tcBorders>
              <w:bottom w:val="single" w:sz="8" w:color="CFF0FC"/>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04"/>
              <w:spacing w:after="0" w:line="134"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820" w:type="dxa"/>
            <w:vAlign w:val="bottom"/>
            <w:tcBorders>
              <w:top w:val="single" w:sz="8" w:color="auto"/>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860" w:type="dxa"/>
            <w:vAlign w:val="bottom"/>
            <w:tcBorders>
              <w:top w:val="single" w:sz="8" w:color="auto"/>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840" w:type="dxa"/>
            <w:vAlign w:val="bottom"/>
            <w:tcBorders>
              <w:top w:val="single" w:sz="8" w:color="auto"/>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880" w:type="dxa"/>
            <w:vAlign w:val="bottom"/>
            <w:tcBorders>
              <w:top w:val="single" w:sz="8" w:color="auto"/>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of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27,140,484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8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527,067</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(495,470)</w:t>
            </w:r>
          </w:p>
        </w:tc>
        <w:tc>
          <w:tcPr>
            <w:tcW w:w="80" w:type="dxa"/>
            <w:vAlign w:val="bottom"/>
            <w:shd w:val="clear" w:color="auto" w:fill="CFF0FC"/>
          </w:tcPr>
          <w:p>
            <w:pPr>
              <w:spacing w:after="0"/>
              <w:rPr>
                <w:sz w:val="16"/>
                <w:szCs w:val="16"/>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6"/>
                <w:szCs w:val="16"/>
                <w:color w:val="auto"/>
              </w:rPr>
              <w:t>12,601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Proceeds from direct offering, net of $93</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ind w:left="160"/>
              <w:spacing w:after="0"/>
              <w:rPr>
                <w:sz w:val="20"/>
                <w:szCs w:val="20"/>
                <w:color w:val="auto"/>
              </w:rPr>
            </w:pPr>
            <w:r>
              <w:rPr>
                <w:rFonts w:ascii="Arial" w:cs="Arial" w:eastAsia="Arial" w:hAnsi="Arial"/>
                <w:sz w:val="16"/>
                <w:szCs w:val="16"/>
                <w:color w:val="auto"/>
              </w:rPr>
              <w:t>offering expenses</w:t>
            </w:r>
          </w:p>
        </w:tc>
        <w:tc>
          <w:tcPr>
            <w:tcW w:w="940" w:type="dxa"/>
            <w:vAlign w:val="bottom"/>
          </w:tcPr>
          <w:p>
            <w:pPr>
              <w:jc w:val="right"/>
              <w:spacing w:after="0"/>
              <w:rPr>
                <w:sz w:val="20"/>
                <w:szCs w:val="20"/>
                <w:color w:val="auto"/>
              </w:rPr>
            </w:pPr>
            <w:r>
              <w:rPr>
                <w:rFonts w:ascii="Arial" w:cs="Arial" w:eastAsia="Arial" w:hAnsi="Arial"/>
                <w:sz w:val="16"/>
                <w:szCs w:val="16"/>
                <w:color w:val="auto"/>
              </w:rPr>
              <w:t>3,036,719</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Proceeds from pre-funded common stock</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warrant from direct offering, net of $41</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Deemed dividend from repricing Series 1</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and 2 warrants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Repricing Series 1 and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29"/>
              <w:spacing w:after="0"/>
              <w:rPr>
                <w:sz w:val="20"/>
                <w:szCs w:val="20"/>
                <w:color w:val="auto"/>
              </w:rPr>
            </w:pPr>
            <w:r>
              <w:rPr>
                <w:rFonts w:ascii="Arial" w:cs="Arial" w:eastAsia="Arial" w:hAnsi="Arial"/>
                <w:sz w:val="16"/>
                <w:szCs w:val="16"/>
                <w:color w:val="auto"/>
              </w:rPr>
              <w:t>(3,906)</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51,034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Unrealized gains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(15,236)</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33"/>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30,240,838</w:t>
            </w:r>
          </w:p>
        </w:tc>
        <w:tc>
          <w:tcPr>
            <w:tcW w:w="22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564,164</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(510,706)</w:t>
            </w: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53,509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320" w:type="dxa"/>
            <w:vAlign w:val="bottom"/>
            <w:gridSpan w:val="2"/>
            <w:shd w:val="clear" w:color="auto" w:fill="CFF0FC"/>
          </w:tcPr>
          <w:p>
            <w:pPr>
              <w:spacing w:after="0" w:line="176" w:lineRule="exact"/>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2,130</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2,130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Issuance of common stock in exchange</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ind w:left="160"/>
              <w:spacing w:after="0"/>
              <w:rPr>
                <w:sz w:val="20"/>
                <w:szCs w:val="20"/>
                <w:color w:val="auto"/>
              </w:rPr>
            </w:pPr>
            <w:r>
              <w:rPr>
                <w:rFonts w:ascii="Arial" w:cs="Arial" w:eastAsia="Arial" w:hAnsi="Arial"/>
                <w:sz w:val="16"/>
                <w:szCs w:val="16"/>
                <w:color w:val="auto"/>
              </w:rPr>
              <w:t>for pre-funded warrants</w:t>
            </w:r>
          </w:p>
        </w:tc>
        <w:tc>
          <w:tcPr>
            <w:tcW w:w="940" w:type="dxa"/>
            <w:vAlign w:val="bottom"/>
          </w:tcPr>
          <w:p>
            <w:pPr>
              <w:jc w:val="right"/>
              <w:spacing w:after="0"/>
              <w:rPr>
                <w:sz w:val="20"/>
                <w:szCs w:val="20"/>
                <w:color w:val="auto"/>
              </w:rPr>
            </w:pPr>
            <w:r>
              <w:rPr>
                <w:rFonts w:ascii="Arial" w:cs="Arial" w:eastAsia="Arial" w:hAnsi="Arial"/>
                <w:sz w:val="16"/>
                <w:szCs w:val="16"/>
                <w:color w:val="auto"/>
              </w:rPr>
              <w:t>280,332</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 Series 1 and Series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1,512,229</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Proceeds from direct offering, net of $7,099</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ind w:left="160"/>
              <w:spacing w:after="0"/>
              <w:rPr>
                <w:sz w:val="20"/>
                <w:szCs w:val="20"/>
                <w:color w:val="auto"/>
              </w:rPr>
            </w:pPr>
            <w:r>
              <w:rPr>
                <w:rFonts w:ascii="Arial" w:cs="Arial" w:eastAsia="Arial" w:hAnsi="Arial"/>
                <w:sz w:val="16"/>
                <w:szCs w:val="16"/>
                <w:color w:val="auto"/>
              </w:rPr>
              <w:t>offering expenses</w:t>
            </w:r>
          </w:p>
        </w:tc>
        <w:tc>
          <w:tcPr>
            <w:tcW w:w="940" w:type="dxa"/>
            <w:vAlign w:val="bottom"/>
          </w:tcPr>
          <w:p>
            <w:pPr>
              <w:jc w:val="right"/>
              <w:spacing w:after="0"/>
              <w:rPr>
                <w:sz w:val="20"/>
                <w:szCs w:val="20"/>
                <w:color w:val="auto"/>
              </w:rPr>
            </w:pPr>
            <w:r>
              <w:rPr>
                <w:rFonts w:ascii="Arial" w:cs="Arial" w:eastAsia="Arial" w:hAnsi="Arial"/>
                <w:sz w:val="16"/>
                <w:szCs w:val="16"/>
                <w:color w:val="auto"/>
              </w:rPr>
              <w:t>6,388,889</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107,900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107,901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90,456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18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(17,062)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(17,062)</w:t>
            </w:r>
          </w:p>
        </w:tc>
        <w:tc>
          <w:tcPr>
            <w:tcW w:w="0" w:type="dxa"/>
            <w:vAlign w:val="bottom"/>
          </w:tcPr>
          <w:p>
            <w:pPr>
              <w:spacing w:after="0"/>
              <w:rPr>
                <w:sz w:val="1"/>
                <w:szCs w:val="1"/>
                <w:color w:val="auto"/>
              </w:rPr>
            </w:pPr>
          </w:p>
        </w:tc>
      </w:tr>
      <w:tr>
        <w:trPr>
          <w:trHeight w:val="193"/>
        </w:trPr>
        <w:tc>
          <w:tcPr>
            <w:tcW w:w="4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as of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38,512,744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ind w:right="58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675,294</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(527,768)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147,647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gridSpan w:val="2"/>
          </w:tcPr>
          <w:p>
            <w:pPr>
              <w:jc w:val="right"/>
              <w:ind w:right="44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6" w:name="page17"/>
    <w:bookmarkEnd w:id="16"/>
    <w:p>
      <w:pPr>
        <w:ind w:left="500"/>
        <w:spacing w:after="0"/>
        <w:rPr>
          <w:sz w:val="20"/>
          <w:szCs w:val="20"/>
          <w:color w:val="auto"/>
        </w:rPr>
      </w:pPr>
      <w:r>
        <w:rPr>
          <w:rFonts w:ascii="Arial" w:cs="Arial" w:eastAsia="Arial" w:hAnsi="Arial"/>
          <w:sz w:val="16"/>
          <w:szCs w:val="16"/>
          <w:color w:val="auto"/>
        </w:rPr>
        <w:t>The following table presents the changes in stockholders’ equity for the three months ended June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900" w:type="dxa"/>
            <w:vAlign w:val="bottom"/>
            <w:gridSpan w:val="3"/>
            <w:vMerge w:val="restart"/>
          </w:tcPr>
          <w:p>
            <w:pPr>
              <w:jc w:val="right"/>
              <w:ind w:right="34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3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share data)</w:t>
            </w:r>
          </w:p>
        </w:tc>
        <w:tc>
          <w:tcPr>
            <w:tcW w:w="1900" w:type="dxa"/>
            <w:vAlign w:val="bottom"/>
            <w:gridSpan w:val="3"/>
          </w:tcPr>
          <w:p>
            <w:pPr>
              <w:jc w:val="right"/>
              <w:ind w:right="569"/>
              <w:spacing w:after="0" w:line="131" w:lineRule="exact"/>
              <w:rPr>
                <w:sz w:val="20"/>
                <w:szCs w:val="20"/>
                <w:color w:val="auto"/>
              </w:rPr>
            </w:pPr>
            <w:r>
              <w:rPr>
                <w:rFonts w:ascii="Arial" w:cs="Arial" w:eastAsia="Arial" w:hAnsi="Arial"/>
                <w:sz w:val="13"/>
                <w:szCs w:val="13"/>
                <w:b w:val="1"/>
                <w:bCs w:val="1"/>
                <w:color w:val="auto"/>
              </w:rPr>
              <w:t>$0.0001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0"/>
              <w:spacing w:after="0" w:line="131"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180" w:type="dxa"/>
            <w:vAlign w:val="bottom"/>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0"/>
        </w:trPr>
        <w:tc>
          <w:tcPr>
            <w:tcW w:w="4300" w:type="dxa"/>
            <w:vAlign w:val="bottom"/>
            <w:vMerge w:val="continue"/>
          </w:tcPr>
          <w:p>
            <w:pPr>
              <w:spacing w:after="0"/>
              <w:rPr>
                <w:sz w:val="13"/>
                <w:szCs w:val="13"/>
                <w:color w:val="auto"/>
              </w:rPr>
            </w:pPr>
          </w:p>
        </w:tc>
        <w:tc>
          <w:tcPr>
            <w:tcW w:w="1900" w:type="dxa"/>
            <w:vAlign w:val="bottom"/>
            <w:gridSpan w:val="3"/>
          </w:tcPr>
          <w:p>
            <w:pPr>
              <w:jc w:val="right"/>
              <w:ind w:right="509"/>
              <w:spacing w:after="0"/>
              <w:rPr>
                <w:sz w:val="20"/>
                <w:szCs w:val="20"/>
                <w:color w:val="auto"/>
              </w:rPr>
            </w:pPr>
            <w:r>
              <w:rPr>
                <w:rFonts w:ascii="Arial" w:cs="Arial" w:eastAsia="Arial" w:hAnsi="Arial"/>
                <w:sz w:val="13"/>
                <w:szCs w:val="13"/>
                <w:b w:val="1"/>
                <w:bCs w:val="1"/>
                <w:color w:val="auto"/>
              </w:rPr>
              <w:t>Par Value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Income / (Loss)</w:t>
            </w:r>
          </w:p>
        </w:tc>
        <w:tc>
          <w:tcPr>
            <w:tcW w:w="8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34"/>
        </w:trPr>
        <w:tc>
          <w:tcPr>
            <w:tcW w:w="4300" w:type="dxa"/>
            <w:vAlign w:val="bottom"/>
            <w:tcBorders>
              <w:bottom w:val="single" w:sz="8" w:color="CFF0FC"/>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24"/>
              <w:spacing w:after="0" w:line="134"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CFF0FC"/>
            </w:tcBorders>
          </w:tcPr>
          <w:p>
            <w:pPr>
              <w:spacing w:after="0"/>
              <w:rPr>
                <w:sz w:val="11"/>
                <w:szCs w:val="11"/>
                <w:color w:val="auto"/>
              </w:rPr>
            </w:pPr>
          </w:p>
        </w:tc>
        <w:tc>
          <w:tcPr>
            <w:tcW w:w="820" w:type="dxa"/>
            <w:vAlign w:val="bottom"/>
            <w:tcBorders>
              <w:top w:val="single" w:sz="8" w:color="auto"/>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840" w:type="dxa"/>
            <w:vAlign w:val="bottom"/>
            <w:tcBorders>
              <w:top w:val="single" w:sz="8" w:color="auto"/>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860" w:type="dxa"/>
            <w:vAlign w:val="bottom"/>
            <w:tcBorders>
              <w:top w:val="single" w:sz="8" w:color="auto"/>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880" w:type="dxa"/>
            <w:vAlign w:val="bottom"/>
            <w:tcBorders>
              <w:top w:val="single" w:sz="8" w:color="auto"/>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2018</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24,835,951</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492,493</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(439,423)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53,047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Stock purchase under ESPP</w:t>
            </w:r>
          </w:p>
        </w:tc>
        <w:tc>
          <w:tcPr>
            <w:tcW w:w="960" w:type="dxa"/>
            <w:vAlign w:val="bottom"/>
          </w:tcPr>
          <w:p>
            <w:pPr>
              <w:jc w:val="right"/>
              <w:spacing w:after="0"/>
              <w:rPr>
                <w:sz w:val="20"/>
                <w:szCs w:val="20"/>
                <w:color w:val="auto"/>
              </w:rPr>
            </w:pPr>
            <w:r>
              <w:rPr>
                <w:rFonts w:ascii="Arial" w:cs="Arial" w:eastAsia="Arial" w:hAnsi="Arial"/>
                <w:sz w:val="16"/>
                <w:szCs w:val="16"/>
                <w:color w:val="auto"/>
              </w:rPr>
              <w:t>23,970</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'at-the-market' offering, net of</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$34 offering expenses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140,819</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direct offering, net of $1,571 in</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common stock warrants, $78 offering</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expenses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2,095,039</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Proceeds from pre-funded common stock</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60"/>
              <w:spacing w:after="0"/>
              <w:rPr>
                <w:sz w:val="20"/>
                <w:szCs w:val="20"/>
                <w:color w:val="auto"/>
              </w:rPr>
            </w:pPr>
            <w:r>
              <w:rPr>
                <w:rFonts w:ascii="Arial" w:cs="Arial" w:eastAsia="Arial" w:hAnsi="Arial"/>
                <w:sz w:val="16"/>
                <w:szCs w:val="16"/>
                <w:color w:val="auto"/>
              </w:rPr>
              <w:t>warrant from direct offering, net of $1,875</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60"/>
              <w:spacing w:after="0"/>
              <w:rPr>
                <w:sz w:val="20"/>
                <w:szCs w:val="20"/>
                <w:color w:val="auto"/>
              </w:rPr>
            </w:pPr>
            <w:r>
              <w:rPr>
                <w:rFonts w:ascii="Arial" w:cs="Arial" w:eastAsia="Arial" w:hAnsi="Arial"/>
                <w:sz w:val="16"/>
                <w:szCs w:val="16"/>
                <w:color w:val="auto"/>
              </w:rPr>
              <w:t>in common stock warrants, $93 offering</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00" w:type="dxa"/>
            <w:vAlign w:val="bottom"/>
          </w:tcPr>
          <w:p>
            <w:pPr>
              <w:ind w:left="160"/>
              <w:spacing w:after="0"/>
              <w:rPr>
                <w:sz w:val="20"/>
                <w:szCs w:val="20"/>
                <w:color w:val="auto"/>
              </w:rPr>
            </w:pPr>
            <w:r>
              <w:rPr>
                <w:rFonts w:ascii="Arial" w:cs="Arial" w:eastAsia="Arial" w:hAnsi="Arial"/>
                <w:sz w:val="16"/>
                <w:szCs w:val="16"/>
                <w:color w:val="auto"/>
              </w:rPr>
              <w:t>expenses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warrant with direct</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offering</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Unrealized gains on short-term investments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Employee withholdings ESPP</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(14,302)</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(14,302)</w:t>
            </w:r>
          </w:p>
        </w:tc>
        <w:tc>
          <w:tcPr>
            <w:tcW w:w="0" w:type="dxa"/>
            <w:vAlign w:val="bottom"/>
          </w:tcPr>
          <w:p>
            <w:pPr>
              <w:spacing w:after="0"/>
              <w:rPr>
                <w:sz w:val="1"/>
                <w:szCs w:val="1"/>
                <w:color w:val="auto"/>
              </w:rPr>
            </w:pPr>
          </w:p>
        </w:tc>
      </w:tr>
      <w:tr>
        <w:trPr>
          <w:trHeight w:val="19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March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27,095,779</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522,340</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(453,725)</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68,626</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vMerge w:val="continue"/>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1,338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1,338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Offering expenses associated with direct offering</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Unrealized gains on short-term investments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Employee withholdings ESPP</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6"/>
                <w:szCs w:val="16"/>
                <w:color w:val="auto"/>
              </w:rPr>
              <w:t>Proceeds from exercise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22,167</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(14,916)</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(14,916)</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20"/>
                <w:szCs w:val="20"/>
                <w:color w:val="auto"/>
              </w:rPr>
            </w:pPr>
            <w:r>
              <w:rPr>
                <w:rFonts w:ascii="Arial" w:cs="Arial" w:eastAsia="Arial" w:hAnsi="Arial"/>
                <w:sz w:val="16"/>
                <w:szCs w:val="16"/>
                <w:color w:val="auto"/>
              </w:rPr>
              <w:t>Balance as of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27,117,946</w:t>
            </w:r>
          </w:p>
        </w:tc>
        <w:tc>
          <w:tcPr>
            <w:tcW w:w="2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523,855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(468,641)</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20" w:firstLine="511"/>
        <w:spacing w:after="0" w:line="273" w:lineRule="auto"/>
        <w:rPr>
          <w:sz w:val="20"/>
          <w:szCs w:val="20"/>
          <w:color w:val="auto"/>
        </w:rPr>
      </w:pPr>
      <w:r>
        <w:rPr>
          <w:rFonts w:ascii="Arial" w:cs="Arial" w:eastAsia="Arial" w:hAnsi="Arial"/>
          <w:sz w:val="15"/>
          <w:szCs w:val="15"/>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(the “2017 ATM Program”) equity offerings. Cowen is not required to sell any specific amount, but acts as our sales agent using commercially reasonable efforts consistent with its normal trading and sales practices. The Company pays Cowen up to 3% of the gross proceeds from any common stock sold through this sales agreement. In the first quarter of 2019, the Company sold 140,819 shares of common stock under the 2017 ATM Program for net proceeds of $0.8 million.</w:t>
      </w:r>
    </w:p>
    <w:p>
      <w:pPr>
        <w:spacing w:after="0" w:line="156" w:lineRule="exact"/>
        <w:rPr>
          <w:sz w:val="20"/>
          <w:szCs w:val="20"/>
          <w:color w:val="auto"/>
        </w:rPr>
      </w:pPr>
    </w:p>
    <w:p>
      <w:pPr>
        <w:ind w:right="20" w:firstLine="511"/>
        <w:spacing w:after="0" w:line="271" w:lineRule="auto"/>
        <w:rPr>
          <w:sz w:val="20"/>
          <w:szCs w:val="20"/>
          <w:color w:val="auto"/>
        </w:rPr>
      </w:pPr>
      <w:r>
        <w:rPr>
          <w:rFonts w:ascii="Arial" w:cs="Arial" w:eastAsia="Arial" w:hAnsi="Arial"/>
          <w:sz w:val="15"/>
          <w:szCs w:val="15"/>
          <w:color w:val="auto"/>
        </w:rPr>
        <w:t>In August 2019, the Company entered into a new sales agreement with Cowen under which the Company may issue and sell shares of its common stock having aggregate sales proceeds of up to $50.0 million from time to time through Cowen, acting as agent, in a series of one or more ATM equity offerings (the “2019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 (Registration No. 333-233564), which was declared effective on September 10, 2019. The Company’s common stock will be sold at prevailing market prices at the time of the sale; and as a result, prices may vary. In the first quarter of 2020, and through June 30, 2020, the Company sold no additional shares of common stock under the ATM program.</w:t>
      </w:r>
    </w:p>
    <w:p>
      <w:pPr>
        <w:spacing w:after="0" w:line="157" w:lineRule="exact"/>
        <w:rPr>
          <w:sz w:val="20"/>
          <w:szCs w:val="20"/>
          <w:color w:val="auto"/>
        </w:rPr>
      </w:pPr>
    </w:p>
    <w:p>
      <w:pPr>
        <w:ind w:right="40" w:firstLine="511"/>
        <w:spacing w:after="0" w:line="252" w:lineRule="auto"/>
        <w:rPr>
          <w:sz w:val="20"/>
          <w:szCs w:val="20"/>
          <w:color w:val="auto"/>
        </w:rPr>
      </w:pPr>
      <w:r>
        <w:rPr>
          <w:rFonts w:ascii="Arial" w:cs="Arial" w:eastAsia="Arial" w:hAnsi="Arial"/>
          <w:sz w:val="16"/>
          <w:szCs w:val="16"/>
          <w:color w:val="auto"/>
        </w:rPr>
        <w:t>In March 2019, the Company issued 2,095,039 shares of its common stock and pre-funded warrants to purchase 2,500,000 shares of common stock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7" w:name="page18"/>
    <w:bookmarkEnd w:id="17"/>
    <w:p>
      <w:pPr>
        <w:ind w:right="20"/>
        <w:spacing w:after="0" w:line="268" w:lineRule="auto"/>
        <w:rPr>
          <w:sz w:val="20"/>
          <w:szCs w:val="20"/>
          <w:color w:val="auto"/>
        </w:rPr>
      </w:pPr>
      <w:r>
        <w:rPr>
          <w:rFonts w:ascii="Arial" w:cs="Arial" w:eastAsia="Arial" w:hAnsi="Arial"/>
          <w:sz w:val="16"/>
          <w:szCs w:val="16"/>
          <w:color w:val="auto"/>
        </w:rPr>
        <w:t>$27.6 million, excluding any proceeds the Company may receive upon exercise of the pre-funded warrants and Series Warrants and offering costs of $0.2 million. No underwriter or placement agent participated in the offering.</w:t>
      </w:r>
    </w:p>
    <w:p>
      <w:pPr>
        <w:spacing w:after="0" w:line="157" w:lineRule="exact"/>
        <w:rPr>
          <w:sz w:val="20"/>
          <w:szCs w:val="20"/>
          <w:color w:val="auto"/>
        </w:rPr>
      </w:pPr>
    </w:p>
    <w:p>
      <w:pPr>
        <w:ind w:right="80" w:firstLine="511"/>
        <w:spacing w:after="0" w:line="254" w:lineRule="auto"/>
        <w:rPr>
          <w:sz w:val="20"/>
          <w:szCs w:val="20"/>
          <w:color w:val="auto"/>
        </w:rPr>
      </w:pPr>
      <w:r>
        <w:rPr>
          <w:rFonts w:ascii="Arial" w:cs="Arial" w:eastAsia="Arial" w:hAnsi="Arial"/>
          <w:sz w:val="16"/>
          <w:szCs w:val="16"/>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168"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If, prior to the expiration date of the Series Warrant, the Company sells additional capital stock or derivative securities convertible into or exercisable for capital stock, as defined,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158"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68"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Arial" w:cs="Arial" w:eastAsia="Arial" w:hAnsi="Arial"/>
          <w:sz w:val="17"/>
          <w:szCs w:val="17"/>
          <w:color w:val="auto"/>
        </w:rPr>
        <w:t>.</w:t>
      </w:r>
      <w:r>
        <w:rPr>
          <w:rFonts w:ascii="Arial" w:cs="Arial" w:eastAsia="Arial" w:hAnsi="Arial"/>
          <w:sz w:val="15"/>
          <w:szCs w:val="15"/>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59" w:lineRule="exact"/>
        <w:rPr>
          <w:sz w:val="20"/>
          <w:szCs w:val="20"/>
          <w:color w:val="auto"/>
        </w:rPr>
      </w:pPr>
    </w:p>
    <w:p>
      <w:pPr>
        <w:ind w:right="180" w:firstLine="511"/>
        <w:spacing w:after="0" w:line="294" w:lineRule="auto"/>
        <w:rPr>
          <w:sz w:val="20"/>
          <w:szCs w:val="20"/>
          <w:color w:val="auto"/>
        </w:rPr>
      </w:pPr>
      <w:r>
        <w:rPr>
          <w:rFonts w:ascii="Arial" w:cs="Arial" w:eastAsia="Arial" w:hAnsi="Arial"/>
          <w:sz w:val="14"/>
          <w:szCs w:val="14"/>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 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43"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color w:val="auto"/>
        </w:rPr>
        <w:t>In May 2020, the Company sold 6,388,889 shares of common stock. The offering price for the securities was $18.00 per share of common stock. The aggregate proceeds to the Company, net of offering cost, were $107.9 million.</w:t>
      </w:r>
    </w:p>
    <w:p>
      <w:pPr>
        <w:spacing w:after="0" w:line="157" w:lineRule="exact"/>
        <w:rPr>
          <w:sz w:val="20"/>
          <w:szCs w:val="20"/>
          <w:color w:val="auto"/>
        </w:rPr>
      </w:pPr>
    </w:p>
    <w:p>
      <w:pPr>
        <w:ind w:right="480" w:firstLine="511"/>
        <w:spacing w:after="0" w:line="302" w:lineRule="auto"/>
        <w:rPr>
          <w:sz w:val="20"/>
          <w:szCs w:val="20"/>
          <w:color w:val="auto"/>
        </w:rPr>
      </w:pPr>
      <w:r>
        <w:rPr>
          <w:rFonts w:ascii="Arial" w:cs="Arial" w:eastAsia="Arial" w:hAnsi="Arial"/>
          <w:sz w:val="15"/>
          <w:szCs w:val="15"/>
          <w:color w:val="auto"/>
        </w:rPr>
        <w:t>In May 2020, a holder of pre-funded warrants exchanged 280,335 warrants for 280,332 shares of common stock in a cashless exercise. Additionally, in May 2020, holders of Series 1 and Series 2 warrants, exercised 3,489,131 warrants and received 1,512,229 shares of common stock in a cashless exercise.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8" w:name="page19"/>
    <w:bookmarkEnd w:id="18"/>
    <w:p>
      <w:pPr>
        <w:ind w:right="120" w:firstLine="511"/>
        <w:spacing w:after="0" w:line="268" w:lineRule="auto"/>
        <w:rPr>
          <w:sz w:val="20"/>
          <w:szCs w:val="20"/>
          <w:color w:val="auto"/>
        </w:rPr>
      </w:pPr>
      <w:r>
        <w:rPr>
          <w:rFonts w:ascii="Arial" w:cs="Arial" w:eastAsia="Arial" w:hAnsi="Arial"/>
          <w:sz w:val="16"/>
          <w:szCs w:val="16"/>
          <w:color w:val="auto"/>
        </w:rPr>
        <w:t>Company has reserved for future issuance the following shares of common stock related to the potential warrant exercise, exercise of stock options, and the employee stock purchase plan:</w:t>
      </w:r>
    </w:p>
    <w:p>
      <w:pPr>
        <w:spacing w:after="0" w:line="94"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7720" w:type="dxa"/>
            <w:vAlign w:val="bottom"/>
          </w:tcPr>
          <w:p>
            <w:pPr>
              <w:spacing w:after="0"/>
              <w:rPr>
                <w:sz w:val="17"/>
                <w:szCs w:val="17"/>
                <w:color w:val="auto"/>
              </w:rPr>
            </w:pPr>
          </w:p>
        </w:tc>
        <w:tc>
          <w:tcPr>
            <w:tcW w:w="2400" w:type="dxa"/>
            <w:vAlign w:val="bottom"/>
            <w:gridSpan w:val="2"/>
          </w:tcPr>
          <w:p>
            <w:pPr>
              <w:ind w:left="1380"/>
              <w:spacing w:after="0"/>
              <w:rPr>
                <w:sz w:val="20"/>
                <w:szCs w:val="20"/>
                <w:color w:val="auto"/>
              </w:rPr>
            </w:pPr>
            <w:r>
              <w:rPr>
                <w:rFonts w:ascii="Arial" w:cs="Arial" w:eastAsia="Arial" w:hAnsi="Arial"/>
                <w:sz w:val="16"/>
                <w:szCs w:val="16"/>
                <w:b w:val="1"/>
                <w:bCs w:val="1"/>
                <w:color w:val="auto"/>
                <w:w w:val="96"/>
              </w:rPr>
              <w:t>June 30, 2020</w:t>
            </w:r>
          </w:p>
        </w:tc>
      </w:tr>
      <w:tr>
        <w:trPr>
          <w:trHeight w:val="194"/>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Common stock issuable under pre-funded warrants</w:t>
            </w:r>
          </w:p>
        </w:tc>
        <w:tc>
          <w:tcPr>
            <w:tcW w:w="2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5,557,952</w:t>
            </w:r>
          </w:p>
        </w:tc>
        <w:tc>
          <w:tcPr>
            <w:tcW w:w="100" w:type="dxa"/>
            <w:vAlign w:val="bottom"/>
            <w:tcBorders>
              <w:top w:val="single" w:sz="8" w:color="CFF0FC"/>
            </w:tcBorders>
            <w:shd w:val="clear" w:color="auto" w:fill="CFF0FC"/>
          </w:tcPr>
          <w:p>
            <w:pPr>
              <w:spacing w:after="0"/>
              <w:rPr>
                <w:sz w:val="16"/>
                <w:szCs w:val="16"/>
                <w:color w:val="auto"/>
              </w:rPr>
            </w:pPr>
          </w:p>
        </w:tc>
      </w:tr>
      <w:tr>
        <w:trPr>
          <w:trHeight w:val="201"/>
        </w:trPr>
        <w:tc>
          <w:tcPr>
            <w:tcW w:w="7720" w:type="dxa"/>
            <w:vAlign w:val="bottom"/>
          </w:tcPr>
          <w:p>
            <w:pPr>
              <w:spacing w:after="0"/>
              <w:rPr>
                <w:sz w:val="20"/>
                <w:szCs w:val="20"/>
                <w:color w:val="auto"/>
              </w:rPr>
            </w:pPr>
            <w:r>
              <w:rPr>
                <w:rFonts w:ascii="Arial" w:cs="Arial" w:eastAsia="Arial" w:hAnsi="Arial"/>
                <w:sz w:val="16"/>
                <w:szCs w:val="16"/>
                <w:color w:val="auto"/>
              </w:rPr>
              <w:t>Series 1 and 2 warrants</w:t>
            </w:r>
          </w:p>
        </w:tc>
        <w:tc>
          <w:tcPr>
            <w:tcW w:w="2300" w:type="dxa"/>
            <w:vAlign w:val="bottom"/>
          </w:tcPr>
          <w:p>
            <w:pPr>
              <w:jc w:val="right"/>
              <w:spacing w:after="0"/>
              <w:rPr>
                <w:sz w:val="20"/>
                <w:szCs w:val="20"/>
                <w:color w:val="auto"/>
              </w:rPr>
            </w:pPr>
            <w:r>
              <w:rPr>
                <w:rFonts w:ascii="Arial" w:cs="Arial" w:eastAsia="Arial" w:hAnsi="Arial"/>
                <w:sz w:val="16"/>
                <w:szCs w:val="16"/>
                <w:color w:val="auto"/>
              </w:rPr>
              <w:t>1,105,908</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714,953</w:t>
            </w:r>
          </w:p>
        </w:tc>
        <w:tc>
          <w:tcPr>
            <w:tcW w:w="100" w:type="dxa"/>
            <w:vAlign w:val="bottom"/>
            <w:shd w:val="clear" w:color="auto" w:fill="CFF0FC"/>
          </w:tcPr>
          <w:p>
            <w:pPr>
              <w:spacing w:after="0"/>
              <w:rPr>
                <w:sz w:val="17"/>
                <w:szCs w:val="17"/>
                <w:color w:val="auto"/>
              </w:rPr>
            </w:pPr>
          </w:p>
        </w:tc>
      </w:tr>
      <w:tr>
        <w:trPr>
          <w:trHeight w:val="201"/>
        </w:trPr>
        <w:tc>
          <w:tcPr>
            <w:tcW w:w="772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2300" w:type="dxa"/>
            <w:vAlign w:val="bottom"/>
          </w:tcPr>
          <w:p>
            <w:pPr>
              <w:jc w:val="right"/>
              <w:spacing w:after="0"/>
              <w:rPr>
                <w:sz w:val="20"/>
                <w:szCs w:val="20"/>
                <w:color w:val="auto"/>
              </w:rPr>
            </w:pPr>
            <w:r>
              <w:rPr>
                <w:rFonts w:ascii="Arial" w:cs="Arial" w:eastAsia="Arial" w:hAnsi="Arial"/>
                <w:sz w:val="16"/>
                <w:szCs w:val="16"/>
                <w:color w:val="auto"/>
              </w:rPr>
              <w:t>1,094,393</w:t>
            </w:r>
          </w:p>
        </w:tc>
        <w:tc>
          <w:tcPr>
            <w:tcW w:w="100" w:type="dxa"/>
            <w:vAlign w:val="bottom"/>
          </w:tcPr>
          <w:p>
            <w:pPr>
              <w:spacing w:after="0"/>
              <w:rPr>
                <w:sz w:val="17"/>
                <w:szCs w:val="17"/>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Related-Party Transactions</w:t>
      </w:r>
    </w:p>
    <w:p>
      <w:pPr>
        <w:spacing w:after="0" w:line="104"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The Company’s chief executive officer and member of the board of directors is also an Executive Partner at MPM Asset Management, LLC, which holds an investment in the Company’s common stock.</w:t>
      </w: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00"/>
          </w:cols>
          <w:pgMar w:left="320" w:top="506" w:right="479" w:bottom="1440" w:gutter="0" w:footer="0" w:header="0"/>
        </w:sectPr>
      </w:pPr>
    </w:p>
    <w:bookmarkStart w:id="19" w:name="page20"/>
    <w:bookmarkEnd w:id="19"/>
    <w:p>
      <w:pPr>
        <w:spacing w:after="0"/>
        <w:tabs>
          <w:tab w:leader="none" w:pos="10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4" w:lineRule="exact"/>
        <w:rPr>
          <w:sz w:val="20"/>
          <w:szCs w:val="20"/>
          <w:color w:val="auto"/>
        </w:rPr>
      </w:pPr>
    </w:p>
    <w:p>
      <w:pPr>
        <w:jc w:val="both"/>
        <w:ind w:right="100" w:firstLine="511"/>
        <w:spacing w:after="0" w:line="257" w:lineRule="auto"/>
        <w:rPr>
          <w:sz w:val="20"/>
          <w:szCs w:val="20"/>
          <w:color w:val="auto"/>
        </w:rPr>
      </w:pPr>
      <w:r>
        <w:rPr>
          <w:rFonts w:ascii="Arial" w:cs="Arial" w:eastAsia="Arial" w:hAnsi="Arial"/>
          <w:sz w:val="16"/>
          <w:szCs w:val="16"/>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5, 2020.</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104" w:lineRule="exact"/>
        <w:rPr>
          <w:sz w:val="20"/>
          <w:szCs w:val="20"/>
          <w:color w:val="auto"/>
        </w:rPr>
      </w:pPr>
    </w:p>
    <w:p>
      <w:pPr>
        <w:ind w:firstLine="511"/>
        <w:spacing w:after="0" w:line="271" w:lineRule="auto"/>
        <w:rPr>
          <w:sz w:val="20"/>
          <w:szCs w:val="20"/>
          <w:color w:val="auto"/>
        </w:rPr>
      </w:pPr>
      <w:r>
        <w:rPr>
          <w:rFonts w:ascii="Arial" w:cs="Arial" w:eastAsia="Arial" w:hAnsi="Arial"/>
          <w:sz w:val="15"/>
          <w:szCs w:val="15"/>
          <w:color w:val="auto"/>
        </w:rPr>
        <w:t>We are a clinical 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cancer therapies to expand our pipeline.</w:t>
      </w:r>
    </w:p>
    <w:p>
      <w:pPr>
        <w:spacing w:after="0" w:line="63" w:lineRule="exact"/>
        <w:rPr>
          <w:sz w:val="20"/>
          <w:szCs w:val="20"/>
          <w:color w:val="auto"/>
        </w:rPr>
      </w:pPr>
    </w:p>
    <w:p>
      <w:pPr>
        <w:ind w:firstLine="511"/>
        <w:spacing w:after="0" w:line="297" w:lineRule="auto"/>
        <w:rPr>
          <w:sz w:val="20"/>
          <w:szCs w:val="20"/>
          <w:color w:val="auto"/>
        </w:rPr>
      </w:pPr>
      <w:r>
        <w:rPr>
          <w:rFonts w:ascii="Arial" w:cs="Arial" w:eastAsia="Arial" w:hAnsi="Arial"/>
          <w:sz w:val="14"/>
          <w:szCs w:val="14"/>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six months ended June 30, 2020 and 2019, we reported a net loss of $32.3 million and $29.2 million, respectively. We reported a net loss attributable to shareholders as of June 30, 2020, of $36.2 million. As of June 30, 2020, we had an accumulated deficit of $527.8 million, which included non-cash charges for stock-based compensation, preferred stock accretion and extinguishment charges. As of June 30, 2020, we had cash, cash equivalents and short-term investments of $186.8 million.</w:t>
      </w:r>
    </w:p>
    <w:p>
      <w:pPr>
        <w:spacing w:after="0" w:line="46" w:lineRule="exact"/>
        <w:rPr>
          <w:sz w:val="20"/>
          <w:szCs w:val="20"/>
          <w:color w:val="auto"/>
        </w:rPr>
      </w:pPr>
    </w:p>
    <w:p>
      <w:pPr>
        <w:ind w:firstLine="511"/>
        <w:spacing w:after="0" w:line="257" w:lineRule="auto"/>
        <w:rPr>
          <w:sz w:val="20"/>
          <w:szCs w:val="20"/>
          <w:color w:val="auto"/>
        </w:rPr>
      </w:pPr>
      <w:r>
        <w:rPr>
          <w:rFonts w:ascii="Arial" w:cs="Arial" w:eastAsia="Arial" w:hAnsi="Arial"/>
          <w:sz w:val="16"/>
          <w:szCs w:val="16"/>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has not impacted our financial guidance or changed our timelines for clinical data in 2020, to date.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Developments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SNDX-5613</w:t>
      </w:r>
    </w:p>
    <w:p>
      <w:pPr>
        <w:spacing w:after="0" w:line="100" w:lineRule="exact"/>
        <w:rPr>
          <w:sz w:val="20"/>
          <w:szCs w:val="20"/>
          <w:color w:val="auto"/>
        </w:rPr>
      </w:pPr>
    </w:p>
    <w:p>
      <w:pPr>
        <w:ind w:right="240" w:firstLine="511"/>
        <w:spacing w:after="0" w:line="252" w:lineRule="auto"/>
        <w:rPr>
          <w:sz w:val="20"/>
          <w:szCs w:val="20"/>
          <w:color w:val="auto"/>
        </w:rPr>
      </w:pPr>
      <w:r>
        <w:rPr>
          <w:rFonts w:ascii="Arial" w:cs="Arial" w:eastAsia="Arial" w:hAnsi="Arial"/>
          <w:sz w:val="16"/>
          <w:szCs w:val="16"/>
          <w:color w:val="auto"/>
        </w:rPr>
        <w:t>In August 2020, we announced that the U.S. Food and Drug Administration (FDA) has agreed to several enhancements to the Phase 1 portion of the AUGMENT-101 protocol. AUGMENT-101 is our Phase 1/2 open-label trial designed to evaluate the safety, tolerability, pharmacokinetics and efficacy of orally administered SNDX-5613, a potent, highly selective oral menin inhibitor, in patients with acute leukemias. As recently reported, the Phase 1 dose escalation portion of AUGMENT-101 was separated into two cohorts based on concomitant treatment with a strong CYP3A4 inhibitor. Arm A will enroll patients not receiving a strong CYP3A4 inhibitor, while Arm B will enroll patients receiving a strong CYP3A4 inhibitor.</w:t>
      </w:r>
    </w:p>
    <w:p>
      <w:pPr>
        <w:spacing w:after="0" w:line="76" w:lineRule="exact"/>
        <w:rPr>
          <w:sz w:val="20"/>
          <w:szCs w:val="20"/>
          <w:color w:val="auto"/>
        </w:rPr>
      </w:pPr>
    </w:p>
    <w:p>
      <w:pPr>
        <w:ind w:firstLine="511"/>
        <w:spacing w:after="0" w:line="273" w:lineRule="auto"/>
        <w:rPr>
          <w:sz w:val="20"/>
          <w:szCs w:val="20"/>
          <w:color w:val="auto"/>
        </w:rPr>
      </w:pPr>
      <w:r>
        <w:rPr>
          <w:rFonts w:ascii="Arial" w:cs="Arial" w:eastAsia="Arial" w:hAnsi="Arial"/>
          <w:sz w:val="15"/>
          <w:szCs w:val="15"/>
          <w:color w:val="auto"/>
        </w:rPr>
        <w:t>Supported by initial clinical data, as well as new insights from emerging data in the pediatric compassionate use setting, we will enact the following enhancements to the Phase 1 portion of the trial: focusing enrollment exclusively on patients with mixed lineage leukemia rearranged (MLL-r) and NPM1 mutant acute leukemias; backfilling any dose escalation cohort up to a total of 12 patients in either Arm A or Arm B if efficacy has been observed at that dose level; and expansion of enrollment of pediatric patients over one month old. We continue to anticipate identifying a recommended Phase 2 dose by the end of 2020, with full data from the amended Phase 1 portion expected in early 2021. SNDX-5613 was recently granted Orphan Drug Designation for the treatment of adult and pediatric AML by the FDA.</w:t>
      </w:r>
    </w:p>
    <w:p>
      <w:pPr>
        <w:spacing w:after="0" w:line="61" w:lineRule="exact"/>
        <w:rPr>
          <w:sz w:val="20"/>
          <w:szCs w:val="20"/>
          <w:color w:val="auto"/>
        </w:rPr>
      </w:pPr>
    </w:p>
    <w:p>
      <w:pPr>
        <w:ind w:right="80" w:firstLine="511"/>
        <w:spacing w:after="0" w:line="283" w:lineRule="auto"/>
        <w:rPr>
          <w:sz w:val="20"/>
          <w:szCs w:val="20"/>
          <w:color w:val="auto"/>
        </w:rPr>
      </w:pPr>
      <w:r>
        <w:rPr>
          <w:rFonts w:ascii="Arial" w:cs="Arial" w:eastAsia="Arial" w:hAnsi="Arial"/>
          <w:sz w:val="15"/>
          <w:szCs w:val="15"/>
          <w:color w:val="auto"/>
        </w:rPr>
        <w:t>We recently participated in the FDA’s June 2020 meeting of the Pediatric Oncology Subcommittee of the Oncologic Drugs Advisory Committee (pedsODAC) to discuss the clinical development plan for SNDX-5613 in pediatric patients. A replay of the pedsODAC meeting, which was intended to improve and encourage the development of oncology and hematology drugs for pediatric use, as well as a copy of our briefing package, can be found on the FDA’s website.</w:t>
      </w:r>
    </w:p>
    <w:p>
      <w:pPr>
        <w:spacing w:after="0" w:line="53" w:lineRule="exact"/>
        <w:rPr>
          <w:sz w:val="20"/>
          <w:szCs w:val="20"/>
          <w:color w:val="auto"/>
        </w:rPr>
      </w:pPr>
    </w:p>
    <w:p>
      <w:pPr>
        <w:ind w:right="100" w:firstLine="511"/>
        <w:spacing w:after="0" w:line="254" w:lineRule="auto"/>
        <w:rPr>
          <w:sz w:val="20"/>
          <w:szCs w:val="20"/>
          <w:color w:val="auto"/>
        </w:rPr>
      </w:pPr>
      <w:r>
        <w:rPr>
          <w:rFonts w:ascii="Arial" w:cs="Arial" w:eastAsia="Arial" w:hAnsi="Arial"/>
          <w:sz w:val="16"/>
          <w:szCs w:val="16"/>
          <w:color w:val="auto"/>
        </w:rPr>
        <w:t>At the 2020 American Association for Cancer Research (AACR) Virtual Annual Meeting I in April 2020, we announced initial clinical data from the AUGMENT-101 trial. The data presented serve as the first clinical evidence that inhibition of the menin-MLL1 interaction can induce response in patients with MLL-r acute leukemias. The presentation also highlighted preclinical findings, including data published in Cancer Cell and Science magazine, supporting the potential of single-agent menin-MLL inhibition to serve as an effective intervention for both MLL-r acute leukemias and NPM1 mutant AML.</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w:t>
      </w:r>
    </w:p>
    <w:p>
      <w:pPr>
        <w:spacing w:after="0" w:line="100" w:lineRule="exact"/>
        <w:rPr>
          <w:sz w:val="20"/>
          <w:szCs w:val="20"/>
          <w:color w:val="auto"/>
        </w:rPr>
      </w:pPr>
    </w:p>
    <w:p>
      <w:pPr>
        <w:ind w:right="460" w:firstLine="511"/>
        <w:spacing w:after="0" w:line="268" w:lineRule="auto"/>
        <w:rPr>
          <w:sz w:val="20"/>
          <w:szCs w:val="20"/>
          <w:color w:val="auto"/>
        </w:rPr>
      </w:pPr>
      <w:r>
        <w:rPr>
          <w:rFonts w:ascii="Arial" w:cs="Arial" w:eastAsia="Arial" w:hAnsi="Arial"/>
          <w:sz w:val="16"/>
          <w:szCs w:val="16"/>
          <w:color w:val="auto"/>
        </w:rPr>
        <w:t>Enrollment continues across our Phase 1/2 trial evaluating axatilimab, our anti-CSF-1R monoclonal antibody, for the treatment of chronic graft versus host disease (cGVHD). The Phase 1 portion continues to explore alternate dose and schedules, while the Phase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auto"/>
        </w:rPr>
        <w:t>2 expansion is evaluating the benefit of treatment at 1 mg/kg every two weeks. We expect to present additional results from the Phase 1 trial in the fourth quarter of 2020.</w:t>
      </w:r>
    </w:p>
    <w:p>
      <w:pPr>
        <w:spacing w:after="0" w:line="112"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Data from the Phase 1 trials exploring axatilimab, both as a monotherapy and in combination with IMFINZI® (durvalumab) in patients with locally-advanced or metastatic solid tumors, were summarized in two oral presentations at the AACR Virtual Annual Meeting I. The data indicate that axatilimab is tolerated well in solid tumor patients and provide evidence of its ability to deplete circulating pro-inflammatory monocytes. A recommended Phase 2 dose of axatilimab for the treatment of patients with solid tumors was determined as monotherapy and in combination with IMFINZI® (durvalumab).</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Entinostat</w:t>
      </w:r>
    </w:p>
    <w:p>
      <w:pPr>
        <w:spacing w:after="0" w:line="100" w:lineRule="exact"/>
        <w:rPr>
          <w:sz w:val="20"/>
          <w:szCs w:val="20"/>
          <w:color w:val="auto"/>
        </w:rPr>
      </w:pPr>
    </w:p>
    <w:p>
      <w:pPr>
        <w:ind w:right="220" w:firstLine="511"/>
        <w:spacing w:after="0" w:line="302" w:lineRule="auto"/>
        <w:rPr>
          <w:sz w:val="20"/>
          <w:szCs w:val="20"/>
          <w:color w:val="auto"/>
        </w:rPr>
      </w:pPr>
      <w:r>
        <w:rPr>
          <w:rFonts w:ascii="Arial" w:cs="Arial" w:eastAsia="Arial" w:hAnsi="Arial"/>
          <w:sz w:val="14"/>
          <w:szCs w:val="14"/>
          <w:color w:val="auto"/>
        </w:rPr>
        <w:t>In May 2020, we reported final results of E2112, the Phase 3 clinical trial conducted by ECOG-ACRIN Cancer Research Group and sponsored by the National Cancer Institute, that evaluated the investigational compound entinostat, Our class I HDAC inhibitor, plus exemestane in patients with advanced hormone receptor positive, human epidermal growth factor receptor 2 negative (HR+, HER2-) breast cancer. The trial did not achieve the primary endpoint of demonstrating a statistically significant overall survival benefit over hormone therapy alone. We have decided to deprioritize the entinostat program to focus resources on advancing the remainder of our pipeline.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Business Update</w:t>
      </w:r>
    </w:p>
    <w:p>
      <w:pPr>
        <w:spacing w:after="0" w:line="195" w:lineRule="exact"/>
        <w:rPr>
          <w:sz w:val="20"/>
          <w:szCs w:val="20"/>
          <w:color w:val="auto"/>
        </w:rPr>
      </w:pPr>
    </w:p>
    <w:p>
      <w:pPr>
        <w:ind w:right="240" w:firstLine="511"/>
        <w:spacing w:after="0" w:line="271" w:lineRule="auto"/>
        <w:rPr>
          <w:sz w:val="20"/>
          <w:szCs w:val="20"/>
          <w:color w:val="auto"/>
        </w:rPr>
      </w:pPr>
      <w:r>
        <w:rPr>
          <w:rFonts w:ascii="Arial" w:cs="Arial" w:eastAsia="Arial" w:hAnsi="Arial"/>
          <w:sz w:val="15"/>
          <w:szCs w:val="15"/>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Supply Chain</w:t>
      </w:r>
    </w:p>
    <w:p>
      <w:pPr>
        <w:spacing w:after="0" w:line="100" w:lineRule="exact"/>
        <w:rPr>
          <w:sz w:val="20"/>
          <w:szCs w:val="20"/>
          <w:color w:val="auto"/>
        </w:rPr>
      </w:pPr>
    </w:p>
    <w:p>
      <w:pPr>
        <w:ind w:right="60" w:firstLine="511"/>
        <w:spacing w:after="0" w:line="252" w:lineRule="auto"/>
        <w:rPr>
          <w:sz w:val="20"/>
          <w:szCs w:val="20"/>
          <w:color w:val="auto"/>
        </w:rPr>
      </w:pPr>
      <w:r>
        <w:rPr>
          <w:rFonts w:ascii="Arial" w:cs="Arial" w:eastAsia="Arial" w:hAnsi="Arial"/>
          <w:sz w:val="16"/>
          <w:szCs w:val="16"/>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in 2020. If the COVID-19 pandemic continues to persist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and to continue our clinical trial operations.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Clinical Development</w:t>
      </w:r>
    </w:p>
    <w:p>
      <w:pPr>
        <w:spacing w:after="0" w:line="100" w:lineRule="exact"/>
        <w:rPr>
          <w:sz w:val="20"/>
          <w:szCs w:val="20"/>
          <w:color w:val="auto"/>
        </w:rPr>
      </w:pPr>
    </w:p>
    <w:p>
      <w:pPr>
        <w:ind w:right="40" w:firstLine="511"/>
        <w:spacing w:after="0" w:line="269" w:lineRule="auto"/>
        <w:rPr>
          <w:sz w:val="20"/>
          <w:szCs w:val="20"/>
          <w:color w:val="auto"/>
        </w:rPr>
      </w:pPr>
      <w:r>
        <w:rPr>
          <w:rFonts w:ascii="Arial" w:cs="Arial" w:eastAsia="Arial" w:hAnsi="Arial"/>
          <w:sz w:val="15"/>
          <w:szCs w:val="15"/>
          <w:color w:val="auto"/>
        </w:rPr>
        <w:t>With respect to clinical development, we have taken measures to implement remote and virtual approaches, including remote patient monitoring where possible, to maintain patient safety and trial continuity and to preserve study integrity. We have not yet, but may experience a disruption or delay in our ability to initiate trial sites and enroll and assess patients. As the COVID-19 pandemic continues, we anticipate a potential impact on our ability to maintain patient enrollment in the AUGMENT-101 and cGVHD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Corporate Development</w:t>
      </w:r>
    </w:p>
    <w:p>
      <w:pPr>
        <w:spacing w:after="0" w:line="100" w:lineRule="exact"/>
        <w:rPr>
          <w:sz w:val="20"/>
          <w:szCs w:val="20"/>
          <w:color w:val="auto"/>
        </w:rPr>
      </w:pPr>
    </w:p>
    <w:p>
      <w:pPr>
        <w:ind w:right="100" w:firstLine="511"/>
        <w:spacing w:after="0" w:line="294" w:lineRule="auto"/>
        <w:rPr>
          <w:sz w:val="20"/>
          <w:szCs w:val="20"/>
          <w:color w:val="auto"/>
        </w:rPr>
      </w:pPr>
      <w:r>
        <w:rPr>
          <w:rFonts w:ascii="Arial" w:cs="Arial" w:eastAsia="Arial" w:hAnsi="Arial"/>
          <w:sz w:val="14"/>
          <w:szCs w:val="14"/>
          <w:color w:val="auto"/>
        </w:rPr>
        <w:t>With our strong cash balance, we anticipate having sufficient liquidity to make planned investments in our business this year in support of our long-term growth strategy. We believe that our cash, cash equivalents and marketable securities as of August 6, 2020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6"/>
          <w:szCs w:val="16"/>
          <w:b w:val="1"/>
          <w:bCs w:val="1"/>
          <w:i w:val="1"/>
          <w:iCs w:val="1"/>
          <w:color w:val="auto"/>
        </w:rPr>
        <w:t>Other Financial and Corporate Impacts</w:t>
      </w:r>
    </w:p>
    <w:p>
      <w:pPr>
        <w:spacing w:after="0" w:line="100"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While we continue evaluation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0" w:lineRule="exact"/>
        <w:rPr>
          <w:sz w:val="20"/>
          <w:szCs w:val="20"/>
          <w:color w:val="auto"/>
        </w:rPr>
      </w:pPr>
    </w:p>
    <w:p>
      <w:pPr>
        <w:ind w:right="20" w:firstLine="511"/>
        <w:spacing w:after="0" w:line="286" w:lineRule="auto"/>
        <w:rPr>
          <w:sz w:val="20"/>
          <w:szCs w:val="20"/>
          <w:color w:val="auto"/>
        </w:rPr>
      </w:pPr>
      <w:r>
        <w:rPr>
          <w:rFonts w:ascii="Arial" w:cs="Arial" w:eastAsia="Arial" w:hAnsi="Arial"/>
          <w:sz w:val="14"/>
          <w:szCs w:val="14"/>
          <w:color w:val="auto"/>
        </w:rPr>
        <w:t>To date, we have not generated any product revenues. Our ability to generate revenue and become profitable depends upon our ability to obtain marketing approval of and successfully commercialize our product candidates. Our revenues for the three and six months ended June 30, 2020 and 2019 have been solely derived from our license, development and commercialization agreement with Kyowa Kirin Co., Ltd., or KKC, under which we granted KKC an exclusive license to develop and commercialize entinostat in Japan and Korea, or the KKC license agreement. In 2015, we received a $25.0 million upfront payment from KHK, inclusive of an equity investment. We allocated</w:t>
      </w:r>
    </w:p>
    <w:p>
      <w:pPr>
        <w:spacing w:after="0" w:line="1"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auto"/>
        </w:rPr>
        <w:t>$17.3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50" w:lineRule="exact"/>
        <w:rPr>
          <w:sz w:val="20"/>
          <w:szCs w:val="20"/>
          <w:color w:val="auto"/>
        </w:rPr>
      </w:pPr>
    </w:p>
    <w:p>
      <w:pPr>
        <w:ind w:right="100" w:firstLine="511"/>
        <w:spacing w:after="0" w:line="257" w:lineRule="auto"/>
        <w:rPr>
          <w:sz w:val="20"/>
          <w:szCs w:val="20"/>
          <w:color w:val="auto"/>
        </w:rPr>
      </w:pPr>
      <w:r>
        <w:rPr>
          <w:rFonts w:ascii="Arial" w:cs="Arial" w:eastAsia="Arial" w:hAnsi="Arial"/>
          <w:sz w:val="16"/>
          <w:szCs w:val="16"/>
          <w:color w:val="auto"/>
        </w:rPr>
        <w:t>In October 2017, KKC enrolled the first Japanese patient into a local pivotal study of entinostat for the treatment of hormone receptor positive, human epidermal growth factor 2 negative breast cancer. In accordance with the terms of the KKC License Agreement, in December 2017 we received a $5.0 million milestone payment from KKC for achievement of the development milestone.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right="280" w:firstLine="511"/>
        <w:spacing w:after="0" w:line="268" w:lineRule="auto"/>
        <w:rPr>
          <w:sz w:val="20"/>
          <w:szCs w:val="20"/>
          <w:color w:val="auto"/>
        </w:rPr>
      </w:pPr>
      <w:r>
        <w:rPr>
          <w:rFonts w:ascii="Arial" w:cs="Arial" w:eastAsia="Arial" w:hAnsi="Arial"/>
          <w:sz w:val="16"/>
          <w:szCs w:val="16"/>
          <w:color w:val="auto"/>
        </w:rPr>
        <w:t>Since our inception, we have primarily focused on our clinical development programs. Research and development expenses consist primarily of costs incurred for the development of our product candidates and include:</w:t>
      </w:r>
    </w:p>
    <w:p>
      <w:pPr>
        <w:spacing w:after="0" w:line="63" w:lineRule="exact"/>
        <w:rPr>
          <w:sz w:val="20"/>
          <w:szCs w:val="20"/>
          <w:color w:val="auto"/>
        </w:rPr>
      </w:pPr>
    </w:p>
    <w:p>
      <w:pPr>
        <w:ind w:left="1020" w:right="320" w:hanging="516"/>
        <w:spacing w:after="0" w:line="268"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6"/>
          <w:szCs w:val="16"/>
          <w:color w:val="auto"/>
        </w:rPr>
      </w:pPr>
    </w:p>
    <w:p>
      <w:pPr>
        <w:ind w:left="1020" w:right="180" w:hanging="516"/>
        <w:spacing w:after="0" w:line="268"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manufacturing process-development, clinical supplies and technology-transfer expenses;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license fees and milestone payments under our license agreements;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consulting fees paid to third parties;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allocated facilities and overhead expenses;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associated with regulatory operations and regulatory compliance requirements.</w:t>
      </w:r>
    </w:p>
    <w:p>
      <w:pPr>
        <w:spacing w:after="0" w:line="195" w:lineRule="exact"/>
        <w:rPr>
          <w:sz w:val="20"/>
          <w:szCs w:val="20"/>
          <w:color w:val="auto"/>
        </w:rPr>
      </w:pPr>
    </w:p>
    <w:p>
      <w:pPr>
        <w:jc w:val="both"/>
        <w:ind w:right="80" w:firstLine="511"/>
        <w:spacing w:after="0" w:line="257"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40" w:firstLine="511"/>
        <w:spacing w:after="0" w:line="273" w:lineRule="auto"/>
        <w:rPr>
          <w:sz w:val="20"/>
          <w:szCs w:val="20"/>
          <w:color w:val="auto"/>
        </w:rPr>
      </w:pPr>
      <w:r>
        <w:rPr>
          <w:rFonts w:ascii="Arial" w:cs="Arial" w:eastAsia="Arial" w:hAnsi="Arial"/>
          <w:sz w:val="15"/>
          <w:szCs w:val="15"/>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June 30, 2020, we have incurred $275.2 million in research and development expenses.</w:t>
      </w:r>
    </w:p>
    <w:p>
      <w:pPr>
        <w:spacing w:after="0" w:line="61" w:lineRule="exact"/>
        <w:rPr>
          <w:sz w:val="20"/>
          <w:szCs w:val="20"/>
          <w:color w:val="auto"/>
        </w:rPr>
      </w:pPr>
    </w:p>
    <w:p>
      <w:pPr>
        <w:jc w:val="both"/>
        <w:ind w:firstLine="511"/>
        <w:spacing w:after="0" w:line="257" w:lineRule="auto"/>
        <w:rPr>
          <w:sz w:val="20"/>
          <w:szCs w:val="20"/>
          <w:color w:val="auto"/>
        </w:rPr>
      </w:pPr>
      <w:r>
        <w:rPr>
          <w:rFonts w:ascii="Arial" w:cs="Arial" w:eastAsia="Arial" w:hAnsi="Arial"/>
          <w:sz w:val="16"/>
          <w:szCs w:val="16"/>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2" w:name="page23"/>
    <w:bookmarkEnd w:id="22"/>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 patient costs;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patients that participate;</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sites;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countries in which the studies and trials are conducted;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length of time required to enroll eligible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potential additional safety monitoring or other studies requested by regulatory agencies;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duration of patient monitoring;</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efficacy and safety profile of the product candidates;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timing and receipt of any regulatory approvals.</w:t>
      </w:r>
    </w:p>
    <w:p>
      <w:pPr>
        <w:spacing w:after="0" w:line="195" w:lineRule="exact"/>
        <w:rPr>
          <w:sz w:val="20"/>
          <w:szCs w:val="20"/>
          <w:color w:val="auto"/>
        </w:rPr>
      </w:pPr>
    </w:p>
    <w:p>
      <w:pPr>
        <w:ind w:right="20" w:firstLine="511"/>
        <w:spacing w:after="0" w:line="302" w:lineRule="auto"/>
        <w:rPr>
          <w:sz w:val="20"/>
          <w:szCs w:val="20"/>
          <w:color w:val="auto"/>
        </w:rPr>
      </w:pPr>
      <w:r>
        <w:rPr>
          <w:rFonts w:ascii="Arial" w:cs="Arial" w:eastAsia="Arial" w:hAnsi="Arial"/>
          <w:sz w:val="14"/>
          <w:szCs w:val="14"/>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0" w:lineRule="exact"/>
        <w:rPr>
          <w:sz w:val="20"/>
          <w:szCs w:val="20"/>
          <w:color w:val="auto"/>
        </w:rPr>
      </w:pPr>
    </w:p>
    <w:p>
      <w:pPr>
        <w:ind w:firstLine="511"/>
        <w:spacing w:after="0" w:line="271" w:lineRule="auto"/>
        <w:rPr>
          <w:sz w:val="20"/>
          <w:szCs w:val="20"/>
          <w:color w:val="auto"/>
        </w:rPr>
      </w:pPr>
      <w:r>
        <w:rPr>
          <w:rFonts w:ascii="Arial" w:cs="Arial" w:eastAsia="Arial" w:hAnsi="Arial"/>
          <w:sz w:val="15"/>
          <w:szCs w:val="15"/>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consists primarily of interest expense on our term loan, operational and capital leases.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consists of interest income earned on our cash, cash equivalents and short-term investment balances.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Use of Estimates</w:t>
      </w:r>
    </w:p>
    <w:p>
      <w:pPr>
        <w:spacing w:after="0" w:line="100" w:lineRule="exact"/>
        <w:rPr>
          <w:sz w:val="20"/>
          <w:szCs w:val="20"/>
          <w:color w:val="auto"/>
        </w:rPr>
      </w:pPr>
    </w:p>
    <w:p>
      <w:pPr>
        <w:ind w:right="20" w:firstLine="511"/>
        <w:spacing w:after="0" w:line="271" w:lineRule="auto"/>
        <w:rPr>
          <w:sz w:val="20"/>
          <w:szCs w:val="20"/>
          <w:color w:val="auto"/>
        </w:rPr>
      </w:pPr>
      <w:r>
        <w:rPr>
          <w:rFonts w:ascii="Arial" w:cs="Arial" w:eastAsia="Arial" w:hAnsi="Arial"/>
          <w:sz w:val="15"/>
          <w:szCs w:val="15"/>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3" w:lineRule="exact"/>
        <w:rPr>
          <w:sz w:val="20"/>
          <w:szCs w:val="20"/>
          <w:color w:val="auto"/>
        </w:rPr>
      </w:pPr>
    </w:p>
    <w:p>
      <w:pPr>
        <w:ind w:right="160" w:firstLine="511"/>
        <w:spacing w:after="0" w:line="268" w:lineRule="auto"/>
        <w:rPr>
          <w:sz w:val="20"/>
          <w:szCs w:val="20"/>
          <w:color w:val="auto"/>
        </w:rPr>
      </w:pPr>
      <w:r>
        <w:rPr>
          <w:rFonts w:ascii="Arial" w:cs="Arial" w:eastAsia="Arial" w:hAnsi="Arial"/>
          <w:sz w:val="16"/>
          <w:szCs w:val="16"/>
          <w:color w:val="auto"/>
        </w:rPr>
        <w:t>There have been no material changes to our critical accounting policies described in the “Management’s Discussion and Analysis of Financial Condition and Results of Operations” contained in our Annual Report.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June 30, 2020 and 2019:</w:t>
      </w: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w w:val="97"/>
              </w:rPr>
              <w:t>Three Months Ended June 30,</w:t>
            </w:r>
          </w:p>
        </w:tc>
        <w:tc>
          <w:tcPr>
            <w:tcW w:w="420" w:type="dxa"/>
            <w:vAlign w:val="bottom"/>
          </w:tcPr>
          <w:p>
            <w:pPr>
              <w:spacing w:after="0"/>
              <w:rPr>
                <w:sz w:val="13"/>
                <w:szCs w:val="13"/>
                <w:color w:val="auto"/>
              </w:rPr>
            </w:pPr>
          </w:p>
        </w:tc>
        <w:tc>
          <w:tcPr>
            <w:tcW w:w="1460" w:type="dxa"/>
            <w:vAlign w:val="bottom"/>
            <w:gridSpan w:val="3"/>
          </w:tcPr>
          <w:p>
            <w:pPr>
              <w:ind w:left="340"/>
              <w:spacing w:after="0"/>
              <w:rPr>
                <w:sz w:val="20"/>
                <w:szCs w:val="20"/>
                <w:color w:val="auto"/>
              </w:rPr>
            </w:pPr>
            <w:r>
              <w:rPr>
                <w:rFonts w:ascii="Arial" w:cs="Arial" w:eastAsia="Arial" w:hAnsi="Arial"/>
                <w:sz w:val="13"/>
                <w:szCs w:val="13"/>
                <w:b w:val="1"/>
                <w:bCs w:val="1"/>
                <w:color w:val="auto"/>
                <w:w w:val="89"/>
              </w:rPr>
              <w:t>Increase (Decrease)</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4"/>
              <w:spacing w:after="0" w:line="13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84"/>
              <w:spacing w:after="0" w:line="134"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504"/>
              <w:spacing w:after="0" w:line="134"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462"/>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ind w:right="67"/>
              <w:spacing w:after="0" w:line="134" w:lineRule="exact"/>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ind w:left="440"/>
              <w:spacing w:after="0"/>
              <w:rPr>
                <w:sz w:val="20"/>
                <w:szCs w:val="20"/>
                <w:color w:val="auto"/>
              </w:rPr>
            </w:pPr>
            <w:r>
              <w:rPr>
                <w:rFonts w:ascii="Arial" w:cs="Arial" w:eastAsia="Arial" w:hAnsi="Arial"/>
                <w:sz w:val="16"/>
                <w:szCs w:val="16"/>
                <w:color w:val="auto"/>
              </w:rPr>
              <w:t>License fees</w:t>
            </w:r>
          </w:p>
        </w:tc>
        <w:tc>
          <w:tcPr>
            <w:tcW w:w="120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379</w:t>
            </w:r>
          </w:p>
        </w:tc>
        <w:tc>
          <w:tcPr>
            <w:tcW w:w="140" w:type="dxa"/>
            <w:vAlign w:val="bottom"/>
          </w:tcPr>
          <w:p>
            <w:pPr>
              <w:spacing w:after="0"/>
              <w:rPr>
                <w:sz w:val="17"/>
                <w:szCs w:val="17"/>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vMerge w:val="continue"/>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continue"/>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Operating expenses:</w:t>
            </w:r>
          </w:p>
        </w:tc>
        <w:tc>
          <w:tcPr>
            <w:tcW w:w="1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12,290</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(1,347)</w:t>
            </w:r>
          </w:p>
        </w:tc>
        <w:tc>
          <w:tcPr>
            <w:tcW w:w="4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1"/>
        </w:trPr>
        <w:tc>
          <w:tcPr>
            <w:tcW w:w="3360" w:type="dxa"/>
            <w:vAlign w:val="bottom"/>
          </w:tcPr>
          <w:p>
            <w:pPr>
              <w:ind w:left="440"/>
              <w:spacing w:after="0"/>
              <w:rPr>
                <w:sz w:val="20"/>
                <w:szCs w:val="20"/>
                <w:color w:val="auto"/>
              </w:rPr>
            </w:pPr>
            <w:r>
              <w:rPr>
                <w:rFonts w:ascii="Arial" w:cs="Arial" w:eastAsia="Arial" w:hAnsi="Arial"/>
                <w:sz w:val="16"/>
                <w:szCs w:val="16"/>
                <w:color w:val="auto"/>
              </w:rPr>
              <w:t>General and administrative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vMerge w:val="continue"/>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15,753</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(16,610)</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(15,374)</w:t>
            </w:r>
          </w:p>
        </w:tc>
        <w:tc>
          <w:tcPr>
            <w:tcW w:w="2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2"/>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ind w:left="440"/>
              <w:spacing w:after="0"/>
              <w:rPr>
                <w:sz w:val="20"/>
                <w:szCs w:val="20"/>
                <w:color w:val="auto"/>
              </w:rPr>
            </w:pPr>
            <w:r>
              <w:rPr>
                <w:rFonts w:ascii="Arial" w:cs="Arial" w:eastAsia="Arial" w:hAnsi="Arial"/>
                <w:sz w:val="16"/>
                <w:szCs w:val="16"/>
                <w:color w:val="auto"/>
              </w:rPr>
              <w:t>Interest expense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(638)</w:t>
            </w:r>
          </w:p>
        </w:tc>
        <w:tc>
          <w:tcPr>
            <w:tcW w:w="4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Interest income</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(276)</w:t>
            </w:r>
          </w:p>
        </w:tc>
        <w:tc>
          <w:tcPr>
            <w:tcW w:w="4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1"/>
        </w:trPr>
        <w:tc>
          <w:tcPr>
            <w:tcW w:w="3360" w:type="dxa"/>
            <w:vAlign w:val="bottom"/>
          </w:tcPr>
          <w:p>
            <w:pPr>
              <w:ind w:left="440"/>
              <w:spacing w:after="0"/>
              <w:rPr>
                <w:sz w:val="20"/>
                <w:szCs w:val="20"/>
                <w:color w:val="auto"/>
              </w:rPr>
            </w:pPr>
            <w:r>
              <w:rPr>
                <w:rFonts w:ascii="Arial" w:cs="Arial" w:eastAsia="Arial" w:hAnsi="Arial"/>
                <w:sz w:val="16"/>
                <w:szCs w:val="16"/>
                <w:color w:val="auto"/>
              </w:rPr>
              <w:t>Other (expense) income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(expense) income</w:t>
            </w: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vMerge w:val="continue"/>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00" w:type="dxa"/>
            <w:vAlign w:val="bottom"/>
            <w:vMerge w:val="continue"/>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(17,062)</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(14,916)</w:t>
            </w:r>
          </w:p>
        </w:tc>
        <w:tc>
          <w:tcPr>
            <w:tcW w:w="220" w:type="dxa"/>
            <w:vAlign w:val="bottom"/>
            <w:vMerge w:val="continue"/>
          </w:tcPr>
          <w:p>
            <w:pPr>
              <w:spacing w:after="0"/>
              <w:rPr>
                <w:sz w:val="16"/>
                <w:szCs w:val="16"/>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2,146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Fees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three months ended June 30, 2020 and 2019, we recognized license fees of $0.4 million and $0.4 million respectively, derived from the KKC license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firstLine="511"/>
        <w:spacing w:after="0" w:line="271" w:lineRule="auto"/>
        <w:rPr>
          <w:sz w:val="20"/>
          <w:szCs w:val="20"/>
          <w:color w:val="auto"/>
        </w:rPr>
      </w:pPr>
      <w:r>
        <w:rPr>
          <w:rFonts w:ascii="Arial" w:cs="Arial" w:eastAsia="Arial" w:hAnsi="Arial"/>
          <w:sz w:val="15"/>
          <w:szCs w:val="15"/>
          <w:color w:val="auto"/>
        </w:rPr>
        <w:t>For the three months ended June 30, 2020, our total research and development expenses decreased $1.3 million, or 11%, to $10.9 million from $12.3 million for the comparable quarter in the prior year. The decrease in research and development expenses was primarily due to decreases in clinical activities of $1.9 million partially offset by increased professional fees of $0.6 million. The decrease in clinical activities was primarily due to reduced clinical activities in our ENCORE programs of $0.3 million partially offset by an increase in clinical activities for our SNDX-5613 program of $1.7 million and an increase in clinical activities for axatilimab of $0.7 million and a $4.0 million expense recognized upon the achievement of certain milestones in connection with the Menin program in 2019. We expect research and development expenses to fluctuate from quarter to quarter depending on the timing of clinical trial activities, clinical manufacturing and other development activities.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Research and development expenses consisted of the following:</w:t>
      </w: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3"/>
                <w:szCs w:val="13"/>
                <w:b w:val="1"/>
                <w:bCs w:val="1"/>
                <w:color w:val="auto"/>
                <w:w w:val="95"/>
              </w:rPr>
              <w:t>Three Months Ended June 30,</w:t>
            </w: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7"/>
              </w:rPr>
              <w:t>Increase (Decrease)</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7"/>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7"/>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67"/>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45"/>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jc w:val="right"/>
              <w:ind w:right="47"/>
              <w:spacing w:after="0" w:line="134"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External research and development expenses</w:t>
            </w:r>
          </w:p>
        </w:tc>
        <w:tc>
          <w:tcPr>
            <w:tcW w:w="12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8,747</w:t>
            </w:r>
          </w:p>
        </w:tc>
        <w:tc>
          <w:tcPr>
            <w:tcW w:w="62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(1,297)</w:t>
            </w:r>
          </w:p>
        </w:tc>
        <w:tc>
          <w:tcPr>
            <w:tcW w:w="4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color w:val="auto"/>
              </w:rPr>
              <w:t>Internal research and development expenses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3,493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4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research and development expenses</w:t>
            </w:r>
          </w:p>
        </w:tc>
        <w:tc>
          <w:tcPr>
            <w:tcW w:w="9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820" w:type="dxa"/>
            <w:vAlign w:val="bottom"/>
            <w:vMerge w:val="continue"/>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10,943</w:t>
            </w:r>
          </w:p>
        </w:tc>
        <w:tc>
          <w:tcPr>
            <w:tcW w:w="2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12,290</w:t>
            </w:r>
          </w:p>
        </w:tc>
        <w:tc>
          <w:tcPr>
            <w:tcW w:w="20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220" w:type="dxa"/>
            <w:vAlign w:val="bottom"/>
            <w:vMerge w:val="continue"/>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0" w:lineRule="exact"/>
        <w:rPr>
          <w:sz w:val="20"/>
          <w:szCs w:val="20"/>
          <w:color w:val="auto"/>
        </w:rPr>
      </w:pPr>
    </w:p>
    <w:p>
      <w:pPr>
        <w:ind w:right="20" w:firstLine="511"/>
        <w:spacing w:after="0" w:line="254" w:lineRule="auto"/>
        <w:rPr>
          <w:sz w:val="20"/>
          <w:szCs w:val="20"/>
          <w:color w:val="auto"/>
        </w:rPr>
      </w:pPr>
      <w:r>
        <w:rPr>
          <w:rFonts w:ascii="Arial" w:cs="Arial" w:eastAsia="Arial" w:hAnsi="Arial"/>
          <w:sz w:val="16"/>
          <w:szCs w:val="16"/>
          <w:color w:val="auto"/>
        </w:rPr>
        <w:t>For the three months ended June 30, 2020, our total general and administrative expenses increased $2.5 million, or 75%, to $6.0 million from $3.5 million for the comparable period in the prior year. The increase in general and administrative expenses was primarily due to increased pre-commercialization activities of $1.2 million, increased employee expenses of $1.1 million and increased director’s and officer’s insurance of $0.2 million. The increase in employee expenses was primarily due to increased headcount of $0.3 million and increased stock compensation expense of $0.8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00" w:lineRule="exact"/>
        <w:rPr>
          <w:sz w:val="20"/>
          <w:szCs w:val="20"/>
          <w:color w:val="auto"/>
        </w:rPr>
      </w:pPr>
    </w:p>
    <w:p>
      <w:pPr>
        <w:ind w:right="340" w:firstLine="511"/>
        <w:spacing w:after="0" w:line="268" w:lineRule="auto"/>
        <w:rPr>
          <w:sz w:val="20"/>
          <w:szCs w:val="20"/>
          <w:color w:val="auto"/>
        </w:rPr>
      </w:pPr>
      <w:r>
        <w:rPr>
          <w:rFonts w:ascii="Arial" w:cs="Arial" w:eastAsia="Arial" w:hAnsi="Arial"/>
          <w:sz w:val="16"/>
          <w:szCs w:val="16"/>
          <w:color w:val="auto"/>
        </w:rPr>
        <w:t>For the three months ended June 30, 2020, interest expense increased from the comparable period in the prior year primarily due to the interest expense on the loan payable.</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40"/>
          </w:cols>
          <w:pgMar w:left="320" w:top="596" w:right="4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00" w:lineRule="exact"/>
        <w:rPr>
          <w:sz w:val="20"/>
          <w:szCs w:val="20"/>
          <w:color w:val="auto"/>
        </w:rPr>
      </w:pPr>
    </w:p>
    <w:p>
      <w:pPr>
        <w:ind w:right="120" w:firstLine="511"/>
        <w:spacing w:after="0" w:line="268" w:lineRule="auto"/>
        <w:rPr>
          <w:sz w:val="20"/>
          <w:szCs w:val="20"/>
          <w:color w:val="auto"/>
        </w:rPr>
      </w:pPr>
      <w:r>
        <w:rPr>
          <w:rFonts w:ascii="Arial" w:cs="Arial" w:eastAsia="Arial" w:hAnsi="Arial"/>
          <w:sz w:val="16"/>
          <w:szCs w:val="16"/>
          <w:color w:val="auto"/>
        </w:rPr>
        <w:t>For the three months ended June 30, 2020, interest income increased from the comparable period in the prior year primarily due interest income on an increased average balance on cash equivalents and short-term investments offset by lower interest rates.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six months ended June 30, 2020 and 2019:</w:t>
      </w: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3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3"/>
                <w:szCs w:val="13"/>
                <w:b w:val="1"/>
                <w:bCs w:val="1"/>
                <w:color w:val="auto"/>
              </w:rPr>
              <w:t>Six Months Ended June 30,</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1"/>
              </w:rPr>
              <w:t>Increase (Decrease)</w:t>
            </w: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02"/>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jc w:val="right"/>
              <w:ind w:right="87"/>
              <w:spacing w:after="0" w:line="134" w:lineRule="exact"/>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40" w:type="dxa"/>
            <w:vAlign w:val="bottom"/>
          </w:tcPr>
          <w:p>
            <w:pPr>
              <w:ind w:left="440"/>
              <w:spacing w:after="0"/>
              <w:rPr>
                <w:sz w:val="20"/>
                <w:szCs w:val="20"/>
                <w:color w:val="auto"/>
              </w:rPr>
            </w:pPr>
            <w:r>
              <w:rPr>
                <w:rFonts w:ascii="Arial" w:cs="Arial" w:eastAsia="Arial" w:hAnsi="Arial"/>
                <w:sz w:val="16"/>
                <w:szCs w:val="16"/>
                <w:color w:val="auto"/>
              </w:rPr>
              <w:t>License fees</w:t>
            </w:r>
          </w:p>
        </w:tc>
        <w:tc>
          <w:tcPr>
            <w:tcW w:w="1760" w:type="dxa"/>
            <w:vAlign w:val="bottom"/>
            <w:gridSpan w:val="2"/>
          </w:tcPr>
          <w:p>
            <w:pPr>
              <w:jc w:val="right"/>
              <w:ind w:right="617"/>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758</w:t>
            </w:r>
          </w:p>
        </w:tc>
        <w:tc>
          <w:tcPr>
            <w:tcW w:w="220" w:type="dxa"/>
            <w:vAlign w:val="bottom"/>
          </w:tcPr>
          <w:p>
            <w:pPr>
              <w:spacing w:after="0"/>
              <w:rPr>
                <w:sz w:val="17"/>
                <w:szCs w:val="17"/>
                <w:color w:val="auto"/>
              </w:rPr>
            </w:pPr>
          </w:p>
        </w:tc>
        <w:tc>
          <w:tcPr>
            <w:tcW w:w="780" w:type="dxa"/>
            <w:vAlign w:val="bottom"/>
          </w:tcPr>
          <w:p>
            <w:pPr>
              <w:jc w:val="right"/>
              <w:ind w:right="63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758</w:t>
            </w:r>
          </w:p>
        </w:tc>
        <w:tc>
          <w:tcPr>
            <w:tcW w:w="240" w:type="dxa"/>
            <w:vAlign w:val="bottom"/>
          </w:tcPr>
          <w:p>
            <w:pPr>
              <w:spacing w:after="0"/>
              <w:rPr>
                <w:sz w:val="17"/>
                <w:szCs w:val="17"/>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vMerge w:val="continue"/>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continue"/>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20,505</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23,569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(3,064)</w:t>
            </w:r>
          </w:p>
        </w:tc>
        <w:tc>
          <w:tcPr>
            <w:tcW w:w="5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1"/>
        </w:trPr>
        <w:tc>
          <w:tcPr>
            <w:tcW w:w="3140" w:type="dxa"/>
            <w:vAlign w:val="bottom"/>
          </w:tcPr>
          <w:p>
            <w:pPr>
              <w:ind w:left="4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11,963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7,374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4,589</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0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vMerge w:val="continue"/>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32,468</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30,943</w:t>
            </w: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3"/>
              </w:rPr>
              <w:t>(31,710)</w:t>
            </w:r>
          </w:p>
        </w:tc>
        <w:tc>
          <w:tcPr>
            <w:tcW w:w="2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0"/>
              </w:rPr>
              <w:t>(30,185)</w:t>
            </w:r>
          </w:p>
        </w:tc>
        <w:tc>
          <w:tcPr>
            <w:tcW w:w="2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40" w:type="dxa"/>
            <w:vAlign w:val="bottom"/>
          </w:tcPr>
          <w:p>
            <w:pPr>
              <w:ind w:left="44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(1,087)</w:t>
            </w:r>
          </w:p>
        </w:tc>
        <w:tc>
          <w:tcPr>
            <w:tcW w:w="7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(1,087)</w:t>
            </w:r>
          </w:p>
        </w:tc>
        <w:tc>
          <w:tcPr>
            <w:tcW w:w="5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(395)</w:t>
            </w:r>
          </w:p>
        </w:tc>
        <w:tc>
          <w:tcPr>
            <w:tcW w:w="5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1"/>
        </w:trPr>
        <w:tc>
          <w:tcPr>
            <w:tcW w:w="3140" w:type="dxa"/>
            <w:vAlign w:val="bottom"/>
          </w:tcPr>
          <w:p>
            <w:pPr>
              <w:ind w:left="440"/>
              <w:spacing w:after="0"/>
              <w:rPr>
                <w:sz w:val="20"/>
                <w:szCs w:val="20"/>
                <w:color w:val="auto"/>
              </w:rPr>
            </w:pPr>
            <w:r>
              <w:rPr>
                <w:rFonts w:ascii="Arial" w:cs="Arial" w:eastAsia="Arial" w:hAnsi="Arial"/>
                <w:sz w:val="16"/>
                <w:szCs w:val="16"/>
                <w:color w:val="auto"/>
              </w:rPr>
              <w:t>Other expense</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5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income</w:t>
            </w:r>
          </w:p>
        </w:tc>
        <w:tc>
          <w:tcPr>
            <w:tcW w:w="10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vMerge w:val="continue"/>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22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w:t>
            </w: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220" w:type="dxa"/>
            <w:vAlign w:val="bottom"/>
            <w:vMerge w:val="continue"/>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3"/>
              </w:rPr>
              <w:t>(32,298)</w:t>
            </w:r>
          </w:p>
        </w:tc>
        <w:tc>
          <w:tcPr>
            <w:tcW w:w="220" w:type="dxa"/>
            <w:vAlign w:val="bottom"/>
            <w:vMerge w:val="continue"/>
          </w:tcPr>
          <w:p>
            <w:pPr>
              <w:spacing w:after="0"/>
              <w:rPr>
                <w:sz w:val="16"/>
                <w:szCs w:val="16"/>
                <w:color w:val="auto"/>
              </w:rPr>
            </w:pPr>
          </w:p>
        </w:tc>
        <w:tc>
          <w:tcPr>
            <w:tcW w:w="780" w:type="dxa"/>
            <w:vAlign w:val="bottom"/>
          </w:tcPr>
          <w:p>
            <w:pPr>
              <w:jc w:val="right"/>
              <w:ind w:right="63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0"/>
              </w:rPr>
              <w:t>(29,218)</w:t>
            </w:r>
          </w:p>
        </w:tc>
        <w:tc>
          <w:tcPr>
            <w:tcW w:w="240" w:type="dxa"/>
            <w:vAlign w:val="bottom"/>
            <w:vMerge w:val="continue"/>
          </w:tcPr>
          <w:p>
            <w:pPr>
              <w:spacing w:after="0"/>
              <w:rPr>
                <w:sz w:val="16"/>
                <w:szCs w:val="16"/>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3,080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Fees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six months ended June 30, 2020 and 2019, we recognized license fees of $0.8 million and $0.8 million respectively, derived from the KKC license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right="20" w:firstLine="511"/>
        <w:spacing w:after="0" w:line="251" w:lineRule="auto"/>
        <w:rPr>
          <w:sz w:val="20"/>
          <w:szCs w:val="20"/>
          <w:color w:val="auto"/>
        </w:rPr>
      </w:pPr>
      <w:r>
        <w:rPr>
          <w:rFonts w:ascii="Arial" w:cs="Arial" w:eastAsia="Arial" w:hAnsi="Arial"/>
          <w:sz w:val="16"/>
          <w:szCs w:val="16"/>
          <w:color w:val="auto"/>
        </w:rPr>
        <w:t>For the six months ended June 30, 2020, our total research and development expenses decreased $3.1 million, or 13%, to $20.1 million from $23.6 million for the comparable period in the prior year due to a decrease in employee compensation expense of $0.4 million and decreased activity in the ENCORE clinical programs of $2.8 million, partially offset by increased professional fees of $0.8 million, increased clinical and manufacturing activities for axatilimab of $0.7 million and, increased activities related to the Menin program of $2.6 million. In 2019 we recognized a $4.0 million expense upon the achievement of certain milestones in connection with the Menin program. We expect research and development expenses to fluctuate from period to period depending on the timing of clinical trial activities, clinical manufacturing and other development activities.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Research and development expenses consisted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3"/>
                <w:szCs w:val="13"/>
                <w:b w:val="1"/>
                <w:bCs w:val="1"/>
                <w:color w:val="auto"/>
              </w:rPr>
              <w:t>Six Months Ended June 30,</w:t>
            </w: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7"/>
              </w:rPr>
              <w:t>Increase (Decrease)</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6"/>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7"/>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67"/>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45"/>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jc w:val="right"/>
              <w:ind w:right="47"/>
              <w:spacing w:after="0" w:line="134"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External research and development expenses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13,596</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16,020</w:t>
            </w:r>
          </w:p>
        </w:tc>
        <w:tc>
          <w:tcPr>
            <w:tcW w:w="62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(2,424)</w:t>
            </w:r>
          </w:p>
        </w:tc>
        <w:tc>
          <w:tcPr>
            <w:tcW w:w="4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Internal research and development expenses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6,909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7,549</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(640)</w:t>
            </w:r>
          </w:p>
        </w:tc>
        <w:tc>
          <w:tcPr>
            <w:tcW w:w="4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research and development expenses</w:t>
            </w:r>
          </w:p>
        </w:tc>
        <w:tc>
          <w:tcPr>
            <w:tcW w:w="9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3820" w:type="dxa"/>
            <w:vAlign w:val="bottom"/>
            <w:vMerge w:val="continue"/>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20,505</w:t>
            </w:r>
          </w:p>
        </w:tc>
        <w:tc>
          <w:tcPr>
            <w:tcW w:w="2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23,569</w:t>
            </w:r>
          </w:p>
        </w:tc>
        <w:tc>
          <w:tcPr>
            <w:tcW w:w="20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(3,064)</w:t>
            </w:r>
          </w:p>
        </w:tc>
        <w:tc>
          <w:tcPr>
            <w:tcW w:w="220" w:type="dxa"/>
            <w:vAlign w:val="bottom"/>
            <w:vMerge w:val="continue"/>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726"/>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6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0" w:lineRule="exact"/>
        <w:rPr>
          <w:sz w:val="20"/>
          <w:szCs w:val="20"/>
          <w:color w:val="auto"/>
        </w:rPr>
      </w:pPr>
    </w:p>
    <w:p>
      <w:pPr>
        <w:ind w:right="80" w:firstLine="511"/>
        <w:spacing w:after="0" w:line="276" w:lineRule="auto"/>
        <w:rPr>
          <w:sz w:val="20"/>
          <w:szCs w:val="20"/>
          <w:color w:val="auto"/>
        </w:rPr>
      </w:pPr>
      <w:r>
        <w:rPr>
          <w:rFonts w:ascii="Arial" w:cs="Arial" w:eastAsia="Arial" w:hAnsi="Arial"/>
          <w:sz w:val="15"/>
          <w:szCs w:val="15"/>
          <w:color w:val="auto"/>
        </w:rPr>
        <w:t>For the six months ended June 30, 2020, our total general and administrative expenses increased $4.6 million, or 62%, to $12.0 million from $7.4 million for the comparable period in the prior year. The increase in general and administrative expenses was primarily due to increased pre-commercialization activities of $2.2 million, increased legal and professional fees of $0.2 million, increased director’s and officer’s insurance of $0.4 million and increased employee compensation cost of $1.8 million. The increase in employee expenses is primarily due to increased headcount of $0.8 million and increased stock compensation expense of $1.0 million.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consists primarily of interest expense on our term loan, operational and capital leases.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For the six months ended June 30, 2020, interest income decreased from the comparable period in the prior year due to reduce interest rates on our investments.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00"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As of June 30, 2020, we had cash, cash equivalents and short-term investments totaling $186.8 million.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May 2020, we sold 6,388,889 shares of our common stock at a price per share of $18.00 for net proceeds of approximately $107.9 million.</w:t>
      </w:r>
    </w:p>
    <w:p>
      <w:pPr>
        <w:spacing w:after="0" w:line="100" w:lineRule="exact"/>
        <w:rPr>
          <w:sz w:val="20"/>
          <w:szCs w:val="20"/>
          <w:color w:val="auto"/>
        </w:rPr>
      </w:pPr>
    </w:p>
    <w:p>
      <w:pPr>
        <w:ind w:firstLine="511"/>
        <w:spacing w:after="0" w:line="271" w:lineRule="auto"/>
        <w:rPr>
          <w:sz w:val="20"/>
          <w:szCs w:val="20"/>
          <w:color w:val="auto"/>
        </w:rPr>
      </w:pPr>
      <w:r>
        <w:rPr>
          <w:rFonts w:ascii="Arial" w:cs="Arial" w:eastAsia="Arial" w:hAnsi="Arial"/>
          <w:sz w:val="15"/>
          <w:szCs w:val="15"/>
          <w:color w:val="auto"/>
        </w:rPr>
        <w:t>In January 2020, we sold 3,036,719 shares of our common stock at a price per share of $8.00 and pre-funded warrants to purchase 1,338,287 shares of our common stock for gross proceeds of approximately $35.0 million. Upon the completion of the January 2020 offering, we had 5,838,287 pre-funded warrant shares outstanding. The pre-funded warrants are exercisable into shares of common stock for $0.0001 per share. The pre-funded warrants enable the holder to make a cash investment in our common stock without increasing their beneficial ownership in our common stock because the shares of common stock underlying the pre-funded warrant are not issued or issuable until the warrant is actually exercised or becomes exercisable without exceeding the ownership limitations set forth in the pre-funded warrant. In May 2020, a holder of 280,335 pre-funded warrants exercised in a cashless exchange and received 280,332 shares of common stock.</w:t>
      </w:r>
    </w:p>
    <w:p>
      <w:pPr>
        <w:spacing w:after="0" w:line="63" w:lineRule="exact"/>
        <w:rPr>
          <w:sz w:val="20"/>
          <w:szCs w:val="20"/>
          <w:color w:val="auto"/>
        </w:rPr>
      </w:pPr>
    </w:p>
    <w:p>
      <w:pPr>
        <w:ind w:right="40" w:firstLine="511"/>
        <w:spacing w:after="0" w:line="267" w:lineRule="auto"/>
        <w:rPr>
          <w:sz w:val="20"/>
          <w:szCs w:val="20"/>
          <w:color w:val="auto"/>
        </w:rPr>
      </w:pPr>
      <w:r>
        <w:rPr>
          <w:rFonts w:ascii="Arial" w:cs="Arial" w:eastAsia="Arial" w:hAnsi="Arial"/>
          <w:sz w:val="15"/>
          <w:szCs w:val="15"/>
          <w:color w:val="auto"/>
        </w:rPr>
        <w:t>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are exercisable into shares of common stock for $0.0001 per share. Each Series 1 warrant has an initial exercise price of $12.00 per share of common stock and each Series 2 warrant has an initial exercise price of $18.00 per share of common stock, in each case subject to certain adjustments. The Series 1 warrants and Series 2 warrants contain a one-time exercise price adjustment.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 could result in further dilution to our stockholders if such warrants were then exercised. As a result of the January 2020 offering, the initial exercise price of the Series 1 warrants was reduced to $10.00 per share and the initial exercise price of the Series 2 warrants was reduced to $13.00 per share. In May 2020, holders of 3,489,131 Series 1 warrants and Series 2 warrant received 1,512,229 shares of common stock in a cashless exercise.</w:t>
      </w:r>
    </w:p>
    <w:p>
      <w:pPr>
        <w:spacing w:after="0" w:line="70" w:lineRule="exact"/>
        <w:rPr>
          <w:sz w:val="20"/>
          <w:szCs w:val="20"/>
          <w:color w:val="auto"/>
        </w:rPr>
      </w:pPr>
    </w:p>
    <w:p>
      <w:pPr>
        <w:ind w:right="440" w:firstLine="511"/>
        <w:spacing w:after="0" w:line="268"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Loan and Security Agreement</w:t>
      </w:r>
    </w:p>
    <w:p>
      <w:pPr>
        <w:spacing w:after="0" w:line="100" w:lineRule="exact"/>
        <w:rPr>
          <w:sz w:val="20"/>
          <w:szCs w:val="20"/>
          <w:color w:val="auto"/>
        </w:rPr>
      </w:pPr>
    </w:p>
    <w:p>
      <w:pPr>
        <w:ind w:right="20" w:firstLine="511"/>
        <w:spacing w:after="0" w:line="289" w:lineRule="auto"/>
        <w:rPr>
          <w:sz w:val="20"/>
          <w:szCs w:val="20"/>
          <w:color w:val="auto"/>
        </w:rPr>
      </w:pPr>
      <w:r>
        <w:rPr>
          <w:rFonts w:ascii="Arial" w:cs="Arial" w:eastAsia="Arial" w:hAnsi="Arial"/>
          <w:sz w:val="14"/>
          <w:szCs w:val="14"/>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Borrowings under the Loan Agreement bear interest at an annual rate equal to the greater of (i) 9.85% or (ii) 5.10% plus the Wall Street Journal prime rate. The Wall Street Journal prime rate as of June 30, 2020, was 3.25%.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12 to our condensed consolidated financial statements located elsewhere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Offering Program</w:t>
      </w:r>
    </w:p>
    <w:p>
      <w:pPr>
        <w:spacing w:after="0" w:line="195" w:lineRule="exact"/>
        <w:rPr>
          <w:sz w:val="20"/>
          <w:szCs w:val="20"/>
          <w:color w:val="auto"/>
        </w:rPr>
      </w:pPr>
    </w:p>
    <w:p>
      <w:pPr>
        <w:ind w:right="60" w:firstLine="511"/>
        <w:spacing w:after="0" w:line="268" w:lineRule="auto"/>
        <w:rPr>
          <w:sz w:val="20"/>
          <w:szCs w:val="20"/>
          <w:color w:val="auto"/>
        </w:rPr>
      </w:pPr>
      <w:r>
        <w:rPr>
          <w:rFonts w:ascii="Arial" w:cs="Arial" w:eastAsia="Arial" w:hAnsi="Arial"/>
          <w:sz w:val="15"/>
          <w:szCs w:val="15"/>
          <w:color w:val="auto"/>
        </w:rPr>
        <w:t>In August 2019, we entered into a new sales agreement with Cowen and Company, LLC, or Cowen, under which we may issue and sell shares of our common stock having aggregate sales proceeds of up to $50.0 million from time to time pursuant to the ATM program, or the 2019 ATM Program. Cowen is not required to sell any specific amount but acts as our sales agent using commercially reasonable efforts consistent with their normal trading and sales practices. This agreement replaced the sales agreement signed in April 2017. Shares sold pursuant to the sales agreement will be sold pursuant to a shelf registration statement on Form S-3 (Registration No. 333-233564), which was declared effective on September 10, 2019. Our common stock will be sold at prevailing market prices at the time of the sale; and as a result, prices may vary. We will pay Cowen up to 3% of the gross proceeds from any common stock sold through the sales agreement. The proceeds from the offerings, if any, will be used to fund the research and development of our product candidates, acquire or invest in businesses, products or technologies that are complementary to our own, although we have no current plans, commitments or agreements with respect to any acquisitions as of the date of this prospectus, and for working capital and general corporate purposes. As of June 30, 2020, $50.0 million of common stock remained available for sale under the 2019 ATM Program.</w:t>
      </w:r>
    </w:p>
    <w:p>
      <w:pPr>
        <w:spacing w:after="0" w:line="66"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In April 2017, we entered into a sales agreement with Cowen, under which we issued and sold shares of our common stock having aggregate sales proceeds of up to $50.0 million from time to time, or the 2017 ATM Program. Shares sold pursuant to the sales agreement were sold pursuant to a shelf registration statement on Form S-3 (Registration No. 333-217172), which was declared effective on April 20, 2017. The proceeds from the offerings, if any, were used for general corporate purposes, including expenditures for research and development of our drug products. In 2019, prior to the effectiveness of the 2019 ATM Program, we sold 140,819 shares of common stock, with net proceeds of $0.9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00" w:lineRule="exact"/>
        <w:rPr>
          <w:sz w:val="20"/>
          <w:szCs w:val="20"/>
          <w:color w:val="auto"/>
        </w:rPr>
      </w:pPr>
    </w:p>
    <w:p>
      <w:pPr>
        <w:ind w:right="40" w:firstLine="511"/>
        <w:spacing w:after="0" w:line="273" w:lineRule="auto"/>
        <w:rPr>
          <w:sz w:val="20"/>
          <w:szCs w:val="20"/>
          <w:color w:val="auto"/>
        </w:rPr>
      </w:pPr>
      <w:r>
        <w:rPr>
          <w:rFonts w:ascii="Arial" w:cs="Arial" w:eastAsia="Arial" w:hAnsi="Arial"/>
          <w:sz w:val="15"/>
          <w:szCs w:val="15"/>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61" w:lineRule="exact"/>
        <w:rPr>
          <w:sz w:val="20"/>
          <w:szCs w:val="20"/>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for our drug candidates;</w:t>
      </w:r>
    </w:p>
    <w:p>
      <w:pPr>
        <w:spacing w:after="0" w:line="100" w:lineRule="exact"/>
        <w:rPr>
          <w:rFonts w:ascii="Arial" w:cs="Arial" w:eastAsia="Arial" w:hAnsi="Arial"/>
          <w:sz w:val="16"/>
          <w:szCs w:val="16"/>
          <w:color w:val="auto"/>
        </w:rPr>
      </w:pPr>
    </w:p>
    <w:p>
      <w:pPr>
        <w:ind w:left="1020" w:right="100" w:hanging="516"/>
        <w:spacing w:after="0" w:line="268"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6"/>
          <w:szCs w:val="16"/>
          <w:color w:val="auto"/>
        </w:rPr>
      </w:pPr>
    </w:p>
    <w:p>
      <w:pPr>
        <w:jc w:val="both"/>
        <w:ind w:left="1020" w:right="180" w:hanging="516"/>
        <w:spacing w:after="0" w:line="257"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1"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acceptance of our drug candidates;</w:t>
      </w:r>
    </w:p>
    <w:p>
      <w:pPr>
        <w:spacing w:after="0" w:line="100" w:lineRule="exact"/>
        <w:rPr>
          <w:rFonts w:ascii="Arial" w:cs="Arial" w:eastAsia="Arial" w:hAnsi="Arial"/>
          <w:sz w:val="16"/>
          <w:szCs w:val="16"/>
          <w:color w:val="auto"/>
        </w:rPr>
      </w:pPr>
    </w:p>
    <w:p>
      <w:pPr>
        <w:ind w:left="1020" w:right="580" w:hanging="516"/>
        <w:spacing w:after="0" w:line="268"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7" w:name="page28"/>
    <w:bookmarkEnd w:id="27"/>
    <w:p>
      <w:pPr>
        <w:ind w:left="1020" w:right="60" w:hanging="516"/>
        <w:spacing w:after="0" w:line="268"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costs of acquiring, licensing or investing in additional businesses, products, product candidates and technologies;</w:t>
      </w:r>
    </w:p>
    <w:p>
      <w:pPr>
        <w:spacing w:after="0" w:line="100" w:lineRule="exact"/>
        <w:rPr>
          <w:rFonts w:ascii="Arial" w:cs="Arial" w:eastAsia="Arial" w:hAnsi="Arial"/>
          <w:sz w:val="16"/>
          <w:szCs w:val="16"/>
          <w:color w:val="auto"/>
        </w:rPr>
      </w:pPr>
    </w:p>
    <w:p>
      <w:pPr>
        <w:ind w:left="1020" w:right="40" w:hanging="516"/>
        <w:spacing w:after="0" w:line="268"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62" w:lineRule="exact"/>
        <w:rPr>
          <w:rFonts w:ascii="Arial" w:cs="Arial" w:eastAsia="Arial" w:hAnsi="Arial"/>
          <w:sz w:val="16"/>
          <w:szCs w:val="16"/>
          <w:color w:val="auto"/>
        </w:rPr>
      </w:pPr>
    </w:p>
    <w:p>
      <w:pPr>
        <w:ind w:left="1020" w:hanging="516"/>
        <w:spacing w:after="0" w:line="302" w:lineRule="auto"/>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39" w:lineRule="exact"/>
        <w:rPr>
          <w:rFonts w:ascii="Arial" w:cs="Arial" w:eastAsia="Arial" w:hAnsi="Arial"/>
          <w:sz w:val="15"/>
          <w:szCs w:val="15"/>
          <w:color w:val="auto"/>
        </w:rPr>
      </w:pPr>
    </w:p>
    <w:p>
      <w:pPr>
        <w:ind w:left="1020" w:right="60" w:hanging="516"/>
        <w:spacing w:after="0" w:line="268"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of disruptions to our supply chain and operations, and associated delays in the manufacturing and supply of our products, which would adversely impact our ability to continue our clinical trial operations;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need to implement additional internal systems and infrastructure, including financial and reporting systems, to meet our requirements as a public company.</w:t>
      </w:r>
    </w:p>
    <w:p>
      <w:pPr>
        <w:spacing w:after="0" w:line="218" w:lineRule="exact"/>
        <w:rPr>
          <w:sz w:val="20"/>
          <w:szCs w:val="20"/>
          <w:color w:val="auto"/>
        </w:rPr>
      </w:pPr>
    </w:p>
    <w:p>
      <w:pPr>
        <w:ind w:right="100" w:firstLine="511"/>
        <w:spacing w:after="0" w:line="254"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have incurred losses and cumulative negative cash flows from operations since our inception; and as of June 30, 2020, we had an accumulated deficit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$527.8 million. We anticipate that we will continue to incur significant losses for at least the next several years. We expect that our research and development and general 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administrative expenses will continue to increase. As a result, we will need additional capital to fund our operations, which we may raise through a combination of the sale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equity, debt financings, or other sources, including potential collaborations. The COVID-19 pandemic continues to rapidly evolve and has already resulted in a significant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disruption of global financial markets. If the disruption persists and deepens, we could experience an inability to access additional capital, which could in the future negatively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affect our operations. To the extent that we raise additional capital through the future sale of equity or debt, the ownership interest of our stockholders will be diluted, and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terms of these securities may include liquidation or other preferences that adversely affect the rights of our existing common stockholders. If we raise additional funds through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collaboration arrangements in the future, we may have to relinquish valuable rights to our technologies, future revenue streams or drug candidates or grant licenses on terms that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may not be favorable to us. If we are unable to raise additional funds through equity or debt financings when needed, we may be required to delay, limit, reduce or terminate our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product development or future commercialization efforts or grant rights to develop and market drug candidates that we would otherwise prefer to develop and market ourselves.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summary of cash flows:</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6"/>
              </w:rPr>
              <w:t>Six Months Ended June 30,</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678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64"/>
              <w:spacing w:after="0" w:line="134" w:lineRule="exact"/>
              <w:rPr>
                <w:sz w:val="20"/>
                <w:szCs w:val="20"/>
                <w:color w:val="auto"/>
              </w:rPr>
            </w:pPr>
            <w:r>
              <w:rPr>
                <w:rFonts w:ascii="Arial" w:cs="Arial" w:eastAsia="Arial" w:hAnsi="Arial"/>
                <w:sz w:val="13"/>
                <w:szCs w:val="13"/>
                <w:b w:val="1"/>
                <w:bCs w:val="1"/>
                <w:color w:val="auto"/>
                <w:w w:val="82"/>
              </w:rPr>
              <w:t>2019</w:t>
            </w:r>
          </w:p>
        </w:tc>
        <w:tc>
          <w:tcPr>
            <w:tcW w:w="80" w:type="dxa"/>
            <w:vAlign w:val="bottom"/>
          </w:tcPr>
          <w:p>
            <w:pPr>
              <w:spacing w:after="0"/>
              <w:rPr>
                <w:sz w:val="11"/>
                <w:szCs w:val="11"/>
                <w:color w:val="auto"/>
              </w:rPr>
            </w:pPr>
          </w:p>
        </w:tc>
      </w:tr>
      <w:tr>
        <w:trPr>
          <w:trHeight w:val="134"/>
        </w:trPr>
        <w:tc>
          <w:tcPr>
            <w:tcW w:w="6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gridSpan w:val="4"/>
          </w:tcPr>
          <w:p>
            <w:pPr>
              <w:jc w:val="right"/>
              <w:ind w:right="289"/>
              <w:spacing w:after="0" w:line="134" w:lineRule="exact"/>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880" w:type="dxa"/>
            <w:vAlign w:val="bottom"/>
            <w:shd w:val="clear" w:color="auto" w:fill="CFF0FC"/>
          </w:tcPr>
          <w:p>
            <w:pPr>
              <w:jc w:val="right"/>
              <w:ind w:right="7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(37,332)</w:t>
            </w:r>
          </w:p>
        </w:tc>
        <w:tc>
          <w:tcPr>
            <w:tcW w:w="600" w:type="dxa"/>
            <w:vAlign w:val="bottom"/>
            <w:gridSpan w:val="2"/>
            <w:shd w:val="clear" w:color="auto" w:fill="CFF0FC"/>
          </w:tcPr>
          <w:p>
            <w:pPr>
              <w:jc w:val="right"/>
              <w:ind w:right="46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(29,356)</w:t>
            </w:r>
          </w:p>
        </w:tc>
      </w:tr>
      <w:tr>
        <w:trPr>
          <w:trHeight w:val="201"/>
        </w:trPr>
        <w:tc>
          <w:tcPr>
            <w:tcW w:w="67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(97,665)</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(6,179)</w:t>
            </w:r>
          </w:p>
        </w:tc>
      </w:tr>
      <w:tr>
        <w:trPr>
          <w:trHeight w:val="202"/>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163,999</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28,432</w:t>
            </w:r>
          </w:p>
        </w:tc>
        <w:tc>
          <w:tcPr>
            <w:tcW w:w="80" w:type="dxa"/>
            <w:vAlign w:val="bottom"/>
            <w:shd w:val="clear" w:color="auto" w:fill="CFF0FC"/>
          </w:tcPr>
          <w:p>
            <w:pPr>
              <w:spacing w:after="0"/>
              <w:rPr>
                <w:sz w:val="17"/>
                <w:szCs w:val="17"/>
                <w:color w:val="auto"/>
              </w:rPr>
            </w:pPr>
          </w:p>
        </w:tc>
      </w:tr>
      <w:tr>
        <w:trPr>
          <w:trHeight w:val="193"/>
        </w:trPr>
        <w:tc>
          <w:tcPr>
            <w:tcW w:w="678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880" w:type="dxa"/>
            <w:vAlign w:val="bottom"/>
            <w:tcBorders>
              <w:bottom w:val="single" w:sz="8" w:color="auto"/>
            </w:tcBorders>
          </w:tcPr>
          <w:p>
            <w:pPr>
              <w:jc w:val="right"/>
              <w:ind w:right="73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29,002</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(7,103)</w:t>
            </w:r>
          </w:p>
        </w:tc>
        <w:tc>
          <w:tcPr>
            <w:tcW w:w="80" w:type="dxa"/>
            <w:vAlign w:val="bottom"/>
          </w:tcPr>
          <w:p>
            <w:pPr>
              <w:spacing w:after="0"/>
              <w:rPr>
                <w:sz w:val="16"/>
                <w:szCs w:val="16"/>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Operating Activities</w:t>
      </w:r>
    </w:p>
    <w:p>
      <w:pPr>
        <w:spacing w:after="0" w:line="100"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Net cash used in operating activities for the six months ended June 30, 2020, was $37.3 million and primarily consisted of our net loss of $32.3 million adjusted for non-cash items, including stock-based compensation of $4.0 million, a net decrease in operating assets and liabilities of $9.2 million, an investment amortization of $0.2 million and non-cash interest expense associated with the term loan of $0.2 million. The increased net loss is primarily due to increased pre-commercialization expenses, offset by decreased clinical trial activities and CMC expenses. The net decrease in operating assets and liabilities primarily consisted of decreased accounts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28" w:name="page29"/>
    <w:bookmarkEnd w:id="28"/>
    <w:p>
      <w:pPr>
        <w:ind w:right="240"/>
        <w:spacing w:after="0" w:line="268" w:lineRule="auto"/>
        <w:rPr>
          <w:sz w:val="20"/>
          <w:szCs w:val="20"/>
          <w:color w:val="auto"/>
        </w:rPr>
      </w:pPr>
      <w:r>
        <w:rPr>
          <w:rFonts w:ascii="Arial" w:cs="Arial" w:eastAsia="Arial" w:hAnsi="Arial"/>
          <w:sz w:val="16"/>
          <w:szCs w:val="16"/>
          <w:color w:val="auto"/>
        </w:rPr>
        <w:t>payable of $4.3 million, increased prepayments and deposits of $2.4 million, and decreased accrued expenses and other liabilities of $1.7 million and deferred revenue of $0.4 million.</w:t>
      </w:r>
    </w:p>
    <w:p>
      <w:pPr>
        <w:spacing w:after="0" w:line="63" w:lineRule="exact"/>
        <w:rPr>
          <w:sz w:val="20"/>
          <w:szCs w:val="20"/>
          <w:color w:val="auto"/>
        </w:rPr>
      </w:pPr>
    </w:p>
    <w:p>
      <w:pPr>
        <w:ind w:right="80" w:firstLine="511"/>
        <w:spacing w:after="0" w:line="252" w:lineRule="auto"/>
        <w:rPr>
          <w:sz w:val="20"/>
          <w:szCs w:val="20"/>
          <w:color w:val="auto"/>
        </w:rPr>
      </w:pPr>
      <w:r>
        <w:rPr>
          <w:rFonts w:ascii="Arial" w:cs="Arial" w:eastAsia="Arial" w:hAnsi="Arial"/>
          <w:sz w:val="16"/>
          <w:szCs w:val="16"/>
          <w:color w:val="auto"/>
        </w:rPr>
        <w:t>Net cash used in operating activities for the six months ended June 30, 2019, was $29.4 million and primarily consisted of our net loss of $29.2 million adjusted for non-cash items, including stock-based compensation of $2.9 million, a net decrease in operating assets and liabilities of $2.7 million and a net decrease in investment amortization of $0.4 million. The decrease in our net loss was primarily due to the decrease in our clinical trial activities and CMC expenses. The significant items in the decrease in operating assets and liabilities included a decrease in accrued expenses, other liabilities and deferred revenue of $0.8 million and an increase in accounts payable of $0.8 million offset by an increase in prepaid expenses and other assets of $2.7 million.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00" w:lineRule="exact"/>
        <w:rPr>
          <w:sz w:val="20"/>
          <w:szCs w:val="20"/>
          <w:color w:val="auto"/>
        </w:rPr>
      </w:pPr>
    </w:p>
    <w:p>
      <w:pPr>
        <w:ind w:right="80" w:firstLine="511"/>
        <w:spacing w:after="0" w:line="257" w:lineRule="auto"/>
        <w:rPr>
          <w:sz w:val="20"/>
          <w:szCs w:val="20"/>
          <w:color w:val="auto"/>
        </w:rPr>
      </w:pPr>
      <w:r>
        <w:rPr>
          <w:rFonts w:ascii="Arial" w:cs="Arial" w:eastAsia="Arial" w:hAnsi="Arial"/>
          <w:sz w:val="16"/>
          <w:szCs w:val="16"/>
          <w:color w:val="auto"/>
        </w:rPr>
        <w:t>Net cash used in investing activities for the six months ended June 30, 2020, was $97.7 million and was primarily due to the purchase of $131.1 million of available-for-sale marketable securities from the proceeds of the direct offering partially offset by $33.4 million of proceeds from the maturities of available-for-sale securities, which will primarily be used to fund the next period’s operating activities.</w:t>
      </w:r>
    </w:p>
    <w:p>
      <w:pPr>
        <w:spacing w:after="0" w:line="7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Net cash used in investing activities for the six months ended June 30, 2019, was $6.2 million and was primarily due to the purchase of $59.9 million of available-for-sale marketable securities partially offset by the $53.7 million of proceeds from the maturities of available-for-sale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100" w:lineRule="exact"/>
        <w:rPr>
          <w:sz w:val="20"/>
          <w:szCs w:val="20"/>
          <w:color w:val="auto"/>
        </w:rPr>
      </w:pPr>
    </w:p>
    <w:p>
      <w:pPr>
        <w:ind w:right="60" w:firstLine="511"/>
        <w:spacing w:after="0" w:line="257" w:lineRule="auto"/>
        <w:rPr>
          <w:sz w:val="20"/>
          <w:szCs w:val="20"/>
          <w:color w:val="auto"/>
        </w:rPr>
      </w:pPr>
      <w:r>
        <w:rPr>
          <w:rFonts w:ascii="Arial" w:cs="Arial" w:eastAsia="Arial" w:hAnsi="Arial"/>
          <w:sz w:val="16"/>
          <w:szCs w:val="16"/>
          <w:color w:val="auto"/>
        </w:rPr>
        <w:t>Net cash provided by financing activities for the six months ended June 30, 2020, of $164.0 million was primarily due to the proceeds from our direct placement and follow-on offering, net of fees, of $142.8 million, proceeds from our term loan of $19.7 million, proceeds from stock option exercises of $1.4 million and employee participation in our Employee Stock Purchase Plan of $0.1 million.</w:t>
      </w:r>
    </w:p>
    <w:p>
      <w:pPr>
        <w:spacing w:after="0" w:line="72" w:lineRule="exact"/>
        <w:rPr>
          <w:sz w:val="20"/>
          <w:szCs w:val="20"/>
          <w:color w:val="auto"/>
        </w:rPr>
      </w:pPr>
    </w:p>
    <w:p>
      <w:pPr>
        <w:ind w:right="280" w:firstLine="511"/>
        <w:spacing w:after="0" w:line="302" w:lineRule="auto"/>
        <w:rPr>
          <w:sz w:val="20"/>
          <w:szCs w:val="20"/>
          <w:color w:val="auto"/>
        </w:rPr>
      </w:pPr>
      <w:r>
        <w:rPr>
          <w:rFonts w:ascii="Arial" w:cs="Arial" w:eastAsia="Arial" w:hAnsi="Arial"/>
          <w:sz w:val="15"/>
          <w:szCs w:val="15"/>
          <w:color w:val="auto"/>
        </w:rPr>
        <w:t>Net cash provided by financing activities for the six months ended June 30, 2019, of $28.4 million was primarily due to proceeds from sales of shares of our common stock and a pre-funded warrant, net of fees, of $27.4 million and our at-the-market offering, net of discounts and commissions of $0.8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04"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On February 7, 2020, we entered into a Loan Agreement with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or April 1, 2022 if the Performance Milestone is achieved.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Borrowings under the Loan Agreement bear interest at an annual rate equal to the greater of (i) 9.85% or (ii)</w:t>
      </w:r>
    </w:p>
    <w:p>
      <w:pPr>
        <w:spacing w:after="0" w:line="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5.10% plus the Wall Street Journal prime rate.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As of June 30, 2020, $20.0 million was outstanding under the Loan Agreement. For additional information regarding the Loan Agreement with Hercules, see Note 12 to our condensed consolidated financial statements located elsewhere in this report.</w:t>
      </w:r>
    </w:p>
    <w:p>
      <w:pPr>
        <w:spacing w:after="0" w:line="78" w:lineRule="exact"/>
        <w:rPr>
          <w:sz w:val="20"/>
          <w:szCs w:val="20"/>
          <w:color w:val="auto"/>
        </w:rPr>
      </w:pPr>
    </w:p>
    <w:p>
      <w:pPr>
        <w:ind w:right="220" w:firstLine="511"/>
        <w:spacing w:after="0" w:line="268" w:lineRule="auto"/>
        <w:rPr>
          <w:sz w:val="20"/>
          <w:szCs w:val="20"/>
          <w:color w:val="auto"/>
        </w:rPr>
      </w:pPr>
      <w:r>
        <w:rPr>
          <w:rFonts w:ascii="Arial" w:cs="Arial" w:eastAsia="Arial" w:hAnsi="Arial"/>
          <w:sz w:val="16"/>
          <w:szCs w:val="16"/>
          <w:color w:val="auto"/>
        </w:rPr>
        <w:t>Other than the Loan Agreement, there have been no material changes to our contractual obligations from those described in our Annual Report on Form 10-K that was filed with the SEC on March 5,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in the rules and regulations of the SEC.</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104"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can take advantage of an extended transition period for complying with new or revised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9" w:name="page30"/>
    <w:bookmarkEnd w:id="29"/>
    <w:p>
      <w:pPr>
        <w:ind w:right="520"/>
        <w:spacing w:after="0" w:line="257" w:lineRule="auto"/>
        <w:rPr>
          <w:sz w:val="20"/>
          <w:szCs w:val="20"/>
          <w:color w:val="auto"/>
        </w:rPr>
      </w:pPr>
      <w:r>
        <w:rPr>
          <w:rFonts w:ascii="Arial" w:cs="Arial" w:eastAsia="Arial" w:hAnsi="Arial"/>
          <w:sz w:val="16"/>
          <w:szCs w:val="16"/>
          <w:color w:val="auto"/>
        </w:rPr>
        <w:t>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4"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June 30, 2020, we had cash and cash equivalents of $53.6 million, consisting of overnight investments, interest-bearing money market funds, commercial papers and short-term corporate bonds, and short-term investments of $133.1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63" w:lineRule="exact"/>
        <w:rPr>
          <w:sz w:val="20"/>
          <w:szCs w:val="20"/>
          <w:color w:val="auto"/>
        </w:rPr>
      </w:pPr>
    </w:p>
    <w:p>
      <w:pPr>
        <w:ind w:right="80" w:firstLine="511"/>
        <w:spacing w:after="0" w:line="254" w:lineRule="auto"/>
        <w:rPr>
          <w:sz w:val="20"/>
          <w:szCs w:val="20"/>
          <w:color w:val="auto"/>
        </w:rPr>
      </w:pPr>
      <w:r>
        <w:rPr>
          <w:rFonts w:ascii="Arial" w:cs="Arial" w:eastAsia="Arial" w:hAnsi="Arial"/>
          <w:sz w:val="16"/>
          <w:szCs w:val="16"/>
          <w:color w:val="auto"/>
        </w:rPr>
        <w:t>We also have exposure to market risk on our Loan Agreement with Hercules. Our Loan Agreement accrues interest from its date of issue at a variable interest rate equal to greater of (i) 9.85% and (ii) 5.10% plus the Wall Street Journal prime rate. As of June 30, 2020, $20.0 million was outstanding under the Loan Agreement. The effect of a 100 basis points adverse change in market interest rates on our 2020 Loan Payable, in excess of applicable minimum floors, on our interest expense would be approximately $0.5 million.</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do not believe that inflation and changing prices had a significant impact on our results of operations for any periods presented herein.</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Evaluation of Our Disclosure Controls and Procedures</w:t>
      </w:r>
    </w:p>
    <w:p>
      <w:pPr>
        <w:spacing w:after="0" w:line="100" w:lineRule="exact"/>
        <w:rPr>
          <w:sz w:val="20"/>
          <w:szCs w:val="20"/>
          <w:color w:val="auto"/>
        </w:rPr>
      </w:pPr>
    </w:p>
    <w:p>
      <w:pPr>
        <w:ind w:right="240" w:firstLine="511"/>
        <w:spacing w:after="0" w:line="311"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32" w:lineRule="exact"/>
        <w:rPr>
          <w:sz w:val="20"/>
          <w:szCs w:val="20"/>
          <w:color w:val="auto"/>
        </w:rPr>
      </w:pPr>
    </w:p>
    <w:p>
      <w:pPr>
        <w:ind w:firstLine="511"/>
        <w:spacing w:after="0" w:line="297" w:lineRule="auto"/>
        <w:rPr>
          <w:sz w:val="20"/>
          <w:szCs w:val="20"/>
          <w:color w:val="auto"/>
        </w:rPr>
      </w:pPr>
      <w:r>
        <w:rPr>
          <w:rFonts w:ascii="Arial" w:cs="Arial" w:eastAsia="Arial" w:hAnsi="Arial"/>
          <w:sz w:val="14"/>
          <w:szCs w:val="14"/>
          <w:color w:val="auto"/>
        </w:rPr>
        <w:t>As of June 30,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2020, our disclosure controls and procedures were effective at the reasonable assurance level.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00" w:lineRule="exact"/>
        <w:rPr>
          <w:sz w:val="20"/>
          <w:szCs w:val="20"/>
          <w:color w:val="auto"/>
        </w:rPr>
      </w:pPr>
    </w:p>
    <w:p>
      <w:pPr>
        <w:jc w:val="both"/>
        <w:ind w:right="80" w:firstLine="511"/>
        <w:spacing w:after="0" w:line="254" w:lineRule="auto"/>
        <w:rPr>
          <w:sz w:val="20"/>
          <w:szCs w:val="20"/>
          <w:color w:val="auto"/>
        </w:rPr>
      </w:pPr>
      <w:r>
        <w:rPr>
          <w:rFonts w:ascii="Arial" w:cs="Arial" w:eastAsia="Arial" w:hAnsi="Arial"/>
          <w:sz w:val="16"/>
          <w:szCs w:val="16"/>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195"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4" w:lineRule="exact"/>
        <w:rPr>
          <w:sz w:val="20"/>
          <w:szCs w:val="20"/>
          <w:color w:val="auto"/>
        </w:rPr>
      </w:pPr>
    </w:p>
    <w:p>
      <w:pPr>
        <w:ind w:right="220" w:firstLine="511"/>
        <w:spacing w:after="0" w:line="311" w:lineRule="auto"/>
        <w:rPr>
          <w:sz w:val="20"/>
          <w:szCs w:val="20"/>
          <w:color w:val="auto"/>
        </w:rPr>
      </w:pPr>
      <w:r>
        <w:rPr>
          <w:rFonts w:ascii="Arial" w:cs="Arial" w:eastAsia="Arial" w:hAnsi="Arial"/>
          <w:sz w:val="14"/>
          <w:szCs w:val="14"/>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2020, we were not party to any material legal or arbitration proceedings. No governmental proceedings are pending or, to our knowledge, contemplated against us.</w:t>
      </w: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4" w:lineRule="exact"/>
        <w:rPr>
          <w:sz w:val="20"/>
          <w:szCs w:val="20"/>
          <w:color w:val="auto"/>
        </w:rPr>
      </w:pPr>
    </w:p>
    <w:p>
      <w:pPr>
        <w:ind w:right="140" w:firstLine="511"/>
        <w:spacing w:after="0" w:line="251"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6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could adversely impact our business, including our clinical trials.</w:t>
      </w:r>
    </w:p>
    <w:p>
      <w:pPr>
        <w:spacing w:after="0" w:line="100" w:lineRule="exact"/>
        <w:rPr>
          <w:sz w:val="20"/>
          <w:szCs w:val="20"/>
          <w:color w:val="auto"/>
        </w:rPr>
      </w:pPr>
    </w:p>
    <w:p>
      <w:pPr>
        <w:ind w:right="60" w:firstLine="511"/>
        <w:spacing w:after="0" w:line="269" w:lineRule="auto"/>
        <w:rPr>
          <w:sz w:val="20"/>
          <w:szCs w:val="20"/>
          <w:color w:val="auto"/>
        </w:rPr>
      </w:pPr>
      <w:r>
        <w:rPr>
          <w:rFonts w:ascii="Arial" w:cs="Arial" w:eastAsia="Arial" w:hAnsi="Arial"/>
          <w:sz w:val="15"/>
          <w:szCs w:val="15"/>
          <w:color w:val="auto"/>
        </w:rPr>
        <w:t>In December 2019, a novel strain of coronavirus, SARS-CoV-2, causing COVID-19, was initially reported and has since been declared a pandemic by the World Health Organization. The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the shelter-in-place (“SIP”)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63" w:lineRule="exact"/>
        <w:rPr>
          <w:sz w:val="20"/>
          <w:szCs w:val="20"/>
          <w:color w:val="auto"/>
        </w:rPr>
      </w:pPr>
    </w:p>
    <w:p>
      <w:pPr>
        <w:ind w:right="120" w:firstLine="511"/>
        <w:spacing w:after="0" w:line="297" w:lineRule="auto"/>
        <w:rPr>
          <w:sz w:val="20"/>
          <w:szCs w:val="20"/>
          <w:color w:val="auto"/>
        </w:rPr>
      </w:pPr>
      <w:r>
        <w:rPr>
          <w:rFonts w:ascii="Arial" w:cs="Arial" w:eastAsia="Arial" w:hAnsi="Arial"/>
          <w:sz w:val="14"/>
          <w:szCs w:val="14"/>
          <w:color w:val="auto"/>
        </w:rPr>
        <w:t>While COVID-19 has not yet had a material impact on our business operations, ongoing quarantines, SIP and similar government orders related to COVID-19 may adversely impact our business operations and the business operations of our contract research organizations conducting our clinical trials and our third-party manufacturing facilities in the United States and other countries. In particular,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46" w:lineRule="exact"/>
        <w:rPr>
          <w:sz w:val="20"/>
          <w:szCs w:val="20"/>
          <w:color w:val="auto"/>
        </w:rPr>
      </w:pPr>
    </w:p>
    <w:p>
      <w:pPr>
        <w:ind w:right="120" w:firstLine="511"/>
        <w:spacing w:after="0" w:line="252" w:lineRule="auto"/>
        <w:rPr>
          <w:sz w:val="20"/>
          <w:szCs w:val="20"/>
          <w:color w:val="auto"/>
        </w:rPr>
      </w:pPr>
      <w:r>
        <w:rPr>
          <w:rFonts w:ascii="Arial" w:cs="Arial" w:eastAsia="Arial" w:hAnsi="Arial"/>
          <w:sz w:val="16"/>
          <w:szCs w:val="16"/>
          <w:color w:val="auto"/>
        </w:rPr>
        <w:t>In addition, our clinical trials may be affected by the COVID-19 pandemic. For example, clinical site initiation and patient enrollment may be delayed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76" w:lineRule="exact"/>
        <w:rPr>
          <w:sz w:val="20"/>
          <w:szCs w:val="20"/>
          <w:color w:val="auto"/>
        </w:rPr>
      </w:pPr>
    </w:p>
    <w:p>
      <w:pPr>
        <w:ind w:right="260" w:firstLine="511"/>
        <w:spacing w:after="0" w:line="254" w:lineRule="auto"/>
        <w:rPr>
          <w:sz w:val="20"/>
          <w:szCs w:val="20"/>
          <w:color w:val="auto"/>
        </w:rPr>
      </w:pPr>
      <w:r>
        <w:rPr>
          <w:rFonts w:ascii="Arial" w:cs="Arial" w:eastAsia="Arial" w:hAnsi="Arial"/>
          <w:sz w:val="16"/>
          <w:szCs w:val="16"/>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74"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The global pandemic of COVID-19 continues to rapidly evolve.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SIP orders, social distancing requirements, business closures in the United States and other countries,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31" w:name="page32"/>
    <w:bookmarkEnd w:id="31"/>
    <w:p>
      <w:pPr>
        <w:ind w:firstLine="511"/>
        <w:spacing w:after="0" w:line="268" w:lineRule="auto"/>
        <w:rPr>
          <w:sz w:val="20"/>
          <w:szCs w:val="20"/>
          <w:color w:val="auto"/>
        </w:rPr>
      </w:pPr>
      <w:r>
        <w:rPr>
          <w:rFonts w:ascii="Arial" w:cs="Arial" w:eastAsia="Arial" w:hAnsi="Arial"/>
          <w:sz w:val="16"/>
          <w:szCs w:val="16"/>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52"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b w:val="1"/>
          <w:bCs w:val="1"/>
          <w:i w:val="1"/>
          <w:iCs w:val="1"/>
          <w:color w:val="auto"/>
        </w:rPr>
        <w:t>We may incur additional costs or experience delays in completing, or ultimately be unable to complete, the development and commercialization of any of our product candidates.</w:t>
      </w:r>
    </w:p>
    <w:p>
      <w:pPr>
        <w:spacing w:after="0" w:line="63"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currently have any sales, marketing or distribution experience or infrastructure.</w:t>
      </w:r>
    </w:p>
    <w:p>
      <w:pPr>
        <w:spacing w:after="0" w:line="100" w:lineRule="exact"/>
        <w:rPr>
          <w:sz w:val="20"/>
          <w:szCs w:val="20"/>
          <w:color w:val="auto"/>
        </w:rPr>
      </w:pPr>
    </w:p>
    <w:p>
      <w:pPr>
        <w:ind w:right="480" w:firstLine="511"/>
        <w:spacing w:after="0" w:line="254"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4" w:lineRule="exact"/>
        <w:rPr>
          <w:sz w:val="20"/>
          <w:szCs w:val="20"/>
          <w:color w:val="auto"/>
        </w:rPr>
      </w:pPr>
    </w:p>
    <w:p>
      <w:pPr>
        <w:ind w:left="1020" w:hanging="516"/>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not be able to attract and build a significant marketing or sales force;</w:t>
      </w:r>
    </w:p>
    <w:p>
      <w:pPr>
        <w:spacing w:after="0" w:line="100" w:lineRule="exact"/>
        <w:rPr>
          <w:rFonts w:ascii="Arial" w:cs="Arial" w:eastAsia="Arial" w:hAnsi="Arial"/>
          <w:sz w:val="16"/>
          <w:szCs w:val="16"/>
          <w:color w:val="auto"/>
        </w:rPr>
      </w:pPr>
    </w:p>
    <w:p>
      <w:pPr>
        <w:ind w:left="1020" w:right="60" w:hanging="516"/>
        <w:spacing w:after="0" w:line="268"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direct or indirect sales and marketing efforts may not be successful; and</w:t>
      </w:r>
    </w:p>
    <w:p>
      <w:pPr>
        <w:spacing w:after="0" w:line="100" w:lineRule="exact"/>
        <w:rPr>
          <w:rFonts w:ascii="Arial" w:cs="Arial" w:eastAsia="Arial" w:hAnsi="Arial"/>
          <w:sz w:val="16"/>
          <w:szCs w:val="16"/>
          <w:color w:val="auto"/>
        </w:rPr>
      </w:pPr>
    </w:p>
    <w:p>
      <w:pPr>
        <w:ind w:left="1020" w:right="160" w:hanging="516"/>
        <w:spacing w:after="0" w:line="257"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72" w:lineRule="exact"/>
        <w:rPr>
          <w:sz w:val="20"/>
          <w:szCs w:val="20"/>
          <w:color w:val="auto"/>
        </w:rPr>
      </w:pPr>
    </w:p>
    <w:p>
      <w:pPr>
        <w:ind w:right="140" w:firstLine="511"/>
        <w:spacing w:after="0" w:line="254" w:lineRule="auto"/>
        <w:rPr>
          <w:sz w:val="20"/>
          <w:szCs w:val="20"/>
          <w:color w:val="auto"/>
        </w:rPr>
      </w:pPr>
      <w:r>
        <w:rPr>
          <w:rFonts w:ascii="Arial" w:cs="Arial" w:eastAsia="Arial" w:hAnsi="Arial"/>
          <w:sz w:val="16"/>
          <w:szCs w:val="16"/>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6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3" w:lineRule="exact"/>
        <w:rPr>
          <w:sz w:val="20"/>
          <w:szCs w:val="20"/>
          <w:color w:val="auto"/>
        </w:rPr>
      </w:pPr>
    </w:p>
    <w:p>
      <w:pPr>
        <w:ind w:right="140" w:firstLine="511"/>
        <w:spacing w:after="0" w:line="257"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2" w:lineRule="exact"/>
        <w:rPr>
          <w:sz w:val="20"/>
          <w:szCs w:val="20"/>
          <w:color w:val="auto"/>
        </w:rPr>
      </w:pPr>
    </w:p>
    <w:p>
      <w:pPr>
        <w:ind w:left="1020" w:right="140" w:hanging="516"/>
        <w:spacing w:after="0" w:line="268"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 and indirect effects of the ongoing COVID-19 pandemic on various aspects and stages of the clinical development process, including the potential impact to expected site initiation, enrollment and participation in our clinical trials;</w:t>
      </w:r>
    </w:p>
    <w:p>
      <w:pPr>
        <w:spacing w:after="0" w:line="62" w:lineRule="exact"/>
        <w:rPr>
          <w:rFonts w:ascii="Arial" w:cs="Arial" w:eastAsia="Arial" w:hAnsi="Arial"/>
          <w:sz w:val="16"/>
          <w:szCs w:val="16"/>
          <w:color w:val="auto"/>
        </w:rPr>
      </w:pPr>
    </w:p>
    <w:p>
      <w:pPr>
        <w:ind w:left="1020" w:right="600" w:hanging="516"/>
        <w:spacing w:after="0" w:line="302"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9" w:lineRule="exact"/>
        <w:rPr>
          <w:rFonts w:ascii="Arial" w:cs="Arial" w:eastAsia="Arial" w:hAnsi="Arial"/>
          <w:sz w:val="15"/>
          <w:szCs w:val="15"/>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timely completion of the Phase 1/2 clinical trial of SNDX-5613 in patients with relapsed/refractory acute leukemia;</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timely completion of the Phase 1a/2 clinical trial of axatilimab as a monotherapy in patients with cGVHD;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timely completion of any future clinical trials of SNDX-5613 and axatilimab;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2" w:name="page33"/>
    <w:bookmarkEnd w:id="32"/>
    <w:p>
      <w:pPr>
        <w:ind w:left="1020" w:right="100" w:hanging="516"/>
        <w:spacing w:after="0" w:line="302"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39" w:lineRule="exact"/>
        <w:rPr>
          <w:rFonts w:ascii="Arial" w:cs="Arial" w:eastAsia="Arial" w:hAnsi="Arial"/>
          <w:sz w:val="15"/>
          <w:szCs w:val="15"/>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we are required by the FDA or foreign regulatory authorities to conduct additional clinical trials;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prevalence and severity of adverse drug reactions in any of our clinical trials;</w:t>
      </w:r>
    </w:p>
    <w:p>
      <w:pPr>
        <w:spacing w:after="0" w:line="100" w:lineRule="exact"/>
        <w:rPr>
          <w:rFonts w:ascii="Arial" w:cs="Arial" w:eastAsia="Arial" w:hAnsi="Arial"/>
          <w:sz w:val="16"/>
          <w:szCs w:val="16"/>
          <w:color w:val="auto"/>
        </w:rPr>
      </w:pPr>
    </w:p>
    <w:p>
      <w:pPr>
        <w:ind w:left="1020" w:right="300" w:hanging="516"/>
        <w:spacing w:after="0" w:line="268"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successfully meeting the endpoints in the clinical trials of our product candidates;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achieving and maintaining compliance with all applicable regulatory requirements;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alternative and competing treatments;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effectiveness of our own or our potential strategic collaborators’ marketing, sales and distribution strategy and operations in the United States and abroad;</w:t>
      </w:r>
    </w:p>
    <w:p>
      <w:pPr>
        <w:spacing w:after="0" w:line="123" w:lineRule="exact"/>
        <w:rPr>
          <w:rFonts w:ascii="Arial" w:cs="Arial" w:eastAsia="Arial" w:hAnsi="Arial"/>
          <w:sz w:val="14"/>
          <w:szCs w:val="14"/>
          <w:color w:val="auto"/>
        </w:rPr>
      </w:pPr>
    </w:p>
    <w:p>
      <w:pPr>
        <w:ind w:left="1020" w:right="100" w:hanging="516"/>
        <w:spacing w:after="0" w:line="268"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successfully commercialize our product candidates in the United States and abroad, whether alone or in collaboration with others; and</w:t>
      </w:r>
    </w:p>
    <w:p>
      <w:pPr>
        <w:spacing w:after="0" w:line="111" w:lineRule="exact"/>
        <w:rPr>
          <w:rFonts w:ascii="Arial" w:cs="Arial" w:eastAsia="Arial" w:hAnsi="Arial"/>
          <w:sz w:val="15"/>
          <w:szCs w:val="15"/>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enforce our intellectual property rights in and to our product candidates.</w:t>
      </w:r>
    </w:p>
    <w:p>
      <w:pPr>
        <w:spacing w:after="0" w:line="100" w:lineRule="exact"/>
        <w:rPr>
          <w:sz w:val="20"/>
          <w:szCs w:val="20"/>
          <w:color w:val="auto"/>
        </w:rPr>
      </w:pPr>
    </w:p>
    <w:p>
      <w:pPr>
        <w:ind w:right="20" w:firstLine="511"/>
        <w:spacing w:after="0" w:line="268" w:lineRule="auto"/>
        <w:rPr>
          <w:sz w:val="20"/>
          <w:szCs w:val="20"/>
          <w:color w:val="auto"/>
        </w:rPr>
      </w:pPr>
      <w:r>
        <w:rPr>
          <w:rFonts w:ascii="Arial" w:cs="Arial" w:eastAsia="Arial" w:hAnsi="Arial"/>
          <w:sz w:val="16"/>
          <w:szCs w:val="16"/>
          <w:color w:val="auto"/>
        </w:rPr>
        <w:t>If we fail to obtain regulatory approval for our product candidates, we will not be able to generate product sales, which will have a material adverse effect on our business and our prospects.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Our strategy for developing SNDX-5613 has undergone limited clinical testing and we may fail to show that the drug is well tolerated and provides sufficient clinical benefit for patients</w:t>
      </w:r>
      <w:r>
        <w:rPr>
          <w:rFonts w:ascii="Arial" w:cs="Arial" w:eastAsia="Arial" w:hAnsi="Arial"/>
          <w:sz w:val="16"/>
          <w:szCs w:val="16"/>
          <w:i w:val="1"/>
          <w:iCs w:val="1"/>
          <w:color w:val="auto"/>
        </w:rPr>
        <w:t>.</w:t>
      </w:r>
    </w:p>
    <w:p>
      <w:pPr>
        <w:spacing w:after="0" w:line="63" w:lineRule="exact"/>
        <w:rPr>
          <w:sz w:val="20"/>
          <w:szCs w:val="20"/>
          <w:color w:val="auto"/>
        </w:rPr>
      </w:pPr>
    </w:p>
    <w:p>
      <w:pPr>
        <w:ind w:right="20" w:firstLine="511"/>
        <w:spacing w:after="0" w:line="286" w:lineRule="auto"/>
        <w:rPr>
          <w:sz w:val="20"/>
          <w:szCs w:val="20"/>
          <w:color w:val="auto"/>
        </w:rPr>
      </w:pPr>
      <w:r>
        <w:rPr>
          <w:rFonts w:ascii="Arial" w:cs="Arial" w:eastAsia="Arial" w:hAnsi="Arial"/>
          <w:sz w:val="14"/>
          <w:szCs w:val="14"/>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NMP1 mutant AML the interaction with Menin occurs via the wild type MLL1 protein, and in MLLr acute leukemias, the interaction occurs via a mutant form of MLL1, a fusion protein know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interactionmolecules,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patients with MLL-r leukemia and assess bothrelapsed/refractory acute leukemias. The Phase 1 portion of the trial is assessing the safety, tolerability and pharmacokinetics of SNDX-5613, and seeks to establish a recommended Phase 2 dose. The Phase 1 portion of the trial is open label, and we have released and may in the future release results from time to time that reflect very small numbers of patients which may not accurately predictive of safety or efficacy results later in the trial or in subsequent trials. The Phase 2 portion will evaluate efficacy of SNDX-5613, as defined by Complete Remission rate, across three expansion cohorts enrolling adult patients with MLL-r acute lymphoblastic leukemia, or ALL, MLL-r acute myeloid leukemia, or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61"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b w:val="1"/>
          <w:bCs w:val="1"/>
          <w:i w:val="1"/>
          <w:iCs w:val="1"/>
          <w:color w:val="auto"/>
        </w:rPr>
        <w:t>Our strategy for developing axatilimab has undergone limited clinical testing and we may fail to show that this drug is well tolerated and provides a clinical benefit for patients.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Preclinical studies suggest that CSF-1/CSF-1R signaling may be the key regulatory pathway involved in the expansion and infiltration of donor derived macrophages that mediate the disease processes involved in Graft Versus Host Disease, or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33" w:name="page34"/>
    <w:bookmarkEnd w:id="33"/>
    <w:p>
      <w:pPr>
        <w:ind w:right="20"/>
        <w:spacing w:after="0" w:line="254" w:lineRule="auto"/>
        <w:rPr>
          <w:sz w:val="20"/>
          <w:szCs w:val="20"/>
          <w:color w:val="auto"/>
        </w:rPr>
      </w:pPr>
      <w:r>
        <w:rPr>
          <w:rFonts w:ascii="Arial" w:cs="Arial" w:eastAsia="Arial" w:hAnsi="Arial"/>
          <w:sz w:val="16"/>
          <w:szCs w:val="16"/>
          <w:color w:val="auto"/>
        </w:rPr>
        <w:t>axatilimab may play a meaningful role as a monotherapy agent in the treatment of cGVHD. Our approach is to conduct Phase 1 clinical trial with axatilimab in subjects with active cGVHD who have failed at least two prior lines of therapy. If our initial clinical data lend support for our hypothesis, we plan to continue developing axatilimab in this indication. At this time however, we have not yet sufficiently demonstrated a favorable risk-benefit of axatilimab in patients and we may be unable to establish sufficient efficacy to warrant continued development in this indication.</w:t>
      </w:r>
    </w:p>
    <w:p>
      <w:pPr>
        <w:spacing w:after="0" w:line="168"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3"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From time to time, we may publish interim top-line or preliminary data from our clinical trials. For example, in April 2020,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5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b w:val="1"/>
          <w:bCs w:val="1"/>
          <w:i w:val="1"/>
          <w:iCs w:val="1"/>
          <w:color w:val="auto"/>
        </w:rPr>
        <w:t>We may be unable to transfer, qualify and validate an assay for determining peripheral monocyte levels to be used in conjunction with a future registration enabling non-small cell lung cancer, or NSCLC, trial.</w:t>
      </w:r>
    </w:p>
    <w:p>
      <w:pPr>
        <w:spacing w:after="0" w:line="63" w:lineRule="exact"/>
        <w:rPr>
          <w:sz w:val="20"/>
          <w:szCs w:val="20"/>
          <w:color w:val="auto"/>
        </w:rPr>
      </w:pPr>
    </w:p>
    <w:p>
      <w:pPr>
        <w:ind w:right="100" w:firstLine="511"/>
        <w:spacing w:after="0" w:line="250" w:lineRule="auto"/>
        <w:rPr>
          <w:sz w:val="20"/>
          <w:szCs w:val="20"/>
          <w:color w:val="auto"/>
        </w:rPr>
      </w:pPr>
      <w:r>
        <w:rPr>
          <w:rFonts w:ascii="Arial" w:cs="Arial" w:eastAsia="Arial" w:hAnsi="Arial"/>
          <w:sz w:val="16"/>
          <w:szCs w:val="16"/>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 Following the negative outcome of the E2112 trial in May 2020, we decided to deprioritize the entinostat program to focus resources on advancing the remainder of our pipeline.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timely completion of clinical trials largely depends on patient enrollment. Many factors affect patient enrollment, including:</w:t>
      </w:r>
    </w:p>
    <w:p>
      <w:pPr>
        <w:spacing w:after="0" w:line="100" w:lineRule="exact"/>
        <w:rPr>
          <w:sz w:val="20"/>
          <w:szCs w:val="20"/>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 and indirect effects of the ongoing COVID-19 pandemic;</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evolving standard of care in treating cancer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size and nature of the patient population, especially in the case of an orphan indication such as MLL-r acute leukemia;</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and location of clinical trial sites enrolled;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competition with other organizations or our own clinical trials for clinical trial sites or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eligibility and exclusion criteria for the trial;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design of the trial;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obtain and maintain patient consents;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 that enrolled subjects will drop out before completion.</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result of the above factors, there is a risk that our or our collaborators’ clinical trials may not be completed on a timely basis or at 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34" w:name="page35"/>
    <w:bookmarkEnd w:id="34"/>
    <w:p>
      <w:pPr>
        <w:ind w:right="160"/>
        <w:spacing w:after="0" w:line="268" w:lineRule="auto"/>
        <w:rPr>
          <w:sz w:val="20"/>
          <w:szCs w:val="20"/>
          <w:color w:val="auto"/>
        </w:rPr>
      </w:pPr>
      <w:r>
        <w:rPr>
          <w:rFonts w:ascii="Arial" w:cs="Arial" w:eastAsia="Arial" w:hAnsi="Arial"/>
          <w:sz w:val="16"/>
          <w:szCs w:val="16"/>
          <w:b w:val="1"/>
          <w:bCs w:val="1"/>
          <w:i w:val="1"/>
          <w:iCs w:val="1"/>
          <w:color w:val="auto"/>
        </w:rPr>
        <w:t>The actions of Kyowa Kirin Co., Ltd., or KKC, Eddingpharm Investment Company Limited, or Eddingpharm, and any other current or future sublicensees could adversely affect our business.</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UCB Biopharma Sprl, or UCB, to comply with the terms of our license agreement for axatilimab.</w:t>
      </w:r>
    </w:p>
    <w:p>
      <w:pPr>
        <w:spacing w:after="0" w:line="89" w:lineRule="exact"/>
        <w:rPr>
          <w:sz w:val="20"/>
          <w:szCs w:val="20"/>
          <w:color w:val="auto"/>
        </w:rPr>
      </w:pPr>
    </w:p>
    <w:p>
      <w:pPr>
        <w:ind w:right="20" w:firstLine="511"/>
        <w:spacing w:after="0" w:line="290" w:lineRule="auto"/>
        <w:rPr>
          <w:sz w:val="20"/>
          <w:szCs w:val="20"/>
          <w:color w:val="auto"/>
        </w:rPr>
      </w:pPr>
      <w:r>
        <w:rPr>
          <w:rFonts w:ascii="Arial" w:cs="Arial" w:eastAsia="Arial" w:hAnsi="Arial"/>
          <w:sz w:val="14"/>
          <w:szCs w:val="14"/>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243" w:lineRule="exact"/>
        <w:rPr>
          <w:sz w:val="20"/>
          <w:szCs w:val="20"/>
          <w:color w:val="auto"/>
        </w:rPr>
      </w:pPr>
    </w:p>
    <w:p>
      <w:pPr>
        <w:ind w:right="820"/>
        <w:spacing w:after="0" w:line="268" w:lineRule="auto"/>
        <w:rPr>
          <w:sz w:val="20"/>
          <w:szCs w:val="20"/>
          <w:color w:val="auto"/>
        </w:rPr>
      </w:pPr>
      <w:r>
        <w:rPr>
          <w:rFonts w:ascii="Arial" w:cs="Arial" w:eastAsia="Arial" w:hAnsi="Arial"/>
          <w:sz w:val="16"/>
          <w:szCs w:val="16"/>
          <w:b w:val="1"/>
          <w:bCs w:val="1"/>
          <w:i w:val="1"/>
          <w:iCs w:val="1"/>
          <w:color w:val="auto"/>
        </w:rPr>
        <w:t>We may be required to relinquish important rights to and control over the development and commercialization of our product candidates to our current or future collaborators.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collaborations, including any future strategic collaborations we enter into, could subject us to a number of risks, including:</w:t>
      </w:r>
    </w:p>
    <w:p>
      <w:pPr>
        <w:spacing w:after="0" w:line="100" w:lineRule="exact"/>
        <w:rPr>
          <w:sz w:val="20"/>
          <w:szCs w:val="20"/>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required to undertake the expenditure of substantial operational, financial and management resources;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required to issue equity securities that would dilute our existing stockholders’ percentage of ownership;</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required to assume substantial actual or contingent liabilities;</w:t>
      </w:r>
    </w:p>
    <w:p>
      <w:pPr>
        <w:spacing w:after="0" w:line="100" w:lineRule="exact"/>
        <w:rPr>
          <w:rFonts w:ascii="Arial" w:cs="Arial" w:eastAsia="Arial" w:hAnsi="Arial"/>
          <w:sz w:val="16"/>
          <w:szCs w:val="16"/>
          <w:color w:val="auto"/>
        </w:rPr>
      </w:pPr>
    </w:p>
    <w:p>
      <w:pPr>
        <w:ind w:left="1020" w:right="8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6"/>
          <w:szCs w:val="16"/>
          <w:color w:val="auto"/>
        </w:rPr>
      </w:pPr>
    </w:p>
    <w:p>
      <w:pPr>
        <w:ind w:left="1020" w:right="36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6"/>
          <w:szCs w:val="16"/>
          <w:color w:val="auto"/>
        </w:rPr>
      </w:pPr>
    </w:p>
    <w:p>
      <w:pPr>
        <w:ind w:left="102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6"/>
          <w:szCs w:val="16"/>
          <w:color w:val="auto"/>
        </w:rPr>
      </w:pPr>
    </w:p>
    <w:p>
      <w:pPr>
        <w:ind w:left="1020" w:right="4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6"/>
          <w:szCs w:val="16"/>
          <w:color w:val="auto"/>
        </w:rPr>
      </w:pPr>
    </w:p>
    <w:p>
      <w:pPr>
        <w:ind w:left="1020" w:right="320" w:hanging="516"/>
        <w:spacing w:after="0" w:line="341"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16" w:lineRule="exact"/>
        <w:rPr>
          <w:rFonts w:ascii="Arial" w:cs="Arial" w:eastAsia="Arial" w:hAnsi="Arial"/>
          <w:sz w:val="14"/>
          <w:szCs w:val="14"/>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may experience financial difficulties;</w:t>
      </w:r>
    </w:p>
    <w:p>
      <w:pPr>
        <w:spacing w:after="0" w:line="100" w:lineRule="exact"/>
        <w:rPr>
          <w:rFonts w:ascii="Arial" w:cs="Arial" w:eastAsia="Arial" w:hAnsi="Arial"/>
          <w:sz w:val="16"/>
          <w:szCs w:val="16"/>
          <w:color w:val="auto"/>
        </w:rPr>
      </w:pPr>
    </w:p>
    <w:p>
      <w:pPr>
        <w:ind w:left="1020" w:right="56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6"/>
          <w:szCs w:val="16"/>
          <w:color w:val="auto"/>
        </w:rPr>
      </w:pPr>
    </w:p>
    <w:p>
      <w:pPr>
        <w:ind w:left="1020" w:right="34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6"/>
          <w:szCs w:val="16"/>
          <w:color w:val="auto"/>
        </w:rPr>
      </w:pPr>
    </w:p>
    <w:p>
      <w:pPr>
        <w:ind w:left="1020" w:right="580" w:hanging="516"/>
        <w:spacing w:after="0" w:line="26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collaborators could decide to move forward with a competing product candidate developed either independently or in collaboration with others, including our competitors;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35" w:name="page36"/>
    <w:bookmarkEnd w:id="35"/>
    <w:p>
      <w:pPr>
        <w:ind w:left="1020" w:right="240" w:hanging="516"/>
        <w:spacing w:after="0" w:line="26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strategic collaborators could terminate the arrangement or allow it to expire, which would delay the development and may increase the cost of developing, our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explore strategic collaborations that may never materialize or may fail.</w:t>
      </w:r>
    </w:p>
    <w:p>
      <w:pPr>
        <w:spacing w:after="0" w:line="100" w:lineRule="exact"/>
        <w:rPr>
          <w:sz w:val="20"/>
          <w:szCs w:val="20"/>
          <w:color w:val="auto"/>
        </w:rPr>
      </w:pPr>
    </w:p>
    <w:p>
      <w:pPr>
        <w:ind w:right="40" w:firstLine="511"/>
        <w:spacing w:after="0" w:line="273" w:lineRule="auto"/>
        <w:rPr>
          <w:sz w:val="20"/>
          <w:szCs w:val="20"/>
          <w:color w:val="auto"/>
        </w:rPr>
      </w:pPr>
      <w:r>
        <w:rPr>
          <w:rFonts w:ascii="Arial" w:cs="Arial" w:eastAsia="Arial" w:hAnsi="Arial"/>
          <w:sz w:val="15"/>
          <w:szCs w:val="15"/>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50"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3" w:lineRule="exact"/>
        <w:rPr>
          <w:sz w:val="20"/>
          <w:szCs w:val="20"/>
          <w:color w:val="auto"/>
        </w:rPr>
      </w:pPr>
    </w:p>
    <w:p>
      <w:pPr>
        <w:ind w:right="40" w:firstLine="511"/>
        <w:spacing w:after="0" w:line="252"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76"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76" w:lineRule="exact"/>
        <w:rPr>
          <w:sz w:val="20"/>
          <w:szCs w:val="20"/>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demonstrate that our product candidates are safe and effective;</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of clinical trials to meet the primary endpoints or level of statistical significance required for approval;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demonstrate that the clinical and other benefits of a product candidate outweigh any of its safety risks;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disagreement with our interpretation of data from preclinical studies or clinical trials;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disagreement with the design or implementation of our or our collaborators’ trials;</w:t>
      </w:r>
    </w:p>
    <w:p>
      <w:pPr>
        <w:spacing w:after="0" w:line="100" w:lineRule="exact"/>
        <w:rPr>
          <w:rFonts w:ascii="Arial" w:cs="Arial" w:eastAsia="Arial" w:hAnsi="Arial"/>
          <w:sz w:val="16"/>
          <w:szCs w:val="16"/>
          <w:color w:val="auto"/>
        </w:rPr>
      </w:pPr>
    </w:p>
    <w:p>
      <w:pPr>
        <w:ind w:left="1020" w:right="640" w:hanging="516"/>
        <w:spacing w:after="0" w:line="26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6"/>
          <w:szCs w:val="16"/>
          <w:color w:val="auto"/>
        </w:rPr>
      </w:pPr>
    </w:p>
    <w:p>
      <w:pPr>
        <w:ind w:left="1020" w:hanging="516"/>
        <w:spacing w:after="0" w:line="26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receipt of a negative opinion from an advisory committee due to a change in the standard of care regardless of the outcome of the clinical trials;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6" w:name="page37"/>
    <w:bookmarkEnd w:id="36"/>
    <w:p>
      <w:pPr>
        <w:ind w:left="1020" w:hanging="51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approval policies or regulations that render our preclinical and clinical data insufficient for approval.</w:t>
      </w:r>
    </w:p>
    <w:p>
      <w:pPr>
        <w:spacing w:after="0" w:line="100"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252" w:lineRule="exact"/>
        <w:rPr>
          <w:sz w:val="20"/>
          <w:szCs w:val="20"/>
          <w:color w:val="auto"/>
        </w:rPr>
      </w:pPr>
    </w:p>
    <w:p>
      <w:pPr>
        <w:ind w:right="880"/>
        <w:spacing w:after="0" w:line="268" w:lineRule="auto"/>
        <w:rPr>
          <w:sz w:val="20"/>
          <w:szCs w:val="20"/>
          <w:color w:val="auto"/>
        </w:rPr>
      </w:pPr>
      <w:r>
        <w:rPr>
          <w:rFonts w:ascii="Arial" w:cs="Arial" w:eastAsia="Arial" w:hAnsi="Arial"/>
          <w:sz w:val="16"/>
          <w:szCs w:val="16"/>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6"/>
          <w:szCs w:val="16"/>
          <w:i w:val="1"/>
          <w:iCs w:val="1"/>
          <w:color w:val="auto"/>
        </w:rPr>
        <w:t>.</w:t>
      </w:r>
    </w:p>
    <w:p>
      <w:pPr>
        <w:spacing w:after="0" w:line="63" w:lineRule="exact"/>
        <w:rPr>
          <w:sz w:val="20"/>
          <w:szCs w:val="20"/>
          <w:color w:val="auto"/>
        </w:rPr>
      </w:pPr>
    </w:p>
    <w:p>
      <w:pPr>
        <w:ind w:right="20" w:firstLine="511"/>
        <w:spacing w:after="0" w:line="254"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4" w:lineRule="exact"/>
        <w:rPr>
          <w:sz w:val="20"/>
          <w:szCs w:val="20"/>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efficacy and safety profile as demonstrated in trials;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of market introduction as well as competitive products;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clinical indications for which the product candidate is approved;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acceptance of the product candidate as a safe and effective treatment by physicians, clinics and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pricing and the availability of coverage and adequate reimbursement by third-party payors, including government authorities;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frequency and severity of adverse events;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effectiveness of sales and marketing efforts;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unfavorable publicity relating to our product candidates.</w:t>
      </w:r>
    </w:p>
    <w:p>
      <w:pPr>
        <w:spacing w:after="0" w:line="100" w:lineRule="exact"/>
        <w:rPr>
          <w:sz w:val="20"/>
          <w:szCs w:val="20"/>
          <w:color w:val="auto"/>
        </w:rPr>
      </w:pPr>
    </w:p>
    <w:p>
      <w:pPr>
        <w:ind w:right="120" w:firstLine="511"/>
        <w:spacing w:after="0" w:line="268" w:lineRule="auto"/>
        <w:rPr>
          <w:sz w:val="20"/>
          <w:szCs w:val="20"/>
          <w:color w:val="auto"/>
        </w:rPr>
      </w:pPr>
      <w:r>
        <w:rPr>
          <w:rFonts w:ascii="Arial" w:cs="Arial" w:eastAsia="Arial" w:hAnsi="Arial"/>
          <w:sz w:val="16"/>
          <w:szCs w:val="16"/>
          <w:color w:val="auto"/>
        </w:rPr>
        <w:t>If our product candidates are approved but do not achieve an adequate level of acceptance by physicians, hospitals, healthcare payors and patients, we may not generate sufficient revenue to become or remain profitable.</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2" w:lineRule="exact"/>
        <w:rPr>
          <w:sz w:val="20"/>
          <w:szCs w:val="20"/>
          <w:color w:val="auto"/>
        </w:rPr>
      </w:pPr>
    </w:p>
    <w:p>
      <w:pPr>
        <w:ind w:right="180" w:firstLine="511"/>
        <w:spacing w:after="0" w:line="252"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76"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7" w:name="page38"/>
    <w:bookmarkEnd w:id="37"/>
    <w:p>
      <w:pPr>
        <w:ind w:right="80"/>
        <w:spacing w:after="0" w:line="302" w:lineRule="auto"/>
        <w:rPr>
          <w:sz w:val="20"/>
          <w:szCs w:val="20"/>
          <w:color w:val="auto"/>
        </w:rPr>
      </w:pPr>
      <w:r>
        <w:rPr>
          <w:rFonts w:ascii="Arial" w:cs="Arial" w:eastAsia="Arial" w:hAnsi="Arial"/>
          <w:sz w:val="14"/>
          <w:szCs w:val="14"/>
          <w:color w:val="auto"/>
        </w:rPr>
        <w:t>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our product candidates receive regulatory approval, they may still face future development and regulatory difficulties.</w:t>
      </w:r>
    </w:p>
    <w:p>
      <w:pPr>
        <w:spacing w:after="0" w:line="100"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77" w:lineRule="exact"/>
        <w:rPr>
          <w:sz w:val="20"/>
          <w:szCs w:val="20"/>
          <w:color w:val="auto"/>
        </w:rPr>
      </w:pPr>
    </w:p>
    <w:p>
      <w:pPr>
        <w:ind w:right="60" w:firstLine="511"/>
        <w:spacing w:after="0" w:line="252"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6" w:lineRule="exact"/>
        <w:rPr>
          <w:sz w:val="20"/>
          <w:szCs w:val="20"/>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issue warning letters or untitled letters;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mandate modifications to promotional materials or require us to provide corrective information to healthcare practitioners;</w:t>
      </w:r>
    </w:p>
    <w:p>
      <w:pPr>
        <w:spacing w:after="0" w:line="100" w:lineRule="exact"/>
        <w:rPr>
          <w:rFonts w:ascii="Arial" w:cs="Arial" w:eastAsia="Arial" w:hAnsi="Arial"/>
          <w:sz w:val="16"/>
          <w:szCs w:val="16"/>
          <w:color w:val="auto"/>
        </w:rPr>
      </w:pPr>
    </w:p>
    <w:p>
      <w:pPr>
        <w:ind w:left="1020" w:right="420" w:hanging="516"/>
        <w:spacing w:after="0" w:line="268"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seek an injunction or impose civil or criminal penalties or monetary fines;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 any ongoing clinical trials;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refuse to approve pending applications or supplements to applications filed by us;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 or impose restrictions on operations, including costly new manufacturing requirements; or</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seize or detain products, or refuse to permit the import or export of products.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occurrence of any event or penalty described above may inhibit our ability to commercialize and generate revenue from the sale of our product candidates.</w:t>
      </w:r>
    </w:p>
    <w:p>
      <w:pPr>
        <w:spacing w:after="0" w:line="112"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76" w:lineRule="exact"/>
        <w:rPr>
          <w:sz w:val="20"/>
          <w:szCs w:val="20"/>
          <w:color w:val="auto"/>
        </w:rPr>
      </w:pPr>
    </w:p>
    <w:p>
      <w:pPr>
        <w:ind w:right="20" w:firstLine="511"/>
        <w:spacing w:after="0" w:line="268" w:lineRule="auto"/>
        <w:rPr>
          <w:sz w:val="20"/>
          <w:szCs w:val="20"/>
          <w:color w:val="auto"/>
        </w:rPr>
      </w:pPr>
      <w:r>
        <w:rPr>
          <w:rFonts w:ascii="Arial" w:cs="Arial" w:eastAsia="Arial" w:hAnsi="Arial"/>
          <w:sz w:val="15"/>
          <w:szCs w:val="15"/>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8" w:name="page39"/>
    <w:bookmarkEnd w:id="38"/>
    <w:p>
      <w:pPr>
        <w:jc w:val="both"/>
        <w:ind w:right="120"/>
        <w:spacing w:after="0" w:line="283" w:lineRule="auto"/>
        <w:rPr>
          <w:sz w:val="20"/>
          <w:szCs w:val="20"/>
          <w:color w:val="auto"/>
        </w:rPr>
      </w:pPr>
      <w:r>
        <w:rPr>
          <w:rFonts w:ascii="Arial" w:cs="Arial" w:eastAsia="Arial" w:hAnsi="Arial"/>
          <w:sz w:val="15"/>
          <w:szCs w:val="15"/>
          <w:color w:val="auto"/>
        </w:rPr>
        <w:t>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4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63" w:lineRule="exact"/>
        <w:rPr>
          <w:sz w:val="20"/>
          <w:szCs w:val="20"/>
          <w:color w:val="auto"/>
        </w:rPr>
      </w:pPr>
    </w:p>
    <w:p>
      <w:pPr>
        <w:ind w:firstLine="511"/>
        <w:spacing w:after="0" w:line="273" w:lineRule="auto"/>
        <w:rPr>
          <w:sz w:val="20"/>
          <w:szCs w:val="20"/>
          <w:color w:val="auto"/>
        </w:rPr>
      </w:pPr>
      <w:r>
        <w:rPr>
          <w:rFonts w:ascii="Arial" w:cs="Arial" w:eastAsia="Arial" w:hAnsi="Arial"/>
          <w:sz w:val="15"/>
          <w:szCs w:val="15"/>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61" w:lineRule="exact"/>
        <w:rPr>
          <w:sz w:val="20"/>
          <w:szCs w:val="20"/>
          <w:color w:val="auto"/>
        </w:rPr>
      </w:pPr>
    </w:p>
    <w:p>
      <w:pPr>
        <w:ind w:right="180" w:firstLine="511"/>
        <w:spacing w:after="0" w:line="268" w:lineRule="auto"/>
        <w:rPr>
          <w:sz w:val="20"/>
          <w:szCs w:val="20"/>
          <w:color w:val="auto"/>
        </w:rPr>
      </w:pPr>
      <w:r>
        <w:rPr>
          <w:rFonts w:ascii="Arial" w:cs="Arial" w:eastAsia="Arial" w:hAnsi="Arial"/>
          <w:sz w:val="16"/>
          <w:szCs w:val="16"/>
          <w:color w:val="auto"/>
        </w:rPr>
        <w:t>Additionally, if our product candidates receive marketing approval, and we or others later identify undesirable side effects, a number of potentially significant negative consequences could result, including:</w:t>
      </w:r>
    </w:p>
    <w:p>
      <w:pPr>
        <w:spacing w:after="0" w:line="63" w:lineRule="exact"/>
        <w:rPr>
          <w:sz w:val="20"/>
          <w:szCs w:val="20"/>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suspend marketing of, or withdraw or recall, the product;</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withdraw approvals;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product labels;</w:t>
      </w:r>
    </w:p>
    <w:p>
      <w:pPr>
        <w:spacing w:after="0" w:line="100" w:lineRule="exact"/>
        <w:rPr>
          <w:rFonts w:ascii="Arial" w:cs="Arial" w:eastAsia="Arial" w:hAnsi="Arial"/>
          <w:sz w:val="16"/>
          <w:szCs w:val="16"/>
          <w:color w:val="auto"/>
        </w:rPr>
      </w:pPr>
    </w:p>
    <w:p>
      <w:pPr>
        <w:ind w:left="1020" w:right="260" w:hanging="516"/>
        <w:spacing w:after="0" w:line="268"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6"/>
          <w:szCs w:val="16"/>
          <w:color w:val="auto"/>
        </w:rPr>
      </w:pPr>
    </w:p>
    <w:p>
      <w:pPr>
        <w:ind w:left="1020" w:right="180" w:hanging="516"/>
        <w:spacing w:after="0" w:line="302" w:lineRule="auto"/>
        <w:tabs>
          <w:tab w:leader="none" w:pos="1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39" w:lineRule="exact"/>
        <w:rPr>
          <w:rFonts w:ascii="Arial" w:cs="Arial" w:eastAsia="Arial" w:hAnsi="Arial"/>
          <w:sz w:val="15"/>
          <w:szCs w:val="15"/>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that we conduct post-marketing studies;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subjects or patients;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00"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obtain regulatory approval in international jurisdictions would prevent us from marketing our product candidates outside the United States.</w:t>
      </w:r>
    </w:p>
    <w:p>
      <w:pPr>
        <w:spacing w:after="0" w:line="112" w:lineRule="exact"/>
        <w:rPr>
          <w:sz w:val="20"/>
          <w:szCs w:val="20"/>
          <w:color w:val="auto"/>
        </w:rPr>
      </w:pPr>
    </w:p>
    <w:p>
      <w:pPr>
        <w:ind w:right="60" w:firstLine="511"/>
        <w:spacing w:after="0" w:line="267" w:lineRule="auto"/>
        <w:rPr>
          <w:sz w:val="20"/>
          <w:szCs w:val="20"/>
          <w:color w:val="auto"/>
        </w:rPr>
      </w:pPr>
      <w:r>
        <w:rPr>
          <w:rFonts w:ascii="Arial" w:cs="Arial" w:eastAsia="Arial" w:hAnsi="Arial"/>
          <w:sz w:val="15"/>
          <w:szCs w:val="15"/>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We face significant competition from other biotechnology and pharmaceutical companies, and our operating results will suffer if we fail to compete effectively.</w:t>
      </w:r>
    </w:p>
    <w:p>
      <w:pPr>
        <w:spacing w:after="0" w:line="123" w:lineRule="exact"/>
        <w:rPr>
          <w:sz w:val="20"/>
          <w:szCs w:val="20"/>
          <w:color w:val="auto"/>
        </w:rPr>
      </w:pPr>
    </w:p>
    <w:p>
      <w:pPr>
        <w:ind w:right="80" w:firstLine="511"/>
        <w:spacing w:after="0" w:line="276" w:lineRule="auto"/>
        <w:rPr>
          <w:sz w:val="20"/>
          <w:szCs w:val="20"/>
          <w:color w:val="auto"/>
        </w:rPr>
      </w:pPr>
      <w:r>
        <w:rPr>
          <w:rFonts w:ascii="Arial" w:cs="Arial" w:eastAsia="Arial" w:hAnsi="Arial"/>
          <w:sz w:val="15"/>
          <w:szCs w:val="15"/>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2017 ibrutinib (</w:t>
      </w:r>
      <w:r>
        <w:rPr>
          <w:rFonts w:ascii="Arial" w:cs="Arial" w:eastAsia="Arial" w:hAnsi="Arial"/>
          <w:sz w:val="15"/>
          <w:szCs w:val="15"/>
          <w:i w:val="1"/>
          <w:iCs w:val="1"/>
          <w:color w:val="auto"/>
        </w:rPr>
        <w:t>Imbruvica®</w:t>
      </w:r>
      <w:r>
        <w:rPr>
          <w:rFonts w:ascii="Arial" w:cs="Arial" w:eastAsia="Arial" w:hAnsi="Arial"/>
          <w:sz w:val="15"/>
          <w:szCs w:val="15"/>
          <w:color w:val="auto"/>
        </w:rPr>
        <w:t>) became the first drug approved for use patients with cGVHD after failure of one or more lines of systemic therapy. KD-025 and Ruxolitinib (</w:t>
      </w:r>
      <w:r>
        <w:rPr>
          <w:rFonts w:ascii="Arial" w:cs="Arial" w:eastAsia="Arial" w:hAnsi="Arial"/>
          <w:sz w:val="15"/>
          <w:szCs w:val="15"/>
          <w:i w:val="1"/>
          <w:iCs w:val="1"/>
          <w:color w:val="auto"/>
        </w:rPr>
        <w:t>Jakafi</w:t>
      </w:r>
      <w:r>
        <w:rPr>
          <w:rFonts w:ascii="Arial" w:cs="Arial" w:eastAsia="Arial" w:hAnsi="Arial"/>
          <w:sz w:val="15"/>
          <w:szCs w:val="15"/>
          <w:color w:val="auto"/>
        </w:rPr>
        <w:t>®), have recently shared positive results on registration-directed trials to treat steroid refractory cGVHD patients and, if approved, may also compete with axatilimab.</w:t>
      </w:r>
    </w:p>
    <w:p>
      <w:pPr>
        <w:spacing w:after="0" w:line="59" w:lineRule="exact"/>
        <w:rPr>
          <w:sz w:val="20"/>
          <w:szCs w:val="20"/>
          <w:color w:val="auto"/>
        </w:rPr>
      </w:pPr>
    </w:p>
    <w:p>
      <w:pPr>
        <w:ind w:right="180" w:firstLine="511"/>
        <w:spacing w:after="0" w:line="254" w:lineRule="auto"/>
        <w:rPr>
          <w:sz w:val="20"/>
          <w:szCs w:val="20"/>
          <w:color w:val="auto"/>
        </w:rPr>
      </w:pPr>
      <w:r>
        <w:rPr>
          <w:rFonts w:ascii="Arial" w:cs="Arial" w:eastAsia="Arial" w:hAnsi="Arial"/>
          <w:sz w:val="16"/>
          <w:szCs w:val="16"/>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4" w:lineRule="exact"/>
        <w:rPr>
          <w:sz w:val="20"/>
          <w:szCs w:val="20"/>
          <w:color w:val="auto"/>
        </w:rPr>
      </w:pPr>
    </w:p>
    <w:p>
      <w:pPr>
        <w:ind w:right="20" w:firstLine="511"/>
        <w:spacing w:after="0" w:line="294" w:lineRule="auto"/>
        <w:rPr>
          <w:sz w:val="20"/>
          <w:szCs w:val="20"/>
          <w:color w:val="auto"/>
        </w:rPr>
      </w:pPr>
      <w:r>
        <w:rPr>
          <w:rFonts w:ascii="Arial" w:cs="Arial" w:eastAsia="Arial" w:hAnsi="Arial"/>
          <w:sz w:val="14"/>
          <w:szCs w:val="14"/>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ability to successfully compete will depend on, among other things:</w:t>
      </w:r>
    </w:p>
    <w:p>
      <w:pPr>
        <w:spacing w:after="0" w:line="100" w:lineRule="exact"/>
        <w:rPr>
          <w:sz w:val="20"/>
          <w:szCs w:val="20"/>
          <w:color w:val="auto"/>
        </w:rPr>
      </w:pPr>
    </w:p>
    <w:p>
      <w:pPr>
        <w:ind w:left="1020" w:hanging="51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it takes for our product candidates to complete clinical development and receive marketing approval;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commercialize our product candidates if they receive regulatory approval;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price of our product candidates, including in comparison to branded or generic competitors;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whether coverage and adequate levels of reimbursement are available under private and governmental health insurance plans, including Medicare; and</w:t>
      </w:r>
    </w:p>
    <w:p>
      <w:pPr>
        <w:spacing w:after="0" w:line="111" w:lineRule="exact"/>
        <w:rPr>
          <w:rFonts w:ascii="Arial" w:cs="Arial" w:eastAsia="Arial" w:hAnsi="Arial"/>
          <w:sz w:val="15"/>
          <w:szCs w:val="15"/>
          <w:color w:val="auto"/>
        </w:rPr>
      </w:pPr>
    </w:p>
    <w:p>
      <w:pPr>
        <w:ind w:left="1020" w:hanging="51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manufacture commercial quantities of our product candidates if they receive regulatory approval.</w:t>
      </w:r>
    </w:p>
    <w:p>
      <w:pPr>
        <w:spacing w:after="0" w:line="100" w:lineRule="exact"/>
        <w:rPr>
          <w:sz w:val="20"/>
          <w:szCs w:val="20"/>
          <w:color w:val="auto"/>
        </w:rPr>
      </w:pPr>
    </w:p>
    <w:p>
      <w:pPr>
        <w:ind w:right="60" w:firstLine="511"/>
        <w:spacing w:after="0" w:line="311" w:lineRule="auto"/>
        <w:rPr>
          <w:sz w:val="20"/>
          <w:szCs w:val="20"/>
          <w:color w:val="auto"/>
        </w:rPr>
      </w:pPr>
      <w:r>
        <w:rPr>
          <w:rFonts w:ascii="Arial" w:cs="Arial" w:eastAsia="Arial" w:hAnsi="Arial"/>
          <w:sz w:val="14"/>
          <w:szCs w:val="14"/>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2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b w:val="1"/>
          <w:bCs w:val="1"/>
          <w:i w:val="1"/>
          <w:iCs w:val="1"/>
          <w:color w:val="auto"/>
        </w:rPr>
        <w:t>Our strategy of combining entinostat with immune checkpoint inhibitors underwent limited clinical testing and, if we resume this clinical testing, we may fail to show that the combination is well tolerated and demonstrates additional clinical benefit from the combination.</w:t>
      </w:r>
    </w:p>
    <w:p>
      <w:pPr>
        <w:spacing w:after="0" w:line="63"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Preclinical studies conducted by us and others suggest a strong rationale for combining entinostat with immune checkpoint inhibitors, including PD-1 pathway antagonists, to enhance the immune system’s ability to detect and eliminate tumor cells. Our approach was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efficacy to warrant regulatory submission or approval. Following the negative outcome of the E2112 trial of entinostat in combination with exemestane in May 2020, we decided to deprioritize the entinostat program to focus resources on advancing the remainder of our pipeline.</w:t>
      </w:r>
    </w:p>
    <w:p>
      <w:pPr>
        <w:spacing w:after="0" w:line="252"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3"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600" w:right="379" w:bottom="1440" w:gutter="0" w:footer="0" w:header="0"/>
        </w:sectPr>
      </w:pPr>
    </w:p>
    <w:bookmarkStart w:id="40" w:name="page41"/>
    <w:bookmarkEnd w:id="40"/>
    <w:p>
      <w:pPr>
        <w:spacing w:after="0" w:line="266" w:lineRule="auto"/>
        <w:rPr>
          <w:sz w:val="20"/>
          <w:szCs w:val="20"/>
          <w:color w:val="auto"/>
        </w:rPr>
      </w:pPr>
      <w:r>
        <w:rPr>
          <w:rFonts w:ascii="Arial" w:cs="Arial" w:eastAsia="Arial" w:hAnsi="Arial"/>
          <w:sz w:val="15"/>
          <w:szCs w:val="15"/>
          <w:color w:val="auto"/>
        </w:rPr>
        <w:t>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attract and retain additional highly skilled employees in order to succeed.</w:t>
      </w:r>
    </w:p>
    <w:p>
      <w:pPr>
        <w:spacing w:after="0" w:line="100" w:lineRule="exact"/>
        <w:rPr>
          <w:sz w:val="20"/>
          <w:szCs w:val="20"/>
          <w:color w:val="auto"/>
        </w:rPr>
      </w:pPr>
    </w:p>
    <w:p>
      <w:pPr>
        <w:ind w:right="160" w:firstLine="511"/>
        <w:spacing w:after="0" w:line="273" w:lineRule="auto"/>
        <w:rPr>
          <w:sz w:val="20"/>
          <w:szCs w:val="20"/>
          <w:color w:val="auto"/>
        </w:rPr>
      </w:pPr>
      <w:r>
        <w:rPr>
          <w:rFonts w:ascii="Arial" w:cs="Arial" w:eastAsia="Arial" w:hAnsi="Arial"/>
          <w:sz w:val="15"/>
          <w:szCs w:val="15"/>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61" w:lineRule="exact"/>
        <w:rPr>
          <w:sz w:val="20"/>
          <w:szCs w:val="20"/>
          <w:color w:val="auto"/>
        </w:rPr>
      </w:pPr>
    </w:p>
    <w:p>
      <w:pPr>
        <w:ind w:right="160" w:firstLine="511"/>
        <w:spacing w:after="0" w:line="254"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3" w:lineRule="exact"/>
        <w:rPr>
          <w:sz w:val="20"/>
          <w:szCs w:val="20"/>
          <w:color w:val="auto"/>
        </w:rPr>
      </w:pPr>
    </w:p>
    <w:p>
      <w:pPr>
        <w:ind w:right="100" w:firstLine="511"/>
        <w:spacing w:after="0" w:line="297" w:lineRule="auto"/>
        <w:rPr>
          <w:sz w:val="20"/>
          <w:szCs w:val="20"/>
          <w:color w:val="auto"/>
        </w:rPr>
      </w:pPr>
      <w:r>
        <w:rPr>
          <w:rFonts w:ascii="Arial" w:cs="Arial" w:eastAsia="Arial" w:hAnsi="Arial"/>
          <w:sz w:val="14"/>
          <w:szCs w:val="14"/>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46" w:lineRule="exact"/>
        <w:rPr>
          <w:sz w:val="20"/>
          <w:szCs w:val="20"/>
          <w:color w:val="auto"/>
        </w:rPr>
      </w:pPr>
    </w:p>
    <w:p>
      <w:pPr>
        <w:jc w:val="both"/>
        <w:ind w:right="540" w:firstLine="511"/>
        <w:spacing w:after="0" w:line="257" w:lineRule="auto"/>
        <w:rPr>
          <w:sz w:val="20"/>
          <w:szCs w:val="20"/>
          <w:color w:val="auto"/>
        </w:rPr>
      </w:pPr>
      <w:r>
        <w:rPr>
          <w:rFonts w:ascii="Arial" w:cs="Arial" w:eastAsia="Arial" w:hAnsi="Arial"/>
          <w:sz w:val="16"/>
          <w:szCs w:val="16"/>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2"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41" w:name="page42"/>
    <w:bookmarkEnd w:id="41"/>
    <w:p>
      <w:pPr>
        <w:ind w:right="340" w:firstLine="511"/>
        <w:spacing w:after="0" w:line="294" w:lineRule="auto"/>
        <w:rPr>
          <w:sz w:val="20"/>
          <w:szCs w:val="20"/>
          <w:color w:val="auto"/>
        </w:rPr>
      </w:pPr>
      <w:r>
        <w:rPr>
          <w:rFonts w:ascii="Arial" w:cs="Arial" w:eastAsia="Arial" w:hAnsi="Arial"/>
          <w:sz w:val="14"/>
          <w:szCs w:val="14"/>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48" w:lineRule="exact"/>
        <w:rPr>
          <w:sz w:val="20"/>
          <w:szCs w:val="20"/>
          <w:color w:val="auto"/>
        </w:rPr>
      </w:pPr>
    </w:p>
    <w:p>
      <w:pPr>
        <w:ind w:right="80" w:firstLine="511"/>
        <w:spacing w:after="0" w:line="270" w:lineRule="auto"/>
        <w:rPr>
          <w:sz w:val="20"/>
          <w:szCs w:val="20"/>
          <w:color w:val="auto"/>
        </w:rPr>
      </w:pPr>
      <w:r>
        <w:rPr>
          <w:rFonts w:ascii="Arial" w:cs="Arial" w:eastAsia="Arial" w:hAnsi="Arial"/>
          <w:sz w:val="15"/>
          <w:szCs w:val="15"/>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62" w:lineRule="exact"/>
        <w:rPr>
          <w:sz w:val="20"/>
          <w:szCs w:val="20"/>
          <w:color w:val="auto"/>
        </w:rPr>
      </w:pPr>
    </w:p>
    <w:p>
      <w:pPr>
        <w:ind w:right="20" w:firstLine="511"/>
        <w:spacing w:after="0" w:line="283" w:lineRule="auto"/>
        <w:rPr>
          <w:sz w:val="20"/>
          <w:szCs w:val="20"/>
          <w:color w:val="auto"/>
        </w:rPr>
      </w:pPr>
      <w:r>
        <w:rPr>
          <w:rFonts w:ascii="Arial" w:cs="Arial" w:eastAsia="Arial" w:hAnsi="Arial"/>
          <w:sz w:val="15"/>
          <w:szCs w:val="15"/>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12"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remain judicial and Congressional challenges, as well as recent efforts by the Trump administration to repeal or replace certain aspects of the Affordable Care Act. Since January 2017, President Trump has signed several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several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eliminates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Affordable Care Act will impact the Affordable Care, and our business. In addition, Congress may consider other legislation to repeal and replace elements of the Affordable Care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42" w:name="page43"/>
    <w:bookmarkEnd w:id="42"/>
    <w:p>
      <w:pPr>
        <w:ind w:right="20" w:firstLine="511"/>
        <w:spacing w:after="0" w:line="289" w:lineRule="auto"/>
        <w:rPr>
          <w:sz w:val="20"/>
          <w:szCs w:val="20"/>
          <w:color w:val="auto"/>
        </w:rPr>
      </w:pPr>
      <w:r>
        <w:rPr>
          <w:rFonts w:ascii="Arial" w:cs="Arial" w:eastAsia="Arial" w:hAnsi="Arial"/>
          <w:sz w:val="14"/>
          <w:szCs w:val="14"/>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2030.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55" w:lineRule="exact"/>
        <w:rPr>
          <w:sz w:val="20"/>
          <w:szCs w:val="20"/>
          <w:color w:val="auto"/>
        </w:rPr>
      </w:pPr>
    </w:p>
    <w:p>
      <w:pPr>
        <w:ind w:right="20" w:firstLine="511"/>
        <w:spacing w:after="0" w:line="285" w:lineRule="auto"/>
        <w:rPr>
          <w:sz w:val="20"/>
          <w:szCs w:val="20"/>
          <w:color w:val="auto"/>
        </w:rPr>
      </w:pPr>
      <w:r>
        <w:rPr>
          <w:rFonts w:ascii="Arial" w:cs="Arial" w:eastAsia="Arial" w:hAnsi="Arial"/>
          <w:sz w:val="14"/>
          <w:szCs w:val="14"/>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May 2019, CMS issued a final rule to allow Medicare Advantage plans the option to use step therapy for part B drugs beginning January 1, 2020. This final rule codified CMS’s policy change that was effective January 1, 2019. On July 24, 2020, the Trump administration announced four executive orders related to prescription drug pricing that attempt to implement several of the administration’s proposals, including a policy that would tie Medicare Part B drug prices to international drug prices; one that directs the Department of Health and Human Services to finalize the Canadian drug importation proposed rule previously issued by the Department of Health and Human Services and makes other changes allowing for personal importation of drugs from Canada; one that directs HHS to finalize the rulemaking process on modifying the anti-kickback law safe harbors for discounts for plans, pharmacies, and pharmaceutical benefit managers; and one that reduces costs of insulin and epipens to patients of federally qualified health centers. While some of these and other measures may require additional authorization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59"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00"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59" w:lineRule="exact"/>
        <w:rPr>
          <w:sz w:val="20"/>
          <w:szCs w:val="20"/>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of clinical trial sites or entire trial programs;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3" w:name="page44"/>
    <w:bookmarkEnd w:id="43"/>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withdrawal of trial participants;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substantial monetary awards to trial subjects or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diversion of management and scientific resources from our business operations;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to commercialize any products that we may develop.</w:t>
      </w:r>
    </w:p>
    <w:p>
      <w:pPr>
        <w:spacing w:after="0" w:line="100" w:lineRule="exact"/>
        <w:rPr>
          <w:sz w:val="20"/>
          <w:szCs w:val="20"/>
          <w:color w:val="auto"/>
        </w:rPr>
      </w:pPr>
    </w:p>
    <w:p>
      <w:pPr>
        <w:ind w:right="80" w:firstLine="511"/>
        <w:spacing w:after="0" w:line="273" w:lineRule="auto"/>
        <w:rPr>
          <w:sz w:val="20"/>
          <w:szCs w:val="20"/>
          <w:color w:val="auto"/>
        </w:rPr>
      </w:pPr>
      <w:r>
        <w:rPr>
          <w:rFonts w:ascii="Arial" w:cs="Arial" w:eastAsia="Arial" w:hAnsi="Arial"/>
          <w:sz w:val="15"/>
          <w:szCs w:val="15"/>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5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4" w:lineRule="exact"/>
        <w:rPr>
          <w:sz w:val="20"/>
          <w:szCs w:val="20"/>
          <w:color w:val="auto"/>
        </w:rPr>
      </w:pPr>
    </w:p>
    <w:p>
      <w:pPr>
        <w:ind w:firstLine="511"/>
        <w:spacing w:after="0" w:line="252" w:lineRule="auto"/>
        <w:rPr>
          <w:sz w:val="20"/>
          <w:szCs w:val="20"/>
          <w:color w:val="auto"/>
        </w:rPr>
      </w:pPr>
      <w:r>
        <w:rPr>
          <w:rFonts w:ascii="Arial" w:cs="Arial" w:eastAsia="Arial" w:hAnsi="Arial"/>
          <w:sz w:val="16"/>
          <w:szCs w:val="16"/>
          <w:color w:val="auto"/>
        </w:rPr>
        <w:t>Healthcare providers, including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6" w:lineRule="exact"/>
        <w:rPr>
          <w:sz w:val="20"/>
          <w:szCs w:val="20"/>
          <w:color w:val="auto"/>
        </w:rPr>
      </w:pPr>
    </w:p>
    <w:p>
      <w:pPr>
        <w:ind w:left="1020" w:right="100" w:hanging="516"/>
        <w:spacing w:after="0" w:line="25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3" w:lineRule="exact"/>
        <w:rPr>
          <w:rFonts w:ascii="Arial" w:cs="Arial" w:eastAsia="Arial" w:hAnsi="Arial"/>
          <w:sz w:val="16"/>
          <w:szCs w:val="16"/>
          <w:color w:val="auto"/>
        </w:rPr>
      </w:pPr>
    </w:p>
    <w:p>
      <w:pPr>
        <w:ind w:left="1020" w:right="180" w:hanging="516"/>
        <w:spacing w:after="0" w:line="283" w:lineRule="auto"/>
        <w:tabs>
          <w:tab w:leader="none" w:pos="10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52" w:lineRule="exact"/>
        <w:rPr>
          <w:rFonts w:ascii="Arial" w:cs="Arial" w:eastAsia="Arial" w:hAnsi="Arial"/>
          <w:sz w:val="15"/>
          <w:szCs w:val="15"/>
          <w:color w:val="auto"/>
        </w:rPr>
      </w:pPr>
    </w:p>
    <w:p>
      <w:pPr>
        <w:ind w:left="1020" w:right="80" w:hanging="516"/>
        <w:spacing w:after="0" w:line="25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as amended by the Health Information Technology for Economic and Clinical Health Act of 2009, or HITECH,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6"/>
          <w:szCs w:val="16"/>
          <w:color w:val="auto"/>
        </w:rPr>
      </w:pPr>
    </w:p>
    <w:p>
      <w:pPr>
        <w:ind w:left="1020" w:hanging="516"/>
        <w:spacing w:after="0" w:line="270" w:lineRule="auto"/>
        <w:tabs>
          <w:tab w:leader="none" w:pos="10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62" w:lineRule="exact"/>
        <w:rPr>
          <w:rFonts w:ascii="Arial" w:cs="Arial" w:eastAsia="Arial" w:hAnsi="Arial"/>
          <w:sz w:val="15"/>
          <w:szCs w:val="15"/>
          <w:color w:val="auto"/>
        </w:rPr>
      </w:pPr>
    </w:p>
    <w:p>
      <w:pPr>
        <w:ind w:left="1020" w:right="100" w:hanging="516"/>
        <w:spacing w:after="0" w:line="25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4" w:name="page45"/>
    <w:bookmarkEnd w:id="44"/>
    <w:p>
      <w:pPr>
        <w:ind w:left="1020" w:right="100"/>
        <w:spacing w:after="0" w:line="292" w:lineRule="auto"/>
        <w:rPr>
          <w:sz w:val="20"/>
          <w:szCs w:val="20"/>
          <w:color w:val="auto"/>
        </w:rPr>
      </w:pPr>
      <w:r>
        <w:rPr>
          <w:rFonts w:ascii="Arial" w:cs="Arial" w:eastAsia="Arial" w:hAnsi="Arial"/>
          <w:sz w:val="14"/>
          <w:szCs w:val="14"/>
          <w:color w:val="auto"/>
        </w:rPr>
        <w:t>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50" w:lineRule="exact"/>
        <w:rPr>
          <w:sz w:val="20"/>
          <w:szCs w:val="20"/>
          <w:color w:val="auto"/>
        </w:rPr>
      </w:pPr>
    </w:p>
    <w:p>
      <w:pPr>
        <w:ind w:right="100" w:firstLine="511"/>
        <w:spacing w:after="0" w:line="267" w:lineRule="auto"/>
        <w:rPr>
          <w:sz w:val="20"/>
          <w:szCs w:val="20"/>
          <w:color w:val="auto"/>
        </w:rPr>
      </w:pPr>
      <w:r>
        <w:rPr>
          <w:rFonts w:ascii="Arial" w:cs="Arial" w:eastAsia="Arial" w:hAnsi="Arial"/>
          <w:sz w:val="15"/>
          <w:szCs w:val="15"/>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59"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3" w:lineRule="exact"/>
        <w:rPr>
          <w:sz w:val="20"/>
          <w:szCs w:val="20"/>
          <w:color w:val="auto"/>
        </w:rPr>
      </w:pPr>
    </w:p>
    <w:p>
      <w:pPr>
        <w:ind w:firstLine="511"/>
        <w:spacing w:after="0" w:line="266" w:lineRule="auto"/>
        <w:rPr>
          <w:sz w:val="20"/>
          <w:szCs w:val="20"/>
          <w:color w:val="auto"/>
        </w:rPr>
      </w:pPr>
      <w:r>
        <w:rPr>
          <w:rFonts w:ascii="Arial" w:cs="Arial" w:eastAsia="Arial" w:hAnsi="Arial"/>
          <w:sz w:val="15"/>
          <w:szCs w:val="15"/>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68" w:lineRule="exact"/>
        <w:rPr>
          <w:sz w:val="20"/>
          <w:szCs w:val="20"/>
          <w:color w:val="auto"/>
        </w:rPr>
      </w:pPr>
    </w:p>
    <w:p>
      <w:pPr>
        <w:ind w:right="140" w:firstLine="511"/>
        <w:spacing w:after="0" w:line="271" w:lineRule="auto"/>
        <w:rPr>
          <w:sz w:val="20"/>
          <w:szCs w:val="20"/>
          <w:color w:val="auto"/>
        </w:rPr>
      </w:pPr>
      <w:r>
        <w:rPr>
          <w:rFonts w:ascii="Arial" w:cs="Arial" w:eastAsia="Arial" w:hAnsi="Arial"/>
          <w:sz w:val="15"/>
          <w:szCs w:val="15"/>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63" w:lineRule="exact"/>
        <w:rPr>
          <w:sz w:val="20"/>
          <w:szCs w:val="20"/>
          <w:color w:val="auto"/>
        </w:rPr>
      </w:pPr>
    </w:p>
    <w:p>
      <w:pPr>
        <w:ind w:right="200" w:firstLine="511"/>
        <w:spacing w:after="0" w:line="257"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45" w:name="page46"/>
    <w:bookmarkEnd w:id="45"/>
    <w:p>
      <w:pPr>
        <w:spacing w:after="0" w:line="287" w:lineRule="auto"/>
        <w:rPr>
          <w:sz w:val="20"/>
          <w:szCs w:val="20"/>
          <w:color w:val="auto"/>
        </w:rPr>
      </w:pPr>
      <w:r>
        <w:rPr>
          <w:rFonts w:ascii="Arial" w:cs="Arial" w:eastAsia="Arial" w:hAnsi="Arial"/>
          <w:sz w:val="14"/>
          <w:szCs w:val="14"/>
          <w:color w:val="auto"/>
        </w:rPr>
        <w:t>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Risks Related to Our Financial Position and Capital Needs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and anticipate that we will continue to incur net losses for the foreseeable future.</w:t>
      </w:r>
    </w:p>
    <w:p>
      <w:pPr>
        <w:spacing w:after="0" w:line="100" w:lineRule="exact"/>
        <w:rPr>
          <w:sz w:val="20"/>
          <w:szCs w:val="20"/>
          <w:color w:val="auto"/>
        </w:rPr>
      </w:pPr>
    </w:p>
    <w:p>
      <w:pPr>
        <w:ind w:right="20" w:firstLine="511"/>
        <w:spacing w:after="0" w:line="273" w:lineRule="auto"/>
        <w:rPr>
          <w:sz w:val="20"/>
          <w:szCs w:val="20"/>
          <w:color w:val="auto"/>
        </w:rPr>
      </w:pPr>
      <w:r>
        <w:rPr>
          <w:rFonts w:ascii="Arial" w:cs="Arial" w:eastAsia="Arial" w:hAnsi="Arial"/>
          <w:sz w:val="15"/>
          <w:szCs w:val="15"/>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61"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For the six months ended June 30, 2020, we reported a net loss of $32.3 million. Net loss attributable to shareholders for the six months ended June 30, 2020, was $36.2 million. As of June 30, 2020, we had an accumulated deficit of $527.8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have no source of product revenue and may never achieve or maintain profitability.</w:t>
      </w:r>
    </w:p>
    <w:p>
      <w:pPr>
        <w:spacing w:after="0" w:line="100" w:lineRule="exact"/>
        <w:rPr>
          <w:sz w:val="20"/>
          <w:szCs w:val="20"/>
          <w:color w:val="auto"/>
        </w:rPr>
      </w:pPr>
    </w:p>
    <w:p>
      <w:pPr>
        <w:jc w:val="both"/>
        <w:ind w:right="300" w:firstLine="511"/>
        <w:spacing w:after="0" w:line="257" w:lineRule="auto"/>
        <w:rPr>
          <w:sz w:val="20"/>
          <w:szCs w:val="20"/>
          <w:color w:val="auto"/>
        </w:rPr>
      </w:pPr>
      <w:r>
        <w:rPr>
          <w:rFonts w:ascii="Arial" w:cs="Arial" w:eastAsia="Arial" w:hAnsi="Arial"/>
          <w:sz w:val="16"/>
          <w:szCs w:val="16"/>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2" w:lineRule="exact"/>
        <w:rPr>
          <w:sz w:val="20"/>
          <w:szCs w:val="20"/>
          <w:color w:val="auto"/>
        </w:rPr>
      </w:pPr>
    </w:p>
    <w:p>
      <w:pPr>
        <w:ind w:left="1020" w:hanging="51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successfully complete the research and clinical development of, and receive regulatory approval for, our product candidates;</w:t>
      </w:r>
    </w:p>
    <w:p>
      <w:pPr>
        <w:spacing w:after="0" w:line="100" w:lineRule="exact"/>
        <w:rPr>
          <w:rFonts w:ascii="Arial" w:cs="Arial" w:eastAsia="Arial" w:hAnsi="Arial"/>
          <w:sz w:val="16"/>
          <w:szCs w:val="16"/>
          <w:color w:val="auto"/>
        </w:rPr>
      </w:pPr>
    </w:p>
    <w:p>
      <w:pPr>
        <w:ind w:left="1020" w:right="200" w:hanging="516"/>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to build a portfolio of product candidates through the acquisition or in-license of products, product candidates or technologies;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initiate preclinical and clinical trials for any additional product candidates that we may pursue in the future;</w:t>
      </w:r>
    </w:p>
    <w:p>
      <w:pPr>
        <w:spacing w:after="0" w:line="100" w:lineRule="exact"/>
        <w:rPr>
          <w:rFonts w:ascii="Arial" w:cs="Arial" w:eastAsia="Arial" w:hAnsi="Arial"/>
          <w:sz w:val="16"/>
          <w:szCs w:val="16"/>
          <w:color w:val="auto"/>
        </w:rPr>
      </w:pPr>
    </w:p>
    <w:p>
      <w:pPr>
        <w:ind w:left="1020" w:right="440" w:hanging="516"/>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coverage and adequate product reimbursement from third-party payors, including government payors;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40"/>
          </w:cols>
          <w:pgMar w:left="320" w:top="411" w:right="439" w:bottom="1440" w:gutter="0" w:footer="0" w:header="0"/>
        </w:sectPr>
      </w:pPr>
    </w:p>
    <w:bookmarkStart w:id="46" w:name="page47"/>
    <w:bookmarkEnd w:id="46"/>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maintain, expand and protect our intellectual property rights;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attract, hire and retain additional qualified personnel.</w:t>
      </w:r>
    </w:p>
    <w:p>
      <w:pPr>
        <w:spacing w:after="0" w:line="100" w:lineRule="exact"/>
        <w:rPr>
          <w:sz w:val="20"/>
          <w:szCs w:val="20"/>
          <w:color w:val="auto"/>
        </w:rPr>
      </w:pPr>
    </w:p>
    <w:p>
      <w:pPr>
        <w:ind w:firstLine="511"/>
        <w:spacing w:after="0" w:line="302" w:lineRule="auto"/>
        <w:rPr>
          <w:sz w:val="20"/>
          <w:szCs w:val="20"/>
          <w:color w:val="auto"/>
        </w:rPr>
      </w:pPr>
      <w:r>
        <w:rPr>
          <w:rFonts w:ascii="Arial" w:cs="Arial" w:eastAsia="Arial" w:hAnsi="Arial"/>
          <w:sz w:val="14"/>
          <w:szCs w:val="14"/>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42" w:lineRule="exact"/>
        <w:rPr>
          <w:sz w:val="20"/>
          <w:szCs w:val="20"/>
          <w:color w:val="auto"/>
        </w:rPr>
      </w:pPr>
    </w:p>
    <w:p>
      <w:pPr>
        <w:jc w:val="both"/>
        <w:ind w:right="40" w:firstLine="511"/>
        <w:spacing w:after="0" w:line="283" w:lineRule="auto"/>
        <w:rPr>
          <w:sz w:val="20"/>
          <w:szCs w:val="20"/>
          <w:color w:val="auto"/>
        </w:rPr>
      </w:pPr>
      <w:r>
        <w:rPr>
          <w:rFonts w:ascii="Arial" w:cs="Arial" w:eastAsia="Arial" w:hAnsi="Arial"/>
          <w:sz w:val="15"/>
          <w:szCs w:val="15"/>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42" w:lineRule="exact"/>
        <w:rPr>
          <w:sz w:val="20"/>
          <w:szCs w:val="20"/>
          <w:color w:val="auto"/>
        </w:rPr>
      </w:pPr>
    </w:p>
    <w:p>
      <w:pPr>
        <w:ind w:right="280"/>
        <w:spacing w:after="0" w:line="341" w:lineRule="auto"/>
        <w:rPr>
          <w:sz w:val="20"/>
          <w:szCs w:val="20"/>
          <w:color w:val="auto"/>
        </w:rPr>
      </w:pPr>
      <w:r>
        <w:rPr>
          <w:rFonts w:ascii="Arial" w:cs="Arial" w:eastAsia="Arial" w:hAnsi="Arial"/>
          <w:sz w:val="14"/>
          <w:szCs w:val="14"/>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6" w:lineRule="exact"/>
        <w:rPr>
          <w:sz w:val="20"/>
          <w:szCs w:val="20"/>
          <w:color w:val="auto"/>
        </w:rPr>
      </w:pPr>
    </w:p>
    <w:p>
      <w:pPr>
        <w:ind w:right="20" w:firstLine="511"/>
        <w:spacing w:after="0" w:line="273" w:lineRule="auto"/>
        <w:rPr>
          <w:sz w:val="20"/>
          <w:szCs w:val="20"/>
          <w:color w:val="auto"/>
        </w:rPr>
      </w:pPr>
      <w:r>
        <w:rPr>
          <w:rFonts w:ascii="Arial" w:cs="Arial" w:eastAsia="Arial" w:hAnsi="Arial"/>
          <w:sz w:val="15"/>
          <w:szCs w:val="15"/>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61" w:lineRule="exact"/>
        <w:rPr>
          <w:sz w:val="20"/>
          <w:szCs w:val="20"/>
          <w:color w:val="auto"/>
        </w:rPr>
      </w:pPr>
    </w:p>
    <w:p>
      <w:pPr>
        <w:ind w:right="100" w:firstLine="511"/>
        <w:spacing w:after="0" w:line="273" w:lineRule="auto"/>
        <w:rPr>
          <w:sz w:val="20"/>
          <w:szCs w:val="20"/>
          <w:color w:val="auto"/>
        </w:rPr>
      </w:pPr>
      <w:r>
        <w:rPr>
          <w:rFonts w:ascii="Arial" w:cs="Arial" w:eastAsia="Arial" w:hAnsi="Arial"/>
          <w:sz w:val="15"/>
          <w:szCs w:val="15"/>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61" w:lineRule="exact"/>
        <w:rPr>
          <w:sz w:val="20"/>
          <w:szCs w:val="20"/>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 scale back or discontinue the development or commercialization of our product candidates or cease operations altogether;</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seek strategic alliances for our existing product candidates on terms less favorable than might otherwise be available; or</w:t>
      </w:r>
    </w:p>
    <w:p>
      <w:pPr>
        <w:spacing w:after="0" w:line="100" w:lineRule="exact"/>
        <w:rPr>
          <w:rFonts w:ascii="Arial" w:cs="Arial" w:eastAsia="Arial" w:hAnsi="Arial"/>
          <w:sz w:val="16"/>
          <w:szCs w:val="16"/>
          <w:color w:val="auto"/>
        </w:rPr>
      </w:pPr>
    </w:p>
    <w:p>
      <w:pPr>
        <w:ind w:left="1020" w:right="20" w:hanging="516"/>
        <w:spacing w:after="0" w:line="268"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relinquish, or license on unfavorable terms, our rights to technologies or any future product candidates that we otherwise would seek to develop or commercialize ourselves.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7" w:name="page48"/>
    <w:bookmarkEnd w:id="47"/>
    <w:p>
      <w:pPr>
        <w:ind w:right="400" w:firstLine="511"/>
        <w:spacing w:after="0" w:line="268"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future funding requirements, both short- and long-term, will depend on many factors, including:</w:t>
      </w:r>
    </w:p>
    <w:p>
      <w:pPr>
        <w:spacing w:after="0" w:line="100" w:lineRule="exact"/>
        <w:rPr>
          <w:sz w:val="20"/>
          <w:szCs w:val="20"/>
          <w:color w:val="auto"/>
        </w:rPr>
      </w:pPr>
    </w:p>
    <w:p>
      <w:pPr>
        <w:ind w:left="1020" w:hanging="51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of our product candidates;</w:t>
      </w:r>
    </w:p>
    <w:p>
      <w:pPr>
        <w:spacing w:after="0" w:line="100" w:lineRule="exact"/>
        <w:rPr>
          <w:rFonts w:ascii="Arial" w:cs="Arial" w:eastAsia="Arial" w:hAnsi="Arial"/>
          <w:sz w:val="16"/>
          <w:szCs w:val="16"/>
          <w:color w:val="auto"/>
        </w:rPr>
      </w:pPr>
    </w:p>
    <w:p>
      <w:pPr>
        <w:ind w:left="1020" w:right="120" w:hanging="516"/>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6"/>
          <w:szCs w:val="16"/>
          <w:color w:val="auto"/>
        </w:rPr>
      </w:pPr>
    </w:p>
    <w:p>
      <w:pPr>
        <w:jc w:val="both"/>
        <w:ind w:left="1020" w:right="200" w:hanging="516"/>
        <w:spacing w:after="0" w:line="257"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1" w:lineRule="exact"/>
        <w:rPr>
          <w:rFonts w:ascii="Arial" w:cs="Arial" w:eastAsia="Arial" w:hAnsi="Arial"/>
          <w:sz w:val="16"/>
          <w:szCs w:val="16"/>
          <w:color w:val="auto"/>
        </w:rPr>
      </w:pPr>
    </w:p>
    <w:p>
      <w:pPr>
        <w:ind w:left="1020" w:hanging="51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 acceptance of our product candidates;</w:t>
      </w:r>
    </w:p>
    <w:p>
      <w:pPr>
        <w:spacing w:after="0" w:line="100" w:lineRule="exact"/>
        <w:rPr>
          <w:rFonts w:ascii="Arial" w:cs="Arial" w:eastAsia="Arial" w:hAnsi="Arial"/>
          <w:sz w:val="16"/>
          <w:szCs w:val="16"/>
          <w:color w:val="auto"/>
        </w:rPr>
      </w:pPr>
    </w:p>
    <w:p>
      <w:pPr>
        <w:ind w:left="1020" w:right="600" w:hanging="516"/>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6"/>
          <w:szCs w:val="16"/>
          <w:color w:val="auto"/>
        </w:rPr>
      </w:pPr>
    </w:p>
    <w:p>
      <w:pPr>
        <w:ind w:left="1020" w:right="1200" w:hanging="516"/>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6"/>
          <w:szCs w:val="16"/>
          <w:color w:val="auto"/>
        </w:rPr>
      </w:pPr>
    </w:p>
    <w:p>
      <w:pPr>
        <w:ind w:left="1020" w:right="40" w:hanging="516"/>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of acquiring, licensing or investing in additional businesses, products, product candidates and technologies;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 and</w:t>
      </w:r>
    </w:p>
    <w:p>
      <w:pPr>
        <w:spacing w:after="0" w:line="100" w:lineRule="exact"/>
        <w:rPr>
          <w:rFonts w:ascii="Arial" w:cs="Arial" w:eastAsia="Arial" w:hAnsi="Arial"/>
          <w:sz w:val="16"/>
          <w:szCs w:val="16"/>
          <w:color w:val="auto"/>
        </w:rPr>
      </w:pPr>
    </w:p>
    <w:p>
      <w:pPr>
        <w:ind w:left="1020" w:right="40" w:hanging="516"/>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63"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3" w:lineRule="exact"/>
        <w:rPr>
          <w:sz w:val="20"/>
          <w:szCs w:val="20"/>
          <w:color w:val="auto"/>
        </w:rPr>
      </w:pPr>
    </w:p>
    <w:p>
      <w:pPr>
        <w:ind w:right="260" w:firstLine="511"/>
        <w:spacing w:after="0" w:line="302" w:lineRule="auto"/>
        <w:rPr>
          <w:sz w:val="20"/>
          <w:szCs w:val="20"/>
          <w:color w:val="auto"/>
        </w:rPr>
      </w:pPr>
      <w:r>
        <w:rPr>
          <w:rFonts w:ascii="Arial" w:cs="Arial" w:eastAsia="Arial" w:hAnsi="Arial"/>
          <w:sz w:val="14"/>
          <w:szCs w:val="14"/>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June 30, 2020, the outstanding principal balance under the Credit Facility was $20.0 million, resulting from the closing of the first tranche of funding which occurred on February 7, 2020. The Credit Facility contains customary representations, warranties, affirmative and negative covenants and events of default applicable to us and our subsidiaries.</w:t>
      </w:r>
    </w:p>
    <w:p>
      <w:pPr>
        <w:spacing w:after="0" w:line="42" w:lineRule="exact"/>
        <w:rPr>
          <w:sz w:val="20"/>
          <w:szCs w:val="20"/>
          <w:color w:val="auto"/>
        </w:rPr>
      </w:pPr>
    </w:p>
    <w:p>
      <w:pPr>
        <w:ind w:right="40" w:firstLine="511"/>
        <w:spacing w:after="0" w:line="270" w:lineRule="auto"/>
        <w:rPr>
          <w:sz w:val="20"/>
          <w:szCs w:val="20"/>
          <w:color w:val="auto"/>
        </w:rPr>
      </w:pPr>
      <w:r>
        <w:rPr>
          <w:rFonts w:ascii="Arial" w:cs="Arial" w:eastAsia="Arial" w:hAnsi="Arial"/>
          <w:sz w:val="15"/>
          <w:szCs w:val="15"/>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regulations could materially adversely affect our company.</w:t>
      </w:r>
    </w:p>
    <w:p>
      <w:pPr>
        <w:spacing w:after="0" w:line="100" w:lineRule="exact"/>
        <w:rPr>
          <w:sz w:val="20"/>
          <w:szCs w:val="20"/>
          <w:color w:val="auto"/>
        </w:rPr>
      </w:pPr>
    </w:p>
    <w:p>
      <w:pPr>
        <w:ind w:right="100" w:firstLine="511"/>
        <w:spacing w:after="0" w:line="268"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48" w:name="page49"/>
    <w:bookmarkEnd w:id="48"/>
    <w:p>
      <w:pPr>
        <w:ind w:right="100"/>
        <w:spacing w:after="0" w:line="294" w:lineRule="auto"/>
        <w:rPr>
          <w:sz w:val="20"/>
          <w:szCs w:val="20"/>
          <w:color w:val="auto"/>
        </w:rPr>
      </w:pPr>
      <w:r>
        <w:rPr>
          <w:rFonts w:ascii="Arial" w:cs="Arial" w:eastAsia="Arial" w:hAnsi="Arial"/>
          <w:sz w:val="14"/>
          <w:szCs w:val="14"/>
          <w:color w:val="auto"/>
        </w:rPr>
        <w:t>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100" w:lineRule="exact"/>
        <w:rPr>
          <w:sz w:val="20"/>
          <w:szCs w:val="20"/>
          <w:color w:val="auto"/>
        </w:rPr>
      </w:pPr>
    </w:p>
    <w:p>
      <w:pPr>
        <w:ind w:firstLine="511"/>
        <w:spacing w:after="0" w:line="268" w:lineRule="auto"/>
        <w:rPr>
          <w:sz w:val="20"/>
          <w:szCs w:val="20"/>
          <w:color w:val="auto"/>
        </w:rPr>
      </w:pPr>
      <w:r>
        <w:rPr>
          <w:rFonts w:ascii="Arial" w:cs="Arial" w:eastAsia="Arial" w:hAnsi="Arial"/>
          <w:sz w:val="15"/>
          <w:szCs w:val="15"/>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March 31, 2020 and determined that on March 30, 2007 and August 21, 2015 ownership changes had occurred. We may have experienced an ownership change since June 30, 2020,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or protect intellectual property rights, we may not be able to compete effectively in our market.</w:t>
      </w:r>
    </w:p>
    <w:p>
      <w:pPr>
        <w:spacing w:after="0" w:line="100"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59" w:lineRule="exact"/>
        <w:rPr>
          <w:sz w:val="20"/>
          <w:szCs w:val="20"/>
          <w:color w:val="auto"/>
        </w:rPr>
      </w:pPr>
    </w:p>
    <w:p>
      <w:pPr>
        <w:ind w:right="80" w:firstLine="511"/>
        <w:spacing w:after="0" w:line="269" w:lineRule="auto"/>
        <w:rPr>
          <w:sz w:val="20"/>
          <w:szCs w:val="20"/>
          <w:color w:val="auto"/>
        </w:rPr>
      </w:pPr>
      <w:r>
        <w:rPr>
          <w:rFonts w:ascii="Arial" w:cs="Arial" w:eastAsia="Arial" w:hAnsi="Arial"/>
          <w:sz w:val="15"/>
          <w:szCs w:val="15"/>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63" w:lineRule="exact"/>
        <w:rPr>
          <w:sz w:val="20"/>
          <w:szCs w:val="20"/>
          <w:color w:val="auto"/>
        </w:rPr>
      </w:pPr>
    </w:p>
    <w:p>
      <w:pPr>
        <w:ind w:firstLine="511"/>
        <w:spacing w:after="0" w:line="287"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49" w:name="page50"/>
    <w:bookmarkEnd w:id="49"/>
    <w:p>
      <w:pPr>
        <w:ind w:right="20"/>
        <w:spacing w:after="0" w:line="273" w:lineRule="auto"/>
        <w:rPr>
          <w:sz w:val="20"/>
          <w:szCs w:val="20"/>
          <w:color w:val="auto"/>
        </w:rPr>
      </w:pPr>
      <w:r>
        <w:rPr>
          <w:rFonts w:ascii="Arial" w:cs="Arial" w:eastAsia="Arial" w:hAnsi="Arial"/>
          <w:sz w:val="15"/>
          <w:szCs w:val="15"/>
          <w:color w:val="auto"/>
        </w:rPr>
        <w:t>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1" w:lineRule="exact"/>
        <w:rPr>
          <w:sz w:val="20"/>
          <w:szCs w:val="20"/>
          <w:color w:val="auto"/>
        </w:rPr>
      </w:pPr>
    </w:p>
    <w:p>
      <w:pPr>
        <w:ind w:right="60" w:firstLine="511"/>
        <w:spacing w:after="0" w:line="276" w:lineRule="auto"/>
        <w:rPr>
          <w:sz w:val="20"/>
          <w:szCs w:val="20"/>
          <w:color w:val="auto"/>
        </w:rPr>
      </w:pPr>
      <w:r>
        <w:rPr>
          <w:rFonts w:ascii="Arial" w:cs="Arial" w:eastAsia="Arial" w:hAnsi="Arial"/>
          <w:sz w:val="15"/>
          <w:szCs w:val="15"/>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59" w:lineRule="exact"/>
        <w:rPr>
          <w:sz w:val="20"/>
          <w:szCs w:val="20"/>
          <w:color w:val="auto"/>
        </w:rPr>
      </w:pPr>
    </w:p>
    <w:p>
      <w:pPr>
        <w:ind w:right="60" w:firstLine="511"/>
        <w:spacing w:after="0" w:line="267" w:lineRule="auto"/>
        <w:rPr>
          <w:sz w:val="20"/>
          <w:szCs w:val="20"/>
          <w:color w:val="auto"/>
        </w:rPr>
      </w:pPr>
      <w:r>
        <w:rPr>
          <w:rFonts w:ascii="Arial" w:cs="Arial" w:eastAsia="Arial" w:hAnsi="Arial"/>
          <w:sz w:val="15"/>
          <w:szCs w:val="15"/>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0" w:lineRule="exact"/>
        <w:rPr>
          <w:sz w:val="20"/>
          <w:szCs w:val="20"/>
          <w:color w:val="auto"/>
        </w:rPr>
      </w:pPr>
    </w:p>
    <w:p>
      <w:pPr>
        <w:ind w:right="60" w:firstLine="511"/>
        <w:spacing w:after="0" w:line="251" w:lineRule="auto"/>
        <w:rPr>
          <w:sz w:val="20"/>
          <w:szCs w:val="20"/>
          <w:color w:val="auto"/>
        </w:rPr>
      </w:pPr>
      <w:r>
        <w:rPr>
          <w:rFonts w:ascii="Arial" w:cs="Arial" w:eastAsia="Arial" w:hAnsi="Arial"/>
          <w:sz w:val="16"/>
          <w:szCs w:val="16"/>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7"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axatilimab (a humanized, full-length IgG4 (kappa light chain) antibody with high affinity for the CSF-1R) as well as claims directed to methods of use of axatilimab. There is no guarantee that any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77" w:lineRule="exact"/>
        <w:rPr>
          <w:sz w:val="20"/>
          <w:szCs w:val="20"/>
          <w:color w:val="auto"/>
        </w:rPr>
      </w:pPr>
    </w:p>
    <w:p>
      <w:pPr>
        <w:ind w:right="80" w:firstLine="511"/>
        <w:spacing w:after="0" w:line="294" w:lineRule="auto"/>
        <w:rPr>
          <w:sz w:val="20"/>
          <w:szCs w:val="20"/>
          <w:color w:val="auto"/>
        </w:rPr>
      </w:pPr>
      <w:r>
        <w:rPr>
          <w:rFonts w:ascii="Arial" w:cs="Arial" w:eastAsia="Arial" w:hAnsi="Arial"/>
          <w:sz w:val="14"/>
          <w:szCs w:val="14"/>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2037. The actual term of any patents granted based on the pending applications that we licensed from Allergan can only be determined after such patents are actually granted.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00" w:lineRule="exact"/>
        <w:rPr>
          <w:sz w:val="20"/>
          <w:szCs w:val="20"/>
          <w:color w:val="auto"/>
        </w:rPr>
      </w:pPr>
    </w:p>
    <w:p>
      <w:pPr>
        <w:ind w:right="20" w:firstLine="511"/>
        <w:spacing w:after="0" w:line="273" w:lineRule="auto"/>
        <w:rPr>
          <w:sz w:val="20"/>
          <w:szCs w:val="20"/>
          <w:color w:val="auto"/>
        </w:rPr>
      </w:pPr>
      <w:r>
        <w:rPr>
          <w:rFonts w:ascii="Arial" w:cs="Arial" w:eastAsia="Arial" w:hAnsi="Arial"/>
          <w:sz w:val="15"/>
          <w:szCs w:val="15"/>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0" w:name="page51"/>
    <w:bookmarkEnd w:id="50"/>
    <w:p>
      <w:pPr>
        <w:ind w:right="140"/>
        <w:spacing w:after="0" w:line="283" w:lineRule="auto"/>
        <w:rPr>
          <w:sz w:val="20"/>
          <w:szCs w:val="20"/>
          <w:color w:val="auto"/>
        </w:rPr>
      </w:pPr>
      <w:r>
        <w:rPr>
          <w:rFonts w:ascii="Arial" w:cs="Arial" w:eastAsia="Arial" w:hAnsi="Arial"/>
          <w:sz w:val="15"/>
          <w:szCs w:val="15"/>
          <w:color w:val="auto"/>
        </w:rPr>
        <w:t>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53" w:lineRule="exact"/>
        <w:rPr>
          <w:sz w:val="20"/>
          <w:szCs w:val="20"/>
          <w:color w:val="auto"/>
        </w:rPr>
      </w:pPr>
    </w:p>
    <w:p>
      <w:pPr>
        <w:ind w:right="20" w:firstLine="511"/>
        <w:spacing w:after="0" w:line="270"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62" w:lineRule="exact"/>
        <w:rPr>
          <w:sz w:val="20"/>
          <w:szCs w:val="20"/>
          <w:color w:val="auto"/>
        </w:rPr>
      </w:pPr>
    </w:p>
    <w:p>
      <w:pPr>
        <w:ind w:right="40" w:firstLine="511"/>
        <w:spacing w:after="0" w:line="268" w:lineRule="auto"/>
        <w:rPr>
          <w:sz w:val="20"/>
          <w:szCs w:val="20"/>
          <w:color w:val="auto"/>
        </w:rPr>
      </w:pPr>
      <w:r>
        <w:rPr>
          <w:rFonts w:ascii="Arial" w:cs="Arial" w:eastAsia="Arial" w:hAnsi="Arial"/>
          <w:sz w:val="15"/>
          <w:szCs w:val="15"/>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5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3" w:lineRule="exact"/>
        <w:rPr>
          <w:sz w:val="20"/>
          <w:szCs w:val="20"/>
          <w:color w:val="auto"/>
        </w:rPr>
      </w:pPr>
    </w:p>
    <w:p>
      <w:pPr>
        <w:ind w:right="180" w:firstLine="511"/>
        <w:spacing w:after="0" w:line="276" w:lineRule="auto"/>
        <w:rPr>
          <w:sz w:val="20"/>
          <w:szCs w:val="20"/>
          <w:color w:val="auto"/>
        </w:rPr>
      </w:pPr>
      <w:r>
        <w:rPr>
          <w:rFonts w:ascii="Arial" w:cs="Arial" w:eastAsia="Arial" w:hAnsi="Arial"/>
          <w:sz w:val="15"/>
          <w:szCs w:val="15"/>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59"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79" w:lineRule="exact"/>
        <w:rPr>
          <w:sz w:val="20"/>
          <w:szCs w:val="20"/>
          <w:color w:val="auto"/>
        </w:rPr>
      </w:pPr>
    </w:p>
    <w:p>
      <w:pPr>
        <w:ind w:right="100" w:firstLine="511"/>
        <w:spacing w:after="0" w:line="297" w:lineRule="auto"/>
        <w:rPr>
          <w:sz w:val="20"/>
          <w:szCs w:val="20"/>
          <w:color w:val="auto"/>
        </w:rPr>
      </w:pPr>
      <w:r>
        <w:rPr>
          <w:rFonts w:ascii="Arial" w:cs="Arial" w:eastAsia="Arial" w:hAnsi="Arial"/>
          <w:sz w:val="14"/>
          <w:szCs w:val="14"/>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46" w:lineRule="exact"/>
        <w:rPr>
          <w:sz w:val="20"/>
          <w:szCs w:val="20"/>
          <w:color w:val="auto"/>
        </w:rPr>
      </w:pPr>
    </w:p>
    <w:p>
      <w:pPr>
        <w:ind w:right="300" w:firstLine="511"/>
        <w:spacing w:after="0" w:line="268" w:lineRule="auto"/>
        <w:rPr>
          <w:sz w:val="20"/>
          <w:szCs w:val="20"/>
          <w:color w:val="auto"/>
        </w:rPr>
      </w:pPr>
      <w:r>
        <w:rPr>
          <w:rFonts w:ascii="Arial" w:cs="Arial" w:eastAsia="Arial" w:hAnsi="Arial"/>
          <w:sz w:val="16"/>
          <w:szCs w:val="16"/>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1" w:name="page52"/>
    <w:bookmarkEnd w:id="51"/>
    <w:p>
      <w:pPr>
        <w:ind w:left="5" w:firstLine="511"/>
        <w:spacing w:after="0" w:line="273" w:lineRule="auto"/>
        <w:rPr>
          <w:sz w:val="20"/>
          <w:szCs w:val="20"/>
          <w:color w:val="auto"/>
        </w:rPr>
      </w:pPr>
      <w:r>
        <w:rPr>
          <w:rFonts w:ascii="Arial" w:cs="Arial" w:eastAsia="Arial" w:hAnsi="Arial"/>
          <w:sz w:val="15"/>
          <w:szCs w:val="15"/>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1" w:lineRule="exact"/>
        <w:rPr>
          <w:sz w:val="20"/>
          <w:szCs w:val="20"/>
          <w:color w:val="auto"/>
        </w:rPr>
      </w:pPr>
    </w:p>
    <w:p>
      <w:pPr>
        <w:ind w:left="5" w:right="160" w:firstLine="511"/>
        <w:spacing w:after="0" w:line="252" w:lineRule="auto"/>
        <w:rPr>
          <w:sz w:val="20"/>
          <w:szCs w:val="20"/>
          <w:color w:val="auto"/>
        </w:rPr>
      </w:pPr>
      <w:r>
        <w:rPr>
          <w:rFonts w:ascii="Arial" w:cs="Arial" w:eastAsia="Arial" w:hAnsi="Arial"/>
          <w:sz w:val="16"/>
          <w:szCs w:val="16"/>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6" w:lineRule="exact"/>
        <w:rPr>
          <w:sz w:val="20"/>
          <w:szCs w:val="20"/>
          <w:color w:val="auto"/>
        </w:rPr>
      </w:pPr>
    </w:p>
    <w:p>
      <w:pPr>
        <w:ind w:left="505"/>
        <w:spacing w:after="0"/>
        <w:rPr>
          <w:sz w:val="20"/>
          <w:szCs w:val="20"/>
          <w:color w:val="auto"/>
        </w:rPr>
      </w:pPr>
      <w:r>
        <w:rPr>
          <w:rFonts w:ascii="Arial" w:cs="Arial" w:eastAsia="Arial" w:hAnsi="Arial"/>
          <w:sz w:val="14"/>
          <w:szCs w:val="14"/>
          <w:color w:val="auto"/>
        </w:rPr>
        <w:t>Unless terminated earlier in accordance with its terms, the UCB license agreement will continue on a country-by-country and product-by-product basis until the later of:</w:t>
      </w:r>
    </w:p>
    <w:p>
      <w:pPr>
        <w:spacing w:after="0" w:line="40" w:lineRule="exact"/>
        <w:rPr>
          <w:sz w:val="20"/>
          <w:szCs w:val="20"/>
          <w:color w:val="auto"/>
        </w:rPr>
      </w:pPr>
    </w:p>
    <w:p>
      <w:pPr>
        <w:ind w:left="5" w:right="140" w:hanging="5"/>
        <w:spacing w:after="0" w:line="275" w:lineRule="auto"/>
        <w:tabs>
          <w:tab w:leader="none" w:pos="193"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59" w:lineRule="exact"/>
        <w:rPr>
          <w:sz w:val="20"/>
          <w:szCs w:val="20"/>
          <w:color w:val="auto"/>
        </w:rPr>
      </w:pPr>
    </w:p>
    <w:p>
      <w:pPr>
        <w:ind w:left="5" w:right="300" w:firstLine="511"/>
        <w:spacing w:after="0" w:line="268" w:lineRule="auto"/>
        <w:rPr>
          <w:sz w:val="20"/>
          <w:szCs w:val="20"/>
          <w:color w:val="auto"/>
        </w:rPr>
      </w:pPr>
      <w:r>
        <w:rPr>
          <w:rFonts w:ascii="Arial" w:cs="Arial" w:eastAsia="Arial" w:hAnsi="Arial"/>
          <w:sz w:val="16"/>
          <w:szCs w:val="16"/>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252" w:lineRule="exact"/>
        <w:rPr>
          <w:sz w:val="20"/>
          <w:szCs w:val="20"/>
          <w:color w:val="auto"/>
        </w:rPr>
      </w:pPr>
    </w:p>
    <w:p>
      <w:pPr>
        <w:ind w:left="5" w:right="400"/>
        <w:spacing w:after="0" w:line="268" w:lineRule="auto"/>
        <w:rPr>
          <w:sz w:val="20"/>
          <w:szCs w:val="20"/>
          <w:color w:val="auto"/>
        </w:rPr>
      </w:pPr>
      <w:r>
        <w:rPr>
          <w:rFonts w:ascii="Arial" w:cs="Arial" w:eastAsia="Arial" w:hAnsi="Arial"/>
          <w:sz w:val="16"/>
          <w:szCs w:val="16"/>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3" w:lineRule="exact"/>
        <w:rPr>
          <w:sz w:val="20"/>
          <w:szCs w:val="20"/>
          <w:color w:val="auto"/>
        </w:rPr>
      </w:pPr>
    </w:p>
    <w:p>
      <w:pPr>
        <w:ind w:left="5" w:firstLine="511"/>
        <w:spacing w:after="0" w:line="251" w:lineRule="auto"/>
        <w:rPr>
          <w:sz w:val="20"/>
          <w:szCs w:val="20"/>
          <w:color w:val="auto"/>
        </w:rPr>
      </w:pPr>
      <w:r>
        <w:rPr>
          <w:rFonts w:ascii="Arial" w:cs="Arial" w:eastAsia="Arial" w:hAnsi="Arial"/>
          <w:sz w:val="16"/>
          <w:szCs w:val="16"/>
          <w:color w:val="auto"/>
        </w:rPr>
        <w:t>Our commercial success depends upon our ability to develop, manufacture, market and sell SNDX-5613. Subject to the achievement of certain milestone events, we may be required to pay Vitae, a subsidiary of Allergan, up to $99 million in one-time development and regulatory milestone payments over the term of the Allergan license agreement. In the event that we or any of our affiliates or sublicensees commercializes SNDX-5613,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77" w:lineRule="exact"/>
        <w:rPr>
          <w:sz w:val="20"/>
          <w:szCs w:val="20"/>
          <w:color w:val="auto"/>
        </w:rPr>
      </w:pPr>
    </w:p>
    <w:p>
      <w:pPr>
        <w:ind w:left="5" w:firstLine="511"/>
        <w:spacing w:after="0" w:line="302" w:lineRule="auto"/>
        <w:rPr>
          <w:sz w:val="20"/>
          <w:szCs w:val="20"/>
          <w:color w:val="auto"/>
        </w:rPr>
      </w:pPr>
      <w:r>
        <w:rPr>
          <w:rFonts w:ascii="Arial" w:cs="Arial" w:eastAsia="Arial" w:hAnsi="Arial"/>
          <w:sz w:val="14"/>
          <w:szCs w:val="14"/>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42" w:lineRule="exact"/>
        <w:rPr>
          <w:sz w:val="20"/>
          <w:szCs w:val="20"/>
          <w:color w:val="auto"/>
        </w:rPr>
      </w:pPr>
    </w:p>
    <w:p>
      <w:pPr>
        <w:ind w:left="5" w:right="40" w:firstLine="511"/>
        <w:spacing w:after="0" w:line="302" w:lineRule="auto"/>
        <w:rPr>
          <w:sz w:val="20"/>
          <w:szCs w:val="20"/>
          <w:color w:val="auto"/>
        </w:rPr>
      </w:pPr>
      <w:r>
        <w:rPr>
          <w:rFonts w:ascii="Arial" w:cs="Arial" w:eastAsia="Arial" w:hAnsi="Arial"/>
          <w:sz w:val="14"/>
          <w:szCs w:val="14"/>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42" w:lineRule="exact"/>
        <w:rPr>
          <w:sz w:val="20"/>
          <w:szCs w:val="20"/>
          <w:color w:val="auto"/>
        </w:rPr>
      </w:pPr>
    </w:p>
    <w:p>
      <w:pPr>
        <w:ind w:left="5" w:right="520" w:firstLine="511"/>
        <w:spacing w:after="0" w:line="268" w:lineRule="auto"/>
        <w:rPr>
          <w:sz w:val="20"/>
          <w:szCs w:val="20"/>
          <w:color w:val="auto"/>
        </w:rPr>
      </w:pPr>
      <w:r>
        <w:rPr>
          <w:rFonts w:ascii="Arial" w:cs="Arial" w:eastAsia="Arial" w:hAnsi="Arial"/>
          <w:sz w:val="16"/>
          <w:szCs w:val="16"/>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00" w:lineRule="exact"/>
        <w:rPr>
          <w:sz w:val="20"/>
          <w:szCs w:val="20"/>
          <w:color w:val="auto"/>
        </w:rPr>
      </w:pPr>
    </w:p>
    <w:p>
      <w:pPr>
        <w:ind w:left="5" w:firstLine="511"/>
        <w:spacing w:after="0" w:line="252"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411" w:right="33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5"/>
          <w:szCs w:val="15"/>
          <w:color w:val="auto"/>
        </w:rPr>
        <w:t>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61"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53" w:lineRule="exact"/>
        <w:rPr>
          <w:sz w:val="20"/>
          <w:szCs w:val="20"/>
          <w:color w:val="auto"/>
        </w:rPr>
      </w:pPr>
    </w:p>
    <w:p>
      <w:pPr>
        <w:ind w:right="240"/>
        <w:spacing w:after="0" w:line="34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3" w:lineRule="exact"/>
        <w:rPr>
          <w:sz w:val="20"/>
          <w:szCs w:val="20"/>
          <w:color w:val="auto"/>
        </w:rPr>
      </w:pPr>
    </w:p>
    <w:p>
      <w:pPr>
        <w:ind w:right="20" w:firstLine="511"/>
        <w:spacing w:after="0" w:line="288" w:lineRule="auto"/>
        <w:rPr>
          <w:sz w:val="20"/>
          <w:szCs w:val="20"/>
          <w:color w:val="auto"/>
        </w:rPr>
      </w:pPr>
      <w:r>
        <w:rPr>
          <w:rFonts w:ascii="Arial" w:cs="Arial" w:eastAsia="Arial" w:hAnsi="Arial"/>
          <w:sz w:val="14"/>
          <w:szCs w:val="14"/>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57" w:lineRule="exact"/>
        <w:rPr>
          <w:sz w:val="20"/>
          <w:szCs w:val="20"/>
          <w:color w:val="auto"/>
        </w:rPr>
      </w:pPr>
    </w:p>
    <w:p>
      <w:pPr>
        <w:ind w:right="100" w:firstLine="511"/>
        <w:spacing w:after="0" w:line="292" w:lineRule="auto"/>
        <w:rPr>
          <w:sz w:val="20"/>
          <w:szCs w:val="20"/>
          <w:color w:val="auto"/>
        </w:rPr>
      </w:pPr>
      <w:r>
        <w:rPr>
          <w:rFonts w:ascii="Arial" w:cs="Arial" w:eastAsia="Arial" w:hAnsi="Arial"/>
          <w:sz w:val="14"/>
          <w:szCs w:val="14"/>
          <w:color w:val="auto"/>
        </w:rPr>
        <w:t xml:space="preserve">Third-party preissuance submission of prior art to the USPTO, or opposition, derivation, reexamination,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future product candidates. Even if we successfully defend such litigation or proceeding, we may incur substantial costs and it may distract our management and other employees.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 could be found liable for monetary damages, including treble damages and attorneys’ fees, if we are found to have willfully infringed a patent.</w:t>
      </w:r>
    </w:p>
    <w:p>
      <w:pPr>
        <w:spacing w:after="0" w:line="89" w:lineRule="exact"/>
        <w:rPr>
          <w:sz w:val="20"/>
          <w:szCs w:val="20"/>
          <w:color w:val="auto"/>
        </w:rPr>
      </w:pPr>
    </w:p>
    <w:p>
      <w:pPr>
        <w:ind w:right="120" w:firstLine="511"/>
        <w:spacing w:after="0" w:line="311"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2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20" w:firstLine="511"/>
        <w:spacing w:after="0" w:line="273" w:lineRule="auto"/>
        <w:rPr>
          <w:sz w:val="20"/>
          <w:szCs w:val="20"/>
          <w:color w:val="auto"/>
        </w:rPr>
      </w:pPr>
      <w:r>
        <w:rPr>
          <w:rFonts w:ascii="Arial" w:cs="Arial" w:eastAsia="Arial" w:hAnsi="Arial"/>
          <w:sz w:val="15"/>
          <w:szCs w:val="15"/>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61" w:lineRule="exact"/>
        <w:rPr>
          <w:sz w:val="20"/>
          <w:szCs w:val="20"/>
          <w:color w:val="auto"/>
        </w:rPr>
      </w:pPr>
    </w:p>
    <w:p>
      <w:pPr>
        <w:ind w:firstLine="511"/>
        <w:spacing w:after="0" w:line="25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6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3" w:lineRule="exact"/>
        <w:rPr>
          <w:sz w:val="20"/>
          <w:szCs w:val="20"/>
          <w:color w:val="auto"/>
        </w:rPr>
      </w:pPr>
    </w:p>
    <w:p>
      <w:pPr>
        <w:ind w:right="40" w:firstLine="511"/>
        <w:spacing w:after="0" w:line="252"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6" w:lineRule="exact"/>
        <w:rPr>
          <w:sz w:val="20"/>
          <w:szCs w:val="20"/>
          <w:color w:val="auto"/>
        </w:rPr>
      </w:pPr>
    </w:p>
    <w:p>
      <w:pPr>
        <w:ind w:right="20" w:firstLine="511"/>
        <w:spacing w:after="0" w:line="302" w:lineRule="auto"/>
        <w:rPr>
          <w:sz w:val="20"/>
          <w:szCs w:val="20"/>
          <w:color w:val="auto"/>
        </w:rPr>
      </w:pPr>
      <w:r>
        <w:rPr>
          <w:rFonts w:ascii="Arial" w:cs="Arial" w:eastAsia="Arial" w:hAnsi="Arial"/>
          <w:sz w:val="15"/>
          <w:szCs w:val="15"/>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39" w:lineRule="exact"/>
        <w:rPr>
          <w:sz w:val="20"/>
          <w:szCs w:val="20"/>
          <w:color w:val="auto"/>
        </w:rPr>
      </w:pPr>
    </w:p>
    <w:p>
      <w:pPr>
        <w:ind w:right="80" w:firstLine="511"/>
        <w:spacing w:after="0" w:line="254"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protect our confidential information and trade secrets would harm our business and competitive position.</w:t>
      </w:r>
    </w:p>
    <w:p>
      <w:pPr>
        <w:spacing w:after="0" w:line="100" w:lineRule="exact"/>
        <w:rPr>
          <w:sz w:val="20"/>
          <w:szCs w:val="20"/>
          <w:color w:val="auto"/>
        </w:rPr>
      </w:pPr>
    </w:p>
    <w:p>
      <w:pPr>
        <w:ind w:right="80" w:firstLine="511"/>
        <w:spacing w:after="0" w:line="292" w:lineRule="auto"/>
        <w:rPr>
          <w:sz w:val="20"/>
          <w:szCs w:val="20"/>
          <w:color w:val="auto"/>
        </w:rPr>
      </w:pPr>
      <w:r>
        <w:rPr>
          <w:rFonts w:ascii="Arial" w:cs="Arial" w:eastAsia="Arial" w:hAnsi="Arial"/>
          <w:sz w:val="14"/>
          <w:szCs w:val="14"/>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4" w:name="page55"/>
    <w:bookmarkEnd w:id="54"/>
    <w:p>
      <w:pPr>
        <w:ind w:right="340"/>
        <w:spacing w:after="0" w:line="268" w:lineRule="auto"/>
        <w:rPr>
          <w:sz w:val="20"/>
          <w:szCs w:val="20"/>
          <w:color w:val="auto"/>
        </w:rPr>
      </w:pPr>
      <w:r>
        <w:rPr>
          <w:rFonts w:ascii="Arial" w:cs="Arial" w:eastAsia="Arial" w:hAnsi="Arial"/>
          <w:sz w:val="16"/>
          <w:szCs w:val="16"/>
          <w:color w:val="auto"/>
        </w:rPr>
        <w:t>developed any of our trade secrets, we would have no right to prevent such competitor from using that technology or information to compete with us, which could harm our competitive position.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stock may be volatile and you could lose all or part of your investment.</w:t>
      </w:r>
    </w:p>
    <w:p>
      <w:pPr>
        <w:spacing w:after="0" w:line="100" w:lineRule="exact"/>
        <w:rPr>
          <w:sz w:val="20"/>
          <w:szCs w:val="20"/>
          <w:color w:val="auto"/>
        </w:rPr>
      </w:pPr>
    </w:p>
    <w:p>
      <w:pPr>
        <w:ind w:right="80" w:firstLine="511"/>
        <w:spacing w:after="0" w:line="268" w:lineRule="auto"/>
        <w:rPr>
          <w:sz w:val="20"/>
          <w:szCs w:val="20"/>
          <w:color w:val="auto"/>
        </w:rPr>
      </w:pPr>
      <w:r>
        <w:rPr>
          <w:rFonts w:ascii="Arial" w:cs="Arial" w:eastAsia="Arial" w:hAnsi="Arial"/>
          <w:sz w:val="16"/>
          <w:szCs w:val="16"/>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63" w:lineRule="exact"/>
        <w:rPr>
          <w:sz w:val="20"/>
          <w:szCs w:val="20"/>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success of competitive products or technologies;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collaborations, joint ventures, collaborations or capital commitments;</w:t>
      </w:r>
    </w:p>
    <w:p>
      <w:pPr>
        <w:spacing w:after="0" w:line="111" w:lineRule="exact"/>
        <w:rPr>
          <w:rFonts w:ascii="Arial" w:cs="Arial" w:eastAsia="Arial" w:hAnsi="Arial"/>
          <w:sz w:val="15"/>
          <w:szCs w:val="15"/>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results of trials of our product candidates or those of our competitors;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level of expenses related to our product candidates or clinical development programs;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industry, political and market conditions, including, but not limited to the ongoing impact of the COVID-19 pandemic.</w:t>
      </w:r>
    </w:p>
    <w:p>
      <w:pPr>
        <w:spacing w:after="0" w:line="100" w:lineRule="exact"/>
        <w:rPr>
          <w:sz w:val="20"/>
          <w:szCs w:val="20"/>
          <w:color w:val="auto"/>
        </w:rPr>
      </w:pPr>
    </w:p>
    <w:p>
      <w:pPr>
        <w:ind w:firstLine="511"/>
        <w:spacing w:after="0" w:line="301" w:lineRule="auto"/>
        <w:rPr>
          <w:sz w:val="20"/>
          <w:szCs w:val="20"/>
          <w:color w:val="auto"/>
        </w:rPr>
      </w:pPr>
      <w:r>
        <w:rPr>
          <w:rFonts w:ascii="Arial" w:cs="Arial" w:eastAsia="Arial" w:hAnsi="Arial"/>
          <w:sz w:val="14"/>
          <w:szCs w:val="14"/>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33"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3"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August 2019, we filed a shelf registration statement on Form S-3 (Registration No. 333-233564) that allows us to sell up to an aggregate of $300 million of our common stock, which includes up to $50.0 million designated for an at-the-market offering program. As of June 30, 2020, $50.0</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55" w:name="page56"/>
    <w:bookmarkEnd w:id="55"/>
    <w:p>
      <w:pPr>
        <w:ind w:right="140"/>
        <w:spacing w:after="0" w:line="290" w:lineRule="auto"/>
        <w:rPr>
          <w:sz w:val="20"/>
          <w:szCs w:val="20"/>
          <w:color w:val="auto"/>
        </w:rPr>
      </w:pPr>
      <w:r>
        <w:rPr>
          <w:rFonts w:ascii="Arial" w:cs="Arial" w:eastAsia="Arial" w:hAnsi="Arial"/>
          <w:sz w:val="14"/>
          <w:szCs w:val="14"/>
          <w:color w:val="auto"/>
        </w:rPr>
        <w:t>million of common stock remained available for sale under the at-the-market offering program. Further, in May 2020, we sold 6,388,889 shares of our common stock at a price per share of $18.00 with net proceeds of approximately $107.9 million. In January 2020, we sold 3,036,719 shares of our common stock at a price per share of $8.00 and pre-funded warrants to purchase 1,338,287 shares of our common stock for net proceeds of approximately $34.9 million. Upon the completion of the January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 We also have two outstanding series of warrants, Series 1 warrants and Series 2 warrants. As of June 30, 2020, there were 552,953 shares of our common stock issuable upon the exercise of Series 1 warrants outstanding, at an exercise price of $10.00 per share, and there were 552,955 shares of our common stock issuable upon the exercise of Series 2 warrants outstanding, at an exercise price of $13.00 per share. To the extent that these warrants have been or may be exercised, our stockholders may experience further dilution.</w:t>
      </w:r>
    </w:p>
    <w:p>
      <w:pPr>
        <w:spacing w:after="0" w:line="54" w:lineRule="exact"/>
        <w:rPr>
          <w:sz w:val="20"/>
          <w:szCs w:val="20"/>
          <w:color w:val="auto"/>
        </w:rPr>
      </w:pPr>
    </w:p>
    <w:p>
      <w:pPr>
        <w:ind w:firstLine="511"/>
        <w:spacing w:after="0" w:line="288" w:lineRule="auto"/>
        <w:rPr>
          <w:sz w:val="20"/>
          <w:szCs w:val="20"/>
          <w:color w:val="auto"/>
        </w:rPr>
      </w:pPr>
      <w:r>
        <w:rPr>
          <w:rFonts w:ascii="Arial" w:cs="Arial" w:eastAsia="Arial" w:hAnsi="Arial"/>
          <w:sz w:val="14"/>
          <w:szCs w:val="14"/>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53" w:lineRule="exact"/>
        <w:rPr>
          <w:sz w:val="20"/>
          <w:szCs w:val="20"/>
          <w:color w:val="auto"/>
        </w:rPr>
      </w:pPr>
    </w:p>
    <w:p>
      <w:pPr>
        <w:ind w:right="240" w:firstLine="511"/>
        <w:spacing w:after="0" w:line="341" w:lineRule="auto"/>
        <w:rPr>
          <w:sz w:val="20"/>
          <w:szCs w:val="20"/>
          <w:color w:val="auto"/>
        </w:rPr>
      </w:pPr>
      <w:r>
        <w:rPr>
          <w:rFonts w:ascii="Arial" w:cs="Arial" w:eastAsia="Arial" w:hAnsi="Arial"/>
          <w:sz w:val="14"/>
          <w:szCs w:val="14"/>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0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3" w:lineRule="exact"/>
        <w:rPr>
          <w:sz w:val="20"/>
          <w:szCs w:val="20"/>
          <w:color w:val="auto"/>
        </w:rPr>
      </w:pPr>
    </w:p>
    <w:p>
      <w:pPr>
        <w:ind w:right="380" w:firstLine="511"/>
        <w:spacing w:after="0" w:line="273"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50"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3"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As of June 30, 2020, our executive officers, directors, holders of 5% or more of our capital stock and their respective affiliates beneficially own approximately 49.2%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56" w:name="page57"/>
    <w:bookmarkEnd w:id="56"/>
    <w:p>
      <w:pPr>
        <w:ind w:right="580"/>
        <w:spacing w:after="0" w:line="411" w:lineRule="auto"/>
        <w:rPr>
          <w:sz w:val="20"/>
          <w:szCs w:val="20"/>
          <w:color w:val="auto"/>
        </w:rPr>
      </w:pPr>
      <w:r>
        <w:rPr>
          <w:rFonts w:ascii="Arial" w:cs="Arial" w:eastAsia="Arial" w:hAnsi="Arial"/>
          <w:sz w:val="12"/>
          <w:szCs w:val="12"/>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1" w:lineRule="exact"/>
        <w:rPr>
          <w:sz w:val="20"/>
          <w:szCs w:val="20"/>
          <w:color w:val="auto"/>
        </w:rPr>
      </w:pPr>
    </w:p>
    <w:p>
      <w:pPr>
        <w:ind w:right="660" w:firstLine="511"/>
        <w:spacing w:after="0" w:line="268"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3" w:lineRule="exact"/>
        <w:rPr>
          <w:sz w:val="20"/>
          <w:szCs w:val="20"/>
          <w:color w:val="auto"/>
        </w:rPr>
      </w:pPr>
    </w:p>
    <w:p>
      <w:pPr>
        <w:ind w:left="1020" w:right="60" w:hanging="516"/>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62" w:lineRule="exact"/>
        <w:rPr>
          <w:rFonts w:ascii="Arial" w:cs="Arial" w:eastAsia="Arial" w:hAnsi="Arial"/>
          <w:sz w:val="16"/>
          <w:szCs w:val="16"/>
          <w:color w:val="auto"/>
        </w:rPr>
      </w:pPr>
    </w:p>
    <w:p>
      <w:pPr>
        <w:ind w:left="1020" w:hanging="516"/>
        <w:spacing w:after="0" w:line="25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3" w:lineRule="exact"/>
        <w:rPr>
          <w:rFonts w:ascii="Arial" w:cs="Arial" w:eastAsia="Arial" w:hAnsi="Arial"/>
          <w:sz w:val="16"/>
          <w:szCs w:val="16"/>
          <w:color w:val="auto"/>
        </w:rPr>
      </w:pPr>
    </w:p>
    <w:p>
      <w:pPr>
        <w:ind w:left="1020" w:right="280" w:hanging="516"/>
        <w:spacing w:after="0" w:line="302" w:lineRule="auto"/>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39" w:lineRule="exact"/>
        <w:rPr>
          <w:rFonts w:ascii="Arial" w:cs="Arial" w:eastAsia="Arial" w:hAnsi="Arial"/>
          <w:sz w:val="15"/>
          <w:szCs w:val="15"/>
          <w:color w:val="auto"/>
        </w:rPr>
      </w:pPr>
    </w:p>
    <w:p>
      <w:pPr>
        <w:ind w:left="1020" w:right="80" w:hanging="516"/>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rules that the Public Company Accounting Oversight Board may adopt requiring mandatory audit firm rotation or a supplement to the auditor’s report on the financial statements.</w:t>
      </w:r>
    </w:p>
    <w:p>
      <w:pPr>
        <w:spacing w:after="0" w:line="63" w:lineRule="exact"/>
        <w:rPr>
          <w:sz w:val="20"/>
          <w:szCs w:val="20"/>
          <w:color w:val="auto"/>
        </w:rPr>
      </w:pPr>
    </w:p>
    <w:p>
      <w:pPr>
        <w:ind w:right="120" w:firstLine="511"/>
        <w:spacing w:after="0" w:line="254" w:lineRule="auto"/>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 growth company” upon the earliest of: (i) December 31, 2021;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74" w:lineRule="exact"/>
        <w:rPr>
          <w:sz w:val="20"/>
          <w:szCs w:val="20"/>
          <w:color w:val="auto"/>
        </w:rPr>
      </w:pPr>
    </w:p>
    <w:p>
      <w:pPr>
        <w:ind w:right="20" w:firstLine="511"/>
        <w:spacing w:after="0" w:line="289" w:lineRule="auto"/>
        <w:rPr>
          <w:sz w:val="20"/>
          <w:szCs w:val="20"/>
          <w:color w:val="auto"/>
        </w:rPr>
      </w:pPr>
      <w:r>
        <w:rPr>
          <w:rFonts w:ascii="Arial" w:cs="Arial" w:eastAsia="Arial" w:hAnsi="Arial"/>
          <w:sz w:val="14"/>
          <w:szCs w:val="14"/>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55" w:lineRule="exact"/>
        <w:rPr>
          <w:sz w:val="20"/>
          <w:szCs w:val="20"/>
          <w:color w:val="auto"/>
        </w:rPr>
      </w:pPr>
    </w:p>
    <w:p>
      <w:pPr>
        <w:ind w:firstLine="511"/>
        <w:spacing w:after="0" w:line="273" w:lineRule="auto"/>
        <w:rPr>
          <w:sz w:val="20"/>
          <w:szCs w:val="20"/>
          <w:color w:val="auto"/>
        </w:rPr>
      </w:pPr>
      <w:r>
        <w:rPr>
          <w:rFonts w:ascii="Arial" w:cs="Arial" w:eastAsia="Arial" w:hAnsi="Arial"/>
          <w:sz w:val="15"/>
          <w:szCs w:val="15"/>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continue to incur significant costs as a result of operating as a public company, and our management will devote substantial time to compliance initiatives.</w:t>
      </w:r>
    </w:p>
    <w:p>
      <w:pPr>
        <w:spacing w:after="0" w:line="123" w:lineRule="exact"/>
        <w:rPr>
          <w:sz w:val="20"/>
          <w:szCs w:val="20"/>
          <w:color w:val="auto"/>
        </w:rPr>
      </w:pPr>
    </w:p>
    <w:p>
      <w:pPr>
        <w:jc w:val="both"/>
        <w:ind w:right="220" w:firstLine="511"/>
        <w:spacing w:after="0" w:line="283"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100" w:lineRule="exact"/>
        <w:rPr>
          <w:sz w:val="20"/>
          <w:szCs w:val="20"/>
          <w:color w:val="auto"/>
        </w:rPr>
      </w:pPr>
    </w:p>
    <w:p>
      <w:pPr>
        <w:ind w:right="40" w:firstLine="511"/>
        <w:spacing w:after="0" w:line="297"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In August 2019, we entered into a sales agreement with Cowen and Company, LLC, or Cowen, under which we may issue and sell shares of our common stock having aggregate sales proceeds of up to $50.0 million from time to time through Cowen, acting as agent, in a series of one or more ATM equity offerings, or the 2019 ATM Program. Cowen is not required to sell any specific amount but acts as our sales agent using commercially reasonable efforts consistent with its normal trading and sales practices. To date no shares of common stock were sold under the 2019 ATM program.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00" w:lineRule="exact"/>
        <w:rPr>
          <w:sz w:val="20"/>
          <w:szCs w:val="20"/>
          <w:color w:val="auto"/>
        </w:rPr>
      </w:pPr>
    </w:p>
    <w:p>
      <w:pPr>
        <w:ind w:right="60" w:firstLine="511"/>
        <w:spacing w:after="0" w:line="257"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39"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51" w:lineRule="exact"/>
        <w:rPr>
          <w:sz w:val="20"/>
          <w:szCs w:val="20"/>
          <w:color w:val="auto"/>
        </w:rPr>
      </w:pPr>
    </w:p>
    <w:p>
      <w:pPr>
        <w:ind w:right="380"/>
        <w:spacing w:after="0" w:line="302"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39" w:lineRule="exact"/>
        <w:rPr>
          <w:sz w:val="20"/>
          <w:szCs w:val="20"/>
          <w:color w:val="auto"/>
        </w:rPr>
      </w:pPr>
    </w:p>
    <w:p>
      <w:pPr>
        <w:ind w:firstLine="511"/>
        <w:spacing w:after="0" w:line="294" w:lineRule="auto"/>
        <w:rPr>
          <w:sz w:val="20"/>
          <w:szCs w:val="20"/>
          <w:color w:val="auto"/>
        </w:rPr>
      </w:pPr>
      <w:r>
        <w:rPr>
          <w:rFonts w:ascii="Arial" w:cs="Arial" w:eastAsia="Arial" w:hAnsi="Arial"/>
          <w:sz w:val="14"/>
          <w:szCs w:val="14"/>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58" w:name="page59"/>
    <w:bookmarkEnd w:id="58"/>
    <w:p>
      <w:pPr>
        <w:spacing w:after="0" w:line="252" w:lineRule="auto"/>
        <w:rPr>
          <w:sz w:val="20"/>
          <w:szCs w:val="20"/>
          <w:color w:val="auto"/>
        </w:rPr>
      </w:pPr>
      <w:r>
        <w:rPr>
          <w:rFonts w:ascii="Arial" w:cs="Arial" w:eastAsia="Arial" w:hAnsi="Arial"/>
          <w:sz w:val="16"/>
          <w:szCs w:val="16"/>
          <w:color w:val="auto"/>
        </w:rPr>
        <w:t>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 upon Senior Securities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59" w:name="page60"/>
    <w:bookmarkEnd w:id="59"/>
    <w:tbl>
      <w:tblPr>
        <w:tblLayout w:type="fixed"/>
        <w:tblInd w:w="5" w:type="dxa"/>
        <w:tblCellMar>
          <w:top w:w="0" w:type="dxa"/>
          <w:left w:w="0" w:type="dxa"/>
          <w:bottom w:w="0" w:type="dxa"/>
          <w:right w:w="0" w:type="dxa"/>
        </w:tblCellMar>
      </w:tblPr>
      <w:tr>
        <w:trPr>
          <w:trHeight w:val="205"/>
        </w:trPr>
        <w:tc>
          <w:tcPr>
            <w:tcW w:w="1000" w:type="dxa"/>
            <w:vAlign w:val="bottom"/>
          </w:tcPr>
          <w:p>
            <w:pPr>
              <w:jc w:val="right"/>
              <w:ind w:right="464"/>
              <w:spacing w:after="0"/>
              <w:rPr>
                <w:sz w:val="20"/>
                <w:szCs w:val="20"/>
                <w:color w:val="auto"/>
              </w:rPr>
            </w:pPr>
            <w:r>
              <w:rPr>
                <w:rFonts w:ascii="Arial" w:cs="Arial" w:eastAsia="Arial" w:hAnsi="Arial"/>
                <w:sz w:val="16"/>
                <w:szCs w:val="16"/>
                <w:b w:val="1"/>
                <w:bCs w:val="1"/>
                <w:color w:val="auto"/>
                <w:w w:val="86"/>
              </w:rPr>
              <w:t>Item 6.</w:t>
            </w:r>
          </w:p>
        </w:tc>
        <w:tc>
          <w:tcPr>
            <w:tcW w:w="10260" w:type="dxa"/>
            <w:vAlign w:val="bottom"/>
            <w:gridSpan w:val="9"/>
          </w:tcPr>
          <w:p>
            <w:pPr>
              <w:ind w:left="2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325"/>
        </w:trPr>
        <w:tc>
          <w:tcPr>
            <w:tcW w:w="1000" w:type="dxa"/>
            <w:vAlign w:val="bottom"/>
          </w:tcPr>
          <w:p>
            <w:pPr>
              <w:jc w:val="right"/>
              <w:ind w:right="224"/>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20" w:type="dxa"/>
            <w:vAlign w:val="bottom"/>
            <w:gridSpan w:val="5"/>
            <w:vMerge w:val="restart"/>
          </w:tcPr>
          <w:p>
            <w:pPr>
              <w:ind w:left="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82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000" w:type="dxa"/>
            <w:vAlign w:val="bottom"/>
          </w:tcPr>
          <w:p>
            <w:pPr>
              <w:jc w:val="right"/>
              <w:ind w:right="644"/>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1"/>
                <w:szCs w:val="21"/>
                <w:color w:val="auto"/>
              </w:rPr>
            </w:pPr>
          </w:p>
        </w:tc>
        <w:tc>
          <w:tcPr>
            <w:tcW w:w="10060" w:type="dxa"/>
            <w:vAlign w:val="bottom"/>
            <w:tcBorders>
              <w:bottom w:val="single" w:sz="8" w:color="0000EE"/>
            </w:tcBorders>
            <w:gridSpan w:val="7"/>
          </w:tcPr>
          <w:p>
            <w:pPr>
              <w:spacing w:after="0"/>
              <w:rPr>
                <w:rFonts w:ascii="Arial" w:cs="Arial" w:eastAsia="Arial" w:hAnsi="Arial"/>
                <w:sz w:val="16"/>
                <w:szCs w:val="16"/>
                <w:color w:val="0000EE"/>
                <w:w w:val="89"/>
              </w:rPr>
            </w:pPr>
            <w:hyperlink r:id="rId89">
              <w:r>
                <w:rPr>
                  <w:rFonts w:ascii="Arial" w:cs="Arial" w:eastAsia="Arial" w:hAnsi="Arial"/>
                  <w:sz w:val="16"/>
                  <w:szCs w:val="16"/>
                  <w:color w:val="0000EE"/>
                  <w:w w:val="89"/>
                </w:rPr>
                <w:t>Amended and Restated Certificate of Incorporation of the Company (incorporated herein by reference to Exhibit 3.1 to the Company’s Current Report on Form</w:t>
              </w:r>
            </w:hyperlink>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tcBorders>
              <w:bottom w:val="single" w:sz="8" w:color="0000EE"/>
            </w:tcBorders>
            <w:gridSpan w:val="3"/>
          </w:tcPr>
          <w:p>
            <w:pPr>
              <w:spacing w:after="0" w:line="169" w:lineRule="exact"/>
              <w:rPr>
                <w:rFonts w:ascii="Arial" w:cs="Arial" w:eastAsia="Arial" w:hAnsi="Arial"/>
                <w:sz w:val="16"/>
                <w:szCs w:val="16"/>
                <w:color w:val="0000EE"/>
                <w:w w:val="90"/>
              </w:rPr>
            </w:pPr>
            <w:hyperlink r:id="rId89">
              <w:r>
                <w:rPr>
                  <w:rFonts w:ascii="Arial" w:cs="Arial" w:eastAsia="Arial" w:hAnsi="Arial"/>
                  <w:sz w:val="16"/>
                  <w:szCs w:val="16"/>
                  <w:color w:val="0000EE"/>
                  <w:w w:val="90"/>
                </w:rPr>
                <w:t>8-K (File No. 001-37708), as filed with the SEC on March 8, 2016).</w:t>
              </w:r>
            </w:hyperlink>
          </w:p>
        </w:tc>
        <w:tc>
          <w:tcPr>
            <w:tcW w:w="58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00" w:type="dxa"/>
            <w:vAlign w:val="bottom"/>
          </w:tcPr>
          <w:p>
            <w:pPr>
              <w:jc w:val="right"/>
              <w:ind w:right="644"/>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3"/>
                <w:szCs w:val="23"/>
                <w:color w:val="auto"/>
              </w:rPr>
            </w:pPr>
          </w:p>
        </w:tc>
        <w:tc>
          <w:tcPr>
            <w:tcW w:w="10020" w:type="dxa"/>
            <w:vAlign w:val="bottom"/>
            <w:tcBorders>
              <w:bottom w:val="single" w:sz="8" w:color="0000EE"/>
            </w:tcBorders>
            <w:gridSpan w:val="6"/>
          </w:tcPr>
          <w:p>
            <w:pPr>
              <w:spacing w:after="0"/>
              <w:rPr>
                <w:rFonts w:ascii="Arial" w:cs="Arial" w:eastAsia="Arial" w:hAnsi="Arial"/>
                <w:sz w:val="16"/>
                <w:szCs w:val="16"/>
                <w:color w:val="0000EE"/>
                <w:w w:val="89"/>
              </w:rPr>
            </w:pPr>
            <w:hyperlink r:id="rId90">
              <w:r>
                <w:rPr>
                  <w:rFonts w:ascii="Arial" w:cs="Arial" w:eastAsia="Arial" w:hAnsi="Arial"/>
                  <w:sz w:val="16"/>
                  <w:szCs w:val="16"/>
                  <w:color w:val="0000EE"/>
                  <w:w w:val="89"/>
                </w:rPr>
                <w:t>Amended and Restated Bylaws of the Company (incorporated herein by reference to Exhibit 3.2 to the Company’s Current Report on Form 8-K (File No. 001-</w:t>
              </w:r>
            </w:hyperlink>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0000EE"/>
            </w:tcBorders>
            <w:gridSpan w:val="2"/>
          </w:tcPr>
          <w:p>
            <w:pPr>
              <w:spacing w:after="0" w:line="169" w:lineRule="exact"/>
              <w:rPr>
                <w:rFonts w:ascii="Arial" w:cs="Arial" w:eastAsia="Arial" w:hAnsi="Arial"/>
                <w:sz w:val="16"/>
                <w:szCs w:val="16"/>
                <w:color w:val="0000EE"/>
                <w:w w:val="89"/>
              </w:rPr>
            </w:pPr>
            <w:hyperlink r:id="rId90">
              <w:r>
                <w:rPr>
                  <w:rFonts w:ascii="Arial" w:cs="Arial" w:eastAsia="Arial" w:hAnsi="Arial"/>
                  <w:sz w:val="16"/>
                  <w:szCs w:val="16"/>
                  <w:color w:val="0000EE"/>
                  <w:w w:val="89"/>
                </w:rPr>
                <w:t>37708)</w:t>
              </w:r>
              <w:r>
                <w:rPr>
                  <w:rFonts w:ascii="Arial" w:cs="Arial" w:eastAsia="Arial" w:hAnsi="Arial"/>
                  <w:sz w:val="16"/>
                  <w:szCs w:val="16"/>
                  <w:u w:val="single" w:color="auto"/>
                  <w:color w:val="0000EE"/>
                  <w:w w:val="89"/>
                </w:rPr>
                <w:t>,</w:t>
              </w:r>
              <w:r>
                <w:rPr>
                  <w:rFonts w:ascii="Arial" w:cs="Arial" w:eastAsia="Arial" w:hAnsi="Arial"/>
                  <w:sz w:val="16"/>
                  <w:szCs w:val="16"/>
                  <w:color w:val="0000EE"/>
                  <w:w w:val="89"/>
                </w:rPr>
                <w:t xml:space="preserve"> as filed with the SEC on March 8, 2016).</w:t>
              </w:r>
            </w:hyperlink>
          </w:p>
        </w:tc>
        <w:tc>
          <w:tcPr>
            <w:tcW w:w="70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00" w:type="dxa"/>
            <w:vAlign w:val="bottom"/>
          </w:tcPr>
          <w:p>
            <w:pPr>
              <w:jc w:val="right"/>
              <w:ind w:right="644"/>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3"/>
                <w:szCs w:val="23"/>
                <w:color w:val="auto"/>
              </w:rPr>
            </w:pPr>
          </w:p>
        </w:tc>
        <w:tc>
          <w:tcPr>
            <w:tcW w:w="9660" w:type="dxa"/>
            <w:vAlign w:val="bottom"/>
            <w:tcBorders>
              <w:bottom w:val="single" w:sz="8" w:color="0000EE"/>
            </w:tcBorders>
            <w:gridSpan w:val="4"/>
          </w:tcPr>
          <w:p>
            <w:pPr>
              <w:spacing w:after="0"/>
              <w:rPr>
                <w:rFonts w:ascii="Arial" w:cs="Arial" w:eastAsia="Arial" w:hAnsi="Arial"/>
                <w:sz w:val="16"/>
                <w:szCs w:val="16"/>
                <w:color w:val="0000EE"/>
                <w:w w:val="87"/>
              </w:rPr>
            </w:pPr>
            <w:hyperlink r:id="rId91">
              <w:r>
                <w:rPr>
                  <w:rFonts w:ascii="Arial" w:cs="Arial" w:eastAsia="Arial" w:hAnsi="Arial"/>
                  <w:sz w:val="16"/>
                  <w:szCs w:val="16"/>
                  <w:color w:val="0000EE"/>
                  <w:w w:val="87"/>
                </w:rPr>
                <w:t>Form of Pre-Funded Warrant issued pursuant to the securities purchase agreement between the Company and Certain Purchasers, dated January 30, 2020</w:t>
              </w:r>
            </w:hyperlink>
          </w:p>
        </w:tc>
        <w:tc>
          <w:tcPr>
            <w:tcW w:w="4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8"/>
          </w:tcPr>
          <w:p>
            <w:pPr>
              <w:spacing w:after="0"/>
              <w:rPr>
                <w:rFonts w:ascii="Arial" w:cs="Arial" w:eastAsia="Arial" w:hAnsi="Arial"/>
                <w:sz w:val="16"/>
                <w:szCs w:val="16"/>
                <w:u w:val="single" w:color="auto"/>
                <w:color w:val="0000EE"/>
                <w:w w:val="93"/>
              </w:rPr>
            </w:pPr>
            <w:hyperlink r:id="rId91">
              <w:r>
                <w:rPr>
                  <w:rFonts w:ascii="Arial" w:cs="Arial" w:eastAsia="Arial" w:hAnsi="Arial"/>
                  <w:sz w:val="16"/>
                  <w:szCs w:val="16"/>
                  <w:u w:val="single" w:color="auto"/>
                  <w:color w:val="0000EE"/>
                  <w:w w:val="93"/>
                </w:rPr>
                <w:t>(incorporated by reference to Exhibit 4.1 to the Company’s Current Report on Form 8-K (File No. 001-37708), as filed with the SEC on February 4, 2020).</w:t>
              </w:r>
            </w:hyperlink>
          </w:p>
        </w:tc>
        <w:tc>
          <w:tcPr>
            <w:tcW w:w="0" w:type="dxa"/>
            <w:vAlign w:val="bottom"/>
          </w:tcPr>
          <w:p>
            <w:pPr>
              <w:spacing w:after="0"/>
              <w:rPr>
                <w:sz w:val="1"/>
                <w:szCs w:val="1"/>
                <w:color w:val="auto"/>
              </w:rPr>
            </w:pPr>
          </w:p>
        </w:tc>
      </w:tr>
      <w:tr>
        <w:trPr>
          <w:trHeight w:val="296"/>
        </w:trPr>
        <w:tc>
          <w:tcPr>
            <w:tcW w:w="1000" w:type="dxa"/>
            <w:vAlign w:val="bottom"/>
          </w:tcPr>
          <w:p>
            <w:pPr>
              <w:jc w:val="right"/>
              <w:ind w:right="644"/>
              <w:spacing w:after="0"/>
              <w:rPr>
                <w:sz w:val="20"/>
                <w:szCs w:val="20"/>
                <w:color w:val="auto"/>
              </w:rPr>
            </w:pPr>
            <w:r>
              <w:rPr>
                <w:rFonts w:ascii="Arial" w:cs="Arial" w:eastAsia="Arial" w:hAnsi="Arial"/>
                <w:sz w:val="16"/>
                <w:szCs w:val="16"/>
                <w:color w:val="auto"/>
                <w:w w:val="83"/>
              </w:rPr>
              <w:t>10.1</w:t>
            </w:r>
          </w:p>
        </w:tc>
        <w:tc>
          <w:tcPr>
            <w:tcW w:w="14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Form of Stock Unit Agreement under 2015 Omnibus Incentive Plan.</w:t>
              </w:r>
            </w:hyperlink>
          </w:p>
        </w:tc>
        <w:tc>
          <w:tcPr>
            <w:tcW w:w="0" w:type="dxa"/>
            <w:vAlign w:val="bottom"/>
          </w:tcPr>
          <w:p>
            <w:pPr>
              <w:spacing w:after="0"/>
              <w:rPr>
                <w:sz w:val="1"/>
                <w:szCs w:val="1"/>
                <w:color w:val="auto"/>
              </w:rPr>
            </w:pPr>
          </w:p>
        </w:tc>
      </w:tr>
      <w:tr>
        <w:trPr>
          <w:trHeight w:val="296"/>
        </w:trPr>
        <w:tc>
          <w:tcPr>
            <w:tcW w:w="1000" w:type="dxa"/>
            <w:vAlign w:val="bottom"/>
          </w:tcPr>
          <w:p>
            <w:pPr>
              <w:jc w:val="right"/>
              <w:ind w:right="644"/>
              <w:spacing w:after="0"/>
              <w:rPr>
                <w:sz w:val="20"/>
                <w:szCs w:val="20"/>
                <w:color w:val="auto"/>
              </w:rPr>
            </w:pPr>
            <w:r>
              <w:rPr>
                <w:rFonts w:ascii="Arial" w:cs="Arial" w:eastAsia="Arial" w:hAnsi="Arial"/>
                <w:sz w:val="16"/>
                <w:szCs w:val="16"/>
                <w:color w:val="auto"/>
                <w:w w:val="83"/>
              </w:rPr>
              <w:t>10.2</w:t>
            </w:r>
          </w:p>
        </w:tc>
        <w:tc>
          <w:tcPr>
            <w:tcW w:w="14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6"/>
                <w:szCs w:val="16"/>
                <w:u w:val="single" w:color="auto"/>
                <w:color w:val="0000EE"/>
                <w:w w:val="99"/>
              </w:rPr>
            </w:pPr>
            <w:hyperlink w:anchor="page66">
              <w:r>
                <w:rPr>
                  <w:rFonts w:ascii="Arial" w:cs="Arial" w:eastAsia="Arial" w:hAnsi="Arial"/>
                  <w:sz w:val="16"/>
                  <w:szCs w:val="16"/>
                  <w:u w:val="single" w:color="auto"/>
                  <w:color w:val="0000EE"/>
                  <w:w w:val="99"/>
                </w:rPr>
                <w:t>Amendment No. 12 to Clinical Trial Agreement by and between the Company and ECOG-ACRIN Cancer Research Group, dated May 12, 2020.</w:t>
              </w:r>
            </w:hyperlink>
          </w:p>
        </w:tc>
        <w:tc>
          <w:tcPr>
            <w:tcW w:w="0" w:type="dxa"/>
            <w:vAlign w:val="bottom"/>
          </w:tcPr>
          <w:p>
            <w:pPr>
              <w:spacing w:after="0"/>
              <w:rPr>
                <w:sz w:val="1"/>
                <w:szCs w:val="1"/>
                <w:color w:val="auto"/>
              </w:rPr>
            </w:pPr>
          </w:p>
        </w:tc>
      </w:tr>
      <w:tr>
        <w:trPr>
          <w:trHeight w:val="296"/>
        </w:trPr>
        <w:tc>
          <w:tcPr>
            <w:tcW w:w="1000" w:type="dxa"/>
            <w:vAlign w:val="bottom"/>
          </w:tcPr>
          <w:p>
            <w:pPr>
              <w:jc w:val="right"/>
              <w:ind w:right="644"/>
              <w:spacing w:after="0"/>
              <w:rPr>
                <w:sz w:val="20"/>
                <w:szCs w:val="20"/>
                <w:color w:val="auto"/>
              </w:rPr>
            </w:pPr>
            <w:r>
              <w:rPr>
                <w:rFonts w:ascii="Arial" w:cs="Arial" w:eastAsia="Arial" w:hAnsi="Arial"/>
                <w:sz w:val="16"/>
                <w:szCs w:val="16"/>
                <w:color w:val="auto"/>
                <w:w w:val="83"/>
              </w:rPr>
              <w:t>31.1</w:t>
            </w:r>
          </w:p>
        </w:tc>
        <w:tc>
          <w:tcPr>
            <w:tcW w:w="14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6"/>
                <w:szCs w:val="16"/>
                <w:u w:val="single" w:color="auto"/>
                <w:color w:val="0000EE"/>
                <w:w w:val="91"/>
              </w:rPr>
            </w:pPr>
            <w:hyperlink w:anchor="page73">
              <w:r>
                <w:rPr>
                  <w:rFonts w:ascii="Arial" w:cs="Arial" w:eastAsia="Arial" w:hAnsi="Arial"/>
                  <w:sz w:val="16"/>
                  <w:szCs w:val="16"/>
                  <w:u w:val="single" w:color="auto"/>
                  <w:color w:val="0000EE"/>
                  <w:w w:val="91"/>
                </w:rPr>
                <w:t>Certification of Principal Executive Officer pursuant to Rules 13a-14(a) and 15d-14(a) promulgated under the Securities Exchange Act of 1934, as amended.</w:t>
              </w:r>
            </w:hyperlink>
          </w:p>
        </w:tc>
        <w:tc>
          <w:tcPr>
            <w:tcW w:w="0" w:type="dxa"/>
            <w:vAlign w:val="bottom"/>
          </w:tcPr>
          <w:p>
            <w:pPr>
              <w:spacing w:after="0"/>
              <w:rPr>
                <w:sz w:val="1"/>
                <w:szCs w:val="1"/>
                <w:color w:val="auto"/>
              </w:rPr>
            </w:pPr>
          </w:p>
        </w:tc>
      </w:tr>
      <w:tr>
        <w:trPr>
          <w:trHeight w:val="296"/>
        </w:trPr>
        <w:tc>
          <w:tcPr>
            <w:tcW w:w="1000" w:type="dxa"/>
            <w:vAlign w:val="bottom"/>
          </w:tcPr>
          <w:p>
            <w:pPr>
              <w:jc w:val="right"/>
              <w:ind w:right="644"/>
              <w:spacing w:after="0"/>
              <w:rPr>
                <w:sz w:val="20"/>
                <w:szCs w:val="20"/>
                <w:color w:val="auto"/>
              </w:rPr>
            </w:pPr>
            <w:r>
              <w:rPr>
                <w:rFonts w:ascii="Arial" w:cs="Arial" w:eastAsia="Arial" w:hAnsi="Arial"/>
                <w:sz w:val="16"/>
                <w:szCs w:val="16"/>
                <w:color w:val="auto"/>
                <w:w w:val="83"/>
              </w:rPr>
              <w:t>31.2</w:t>
            </w:r>
          </w:p>
        </w:tc>
        <w:tc>
          <w:tcPr>
            <w:tcW w:w="140" w:type="dxa"/>
            <w:vAlign w:val="bottom"/>
          </w:tcPr>
          <w:p>
            <w:pPr>
              <w:spacing w:after="0"/>
              <w:rPr>
                <w:sz w:val="24"/>
                <w:szCs w:val="24"/>
                <w:color w:val="auto"/>
              </w:rPr>
            </w:pPr>
          </w:p>
        </w:tc>
        <w:tc>
          <w:tcPr>
            <w:tcW w:w="10120" w:type="dxa"/>
            <w:vAlign w:val="bottom"/>
            <w:gridSpan w:val="8"/>
          </w:tcPr>
          <w:p>
            <w:pPr>
              <w:spacing w:after="0"/>
              <w:rPr>
                <w:rFonts w:ascii="Arial" w:cs="Arial" w:eastAsia="Arial" w:hAnsi="Arial"/>
                <w:sz w:val="16"/>
                <w:szCs w:val="16"/>
                <w:u w:val="single" w:color="auto"/>
                <w:color w:val="0000EE"/>
                <w:w w:val="91"/>
              </w:rPr>
            </w:pPr>
            <w:hyperlink w:anchor="page74">
              <w:r>
                <w:rPr>
                  <w:rFonts w:ascii="Arial" w:cs="Arial" w:eastAsia="Arial" w:hAnsi="Arial"/>
                  <w:sz w:val="16"/>
                  <w:szCs w:val="16"/>
                  <w:u w:val="single" w:color="auto"/>
                  <w:color w:val="0000EE"/>
                  <w:w w:val="91"/>
                </w:rPr>
                <w:t>Certification of Principal Financial Officer pursuant to Rules 13a-14(a) and 15d-14(a) promulgated under the Securities Exchange Act of 1934, as amended.</w:t>
              </w:r>
            </w:hyperlink>
          </w:p>
        </w:tc>
        <w:tc>
          <w:tcPr>
            <w:tcW w:w="0" w:type="dxa"/>
            <w:vAlign w:val="bottom"/>
          </w:tcPr>
          <w:p>
            <w:pPr>
              <w:spacing w:after="0"/>
              <w:rPr>
                <w:sz w:val="1"/>
                <w:szCs w:val="1"/>
                <w:color w:val="auto"/>
              </w:rPr>
            </w:pPr>
          </w:p>
        </w:tc>
      </w:tr>
      <w:tr>
        <w:trPr>
          <w:trHeight w:val="262"/>
        </w:trPr>
        <w:tc>
          <w:tcPr>
            <w:tcW w:w="1000" w:type="dxa"/>
            <w:vAlign w:val="bottom"/>
          </w:tcPr>
          <w:p>
            <w:pPr>
              <w:jc w:val="right"/>
              <w:ind w:right="584"/>
              <w:spacing w:after="0"/>
              <w:rPr>
                <w:sz w:val="20"/>
                <w:szCs w:val="20"/>
                <w:color w:val="auto"/>
              </w:rPr>
            </w:pPr>
            <w:r>
              <w:rPr>
                <w:rFonts w:ascii="Arial" w:cs="Arial" w:eastAsia="Arial" w:hAnsi="Arial"/>
                <w:sz w:val="16"/>
                <w:szCs w:val="16"/>
                <w:color w:val="auto"/>
                <w:w w:val="85"/>
              </w:rPr>
              <w:t>32.1*</w:t>
            </w:r>
          </w:p>
        </w:tc>
        <w:tc>
          <w:tcPr>
            <w:tcW w:w="140" w:type="dxa"/>
            <w:vAlign w:val="bottom"/>
          </w:tcPr>
          <w:p>
            <w:pPr>
              <w:spacing w:after="0"/>
              <w:rPr>
                <w:sz w:val="22"/>
                <w:szCs w:val="22"/>
                <w:color w:val="auto"/>
              </w:rPr>
            </w:pPr>
          </w:p>
        </w:tc>
        <w:tc>
          <w:tcPr>
            <w:tcW w:w="9980" w:type="dxa"/>
            <w:vAlign w:val="bottom"/>
            <w:tcBorders>
              <w:bottom w:val="single" w:sz="8" w:color="0000EE"/>
            </w:tcBorders>
            <w:gridSpan w:val="5"/>
          </w:tcPr>
          <w:p>
            <w:pPr>
              <w:spacing w:after="0"/>
              <w:rPr>
                <w:rFonts w:ascii="Arial" w:cs="Arial" w:eastAsia="Arial" w:hAnsi="Arial"/>
                <w:sz w:val="16"/>
                <w:szCs w:val="16"/>
                <w:color w:val="0000EE"/>
                <w:w w:val="89"/>
              </w:rPr>
            </w:pPr>
            <w:hyperlink w:anchor="page75">
              <w:r>
                <w:rPr>
                  <w:rFonts w:ascii="Arial" w:cs="Arial" w:eastAsia="Arial" w:hAnsi="Arial"/>
                  <w:sz w:val="16"/>
                  <w:szCs w:val="16"/>
                  <w:color w:val="0000EE"/>
                  <w:w w:val="89"/>
                </w:rPr>
                <w:t>Certifications of Chief Executive Officer and Chief Financial Officer pursuant to 18 U.S.C. Section 1350, as adopted pursuant to Section 906 of the Sarbanes-</w:t>
              </w:r>
            </w:hyperlink>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20" w:type="dxa"/>
            <w:vAlign w:val="bottom"/>
            <w:gridSpan w:val="8"/>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Oxley Act 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1145" w:right="20" w:hanging="1145"/>
        <w:spacing w:after="0" w:line="283" w:lineRule="auto"/>
        <w:tabs>
          <w:tab w:leader="none" w:pos="1145" w:val="left"/>
        </w:tabs>
        <w:numPr>
          <w:ilvl w:val="0"/>
          <w:numId w:val="33"/>
        </w:numPr>
        <w:rPr>
          <w:rFonts w:ascii="Arial" w:cs="Arial" w:eastAsia="Arial" w:hAnsi="Arial"/>
          <w:sz w:val="15"/>
          <w:szCs w:val="15"/>
          <w:color w:val="auto"/>
        </w:rPr>
      </w:pPr>
      <w:r>
        <w:rPr>
          <w:rFonts w:ascii="Arial" w:cs="Arial" w:eastAsia="Arial" w:hAnsi="Arial"/>
          <w:sz w:val="15"/>
          <w:szCs w:val="15"/>
          <w:color w:val="auto"/>
        </w:rPr>
        <w:t>Financial statements from the Quarterly Report on Form 10-Q of Syndax Pharmaceuticals, Inc. for the quarter ended June 30, 2019,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65" w:lineRule="exact"/>
        <w:rPr>
          <w:sz w:val="20"/>
          <w:szCs w:val="20"/>
          <w:color w:val="auto"/>
        </w:rPr>
      </w:pPr>
    </w:p>
    <w:p>
      <w:pPr>
        <w:ind w:left="5"/>
        <w:spacing w:after="0"/>
        <w:tabs>
          <w:tab w:leader="none" w:pos="1125"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9550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955040" cy="7620"/>
                    </a:xfrm>
                    <a:prstGeom prst="rect">
                      <a:avLst/>
                    </a:prstGeom>
                    <a:noFill/>
                  </pic:spPr>
                </pic:pic>
              </a:graphicData>
            </a:graphic>
          </wp:anchor>
        </w:drawing>
      </w:r>
    </w:p>
    <w:p>
      <w:pPr>
        <w:spacing w:after="0" w:line="151" w:lineRule="exact"/>
        <w:rPr>
          <w:sz w:val="20"/>
          <w:szCs w:val="20"/>
          <w:color w:val="auto"/>
        </w:rPr>
      </w:pPr>
    </w:p>
    <w:p>
      <w:pPr>
        <w:jc w:val="both"/>
        <w:ind w:left="505" w:right="160" w:hanging="505"/>
        <w:spacing w:after="0" w:line="257" w:lineRule="auto"/>
        <w:tabs>
          <w:tab w:leader="none" w:pos="5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6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312" w:right="319" w:bottom="1440" w:gutter="0" w:footer="0" w:header="0"/>
        </w:sectPr>
      </w:pPr>
    </w:p>
    <w:bookmarkStart w:id="60" w:name="page61"/>
    <w:bookmarkEnd w:id="60"/>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99"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Briggs W. Morrison, M.D.</w:t>
            </w:r>
          </w:p>
        </w:tc>
      </w:tr>
      <w:tr>
        <w:trPr>
          <w:trHeight w:val="169"/>
        </w:trPr>
        <w:tc>
          <w:tcPr>
            <w:tcW w:w="520" w:type="dxa"/>
            <w:vAlign w:val="bottom"/>
          </w:tcPr>
          <w:p>
            <w:pPr>
              <w:spacing w:after="0"/>
              <w:rPr>
                <w:sz w:val="14"/>
                <w:szCs w:val="14"/>
                <w:color w:val="auto"/>
              </w:rPr>
            </w:pPr>
          </w:p>
        </w:tc>
        <w:tc>
          <w:tcPr>
            <w:tcW w:w="3980" w:type="dxa"/>
            <w:vAlign w:val="bottom"/>
          </w:tcPr>
          <w:p>
            <w:pPr>
              <w:spacing w:after="0" w:line="169" w:lineRule="exact"/>
              <w:rPr>
                <w:sz w:val="20"/>
                <w:szCs w:val="20"/>
                <w:color w:val="auto"/>
              </w:rPr>
            </w:pPr>
            <w:r>
              <w:rPr>
                <w:rFonts w:ascii="Arial" w:cs="Arial" w:eastAsia="Arial" w:hAnsi="Arial"/>
                <w:sz w:val="16"/>
                <w:szCs w:val="16"/>
                <w:color w:val="auto"/>
              </w:rPr>
              <w:t>Briggs W. Morrison, M.D.</w:t>
            </w:r>
          </w:p>
        </w:tc>
      </w:tr>
      <w:tr>
        <w:trPr>
          <w:trHeight w:val="189"/>
        </w:trPr>
        <w:tc>
          <w:tcPr>
            <w:tcW w:w="5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1"/>
        </w:trPr>
        <w:tc>
          <w:tcPr>
            <w:tcW w:w="5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380"/>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Daphne Karydas</w:t>
            </w:r>
          </w:p>
        </w:tc>
      </w:tr>
      <w:tr>
        <w:trPr>
          <w:trHeight w:val="169"/>
        </w:trPr>
        <w:tc>
          <w:tcPr>
            <w:tcW w:w="520" w:type="dxa"/>
            <w:vAlign w:val="bottom"/>
          </w:tcPr>
          <w:p>
            <w:pPr>
              <w:spacing w:after="0"/>
              <w:rPr>
                <w:sz w:val="14"/>
                <w:szCs w:val="14"/>
                <w:color w:val="auto"/>
              </w:rPr>
            </w:pPr>
          </w:p>
        </w:tc>
        <w:tc>
          <w:tcPr>
            <w:tcW w:w="3980" w:type="dxa"/>
            <w:vAlign w:val="bottom"/>
          </w:tcPr>
          <w:p>
            <w:pPr>
              <w:spacing w:after="0" w:line="169" w:lineRule="exact"/>
              <w:rPr>
                <w:sz w:val="20"/>
                <w:szCs w:val="20"/>
                <w:color w:val="auto"/>
              </w:rPr>
            </w:pPr>
            <w:r>
              <w:rPr>
                <w:rFonts w:ascii="Arial" w:cs="Arial" w:eastAsia="Arial" w:hAnsi="Arial"/>
                <w:sz w:val="16"/>
                <w:szCs w:val="16"/>
                <w:color w:val="auto"/>
              </w:rPr>
              <w:t>Daphne Karydas</w:t>
            </w:r>
          </w:p>
        </w:tc>
      </w:tr>
      <w:tr>
        <w:trPr>
          <w:trHeight w:val="189"/>
        </w:trPr>
        <w:tc>
          <w:tcPr>
            <w:tcW w:w="5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Chief Financial Officer and Treasurer</w:t>
            </w:r>
          </w:p>
        </w:tc>
      </w:tr>
      <w:tr>
        <w:trPr>
          <w:trHeight w:val="189"/>
        </w:trPr>
        <w:tc>
          <w:tcPr>
            <w:tcW w:w="5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(Principal Executive Officer and Principal Accounting</w:t>
            </w:r>
          </w:p>
        </w:tc>
      </w:tr>
      <w:tr>
        <w:trPr>
          <w:trHeight w:val="201"/>
        </w:trPr>
        <w:tc>
          <w:tcPr>
            <w:tcW w:w="5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940"/>
          </w:cols>
          <w:pgMar w:left="320" w:top="312" w:right="6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10.1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2015 OMNIBUS INCENTIVE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UNIT AGREEMENT</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Syndax Pharmaceuticals,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grants Stock Units denominated in shares of its common stock, par value $0.0001 per share (this “</w:t>
      </w:r>
      <w:r>
        <w:rPr>
          <w:rFonts w:ascii="Arial" w:cs="Arial" w:eastAsia="Arial" w:hAnsi="Arial"/>
          <w:sz w:val="15"/>
          <w:szCs w:val="15"/>
          <w:b w:val="1"/>
          <w:bCs w:val="1"/>
          <w:color w:val="auto"/>
        </w:rPr>
        <w:t>Award</w:t>
      </w:r>
      <w:r>
        <w:rPr>
          <w:rFonts w:ascii="Arial" w:cs="Arial" w:eastAsia="Arial" w:hAnsi="Arial"/>
          <w:sz w:val="15"/>
          <w:szCs w:val="15"/>
          <w:color w:val="auto"/>
        </w:rPr>
        <w:t>”), to the Grantee named below, subject to the vesting and other conditions set forth below. Additional terms and conditions of the grant are set forth in this cover sheet and in the attachment (collectively, the “</w:t>
      </w:r>
      <w:r>
        <w:rPr>
          <w:rFonts w:ascii="Arial" w:cs="Arial" w:eastAsia="Arial" w:hAnsi="Arial"/>
          <w:sz w:val="15"/>
          <w:szCs w:val="15"/>
          <w:b w:val="1"/>
          <w:bCs w:val="1"/>
          <w:color w:val="auto"/>
        </w:rPr>
        <w:t>Agreement</w:t>
      </w:r>
      <w:r>
        <w:rPr>
          <w:rFonts w:ascii="Arial" w:cs="Arial" w:eastAsia="Arial" w:hAnsi="Arial"/>
          <w:sz w:val="15"/>
          <w:szCs w:val="15"/>
          <w:color w:val="auto"/>
        </w:rPr>
        <w:t>”), and in the Company’s 2015 Omnibus Incentive Plan (as amended from time to time, the “</w:t>
      </w:r>
      <w:r>
        <w:rPr>
          <w:rFonts w:ascii="Arial" w:cs="Arial" w:eastAsia="Arial" w:hAnsi="Arial"/>
          <w:sz w:val="15"/>
          <w:szCs w:val="15"/>
          <w:b w:val="1"/>
          <w:bCs w:val="1"/>
          <w:color w:val="auto"/>
        </w:rPr>
        <w:t>Plan</w:t>
      </w:r>
      <w:r>
        <w:rPr>
          <w:rFonts w:ascii="Arial" w:cs="Arial" w:eastAsia="Arial" w:hAnsi="Arial"/>
          <w:sz w:val="15"/>
          <w:szCs w:val="15"/>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Arial" w:cs="Arial" w:eastAsia="Arial" w:hAnsi="Arial"/>
                <w:sz w:val="16"/>
                <w:szCs w:val="16"/>
                <w:color w:val="auto"/>
              </w:rPr>
              <w:t>Name of Grantee: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391"/>
        </w:trPr>
        <w:tc>
          <w:tcPr>
            <w:tcW w:w="2220" w:type="dxa"/>
            <w:vAlign w:val="bottom"/>
          </w:tcPr>
          <w:p>
            <w:pPr>
              <w:spacing w:after="0"/>
              <w:rPr>
                <w:sz w:val="20"/>
                <w:szCs w:val="20"/>
                <w:color w:val="auto"/>
              </w:rPr>
            </w:pPr>
            <w:r>
              <w:rPr>
                <w:rFonts w:ascii="Arial" w:cs="Arial" w:eastAsia="Arial" w:hAnsi="Arial"/>
                <w:sz w:val="16"/>
                <w:szCs w:val="16"/>
                <w:color w:val="auto"/>
              </w:rPr>
              <w:t>Number of Stock Units:</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414"/>
        </w:trPr>
        <w:tc>
          <w:tcPr>
            <w:tcW w:w="2220" w:type="dxa"/>
            <w:vAlign w:val="bottom"/>
          </w:tcPr>
          <w:p>
            <w:pPr>
              <w:spacing w:after="0"/>
              <w:rPr>
                <w:sz w:val="20"/>
                <w:szCs w:val="20"/>
                <w:color w:val="auto"/>
              </w:rPr>
            </w:pPr>
            <w:r>
              <w:rPr>
                <w:rFonts w:ascii="Arial" w:cs="Arial" w:eastAsia="Arial" w:hAnsi="Arial"/>
                <w:sz w:val="16"/>
                <w:szCs w:val="16"/>
                <w:color w:val="auto"/>
              </w:rPr>
              <w:t>Grant Date: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414"/>
        </w:trPr>
        <w:tc>
          <w:tcPr>
            <w:tcW w:w="2220" w:type="dxa"/>
            <w:vAlign w:val="bottom"/>
          </w:tcPr>
          <w:p>
            <w:pPr>
              <w:spacing w:after="0"/>
              <w:rPr>
                <w:sz w:val="20"/>
                <w:szCs w:val="20"/>
                <w:color w:val="auto"/>
              </w:rPr>
            </w:pPr>
            <w:r>
              <w:rPr>
                <w:rFonts w:ascii="Arial" w:cs="Arial" w:eastAsia="Arial" w:hAnsi="Arial"/>
                <w:sz w:val="16"/>
                <w:szCs w:val="16"/>
                <w:color w:val="auto"/>
              </w:rPr>
              <w:t>Vesting Start Date: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373"/>
        </w:trPr>
        <w:tc>
          <w:tcPr>
            <w:tcW w:w="2220" w:type="dxa"/>
            <w:vAlign w:val="bottom"/>
          </w:tcPr>
          <w:p>
            <w:pPr>
              <w:spacing w:after="0"/>
              <w:rPr>
                <w:sz w:val="20"/>
                <w:szCs w:val="20"/>
                <w:color w:val="auto"/>
              </w:rPr>
            </w:pPr>
            <w:r>
              <w:rPr>
                <w:rFonts w:ascii="Arial" w:cs="Arial" w:eastAsia="Arial" w:hAnsi="Arial"/>
                <w:sz w:val="16"/>
                <w:szCs w:val="16"/>
                <w:color w:val="auto"/>
              </w:rPr>
              <w:t>Vesting Schedule:</w:t>
            </w:r>
          </w:p>
        </w:tc>
        <w:tc>
          <w:tcPr>
            <w:tcW w:w="2780" w:type="dxa"/>
            <w:vAlign w:val="bottom"/>
          </w:tcPr>
          <w:p>
            <w:pPr>
              <w:spacing w:after="0"/>
              <w:rPr>
                <w:sz w:val="24"/>
                <w:szCs w:val="24"/>
                <w:color w:val="auto"/>
              </w:rPr>
            </w:pPr>
          </w:p>
        </w:tc>
      </w:tr>
    </w:tbl>
    <w:p>
      <w:pPr>
        <w:spacing w:after="0" w:line="178" w:lineRule="exact"/>
        <w:rPr>
          <w:sz w:val="20"/>
          <w:szCs w:val="20"/>
          <w:color w:val="auto"/>
        </w:rPr>
      </w:pPr>
    </w:p>
    <w:p>
      <w:pPr>
        <w:ind w:right="20"/>
        <w:spacing w:after="0" w:line="438" w:lineRule="auto"/>
        <w:rPr>
          <w:sz w:val="20"/>
          <w:szCs w:val="20"/>
          <w:color w:val="auto"/>
        </w:rPr>
      </w:pPr>
      <w:r>
        <w:rPr>
          <w:rFonts w:ascii="Arial" w:cs="Arial" w:eastAsia="Arial" w:hAnsi="Arial"/>
          <w:sz w:val="12"/>
          <w:szCs w:val="12"/>
          <w:b w:val="1"/>
          <w:bCs w:val="1"/>
          <w:i w:val="1"/>
          <w:iCs w:val="1"/>
          <w:color w:val="auto"/>
        </w:rPr>
        <w:t>By your signature below, you agree to all of the terms and conditions described in the Agreement and in the Plan, a copy of which is also attached. You acknowledge that you have carefully reviewed the Plan, and agree that the Plan will control in the event any provision of this or Agreement should appear to be inconsistent with the Plan.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40" w:type="dxa"/>
            <w:vAlign w:val="bottom"/>
          </w:tcPr>
          <w:p>
            <w:pPr>
              <w:spacing w:after="0"/>
              <w:rPr>
                <w:sz w:val="20"/>
                <w:szCs w:val="20"/>
                <w:color w:val="auto"/>
              </w:rPr>
            </w:pPr>
            <w:r>
              <w:rPr>
                <w:rFonts w:ascii="Arial" w:cs="Arial" w:eastAsia="Arial" w:hAnsi="Arial"/>
                <w:sz w:val="16"/>
                <w:szCs w:val="16"/>
                <w:color w:val="auto"/>
              </w:rPr>
              <w:t>Grantee</w:t>
            </w:r>
          </w:p>
        </w:tc>
        <w:tc>
          <w:tcPr>
            <w:tcW w:w="3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Arial" w:cs="Arial" w:eastAsia="Arial" w:hAnsi="Arial"/>
                <w:sz w:val="16"/>
                <w:szCs w:val="16"/>
                <w:color w:val="auto"/>
                <w:w w:val="83"/>
              </w:rPr>
              <w:t>Date:</w:t>
            </w:r>
          </w:p>
        </w:tc>
      </w:tr>
      <w:tr>
        <w:trPr>
          <w:trHeight w:val="194"/>
        </w:trPr>
        <w:tc>
          <w:tcPr>
            <w:tcW w:w="154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(Signature)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56"/>
        </w:trPr>
        <w:tc>
          <w:tcPr>
            <w:tcW w:w="1540" w:type="dxa"/>
            <w:vAlign w:val="bottom"/>
          </w:tcPr>
          <w:p>
            <w:pPr>
              <w:spacing w:after="0"/>
              <w:rPr>
                <w:sz w:val="20"/>
                <w:szCs w:val="20"/>
                <w:color w:val="auto"/>
              </w:rPr>
            </w:pPr>
            <w:r>
              <w:rPr>
                <w:rFonts w:ascii="Arial" w:cs="Arial" w:eastAsia="Arial" w:hAnsi="Arial"/>
                <w:sz w:val="16"/>
                <w:szCs w:val="16"/>
                <w:color w:val="auto"/>
              </w:rPr>
              <w:t>Company:</w:t>
            </w:r>
          </w:p>
        </w:tc>
        <w:tc>
          <w:tcPr>
            <w:tcW w:w="3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6"/>
                <w:szCs w:val="16"/>
                <w:color w:val="auto"/>
                <w:w w:val="83"/>
              </w:rPr>
              <w:t>Date:</w:t>
            </w:r>
          </w:p>
        </w:tc>
      </w:tr>
      <w:tr>
        <w:trPr>
          <w:trHeight w:val="194"/>
        </w:trPr>
        <w:tc>
          <w:tcPr>
            <w:tcW w:w="15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-622935</wp:posOffset>
            </wp:positionV>
            <wp:extent cx="21723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172335" cy="762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-133985</wp:posOffset>
            </wp:positionV>
            <wp:extent cx="217233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11430</wp:posOffset>
            </wp:positionV>
            <wp:extent cx="22326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2326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11430</wp:posOffset>
            </wp:positionV>
            <wp:extent cx="22326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232660" cy="762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u w:val="single" w:color="auto"/>
          <w:color w:val="auto"/>
        </w:rPr>
        <w:t>Attachment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This is not a share certificate or a negotiable instrument.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2015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312420</wp:posOffset>
            </wp:positionV>
            <wp:extent cx="716407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2" w:name="page63"/>
    <w:bookmarkEnd w:id="62"/>
    <w:p>
      <w:pPr>
        <w:jc w:val="center"/>
        <w:ind w:right="100"/>
        <w:spacing w:after="0"/>
        <w:rPr>
          <w:sz w:val="20"/>
          <w:szCs w:val="20"/>
          <w:color w:val="auto"/>
        </w:rPr>
      </w:pPr>
      <w:r>
        <w:rPr>
          <w:rFonts w:ascii="Arial" w:cs="Arial" w:eastAsia="Arial" w:hAnsi="Arial"/>
          <w:sz w:val="16"/>
          <w:szCs w:val="16"/>
          <w:b w:val="1"/>
          <w:bCs w:val="1"/>
          <w:color w:val="auto"/>
        </w:rPr>
        <w:t>FORM OF STOCK UNIT AGREEMENT</w:t>
      </w:r>
    </w:p>
    <w:p>
      <w:pPr>
        <w:sectPr>
          <w:pgSz w:w="11900" w:h="16838" w:orient="portrait"/>
          <w:cols w:equalWidth="0" w:num="1">
            <w:col w:w="11340"/>
          </w:cols>
          <w:pgMar w:left="320" w:top="537" w:right="239" w:bottom="144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Units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20"/>
        <w:spacing w:after="0" w:line="341" w:lineRule="auto"/>
        <w:rPr>
          <w:sz w:val="20"/>
          <w:szCs w:val="20"/>
          <w:color w:val="auto"/>
        </w:rPr>
      </w:pPr>
      <w:r>
        <w:rPr>
          <w:rFonts w:ascii="Arial" w:cs="Arial" w:eastAsia="Arial" w:hAnsi="Arial"/>
          <w:sz w:val="14"/>
          <w:szCs w:val="14"/>
          <w:color w:val="auto"/>
        </w:rPr>
        <w:t>This Agreement evidences an award of stock units for Shares in the number set forth on the cov vesting and other conditions set forth in the Agreement and in the Plan (the “</w:t>
      </w:r>
      <w:r>
        <w:rPr>
          <w:rFonts w:ascii="Arial" w:cs="Arial" w:eastAsia="Arial" w:hAnsi="Arial"/>
          <w:sz w:val="14"/>
          <w:szCs w:val="14"/>
          <w:b w:val="1"/>
          <w:bCs w:val="1"/>
          <w:color w:val="auto"/>
        </w:rPr>
        <w:t>Stock Units</w:t>
      </w:r>
      <w:r>
        <w:rPr>
          <w:rFonts w:ascii="Arial" w:cs="Arial" w:eastAsia="Arial" w:hAnsi="Arial"/>
          <w:sz w:val="14"/>
          <w:szCs w:val="14"/>
          <w:color w:val="auto"/>
        </w:rPr>
        <w:t>”).</w:t>
      </w:r>
    </w:p>
    <w:p>
      <w:pPr>
        <w:spacing w:after="0" w:line="1" w:lineRule="exact"/>
        <w:rPr>
          <w:sz w:val="20"/>
          <w:szCs w:val="20"/>
          <w:color w:val="auto"/>
        </w:rPr>
      </w:pPr>
    </w:p>
    <w:p>
      <w:pPr>
        <w:sectPr>
          <w:pgSz w:w="11900" w:h="16838" w:orient="portrait"/>
          <w:cols w:equalWidth="0" w:num="2">
            <w:col w:w="4520" w:space="720"/>
            <w:col w:w="6100"/>
          </w:cols>
          <w:pgMar w:left="320" w:top="537"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Transfer of Stock Units</w:t>
      </w:r>
    </w:p>
    <w:p>
      <w:pPr>
        <w:spacing w:after="0" w:line="20" w:lineRule="exact"/>
        <w:rPr>
          <w:sz w:val="20"/>
          <w:szCs w:val="20"/>
          <w:color w:val="auto"/>
        </w:rPr>
      </w:pPr>
      <w:r>
        <w:rPr>
          <w:sz w:val="20"/>
          <w:szCs w:val="20"/>
          <w:color w:val="auto"/>
        </w:rPr>
        <w:br w:type="column"/>
      </w:r>
    </w:p>
    <w:p>
      <w:pPr>
        <w:jc w:val="both"/>
        <w:spacing w:after="0" w:line="311" w:lineRule="auto"/>
        <w:rPr>
          <w:sz w:val="20"/>
          <w:szCs w:val="20"/>
          <w:color w:val="auto"/>
        </w:rPr>
      </w:pPr>
      <w:r>
        <w:rPr>
          <w:rFonts w:ascii="Arial" w:cs="Arial" w:eastAsia="Arial" w:hAnsi="Arial"/>
          <w:sz w:val="14"/>
          <w:szCs w:val="14"/>
          <w:color w:val="auto"/>
        </w:rPr>
        <w:t>The Stock Units may not be sold, assigned, transferred, pledged, hypothecated or otherwise operation of law or otherwise, nor may the Stock Units be made subject to execution, attachment attempt to do any of these things, this Award will immediately become forfeited.</w:t>
      </w:r>
    </w:p>
    <w:p>
      <w:pPr>
        <w:spacing w:after="0" w:line="92" w:lineRule="exact"/>
        <w:rPr>
          <w:sz w:val="20"/>
          <w:szCs w:val="20"/>
          <w:color w:val="auto"/>
        </w:rPr>
      </w:pPr>
    </w:p>
    <w:p>
      <w:pPr>
        <w:sectPr>
          <w:pgSz w:w="11900" w:h="16838" w:orient="portrait"/>
          <w:cols w:equalWidth="0" w:num="2">
            <w:col w:w="4520" w:space="720"/>
            <w:col w:w="6100"/>
          </w:cols>
          <w:pgMar w:left="320" w:top="537" w:right="2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Issuance and Vesting of Stock Units; Issuance of Shares of Stock</w:t>
      </w:r>
    </w:p>
    <w:p>
      <w:pPr>
        <w:spacing w:after="0" w:line="20" w:lineRule="exact"/>
        <w:rPr>
          <w:sz w:val="20"/>
          <w:szCs w:val="20"/>
          <w:color w:val="auto"/>
        </w:rPr>
      </w:pPr>
      <w:r>
        <w:rPr>
          <w:sz w:val="20"/>
          <w:szCs w:val="20"/>
          <w:color w:val="auto"/>
        </w:rPr>
        <w:br w:type="column"/>
      </w:r>
    </w:p>
    <w:p>
      <w:pPr>
        <w:spacing w:after="0" w:line="341" w:lineRule="auto"/>
        <w:rPr>
          <w:sz w:val="20"/>
          <w:szCs w:val="20"/>
          <w:color w:val="auto"/>
        </w:rPr>
      </w:pPr>
      <w:r>
        <w:rPr>
          <w:rFonts w:ascii="Arial" w:cs="Arial" w:eastAsia="Arial" w:hAnsi="Arial"/>
          <w:sz w:val="14"/>
          <w:szCs w:val="14"/>
          <w:color w:val="auto"/>
        </w:rPr>
        <w:t>The Company will issue your Stock Units in the name set forth on the cover sheet. The Stock Un bookkeeping entries representing the right to receive one share of Stock upon vesting and settlem</w:t>
      </w:r>
    </w:p>
    <w:p>
      <w:pPr>
        <w:spacing w:after="0" w:line="75" w:lineRule="exact"/>
        <w:rPr>
          <w:sz w:val="20"/>
          <w:szCs w:val="20"/>
          <w:color w:val="auto"/>
        </w:rPr>
      </w:pPr>
    </w:p>
    <w:p>
      <w:pPr>
        <w:sectPr>
          <w:pgSz w:w="11900" w:h="16838" w:orient="portrait"/>
          <w:cols w:equalWidth="0" w:num="2">
            <w:col w:w="4520" w:space="720"/>
            <w:col w:w="6100"/>
          </w:cols>
          <w:pgMar w:left="320" w:top="537" w:right="239" w:bottom="1440" w:gutter="0" w:footer="0" w:header="0"/>
          <w:type w:val="continuous"/>
        </w:sectPr>
      </w:pPr>
    </w:p>
    <w:p>
      <w:pPr>
        <w:ind w:left="5240"/>
        <w:spacing w:after="0" w:line="335" w:lineRule="auto"/>
        <w:rPr>
          <w:sz w:val="20"/>
          <w:szCs w:val="20"/>
          <w:color w:val="auto"/>
        </w:rPr>
      </w:pPr>
      <w:r>
        <w:rPr>
          <w:rFonts w:ascii="Arial" w:cs="Arial" w:eastAsia="Arial" w:hAnsi="Arial"/>
          <w:sz w:val="14"/>
          <w:szCs w:val="14"/>
          <w:color w:val="auto"/>
        </w:rPr>
        <w:t>Your rights under the Stock Units and this Agreement will vest in accordance with the vestin cover sheet so long as you continue in Service on the vesting dates set forth on the cover sheet.</w:t>
      </w:r>
    </w:p>
    <w:p>
      <w:pPr>
        <w:ind w:left="5240"/>
        <w:spacing w:after="0"/>
        <w:rPr>
          <w:sz w:val="20"/>
          <w:szCs w:val="20"/>
          <w:color w:val="auto"/>
        </w:rPr>
      </w:pPr>
      <w:r>
        <w:rPr>
          <w:rFonts w:ascii="Arial" w:cs="Arial" w:eastAsia="Arial" w:hAnsi="Arial"/>
          <w:sz w:val="15"/>
          <w:szCs w:val="15"/>
          <w:color w:val="auto"/>
        </w:rPr>
        <w:t>No additional shares of Stock will vest after your Service has terminated for any reason.</w:t>
      </w:r>
    </w:p>
    <w:p>
      <w:pPr>
        <w:sectPr>
          <w:pgSz w:w="11900" w:h="16838" w:orient="portrait"/>
          <w:cols w:equalWidth="0" w:num="1">
            <w:col w:w="11340"/>
          </w:cols>
          <w:pgMar w:left="320" w:top="537" w:right="2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As your Stock Units vest, the Company will issue the Shares to which the then-vested Stock U aggregate number of vested Shares will be rounded to the nearest whole number, and you can number of Shares covered by this grant. The issuance of Shares shall be made as soon as practic than 30 days after the date on which Stock Units representing such Shares are vested.</w:t>
      </w:r>
    </w:p>
    <w:p>
      <w:pPr>
        <w:spacing w:after="0" w:line="97" w:lineRule="exact"/>
        <w:rPr>
          <w:sz w:val="20"/>
          <w:szCs w:val="20"/>
          <w:color w:val="auto"/>
        </w:rPr>
      </w:pPr>
    </w:p>
    <w:p>
      <w:pPr>
        <w:sectPr>
          <w:pgSz w:w="11900" w:h="16838" w:orient="portrait"/>
          <w:cols w:equalWidth="0" w:num="2">
            <w:col w:w="4520" w:space="720"/>
            <w:col w:w="6100"/>
          </w:cols>
          <w:pgMar w:left="320" w:top="537"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Change in Control</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6"/>
          <w:szCs w:val="16"/>
          <w:color w:val="auto"/>
        </w:rPr>
        <w:t>Notwithstanding the vesting schedule set forth above, upon the consummation of a Change in become 100% vested (i) if it is not assumed, or equivalent stock units are not substituted for this or its successor, or (ii) if assumed or substituted for, upon your Involuntary Termination wit following the consummation of the Change in Control.</w:t>
      </w:r>
    </w:p>
    <w:p>
      <w:pPr>
        <w:spacing w:after="0" w:line="46" w:lineRule="exact"/>
        <w:rPr>
          <w:sz w:val="20"/>
          <w:szCs w:val="20"/>
          <w:color w:val="auto"/>
        </w:rPr>
      </w:pPr>
    </w:p>
    <w:p>
      <w:pPr>
        <w:sectPr>
          <w:pgSz w:w="11900" w:h="16838" w:orient="portrait"/>
          <w:cols w:equalWidth="0" w:num="2">
            <w:col w:w="4520" w:space="720"/>
            <w:col w:w="6100"/>
          </w:cols>
          <w:pgMar w:left="320" w:top="537" w:right="239" w:bottom="1440" w:gutter="0" w:footer="0" w:header="0"/>
          <w:type w:val="continuous"/>
        </w:sectPr>
      </w:pPr>
    </w:p>
    <w:p>
      <w:pPr>
        <w:jc w:val="both"/>
        <w:ind w:left="5240"/>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Involuntary Termination</w:t>
      </w:r>
      <w:r>
        <w:rPr>
          <w:rFonts w:ascii="Arial" w:cs="Arial" w:eastAsia="Arial" w:hAnsi="Arial"/>
          <w:sz w:val="14"/>
          <w:szCs w:val="14"/>
          <w:color w:val="auto"/>
        </w:rPr>
        <w:t>” means termination of your Service by reason of (i) your invo Company or its successor for reasons other than Cause; or (ii) your voluntary resignation for G any applicable employment or severance agreement, plan, or arrangement between you and the C following (a) a substantial adverse alteration in your title or responsibilities from those in effec Change in Control; (b) a reduction in your annual base salary as of immediately prior to the Ch same may be increased from time to time) or a material reduction in your annual target immediately prior to the Change in Control; or (c) the relocation of your principal place of emplo than 35 miles from your principal place of employment as of the Change in Control or the Comp based anywhere other than such principal place of employment (or permitted relocation thereof) on the Company’s business to an extent substantially consistent with your business travel oblig prior to the Change in Control. To qualify as an “Involuntary Termination” you must provide n any of the foregoing occurrences within 90 days of the initial occurrence and the Company wil such occurrence. To the extent not remedied, you must terminate employment within 60 days fo the 30 day cure period for such occurrence to constitute an Involuntary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16407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340"/>
          </w:cols>
          <w:pgMar w:left="320" w:top="537"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20"/>
                <w:szCs w:val="20"/>
                <w:color w:val="auto"/>
              </w:rPr>
            </w:pPr>
            <w:r>
              <w:rPr>
                <w:rFonts w:ascii="Arial" w:cs="Arial" w:eastAsia="Arial" w:hAnsi="Arial"/>
                <w:sz w:val="16"/>
                <w:szCs w:val="16"/>
                <w:b w:val="1"/>
                <w:bCs w:val="1"/>
                <w:color w:val="auto"/>
              </w:rPr>
              <w:t>Forfeiture of Unvested Stock Units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Unless the termination of your Service triggers accelerated vesting or other treatment of your St</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terms of this Agreement, the Plan, or any other written agreement between the Company or a</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5"/>
              </w:rPr>
              <w:t>will automatically forfeit to the Company all of the unvested Stock Units in the event your S</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reason.</w:t>
            </w:r>
          </w:p>
        </w:tc>
      </w:tr>
      <w:tr>
        <w:trPr>
          <w:trHeight w:val="249"/>
        </w:trPr>
        <w:tc>
          <w:tcPr>
            <w:tcW w:w="3780" w:type="dxa"/>
            <w:vAlign w:val="bottom"/>
          </w:tcPr>
          <w:p>
            <w:pPr>
              <w:spacing w:after="0"/>
              <w:rPr>
                <w:sz w:val="20"/>
                <w:szCs w:val="20"/>
                <w:color w:val="auto"/>
              </w:rPr>
            </w:pPr>
            <w:r>
              <w:rPr>
                <w:rFonts w:ascii="Arial" w:cs="Arial" w:eastAsia="Arial" w:hAnsi="Arial"/>
                <w:sz w:val="16"/>
                <w:szCs w:val="16"/>
                <w:b w:val="1"/>
                <w:bCs w:val="1"/>
                <w:color w:val="auto"/>
              </w:rPr>
              <w:t>Forfeiture of Rights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If you should take actions in violation or breach of or in conflict with any agreement prohibiting</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or clients of the Company or any Affiliate or any confidentiality obligation with respect to the C</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8"/>
              </w:rPr>
              <w:t>the Company has the right to cause an immediate forfeiture of your rights to this Award,</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immediately expire.</w:t>
            </w:r>
          </w:p>
        </w:tc>
      </w:tr>
      <w:tr>
        <w:trPr>
          <w:trHeight w:val="391"/>
        </w:trPr>
        <w:tc>
          <w:tcPr>
            <w:tcW w:w="3780" w:type="dxa"/>
            <w:vAlign w:val="bottom"/>
          </w:tcPr>
          <w:p>
            <w:pPr>
              <w:spacing w:after="0"/>
              <w:rPr>
                <w:sz w:val="20"/>
                <w:szCs w:val="20"/>
                <w:color w:val="auto"/>
              </w:rPr>
            </w:pPr>
            <w:r>
              <w:rPr>
                <w:rFonts w:ascii="Arial" w:cs="Arial" w:eastAsia="Arial" w:hAnsi="Arial"/>
                <w:sz w:val="16"/>
                <w:szCs w:val="16"/>
                <w:b w:val="1"/>
                <w:bCs w:val="1"/>
                <w:color w:val="auto"/>
              </w:rPr>
              <w:t>Leaves of Absence</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 xml:space="preserve">For purposes of this Agreement, your Service does not terminate when you go on a </w:t>
            </w:r>
            <w:r>
              <w:rPr>
                <w:rFonts w:ascii="Arial" w:cs="Arial" w:eastAsia="Arial" w:hAnsi="Arial"/>
                <w:sz w:val="16"/>
                <w:szCs w:val="16"/>
                <w:i w:val="1"/>
                <w:iCs w:val="1"/>
                <w:color w:val="auto"/>
                <w:w w:val="91"/>
              </w:rPr>
              <w:t>bona fide</w:t>
            </w:r>
            <w:r>
              <w:rPr>
                <w:rFonts w:ascii="Arial" w:cs="Arial" w:eastAsia="Arial" w:hAnsi="Arial"/>
                <w:sz w:val="16"/>
                <w:szCs w:val="16"/>
                <w:color w:val="auto"/>
                <w:w w:val="91"/>
              </w:rPr>
              <w:t xml:space="preserve"> l</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approved by the Company in writing if the terms of the leave provide for continued Service cre</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Service crediting is required by applicable law. Your Service terminates in any event when the ap</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you immediately return to active employee work.</w:t>
            </w:r>
          </w:p>
        </w:tc>
      </w:tr>
      <w:tr>
        <w:trPr>
          <w:trHeight w:val="285"/>
        </w:trPr>
        <w:tc>
          <w:tcPr>
            <w:tcW w:w="3780" w:type="dxa"/>
            <w:vAlign w:val="bottom"/>
          </w:tcPr>
          <w:p>
            <w:pPr>
              <w:spacing w:after="0"/>
              <w:rPr>
                <w:sz w:val="24"/>
                <w:szCs w:val="24"/>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The Company may determine, in its discretion, which leaves count for this purpose, and when y</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all purposes under the Plan in accordance with the provisions of the Plan.</w:t>
            </w:r>
          </w:p>
        </w:tc>
      </w:tr>
      <w:tr>
        <w:trPr>
          <w:trHeight w:val="273"/>
        </w:trPr>
        <w:tc>
          <w:tcPr>
            <w:tcW w:w="3780" w:type="dxa"/>
            <w:vAlign w:val="bottom"/>
          </w:tcPr>
          <w:p>
            <w:pPr>
              <w:spacing w:after="0"/>
              <w:rPr>
                <w:sz w:val="20"/>
                <w:szCs w:val="20"/>
                <w:color w:val="auto"/>
              </w:rPr>
            </w:pPr>
            <w:r>
              <w:rPr>
                <w:rFonts w:ascii="Arial" w:cs="Arial" w:eastAsia="Arial" w:hAnsi="Arial"/>
                <w:sz w:val="16"/>
                <w:szCs w:val="16"/>
                <w:b w:val="1"/>
                <w:bCs w:val="1"/>
                <w:color w:val="auto"/>
              </w:rPr>
              <w:t>Evidence of Issuance</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3"/>
              </w:rPr>
              <w:t>The issuance of the shares of Stock delivered in settlement of the Stock Units evidenced by</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evidenced in such a manner as the Company, in its discretion, will deem appropriate, including,</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entry, direct registration or issuance of one or more Stock certificates.</w:t>
            </w:r>
          </w:p>
        </w:tc>
      </w:tr>
      <w:tr>
        <w:trPr>
          <w:trHeight w:val="332"/>
        </w:trPr>
        <w:tc>
          <w:tcPr>
            <w:tcW w:w="3780" w:type="dxa"/>
            <w:vAlign w:val="bottom"/>
          </w:tcPr>
          <w:p>
            <w:pPr>
              <w:spacing w:after="0"/>
              <w:rPr>
                <w:sz w:val="20"/>
                <w:szCs w:val="20"/>
                <w:color w:val="auto"/>
              </w:rPr>
            </w:pPr>
            <w:r>
              <w:rPr>
                <w:rFonts w:ascii="Arial" w:cs="Arial" w:eastAsia="Arial" w:hAnsi="Arial"/>
                <w:sz w:val="16"/>
                <w:szCs w:val="16"/>
                <w:b w:val="1"/>
                <w:bCs w:val="1"/>
                <w:color w:val="auto"/>
              </w:rPr>
              <w:t>Withholding Taxes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You agree as a condition of this Award that you will make acceptable arrangements to pay any w</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that may be due as a result of the vesting of the Stock Units or receipt of shares of Stock in settle</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4"/>
              </w:rPr>
              <w:t>In the event that the Company or any Affiliate determines that any federal, state, local or fo</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payment is required relating to the vesting of the Stock Units or receipt of shares of Stock aris</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5"/>
              </w:rPr>
              <w:t>Company or any Affiliate will have the right to require such payments from you, or withhold</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3"/>
              </w:rPr>
              <w:t>payments due to you from the Company or any Affiliate (including withholding the delivery of</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deliverable under this Agreement).</w:t>
            </w:r>
          </w:p>
        </w:tc>
      </w:tr>
      <w:tr>
        <w:trPr>
          <w:trHeight w:val="332"/>
        </w:trPr>
        <w:tc>
          <w:tcPr>
            <w:tcW w:w="3780" w:type="dxa"/>
            <w:vAlign w:val="bottom"/>
          </w:tcPr>
          <w:p>
            <w:pPr>
              <w:spacing w:after="0"/>
              <w:rPr>
                <w:sz w:val="20"/>
                <w:szCs w:val="20"/>
                <w:color w:val="auto"/>
              </w:rPr>
            </w:pPr>
            <w:r>
              <w:rPr>
                <w:rFonts w:ascii="Arial" w:cs="Arial" w:eastAsia="Arial" w:hAnsi="Arial"/>
                <w:sz w:val="16"/>
                <w:szCs w:val="16"/>
                <w:b w:val="1"/>
                <w:bCs w:val="1"/>
                <w:color w:val="auto"/>
              </w:rPr>
              <w:t>Retention Rights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This Agreement and Award evidenced hereby do not give you the right to be retained in the S</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9"/>
              </w:rPr>
              <w:t>any Affiliate, as applicable, in any capacity. Unless otherwise specified in a Service agreement o</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4"/>
              </w:rPr>
              <w:t>between the Company or any Affiliate and you, reserves the right to terminate your Service</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reason.</w:t>
            </w:r>
          </w:p>
        </w:tc>
      </w:tr>
      <w:tr>
        <w:trPr>
          <w:trHeight w:val="332"/>
        </w:trPr>
        <w:tc>
          <w:tcPr>
            <w:tcW w:w="3780" w:type="dxa"/>
            <w:vAlign w:val="bottom"/>
          </w:tcPr>
          <w:p>
            <w:pPr>
              <w:spacing w:after="0"/>
              <w:rPr>
                <w:sz w:val="20"/>
                <w:szCs w:val="20"/>
                <w:color w:val="auto"/>
              </w:rPr>
            </w:pPr>
            <w:r>
              <w:rPr>
                <w:rFonts w:ascii="Arial" w:cs="Arial" w:eastAsia="Arial" w:hAnsi="Arial"/>
                <w:sz w:val="16"/>
                <w:szCs w:val="16"/>
                <w:b w:val="1"/>
                <w:bCs w:val="1"/>
                <w:color w:val="auto"/>
              </w:rPr>
              <w:t>Stockholder Rights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You, or your estate or heirs, have no rights as a stockholder of the Company until the shares o</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upon settlement of this Award and either a certificate evidencing your shares of Stock have bee</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9"/>
              </w:rPr>
              <w:t>entry has been made on the Company’s books. No adjustments are made for dividends, distribu</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9"/>
              </w:rPr>
              <w:t>applicable record date occurs before your certificate is issued (or an appropriate book entry is m</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in the Plan.</w:t>
            </w:r>
          </w:p>
        </w:tc>
      </w:tr>
      <w:tr>
        <w:trPr>
          <w:trHeight w:val="522"/>
        </w:trPr>
        <w:tc>
          <w:tcPr>
            <w:tcW w:w="3780" w:type="dxa"/>
            <w:vAlign w:val="bottom"/>
          </w:tcPr>
          <w:p>
            <w:pPr>
              <w:spacing w:after="0"/>
              <w:rPr>
                <w:sz w:val="24"/>
                <w:szCs w:val="24"/>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This Award will be subject to the terms of any applicable agreement of merger, liquidation or re</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the Company is subject to such corporate activity.</w:t>
            </w:r>
          </w:p>
        </w:tc>
      </w:tr>
      <w:tr>
        <w:trPr>
          <w:trHeight w:val="573"/>
        </w:trPr>
        <w:tc>
          <w:tcPr>
            <w:tcW w:w="37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340"/>
          </w:cols>
          <w:pgMar w:left="320" w:top="407"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3"/>
        </w:trPr>
        <w:tc>
          <w:tcPr>
            <w:tcW w:w="1740" w:type="dxa"/>
            <w:vAlign w:val="bottom"/>
          </w:tcPr>
          <w:p>
            <w:pPr>
              <w:spacing w:after="0"/>
              <w:rPr>
                <w:sz w:val="20"/>
                <w:szCs w:val="20"/>
                <w:color w:val="auto"/>
              </w:rPr>
            </w:pPr>
            <w:r>
              <w:rPr>
                <w:rFonts w:ascii="Arial" w:cs="Arial" w:eastAsia="Arial" w:hAnsi="Arial"/>
                <w:sz w:val="16"/>
                <w:szCs w:val="16"/>
                <w:b w:val="1"/>
                <w:bCs w:val="1"/>
                <w:color w:val="auto"/>
              </w:rPr>
              <w:t>Clawback</w:t>
            </w:r>
          </w:p>
        </w:tc>
        <w:tc>
          <w:tcPr>
            <w:tcW w:w="9600" w:type="dxa"/>
            <w:vAlign w:val="bottom"/>
          </w:tcPr>
          <w:p>
            <w:pPr>
              <w:ind w:left="3500"/>
              <w:spacing w:after="0"/>
              <w:rPr>
                <w:sz w:val="20"/>
                <w:szCs w:val="20"/>
                <w:color w:val="auto"/>
              </w:rPr>
            </w:pPr>
            <w:r>
              <w:rPr>
                <w:rFonts w:ascii="Arial" w:cs="Arial" w:eastAsia="Arial" w:hAnsi="Arial"/>
                <w:sz w:val="16"/>
                <w:szCs w:val="16"/>
                <w:color w:val="auto"/>
                <w:w w:val="93"/>
              </w:rPr>
              <w:t>This Award is subject to mandatory repayment by you to the Company to the extent you are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6"/>
              </w:rPr>
              <w:t>subject to any Company “clawback” or recoupment policy that requires the repayment by</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2"/>
              </w:rPr>
              <w:t>compensation paid by the Company to you in the event that you fail to comply with, or violate,</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of such policy.</w:t>
            </w:r>
          </w:p>
        </w:tc>
        <w:tc>
          <w:tcPr>
            <w:tcW w:w="0" w:type="dxa"/>
            <w:vAlign w:val="bottom"/>
          </w:tcPr>
          <w:p>
            <w:pPr>
              <w:spacing w:after="0"/>
              <w:rPr>
                <w:sz w:val="1"/>
                <w:szCs w:val="1"/>
                <w:color w:val="auto"/>
              </w:rPr>
            </w:pPr>
          </w:p>
        </w:tc>
      </w:tr>
      <w:tr>
        <w:trPr>
          <w:trHeight w:val="545"/>
        </w:trPr>
        <w:tc>
          <w:tcPr>
            <w:tcW w:w="1740" w:type="dxa"/>
            <w:vAlign w:val="bottom"/>
          </w:tcPr>
          <w:p>
            <w:pPr>
              <w:spacing w:after="0"/>
              <w:rPr>
                <w:sz w:val="24"/>
                <w:szCs w:val="24"/>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89"/>
              </w:rPr>
              <w:t>If the Company is required to prepare an accounting restatement due to the material noncomplia</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0"/>
              </w:rPr>
              <w:t>result of misconduct, with any financial reporting requirement under the securities laws and you</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2"/>
              </w:rPr>
              <w:t>misconduct, were grossly negligent in engaging in the misconduct, knowingly failed to preven</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3"/>
              </w:rPr>
              <w:t>grossly negligent in failing to prevent the misconduct, you will reimburse the Company the a</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2"/>
              </w:rPr>
              <w:t>settlement of this Award earned or accrued during the 12-month period following the first pub</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4"/>
              </w:rPr>
              <w:t>the Securities and Exchange Commission (whichever first occurred) of the financial docum</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material noncompliance.</w:t>
            </w:r>
          </w:p>
        </w:tc>
        <w:tc>
          <w:tcPr>
            <w:tcW w:w="0" w:type="dxa"/>
            <w:vAlign w:val="bottom"/>
          </w:tcPr>
          <w:p>
            <w:pPr>
              <w:spacing w:after="0"/>
              <w:rPr>
                <w:sz w:val="1"/>
                <w:szCs w:val="1"/>
                <w:color w:val="auto"/>
              </w:rPr>
            </w:pPr>
          </w:p>
        </w:tc>
      </w:tr>
      <w:tr>
        <w:trPr>
          <w:trHeight w:val="344"/>
        </w:trPr>
        <w:tc>
          <w:tcPr>
            <w:tcW w:w="1740" w:type="dxa"/>
            <w:vAlign w:val="bottom"/>
          </w:tcPr>
          <w:p>
            <w:pPr>
              <w:spacing w:after="0"/>
              <w:rPr>
                <w:sz w:val="20"/>
                <w:szCs w:val="20"/>
                <w:color w:val="auto"/>
              </w:rPr>
            </w:pPr>
            <w:r>
              <w:rPr>
                <w:rFonts w:ascii="Arial" w:cs="Arial" w:eastAsia="Arial" w:hAnsi="Arial"/>
                <w:sz w:val="16"/>
                <w:szCs w:val="16"/>
                <w:b w:val="1"/>
                <w:bCs w:val="1"/>
                <w:color w:val="auto"/>
              </w:rPr>
              <w:t>Applicable Law</w:t>
            </w:r>
          </w:p>
        </w:tc>
        <w:tc>
          <w:tcPr>
            <w:tcW w:w="9600" w:type="dxa"/>
            <w:vAlign w:val="bottom"/>
          </w:tcPr>
          <w:p>
            <w:pPr>
              <w:ind w:left="3500"/>
              <w:spacing w:after="0"/>
              <w:rPr>
                <w:sz w:val="20"/>
                <w:szCs w:val="20"/>
                <w:color w:val="auto"/>
              </w:rPr>
            </w:pPr>
            <w:r>
              <w:rPr>
                <w:rFonts w:ascii="Arial" w:cs="Arial" w:eastAsia="Arial" w:hAnsi="Arial"/>
                <w:sz w:val="16"/>
                <w:szCs w:val="16"/>
                <w:color w:val="auto"/>
                <w:w w:val="93"/>
              </w:rPr>
              <w:t>This Agreement will be interpreted and enforced under the laws of the State of Delaware, ot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9"/>
              </w:rPr>
              <w:t>choice of law rule or principle that might otherwise refer construction or interpretation o</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substantive law of another jurisdiction.</w:t>
            </w:r>
          </w:p>
        </w:tc>
        <w:tc>
          <w:tcPr>
            <w:tcW w:w="0" w:type="dxa"/>
            <w:vAlign w:val="bottom"/>
          </w:tcPr>
          <w:p>
            <w:pPr>
              <w:spacing w:after="0"/>
              <w:rPr>
                <w:sz w:val="1"/>
                <w:szCs w:val="1"/>
                <w:color w:val="auto"/>
              </w:rPr>
            </w:pPr>
          </w:p>
        </w:tc>
      </w:tr>
      <w:tr>
        <w:trPr>
          <w:trHeight w:val="343"/>
        </w:trPr>
        <w:tc>
          <w:tcPr>
            <w:tcW w:w="1740" w:type="dxa"/>
            <w:vAlign w:val="bottom"/>
          </w:tcPr>
          <w:p>
            <w:pPr>
              <w:spacing w:after="0"/>
              <w:rPr>
                <w:sz w:val="20"/>
                <w:szCs w:val="20"/>
                <w:color w:val="auto"/>
              </w:rPr>
            </w:pPr>
            <w:r>
              <w:rPr>
                <w:rFonts w:ascii="Arial" w:cs="Arial" w:eastAsia="Arial" w:hAnsi="Arial"/>
                <w:sz w:val="16"/>
                <w:szCs w:val="16"/>
                <w:b w:val="1"/>
                <w:bCs w:val="1"/>
                <w:color w:val="auto"/>
              </w:rPr>
              <w:t>The Plan</w:t>
            </w:r>
          </w:p>
        </w:tc>
        <w:tc>
          <w:tcPr>
            <w:tcW w:w="9600" w:type="dxa"/>
            <w:vAlign w:val="bottom"/>
            <w:vMerge w:val="restart"/>
          </w:tcPr>
          <w:p>
            <w:pPr>
              <w:ind w:left="3500"/>
              <w:spacing w:after="0"/>
              <w:rPr>
                <w:sz w:val="20"/>
                <w:szCs w:val="20"/>
                <w:color w:val="auto"/>
              </w:rPr>
            </w:pPr>
            <w:r>
              <w:rPr>
                <w:rFonts w:ascii="Arial" w:cs="Arial" w:eastAsia="Arial" w:hAnsi="Arial"/>
                <w:sz w:val="16"/>
                <w:szCs w:val="16"/>
                <w:color w:val="auto"/>
              </w:rPr>
              <w:t>The text of the Plan is incorporated into the Agreement by reference.</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9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600" w:type="dxa"/>
            <w:vAlign w:val="bottom"/>
          </w:tcPr>
          <w:p>
            <w:pPr>
              <w:ind w:left="3500"/>
              <w:spacing w:after="0"/>
              <w:rPr>
                <w:sz w:val="20"/>
                <w:szCs w:val="20"/>
                <w:color w:val="auto"/>
              </w:rPr>
            </w:pPr>
            <w:r>
              <w:rPr>
                <w:rFonts w:ascii="Arial" w:cs="Arial" w:eastAsia="Arial" w:hAnsi="Arial"/>
                <w:sz w:val="16"/>
                <w:szCs w:val="16"/>
                <w:b w:val="1"/>
                <w:bCs w:val="1"/>
                <w:i w:val="1"/>
                <w:iCs w:val="1"/>
                <w:color w:val="auto"/>
                <w:w w:val="85"/>
              </w:rPr>
              <w:t>Certain capitalized terms used in the Agreement are defined in the Plan, and have the meanin</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4"/>
                <w:szCs w:val="24"/>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1"/>
              </w:rPr>
              <w:t>This Agreement and the Plan constitute the entire understanding between you and the Compa</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5"/>
              </w:rPr>
              <w:t>Any prior agreements, commitments or negotiations concerning this grant are superseded;</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1"/>
              </w:rPr>
              <w:t>employment, consulting, confidentiality, non-solicitation and/or severance agreement between</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any Affiliate will supersede this Agreement with respect to its subject matter.</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6"/>
                <w:szCs w:val="16"/>
                <w:b w:val="1"/>
                <w:bCs w:val="1"/>
                <w:color w:val="auto"/>
              </w:rPr>
              <w:t>Data Privacy</w:t>
            </w:r>
          </w:p>
        </w:tc>
        <w:tc>
          <w:tcPr>
            <w:tcW w:w="9600" w:type="dxa"/>
            <w:vAlign w:val="bottom"/>
          </w:tcPr>
          <w:p>
            <w:pPr>
              <w:ind w:left="3500"/>
              <w:spacing w:after="0"/>
              <w:rPr>
                <w:sz w:val="20"/>
                <w:szCs w:val="20"/>
                <w:color w:val="auto"/>
              </w:rPr>
            </w:pPr>
            <w:r>
              <w:rPr>
                <w:rFonts w:ascii="Arial" w:cs="Arial" w:eastAsia="Arial" w:hAnsi="Arial"/>
                <w:sz w:val="16"/>
                <w:szCs w:val="16"/>
                <w:color w:val="auto"/>
                <w:w w:val="91"/>
              </w:rPr>
              <w:t>To administer the Plan, the Company may process personal data about you. Such data includ</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89"/>
              </w:rPr>
              <w:t>information provided in this Agreement and any changes thereto, other appropriate personal and</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1"/>
              </w:rPr>
              <w:t>such as your contact information, payroll information and any other information that might be d</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Company to facilitate the administration of the Plan.</w:t>
            </w:r>
          </w:p>
        </w:tc>
        <w:tc>
          <w:tcPr>
            <w:tcW w:w="0" w:type="dxa"/>
            <w:vAlign w:val="bottom"/>
          </w:tcPr>
          <w:p>
            <w:pPr>
              <w:spacing w:after="0"/>
              <w:rPr>
                <w:sz w:val="1"/>
                <w:szCs w:val="1"/>
                <w:color w:val="auto"/>
              </w:rPr>
            </w:pPr>
          </w:p>
        </w:tc>
      </w:tr>
      <w:tr>
        <w:trPr>
          <w:trHeight w:val="343"/>
        </w:trPr>
        <w:tc>
          <w:tcPr>
            <w:tcW w:w="1740" w:type="dxa"/>
            <w:vAlign w:val="bottom"/>
          </w:tcPr>
          <w:p>
            <w:pPr>
              <w:spacing w:after="0"/>
              <w:rPr>
                <w:sz w:val="24"/>
                <w:szCs w:val="24"/>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89"/>
              </w:rPr>
              <w:t>By accepting this Award, you give explicit consent to the Company to process any such personal</w:t>
            </w: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6"/>
                <w:szCs w:val="16"/>
                <w:b w:val="1"/>
                <w:bCs w:val="1"/>
                <w:color w:val="auto"/>
              </w:rPr>
              <w:t>Tax Consequences</w:t>
            </w:r>
          </w:p>
        </w:tc>
        <w:tc>
          <w:tcPr>
            <w:tcW w:w="9600" w:type="dxa"/>
            <w:vAlign w:val="bottom"/>
          </w:tcPr>
          <w:p>
            <w:pPr>
              <w:ind w:left="3500"/>
              <w:spacing w:after="0"/>
              <w:rPr>
                <w:sz w:val="20"/>
                <w:szCs w:val="20"/>
                <w:color w:val="auto"/>
              </w:rPr>
            </w:pPr>
            <w:r>
              <w:rPr>
                <w:rFonts w:ascii="Arial" w:cs="Arial" w:eastAsia="Arial" w:hAnsi="Arial"/>
                <w:sz w:val="16"/>
                <w:szCs w:val="16"/>
                <w:color w:val="auto"/>
                <w:w w:val="95"/>
              </w:rPr>
              <w:t>This Award is intended to be exempt from, or to comply with, Code Section 409A to the ex</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2"/>
              </w:rPr>
              <w:t>accordingly, to the maximum extent permitted, this Agreement will be interpreted and adminis</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1"/>
              </w:rPr>
              <w:t>with Code Section 409A. Notwithstanding anything to the contrary in the Plan or this Agreeme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3"/>
              </w:rPr>
              <w:t>its Affiliates, the Board nor the Committee will have any obligation to take any action to prev</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w w:val="97"/>
              </w:rPr>
              <w:t>excise tax or penalty on you under Code Section 409A and neither the Company, its Affil</w:t>
            </w: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9600" w:type="dxa"/>
            <w:vAlign w:val="bottom"/>
          </w:tcPr>
          <w:p>
            <w:pPr>
              <w:ind w:left="3500"/>
              <w:spacing w:after="0"/>
              <w:rPr>
                <w:sz w:val="20"/>
                <w:szCs w:val="20"/>
                <w:color w:val="auto"/>
              </w:rPr>
            </w:pPr>
            <w:r>
              <w:rPr>
                <w:rFonts w:ascii="Arial" w:cs="Arial" w:eastAsia="Arial" w:hAnsi="Arial"/>
                <w:sz w:val="16"/>
                <w:szCs w:val="16"/>
                <w:color w:val="auto"/>
              </w:rPr>
              <w:t>Committee will have any liability to you for such tax or penalty.</w:t>
            </w:r>
          </w:p>
        </w:tc>
        <w:tc>
          <w:tcPr>
            <w:tcW w:w="0" w:type="dxa"/>
            <w:vAlign w:val="bottom"/>
          </w:tcPr>
          <w:p>
            <w:pPr>
              <w:spacing w:after="0"/>
              <w:rPr>
                <w:sz w:val="1"/>
                <w:szCs w:val="1"/>
                <w:color w:val="auto"/>
              </w:rPr>
            </w:pPr>
          </w:p>
        </w:tc>
      </w:tr>
      <w:tr>
        <w:trPr>
          <w:trHeight w:val="343"/>
        </w:trPr>
        <w:tc>
          <w:tcPr>
            <w:tcW w:w="1740" w:type="dxa"/>
            <w:vAlign w:val="bottom"/>
          </w:tcPr>
          <w:p>
            <w:pPr>
              <w:spacing w:after="0"/>
              <w:rPr>
                <w:sz w:val="24"/>
                <w:szCs w:val="24"/>
                <w:color w:val="auto"/>
              </w:rPr>
            </w:pPr>
          </w:p>
        </w:tc>
        <w:tc>
          <w:tcPr>
            <w:tcW w:w="9600" w:type="dxa"/>
            <w:vAlign w:val="bottom"/>
          </w:tcPr>
          <w:p>
            <w:pPr>
              <w:ind w:left="520"/>
              <w:spacing w:after="0"/>
              <w:rPr>
                <w:sz w:val="20"/>
                <w:szCs w:val="20"/>
                <w:color w:val="auto"/>
              </w:rPr>
            </w:pPr>
            <w:r>
              <w:rPr>
                <w:rFonts w:ascii="Arial" w:cs="Arial" w:eastAsia="Arial" w:hAnsi="Arial"/>
                <w:sz w:val="16"/>
                <w:szCs w:val="16"/>
                <w:b w:val="1"/>
                <w:bCs w:val="1"/>
                <w:i w:val="1"/>
                <w:iCs w:val="1"/>
                <w:color w:val="auto"/>
              </w:rPr>
              <w:t>By signing the Agreement, you agree to all of the terms and conditions described above and in the Plan.</w:t>
            </w:r>
          </w:p>
        </w:tc>
        <w:tc>
          <w:tcPr>
            <w:tcW w:w="0" w:type="dxa"/>
            <w:vAlign w:val="bottom"/>
          </w:tcPr>
          <w:p>
            <w:pPr>
              <w:spacing w:after="0"/>
              <w:rPr>
                <w:sz w:val="1"/>
                <w:szCs w:val="1"/>
                <w:color w:val="auto"/>
              </w:rPr>
            </w:pPr>
          </w:p>
        </w:tc>
      </w:tr>
    </w:tbl>
    <w:p>
      <w:pPr>
        <w:sectPr>
          <w:pgSz w:w="11900" w:h="16838" w:orient="portrait"/>
          <w:cols w:equalWidth="0" w:num="1">
            <w:col w:w="11340"/>
          </w:cols>
          <w:pgMar w:left="320" w:top="407" w:right="239" w:bottom="1440" w:gutter="0" w:footer="0" w:header="0"/>
        </w:sectPr>
      </w:pPr>
    </w:p>
    <w:bookmarkStart w:id="65" w:name="page66"/>
    <w:bookmarkEnd w:id="65"/>
    <w:p>
      <w:pPr>
        <w:ind w:left="5" w:right="480" w:hanging="5"/>
        <w:spacing w:after="0" w:line="254" w:lineRule="auto"/>
        <w:tabs>
          <w:tab w:leader="none" w:pos="2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marked by brackets, is omitted because it is not material and would be competitively harmful if publicly disclosed.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w:t>
      </w:r>
    </w:p>
    <w:p>
      <w:pPr>
        <w:spacing w:after="0" w:line="171" w:lineRule="exact"/>
        <w:rPr>
          <w:sz w:val="20"/>
          <w:szCs w:val="20"/>
          <w:color w:val="auto"/>
        </w:rPr>
      </w:pPr>
    </w:p>
    <w:p>
      <w:pPr>
        <w:ind w:left="4525"/>
        <w:spacing w:after="0"/>
        <w:rPr>
          <w:sz w:val="20"/>
          <w:szCs w:val="20"/>
          <w:color w:val="auto"/>
        </w:rPr>
      </w:pPr>
      <w:r>
        <w:rPr>
          <w:rFonts w:ascii="Arial" w:cs="Arial" w:eastAsia="Arial" w:hAnsi="Arial"/>
          <w:sz w:val="19"/>
          <w:szCs w:val="19"/>
          <w:b w:val="1"/>
          <w:bCs w:val="1"/>
          <w:color w:val="auto"/>
        </w:rPr>
        <w:t>AMENDMENT NO. 12 TO</w:t>
      </w:r>
    </w:p>
    <w:p>
      <w:pPr>
        <w:spacing w:after="0" w:line="11" w:lineRule="exact"/>
        <w:rPr>
          <w:sz w:val="20"/>
          <w:szCs w:val="20"/>
          <w:color w:val="auto"/>
        </w:rPr>
      </w:pPr>
    </w:p>
    <w:p>
      <w:pPr>
        <w:ind w:left="4165"/>
        <w:spacing w:after="0"/>
        <w:rPr>
          <w:sz w:val="20"/>
          <w:szCs w:val="20"/>
          <w:color w:val="auto"/>
        </w:rPr>
      </w:pPr>
      <w:r>
        <w:rPr>
          <w:rFonts w:ascii="Arial" w:cs="Arial" w:eastAsia="Arial" w:hAnsi="Arial"/>
          <w:sz w:val="19"/>
          <w:szCs w:val="19"/>
          <w:b w:val="1"/>
          <w:bCs w:val="1"/>
          <w:color w:val="auto"/>
        </w:rPr>
        <w:t>CLINICAL TRIAL AGREEMENT</w:t>
      </w:r>
    </w:p>
    <w:p>
      <w:pPr>
        <w:ind w:left="5145"/>
        <w:spacing w:after="0" w:line="234" w:lineRule="auto"/>
        <w:rPr>
          <w:sz w:val="20"/>
          <w:szCs w:val="20"/>
          <w:color w:val="auto"/>
        </w:rPr>
      </w:pPr>
      <w:r>
        <w:rPr>
          <w:rFonts w:ascii="Arial" w:cs="Arial" w:eastAsia="Arial" w:hAnsi="Arial"/>
          <w:sz w:val="19"/>
          <w:szCs w:val="19"/>
          <w:b w:val="1"/>
          <w:bCs w:val="1"/>
          <w:color w:val="auto"/>
        </w:rPr>
        <w:t>BETWEEN</w:t>
      </w:r>
    </w:p>
    <w:p>
      <w:pPr>
        <w:ind w:left="3665"/>
        <w:spacing w:after="0" w:line="234" w:lineRule="auto"/>
        <w:rPr>
          <w:sz w:val="20"/>
          <w:szCs w:val="20"/>
          <w:color w:val="auto"/>
        </w:rPr>
      </w:pPr>
      <w:r>
        <w:rPr>
          <w:rFonts w:ascii="Arial" w:cs="Arial" w:eastAsia="Arial" w:hAnsi="Arial"/>
          <w:sz w:val="19"/>
          <w:szCs w:val="19"/>
          <w:b w:val="1"/>
          <w:bCs w:val="1"/>
          <w:color w:val="auto"/>
        </w:rPr>
        <w:t>ECOG-ACRIN CANCER RESEARCH GROUP</w:t>
      </w:r>
    </w:p>
    <w:p>
      <w:pPr>
        <w:ind w:left="3765"/>
        <w:spacing w:after="0"/>
        <w:rPr>
          <w:sz w:val="20"/>
          <w:szCs w:val="20"/>
          <w:color w:val="auto"/>
        </w:rPr>
      </w:pPr>
      <w:r>
        <w:rPr>
          <w:rFonts w:ascii="Arial" w:cs="Arial" w:eastAsia="Arial" w:hAnsi="Arial"/>
          <w:sz w:val="19"/>
          <w:szCs w:val="19"/>
          <w:b w:val="1"/>
          <w:bCs w:val="1"/>
          <w:color w:val="auto"/>
        </w:rPr>
        <w:t>AND SYNDAX PHARMACEUTICALS, INC.</w:t>
      </w:r>
    </w:p>
    <w:p>
      <w:pPr>
        <w:spacing w:after="0" w:line="192" w:lineRule="exact"/>
        <w:rPr>
          <w:sz w:val="20"/>
          <w:szCs w:val="20"/>
          <w:color w:val="auto"/>
        </w:rPr>
      </w:pPr>
    </w:p>
    <w:p>
      <w:pPr>
        <w:jc w:val="both"/>
        <w:ind w:left="5" w:right="80"/>
        <w:spacing w:after="0" w:line="246" w:lineRule="auto"/>
        <w:rPr>
          <w:sz w:val="20"/>
          <w:szCs w:val="20"/>
          <w:color w:val="auto"/>
        </w:rPr>
      </w:pPr>
      <w:r>
        <w:rPr>
          <w:rFonts w:ascii="Arial" w:cs="Arial" w:eastAsia="Arial" w:hAnsi="Arial"/>
          <w:sz w:val="19"/>
          <w:szCs w:val="19"/>
          <w:color w:val="auto"/>
        </w:rPr>
        <w:t>This Amendment No. 12 to Clinical Trial Agreement (the “Amendment” or “Amendment 12”) is entered into as of May 12, 2020 (the “Effective Date”), by and between ECOG-ACRIN Cancer Research Group, on behalf of itself and its member hospitals, institutions and physicians (the “Group,” “ECOG” or “ECOG-ACRIN”), and Syndax Pharmaceuticals, Inc. (“Company” or “Syndax”).</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WITNESSETH:</w:t>
      </w:r>
    </w:p>
    <w:p>
      <w:pPr>
        <w:spacing w:after="0" w:line="208" w:lineRule="exact"/>
        <w:rPr>
          <w:sz w:val="20"/>
          <w:szCs w:val="20"/>
          <w:color w:val="auto"/>
        </w:rPr>
      </w:pPr>
    </w:p>
    <w:p>
      <w:pPr>
        <w:ind w:left="5" w:right="20" w:firstLine="846"/>
        <w:spacing w:after="0" w:line="258" w:lineRule="auto"/>
        <w:rPr>
          <w:sz w:val="20"/>
          <w:szCs w:val="20"/>
          <w:color w:val="auto"/>
        </w:rPr>
      </w:pPr>
      <w:r>
        <w:rPr>
          <w:rFonts w:ascii="Arial" w:cs="Arial" w:eastAsia="Arial" w:hAnsi="Arial"/>
          <w:sz w:val="19"/>
          <w:szCs w:val="19"/>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0" w:lineRule="exact"/>
        <w:rPr>
          <w:sz w:val="20"/>
          <w:szCs w:val="20"/>
          <w:color w:val="auto"/>
        </w:rPr>
      </w:pPr>
    </w:p>
    <w:p>
      <w:pPr>
        <w:ind w:left="5" w:right="20" w:firstLine="846"/>
        <w:spacing w:after="0" w:line="258" w:lineRule="auto"/>
        <w:rPr>
          <w:sz w:val="20"/>
          <w:szCs w:val="20"/>
          <w:color w:val="auto"/>
        </w:rPr>
      </w:pPr>
      <w:r>
        <w:rPr>
          <w:rFonts w:ascii="Arial" w:cs="Arial" w:eastAsia="Arial" w:hAnsi="Arial"/>
          <w:sz w:val="19"/>
          <w:szCs w:val="19"/>
          <w:color w:val="auto"/>
        </w:rPr>
        <w:t>WHEREAS, the parties agree to increase the support for the Study to offset the expenses of additional areas associated with [*] as set forth herein.</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NOW, THEREFORE, the parties hereto, intending to be legally bound hereby, agree as follows:</w:t>
      </w:r>
    </w:p>
    <w:p>
      <w:pPr>
        <w:spacing w:after="0" w:line="208" w:lineRule="exact"/>
        <w:rPr>
          <w:sz w:val="20"/>
          <w:szCs w:val="20"/>
          <w:color w:val="auto"/>
        </w:rPr>
      </w:pPr>
    </w:p>
    <w:p>
      <w:pPr>
        <w:ind w:left="405" w:hanging="405"/>
        <w:spacing w:after="0"/>
        <w:tabs>
          <w:tab w:leader="none" w:pos="4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following is added to Section 1.G of the Agreement:</w:t>
      </w:r>
    </w:p>
    <w:p>
      <w:pPr>
        <w:spacing w:after="0" w:line="184" w:lineRule="exact"/>
        <w:rPr>
          <w:rFonts w:ascii="Arial" w:cs="Arial" w:eastAsia="Arial" w:hAnsi="Arial"/>
          <w:sz w:val="19"/>
          <w:szCs w:val="19"/>
          <w:color w:val="auto"/>
        </w:rPr>
      </w:pPr>
    </w:p>
    <w:p>
      <w:pPr>
        <w:ind w:left="425" w:right="20"/>
        <w:spacing w:after="0" w:line="286" w:lineRule="auto"/>
        <w:rPr>
          <w:rFonts w:ascii="Arial" w:cs="Arial" w:eastAsia="Arial" w:hAnsi="Arial"/>
          <w:sz w:val="19"/>
          <w:szCs w:val="19"/>
          <w:color w:val="auto"/>
        </w:rPr>
      </w:pPr>
      <w:r>
        <w:rPr>
          <w:rFonts w:ascii="Arial" w:cs="Arial" w:eastAsia="Arial" w:hAnsi="Arial"/>
          <w:sz w:val="18"/>
          <w:szCs w:val="18"/>
          <w:color w:val="auto"/>
        </w:rPr>
        <w:t>The Company will provide financial support to the Group in the amount of $119,407 to support the activities associated with the Study as set forth in Exhibit H. The maximum financial support for the Agreement is increased from $24,580,461 by $119,407 to $24,699,868.</w:t>
      </w:r>
    </w:p>
    <w:p>
      <w:pPr>
        <w:spacing w:after="0" w:line="145" w:lineRule="exact"/>
        <w:rPr>
          <w:rFonts w:ascii="Arial" w:cs="Arial" w:eastAsia="Arial" w:hAnsi="Arial"/>
          <w:sz w:val="19"/>
          <w:szCs w:val="19"/>
          <w:color w:val="auto"/>
        </w:rPr>
      </w:pPr>
    </w:p>
    <w:p>
      <w:pPr>
        <w:ind w:left="405" w:hanging="405"/>
        <w:spacing w:after="0"/>
        <w:tabs>
          <w:tab w:leader="none" w:pos="4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Exhibit B of the Agreement is deleted in its entirety and replaced by Exhibit B attached hereto.</w:t>
      </w:r>
    </w:p>
    <w:p>
      <w:pPr>
        <w:spacing w:after="0" w:line="207" w:lineRule="exact"/>
        <w:rPr>
          <w:rFonts w:ascii="Arial" w:cs="Arial" w:eastAsia="Arial" w:hAnsi="Arial"/>
          <w:sz w:val="19"/>
          <w:szCs w:val="19"/>
          <w:color w:val="auto"/>
        </w:rPr>
      </w:pPr>
    </w:p>
    <w:p>
      <w:pPr>
        <w:ind w:left="405" w:hanging="405"/>
        <w:spacing w:after="0"/>
        <w:tabs>
          <w:tab w:leader="none" w:pos="4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Exhibit H attached hereto is hereby added as Exhibit H of the Agreement thereto.</w:t>
      </w:r>
    </w:p>
    <w:p>
      <w:pPr>
        <w:spacing w:after="0" w:line="208" w:lineRule="exact"/>
        <w:rPr>
          <w:sz w:val="20"/>
          <w:szCs w:val="20"/>
          <w:color w:val="auto"/>
        </w:rPr>
      </w:pPr>
    </w:p>
    <w:p>
      <w:pPr>
        <w:ind w:left="425" w:right="40" w:hanging="409"/>
        <w:spacing w:after="0" w:line="246" w:lineRule="auto"/>
        <w:tabs>
          <w:tab w:leader="none" w:pos="344"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180" w:lineRule="exact"/>
        <w:rPr>
          <w:rFonts w:ascii="Arial" w:cs="Arial" w:eastAsia="Arial" w:hAnsi="Arial"/>
          <w:sz w:val="19"/>
          <w:szCs w:val="19"/>
          <w:color w:val="auto"/>
        </w:rPr>
      </w:pPr>
    </w:p>
    <w:p>
      <w:pPr>
        <w:ind w:left="405" w:hanging="405"/>
        <w:spacing w:after="0"/>
        <w:tabs>
          <w:tab w:leader="none" w:pos="4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Except to the extent amended herein, all of the terms and conditions of the Agreement remain in full force and effect.</w:t>
      </w:r>
    </w:p>
    <w:p>
      <w:pPr>
        <w:spacing w:after="0" w:line="207" w:lineRule="exact"/>
        <w:rPr>
          <w:rFonts w:ascii="Arial" w:cs="Arial" w:eastAsia="Arial" w:hAnsi="Arial"/>
          <w:sz w:val="19"/>
          <w:szCs w:val="19"/>
          <w:color w:val="auto"/>
        </w:rPr>
      </w:pPr>
    </w:p>
    <w:p>
      <w:pPr>
        <w:ind w:left="405" w:hanging="405"/>
        <w:spacing w:after="0"/>
        <w:tabs>
          <w:tab w:leader="none" w:pos="4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Capitalized terms herein that are not defined shall have the meaning ascribed to such terms in the Agreement.</w:t>
      </w:r>
    </w:p>
    <w:p>
      <w:pPr>
        <w:spacing w:after="0" w:line="207" w:lineRule="exact"/>
        <w:rPr>
          <w:rFonts w:ascii="Arial" w:cs="Arial" w:eastAsia="Arial" w:hAnsi="Arial"/>
          <w:sz w:val="19"/>
          <w:szCs w:val="19"/>
          <w:color w:val="auto"/>
        </w:rPr>
      </w:pPr>
    </w:p>
    <w:p>
      <w:pPr>
        <w:ind w:left="405" w:hanging="405"/>
        <w:spacing w:after="0" w:line="258" w:lineRule="auto"/>
        <w:tabs>
          <w:tab w:leader="none" w:pos="4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Amendment may be executed in one or more counterparts, each of which shall be deemed an original,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16407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127"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 by proper persons duly authorized.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gridSpan w:val="4"/>
          </w:tcPr>
          <w:p>
            <w:pPr>
              <w:spacing w:after="0"/>
              <w:rPr>
                <w:sz w:val="20"/>
                <w:szCs w:val="20"/>
                <w:color w:val="auto"/>
              </w:rPr>
            </w:pPr>
            <w:r>
              <w:rPr>
                <w:rFonts w:ascii="Arial" w:cs="Arial" w:eastAsia="Arial" w:hAnsi="Arial"/>
                <w:sz w:val="19"/>
                <w:szCs w:val="19"/>
                <w:color w:val="auto"/>
              </w:rPr>
              <w:t>ECOG-ACRIN Cancer Research Group</w:t>
            </w:r>
          </w:p>
        </w:tc>
        <w:tc>
          <w:tcPr>
            <w:tcW w:w="7860" w:type="dxa"/>
            <w:vAlign w:val="bottom"/>
          </w:tcPr>
          <w:p>
            <w:pPr>
              <w:ind w:left="300"/>
              <w:spacing w:after="0"/>
              <w:rPr>
                <w:sz w:val="20"/>
                <w:szCs w:val="20"/>
                <w:color w:val="auto"/>
              </w:rPr>
            </w:pPr>
            <w:r>
              <w:rPr>
                <w:rFonts w:ascii="Arial" w:cs="Arial" w:eastAsia="Arial" w:hAnsi="Arial"/>
                <w:sz w:val="19"/>
                <w:szCs w:val="19"/>
                <w:color w:val="auto"/>
              </w:rPr>
              <w:t>Syndax Pharmaceuticals, Inc.</w:t>
            </w:r>
          </w:p>
        </w:tc>
      </w:tr>
      <w:tr>
        <w:trPr>
          <w:trHeight w:val="595"/>
        </w:trPr>
        <w:tc>
          <w:tcPr>
            <w:tcW w:w="15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/s/ Donna Marinucci</w:t>
            </w:r>
          </w:p>
        </w:tc>
        <w:tc>
          <w:tcPr>
            <w:tcW w:w="5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6"/>
              </w:rPr>
              <w:t>/s/ Sue Fischer</w:t>
            </w:r>
          </w:p>
        </w:tc>
        <w:tc>
          <w:tcPr>
            <w:tcW w:w="1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10"/>
        </w:trPr>
        <w:tc>
          <w:tcPr>
            <w:tcW w:w="2120" w:type="dxa"/>
            <w:vAlign w:val="bottom"/>
            <w:gridSpan w:val="2"/>
          </w:tcPr>
          <w:p>
            <w:pPr>
              <w:spacing w:after="0" w:line="210" w:lineRule="exact"/>
              <w:rPr>
                <w:sz w:val="20"/>
                <w:szCs w:val="20"/>
                <w:color w:val="auto"/>
              </w:rPr>
            </w:pPr>
            <w:r>
              <w:rPr>
                <w:rFonts w:ascii="Arial" w:cs="Arial" w:eastAsia="Arial" w:hAnsi="Arial"/>
                <w:sz w:val="19"/>
                <w:szCs w:val="19"/>
                <w:color w:val="auto"/>
              </w:rPr>
              <w:t>Name: Donna Marinucci</w:t>
            </w:r>
          </w:p>
        </w:tc>
        <w:tc>
          <w:tcPr>
            <w:tcW w:w="9160" w:type="dxa"/>
            <w:vAlign w:val="bottom"/>
            <w:gridSpan w:val="3"/>
          </w:tcPr>
          <w:p>
            <w:pPr>
              <w:ind w:left="380"/>
              <w:spacing w:after="0" w:line="210" w:lineRule="exact"/>
              <w:rPr>
                <w:sz w:val="20"/>
                <w:szCs w:val="20"/>
                <w:color w:val="auto"/>
              </w:rPr>
            </w:pPr>
            <w:r>
              <w:rPr>
                <w:rFonts w:ascii="Arial" w:cs="Arial" w:eastAsia="Arial" w:hAnsi="Arial"/>
                <w:sz w:val="19"/>
                <w:szCs w:val="19"/>
                <w:color w:val="auto"/>
              </w:rPr>
              <w:t>Name: Sue Fischer</w:t>
            </w:r>
          </w:p>
        </w:tc>
      </w:tr>
      <w:tr>
        <w:trPr>
          <w:trHeight w:val="241"/>
        </w:trPr>
        <w:tc>
          <w:tcPr>
            <w:tcW w:w="2120" w:type="dxa"/>
            <w:vAlign w:val="bottom"/>
            <w:gridSpan w:val="2"/>
          </w:tcPr>
          <w:p>
            <w:pPr>
              <w:spacing w:after="0"/>
              <w:rPr>
                <w:sz w:val="20"/>
                <w:szCs w:val="20"/>
                <w:color w:val="auto"/>
              </w:rPr>
            </w:pPr>
            <w:r>
              <w:rPr>
                <w:rFonts w:ascii="Arial" w:cs="Arial" w:eastAsia="Arial" w:hAnsi="Arial"/>
                <w:sz w:val="19"/>
                <w:szCs w:val="19"/>
                <w:color w:val="auto"/>
              </w:rPr>
              <w:t>Title:  Executive Director</w:t>
            </w:r>
          </w:p>
        </w:tc>
        <w:tc>
          <w:tcPr>
            <w:tcW w:w="1300" w:type="dxa"/>
            <w:vAlign w:val="bottom"/>
            <w:gridSpan w:val="2"/>
          </w:tcPr>
          <w:p>
            <w:pPr>
              <w:ind w:left="480"/>
              <w:spacing w:after="0"/>
              <w:rPr>
                <w:sz w:val="20"/>
                <w:szCs w:val="20"/>
                <w:color w:val="auto"/>
              </w:rPr>
            </w:pPr>
            <w:r>
              <w:rPr>
                <w:rFonts w:ascii="Arial" w:cs="Arial" w:eastAsia="Arial" w:hAnsi="Arial"/>
                <w:sz w:val="19"/>
                <w:szCs w:val="19"/>
                <w:color w:val="auto"/>
              </w:rPr>
              <w:t>Title:</w:t>
            </w:r>
          </w:p>
        </w:tc>
        <w:tc>
          <w:tcPr>
            <w:tcW w:w="7860" w:type="dxa"/>
            <w:vAlign w:val="bottom"/>
          </w:tcPr>
          <w:p>
            <w:pPr>
              <w:ind w:left="200"/>
              <w:spacing w:after="0"/>
              <w:rPr>
                <w:sz w:val="20"/>
                <w:szCs w:val="20"/>
                <w:color w:val="auto"/>
              </w:rPr>
            </w:pPr>
            <w:r>
              <w:rPr>
                <w:rFonts w:ascii="Arial" w:cs="Arial" w:eastAsia="Arial" w:hAnsi="Arial"/>
                <w:sz w:val="19"/>
                <w:szCs w:val="19"/>
                <w:color w:val="auto"/>
              </w:rPr>
              <w:t>VP Clinical Operations</w:t>
            </w:r>
          </w:p>
        </w:tc>
      </w:tr>
      <w:tr>
        <w:trPr>
          <w:trHeight w:val="1108"/>
        </w:trPr>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523" w:right="299" w:bottom="1440" w:gutter="0" w:footer="0" w:header="0"/>
        </w:sectPr>
      </w:pPr>
    </w:p>
    <w:bookmarkStart w:id="67" w:name="page68"/>
    <w:bookmarkEnd w:id="67"/>
    <w:p>
      <w:pPr>
        <w:jc w:val="center"/>
        <w:ind w:right="819"/>
        <w:spacing w:after="0"/>
        <w:rPr>
          <w:sz w:val="20"/>
          <w:szCs w:val="20"/>
          <w:color w:val="auto"/>
        </w:rPr>
      </w:pPr>
      <w:r>
        <w:rPr>
          <w:rFonts w:ascii="Arial" w:cs="Arial" w:eastAsia="Arial" w:hAnsi="Arial"/>
          <w:sz w:val="22"/>
          <w:szCs w:val="22"/>
          <w:b w:val="1"/>
          <w:bCs w:val="1"/>
          <w:color w:val="auto"/>
        </w:rPr>
        <w:t>EXHIBIT B</w:t>
      </w:r>
    </w:p>
    <w:p>
      <w:pPr>
        <w:spacing w:after="0" w:line="90"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u w:val="single" w:color="auto"/>
          <w:color w:val="auto"/>
        </w:rPr>
        <w:t>E2112 Budget &amp; Payment Schedule</w:t>
      </w:r>
    </w:p>
    <w:p>
      <w:pPr>
        <w:spacing w:after="0" w:line="243" w:lineRule="exact"/>
        <w:rPr>
          <w:sz w:val="20"/>
          <w:szCs w:val="20"/>
          <w:color w:val="auto"/>
        </w:rPr>
      </w:pPr>
    </w:p>
    <w:p>
      <w:pPr>
        <w:ind w:left="940" w:hanging="851"/>
        <w:spacing w:after="0"/>
        <w:tabs>
          <w:tab w:leader="none" w:pos="9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Budget Details</w:t>
      </w:r>
    </w:p>
    <w:p>
      <w:pPr>
        <w:spacing w:after="0" w:line="178" w:lineRule="exact"/>
        <w:rPr>
          <w:sz w:val="20"/>
          <w:szCs w:val="20"/>
          <w:color w:val="auto"/>
        </w:rPr>
      </w:pPr>
    </w:p>
    <w:p>
      <w:pPr>
        <w:ind w:left="940" w:hanging="851"/>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Budget – Excluding Amendments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this project is $19,406,948 which is itemized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4" w:lineRule="exact"/>
        <w:rPr>
          <w:sz w:val="20"/>
          <w:szCs w:val="20"/>
          <w:color w:val="auto"/>
        </w:rPr>
      </w:pPr>
    </w:p>
    <w:p>
      <w:pPr>
        <w:ind w:left="940" w:hanging="851"/>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Budget – Amendment 1</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1 is $1,200,000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ind w:left="1020" w:hanging="848"/>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Budget – Amendment 3</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budget for Amendment 3 ([*]) is $450,000 which is itemized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4" w:lineRule="exact"/>
        <w:rPr>
          <w:sz w:val="20"/>
          <w:szCs w:val="20"/>
          <w:color w:val="auto"/>
        </w:rPr>
      </w:pPr>
    </w:p>
    <w:p>
      <w:pPr>
        <w:ind w:left="1020" w:hanging="848"/>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Budget – Amendment 4</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budget for Amendment 4 ([*]) is $7,908 which is itemized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4" w:lineRule="exact"/>
        <w:rPr>
          <w:sz w:val="20"/>
          <w:szCs w:val="20"/>
          <w:color w:val="auto"/>
        </w:rPr>
      </w:pPr>
    </w:p>
    <w:p>
      <w:pPr>
        <w:ind w:left="940" w:hanging="851"/>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Budget – Amendment 5</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5 is $30,121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Statistical services being provided through Amendment 5 is limited to [*] of [*] services plus [*] of Group [*].</w:t>
      </w:r>
    </w:p>
    <w:p>
      <w:pPr>
        <w:spacing w:after="0" w:line="313" w:lineRule="exact"/>
        <w:rPr>
          <w:sz w:val="20"/>
          <w:szCs w:val="20"/>
          <w:color w:val="auto"/>
        </w:rPr>
      </w:pPr>
    </w:p>
    <w:p>
      <w:pPr>
        <w:ind w:left="940" w:hanging="851"/>
        <w:spacing w:after="0"/>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Budget – Amendment 6</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6 is $287,438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4" w:lineRule="exact"/>
        <w:rPr>
          <w:sz w:val="20"/>
          <w:szCs w:val="20"/>
          <w:color w:val="auto"/>
        </w:rPr>
      </w:pPr>
    </w:p>
    <w:p>
      <w:pPr>
        <w:ind w:left="940" w:hanging="851"/>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Budget – Amendment 7</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7 is $484,091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4" w:lineRule="exact"/>
        <w:rPr>
          <w:sz w:val="20"/>
          <w:szCs w:val="20"/>
          <w:color w:val="auto"/>
        </w:rPr>
      </w:pPr>
    </w:p>
    <w:p>
      <w:pPr>
        <w:ind w:left="940" w:hanging="851"/>
        <w:spacing w:after="0"/>
        <w:tabs>
          <w:tab w:leader="none" w:pos="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Budget – Amendment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313690</wp:posOffset>
            </wp:positionV>
            <wp:extent cx="716407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8" w:name="page69"/>
    <w:bookmarkEnd w:id="68"/>
    <w:p>
      <w:pPr>
        <w:ind w:left="180"/>
        <w:spacing w:after="0"/>
        <w:rPr>
          <w:sz w:val="20"/>
          <w:szCs w:val="20"/>
          <w:color w:val="auto"/>
        </w:rPr>
      </w:pPr>
      <w:r>
        <w:rPr>
          <w:rFonts w:ascii="Arial" w:cs="Arial" w:eastAsia="Arial" w:hAnsi="Arial"/>
          <w:sz w:val="17"/>
          <w:szCs w:val="17"/>
          <w:color w:val="auto"/>
        </w:rPr>
        <w:t>The budget for Amendment 8 is $1,582,064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4" w:lineRule="exact"/>
        <w:rPr>
          <w:sz w:val="20"/>
          <w:szCs w:val="20"/>
          <w:color w:val="auto"/>
        </w:rPr>
      </w:pPr>
    </w:p>
    <w:p>
      <w:pPr>
        <w:ind w:left="620" w:hanging="424"/>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Budget – Amendment 9</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9 is $848,372 which is itemized as follows: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ind w:left="620" w:hanging="42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Budget – Amendment 10</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10 is $177,121 which is to pay [*] provided by [*].</w:t>
      </w:r>
    </w:p>
    <w:p>
      <w:pPr>
        <w:spacing w:after="0" w:line="302" w:lineRule="exact"/>
        <w:rPr>
          <w:sz w:val="20"/>
          <w:szCs w:val="20"/>
          <w:color w:val="auto"/>
        </w:rPr>
      </w:pPr>
    </w:p>
    <w:p>
      <w:pPr>
        <w:ind w:left="620" w:hanging="42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Budget – Amendment 11</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11 is $106,398 which is itemized as follows: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4" w:lineRule="exact"/>
        <w:rPr>
          <w:sz w:val="20"/>
          <w:szCs w:val="20"/>
          <w:color w:val="auto"/>
        </w:rPr>
      </w:pPr>
    </w:p>
    <w:p>
      <w:pPr>
        <w:ind w:left="620" w:hanging="424"/>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Budget – Amendment 12</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budget for Amendment 12 is $119,407 which is itemized as follows: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ind w:left="620" w:hanging="424"/>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Invoicing and Payments</w:t>
      </w:r>
    </w:p>
    <w:p>
      <w:pPr>
        <w:spacing w:after="0" w:line="195" w:lineRule="exact"/>
        <w:rPr>
          <w:sz w:val="20"/>
          <w:szCs w:val="20"/>
          <w:color w:val="auto"/>
        </w:rPr>
      </w:pPr>
    </w:p>
    <w:p>
      <w:pPr>
        <w:ind w:left="180"/>
        <w:spacing w:after="0" w:line="277" w:lineRule="auto"/>
        <w:rPr>
          <w:sz w:val="20"/>
          <w:szCs w:val="20"/>
          <w:color w:val="auto"/>
        </w:rPr>
      </w:pPr>
      <w:r>
        <w:rPr>
          <w:rFonts w:ascii="Arial" w:cs="Arial" w:eastAsia="Arial" w:hAnsi="Arial"/>
          <w:sz w:val="17"/>
          <w:szCs w:val="17"/>
          <w:color w:val="auto"/>
        </w:rPr>
        <w:t>Company will make payments within [*] of receipt of invoices from Group according to the Payment Schedule herein. Payments will be made to as set forth in Section 1.B of the Agreement as follows:</w:t>
      </w:r>
    </w:p>
    <w:p>
      <w:pPr>
        <w:spacing w:after="0" w:line="14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ECOG Research and Education Foundation, Inc.</w:t>
      </w:r>
    </w:p>
    <w:p>
      <w:pPr>
        <w:spacing w:after="0" w:line="20"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Agent for ECOG-ACRIN Cancer Research Group</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Donna Marinucci</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1818 Market Street, Suite 3000</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Philadelphia, PA 19103</w:t>
      </w:r>
    </w:p>
    <w:p>
      <w:pPr>
        <w:spacing w:after="0" w:line="6" w:lineRule="exact"/>
        <w:rPr>
          <w:sz w:val="20"/>
          <w:szCs w:val="20"/>
          <w:color w:val="auto"/>
        </w:rPr>
      </w:pPr>
    </w:p>
    <w:p>
      <w:pPr>
        <w:jc w:val="center"/>
        <w:ind w:right="6680"/>
        <w:spacing w:after="0"/>
        <w:rPr>
          <w:sz w:val="20"/>
          <w:szCs w:val="20"/>
          <w:color w:val="auto"/>
        </w:rPr>
      </w:pPr>
      <w:r>
        <w:rPr>
          <w:rFonts w:ascii="Arial" w:cs="Arial" w:eastAsia="Arial" w:hAnsi="Arial"/>
          <w:sz w:val="17"/>
          <w:szCs w:val="17"/>
          <w:color w:val="auto"/>
        </w:rPr>
        <w:t>Group will send invoices to the following address:</w:t>
      </w:r>
    </w:p>
    <w:p>
      <w:pPr>
        <w:spacing w:after="0" w:line="6" w:lineRule="exact"/>
        <w:rPr>
          <w:sz w:val="20"/>
          <w:szCs w:val="20"/>
          <w:color w:val="auto"/>
        </w:rPr>
      </w:pPr>
    </w:p>
    <w:p>
      <w:pPr>
        <w:jc w:val="center"/>
        <w:ind w:right="6560"/>
        <w:spacing w:after="0"/>
        <w:rPr>
          <w:sz w:val="20"/>
          <w:szCs w:val="20"/>
          <w:color w:val="auto"/>
        </w:rPr>
      </w:pPr>
      <w:r>
        <w:rPr>
          <w:rFonts w:ascii="Arial" w:cs="Arial" w:eastAsia="Arial" w:hAnsi="Arial"/>
          <w:sz w:val="17"/>
          <w:szCs w:val="17"/>
          <w:color w:val="auto"/>
        </w:rPr>
        <w:t>Sue Fischer</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Vice President, Clinical Operations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Syndax Pharmaceuticals, Inc.</w:t>
      </w:r>
    </w:p>
    <w:p>
      <w:pPr>
        <w:ind w:left="1880"/>
        <w:spacing w:after="0" w:line="183" w:lineRule="auto"/>
        <w:rPr>
          <w:sz w:val="20"/>
          <w:szCs w:val="20"/>
          <w:color w:val="auto"/>
        </w:rPr>
      </w:pPr>
      <w:r>
        <w:rPr>
          <w:rFonts w:ascii="Arial" w:cs="Arial" w:eastAsia="Arial" w:hAnsi="Arial"/>
          <w:sz w:val="16"/>
          <w:szCs w:val="16"/>
          <w:color w:val="auto"/>
        </w:rPr>
        <w:t>35 Gatehouse Drive, Building D, 3</w:t>
      </w:r>
      <w:r>
        <w:rPr>
          <w:rFonts w:ascii="Arial" w:cs="Arial" w:eastAsia="Arial" w:hAnsi="Arial"/>
          <w:sz w:val="27"/>
          <w:szCs w:val="27"/>
          <w:color w:val="auto"/>
          <w:vertAlign w:val="superscript"/>
        </w:rPr>
        <w:t>rd</w:t>
      </w:r>
      <w:r>
        <w:rPr>
          <w:rFonts w:ascii="Arial" w:cs="Arial" w:eastAsia="Arial" w:hAnsi="Arial"/>
          <w:sz w:val="16"/>
          <w:szCs w:val="16"/>
          <w:color w:val="auto"/>
        </w:rPr>
        <w:t xml:space="preserve"> Flr</w:t>
      </w:r>
    </w:p>
    <w:p>
      <w:pPr>
        <w:ind w:left="1880"/>
        <w:spacing w:after="0"/>
        <w:rPr>
          <w:sz w:val="20"/>
          <w:szCs w:val="20"/>
          <w:color w:val="auto"/>
        </w:rPr>
      </w:pPr>
      <w:r>
        <w:rPr>
          <w:rFonts w:ascii="Arial" w:cs="Arial" w:eastAsia="Arial" w:hAnsi="Arial"/>
          <w:sz w:val="17"/>
          <w:szCs w:val="17"/>
          <w:color w:val="auto"/>
        </w:rPr>
        <w:t>Waltham, MA 02451</w:t>
      </w:r>
    </w:p>
    <w:p>
      <w:pPr>
        <w:spacing w:after="0" w:line="152" w:lineRule="exact"/>
        <w:rPr>
          <w:sz w:val="20"/>
          <w:szCs w:val="20"/>
          <w:color w:val="auto"/>
        </w:rPr>
      </w:pPr>
    </w:p>
    <w:p>
      <w:pPr>
        <w:ind w:left="1020" w:hanging="848"/>
        <w:spacing w:after="0"/>
        <w:tabs>
          <w:tab w:leader="none" w:pos="102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Excluding Amendments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Group will submit invoices to Company in accordance with the following Payment Schedule:</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201" w:lineRule="exact"/>
        <w:rPr>
          <w:sz w:val="20"/>
          <w:szCs w:val="20"/>
          <w:color w:val="auto"/>
        </w:rPr>
      </w:pPr>
    </w:p>
    <w:p>
      <w:pPr>
        <w:ind w:left="1020" w:hanging="848"/>
        <w:spacing w:after="0"/>
        <w:tabs>
          <w:tab w:leader="none" w:pos="10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1</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Group will submit invoices to Company in accordance with the following Payment Schedule:</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313690</wp:posOffset>
            </wp:positionV>
            <wp:extent cx="716407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69" w:name="page70"/>
    <w:bookmarkEnd w:id="69"/>
    <w:p>
      <w:pPr>
        <w:ind w:left="940" w:hanging="851"/>
        <w:spacing w:after="0"/>
        <w:tabs>
          <w:tab w:leader="none" w:pos="94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3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7" w:lineRule="exact"/>
        <w:rPr>
          <w:sz w:val="20"/>
          <w:szCs w:val="20"/>
          <w:color w:val="auto"/>
        </w:rPr>
      </w:pPr>
    </w:p>
    <w:p>
      <w:pPr>
        <w:ind w:left="940" w:hanging="851"/>
        <w:spacing w:after="0"/>
        <w:tabs>
          <w:tab w:leader="none" w:pos="9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4</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7" w:lineRule="exact"/>
        <w:rPr>
          <w:sz w:val="20"/>
          <w:szCs w:val="20"/>
          <w:color w:val="auto"/>
        </w:rPr>
      </w:pPr>
    </w:p>
    <w:p>
      <w:pPr>
        <w:ind w:left="940" w:hanging="851"/>
        <w:spacing w:after="0"/>
        <w:tabs>
          <w:tab w:leader="none" w:pos="9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5</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7" w:lineRule="exact"/>
        <w:rPr>
          <w:sz w:val="20"/>
          <w:szCs w:val="20"/>
          <w:color w:val="auto"/>
        </w:rPr>
      </w:pPr>
    </w:p>
    <w:p>
      <w:pPr>
        <w:ind w:left="940" w:hanging="851"/>
        <w:spacing w:after="0"/>
        <w:tabs>
          <w:tab w:leader="none" w:pos="94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6</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Group will submit invoices to Company in accordance with the following Payment Schedule: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1" w:lineRule="exact"/>
        <w:rPr>
          <w:sz w:val="20"/>
          <w:szCs w:val="20"/>
          <w:color w:val="auto"/>
        </w:rPr>
      </w:pPr>
    </w:p>
    <w:p>
      <w:pPr>
        <w:ind w:left="940" w:hanging="851"/>
        <w:spacing w:after="0"/>
        <w:tabs>
          <w:tab w:leader="none" w:pos="9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7</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Group will submit invoices to Company in accordance with the following Payment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1" w:lineRule="exact"/>
        <w:rPr>
          <w:sz w:val="20"/>
          <w:szCs w:val="20"/>
          <w:color w:val="auto"/>
        </w:rPr>
      </w:pPr>
    </w:p>
    <w:p>
      <w:pPr>
        <w:ind w:left="940" w:hanging="851"/>
        <w:spacing w:after="0"/>
        <w:tabs>
          <w:tab w:leader="none" w:pos="9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8</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296" w:lineRule="exact"/>
        <w:rPr>
          <w:sz w:val="20"/>
          <w:szCs w:val="20"/>
          <w:color w:val="auto"/>
        </w:rPr>
      </w:pPr>
    </w:p>
    <w:p>
      <w:pPr>
        <w:ind w:left="940" w:hanging="851"/>
        <w:spacing w:after="0"/>
        <w:tabs>
          <w:tab w:leader="none" w:pos="94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9</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260" w:lineRule="exact"/>
        <w:rPr>
          <w:sz w:val="20"/>
          <w:szCs w:val="20"/>
          <w:color w:val="auto"/>
        </w:rPr>
      </w:pPr>
    </w:p>
    <w:p>
      <w:pPr>
        <w:ind w:left="940" w:hanging="851"/>
        <w:spacing w:after="0"/>
        <w:tabs>
          <w:tab w:leader="none" w:pos="9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10</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296" w:lineRule="exact"/>
        <w:rPr>
          <w:sz w:val="20"/>
          <w:szCs w:val="20"/>
          <w:color w:val="auto"/>
        </w:rPr>
      </w:pPr>
    </w:p>
    <w:p>
      <w:pPr>
        <w:ind w:left="940" w:hanging="851"/>
        <w:spacing w:after="0"/>
        <w:tabs>
          <w:tab w:leader="none" w:pos="9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Payment Schedule – Amendment 11</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342265</wp:posOffset>
            </wp:positionV>
            <wp:extent cx="716407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0139"/>
          </w:cols>
          <w:pgMar w:left="320" w:top="308" w:right="1440" w:bottom="1440" w:gutter="0" w:footer="0" w:header="0"/>
        </w:sectPr>
      </w:pPr>
    </w:p>
    <w:bookmarkStart w:id="70" w:name="page71"/>
    <w:bookmarkEnd w:id="70"/>
    <w:p>
      <w:pPr>
        <w:ind w:left="940"/>
        <w:spacing w:after="0"/>
        <w:rPr>
          <w:sz w:val="20"/>
          <w:szCs w:val="20"/>
          <w:color w:val="auto"/>
        </w:rPr>
      </w:pPr>
      <w:r>
        <w:rPr>
          <w:rFonts w:ascii="Arial" w:cs="Arial" w:eastAsia="Arial" w:hAnsi="Arial"/>
          <w:sz w:val="17"/>
          <w:szCs w:val="17"/>
          <w:b w:val="1"/>
          <w:bCs w:val="1"/>
          <w:color w:val="auto"/>
        </w:rPr>
        <w:t>Payment Schedule – Amendment 12</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Group will submit invoices to Company in accordance with the following Payment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636905</wp:posOffset>
            </wp:positionV>
            <wp:extent cx="716407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0139"/>
          </w:cols>
          <w:pgMar w:left="320" w:top="308" w:right="1440" w:bottom="1440" w:gutter="0" w:footer="0" w:header="0"/>
        </w:sectPr>
      </w:pPr>
    </w:p>
    <w:bookmarkStart w:id="71" w:name="page72"/>
    <w:bookmarkEnd w:id="71"/>
    <w:p>
      <w:pPr>
        <w:jc w:val="center"/>
        <w:ind w:right="-459"/>
        <w:spacing w:after="0"/>
        <w:rPr>
          <w:sz w:val="20"/>
          <w:szCs w:val="20"/>
          <w:color w:val="auto"/>
        </w:rPr>
      </w:pPr>
      <w:r>
        <w:rPr>
          <w:rFonts w:ascii="Arial" w:cs="Arial" w:eastAsia="Arial" w:hAnsi="Arial"/>
          <w:sz w:val="22"/>
          <w:szCs w:val="22"/>
          <w:b w:val="1"/>
          <w:bCs w:val="1"/>
          <w:color w:val="auto"/>
        </w:rPr>
        <w:t>EXHIBIT H</w:t>
      </w:r>
    </w:p>
    <w:p>
      <w:pPr>
        <w:spacing w:after="0" w:line="31"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u w:val="single" w:color="auto"/>
          <w:color w:val="auto"/>
        </w:rPr>
        <w:t>E2112 Scope of Work – Amendment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137160</wp:posOffset>
            </wp:positionV>
            <wp:extent cx="3492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4925" cy="762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242570</wp:posOffset>
            </wp:positionV>
            <wp:extent cx="1968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968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 xml:space="preserve">Protocol Title: </w:t>
      </w:r>
      <w:r>
        <w:rPr>
          <w:rFonts w:ascii="Arial" w:cs="Arial" w:eastAsia="Arial" w:hAnsi="Arial"/>
          <w:sz w:val="17"/>
          <w:szCs w:val="17"/>
          <w:color w:val="auto"/>
        </w:rPr>
        <w:t>A Randomized Phase III Trial of Endocrine Therapy plus Entinostat/Placebo in Patients with Hormone Receptor-Positive Advanced Breast</w:t>
      </w:r>
      <w:r>
        <w:rPr>
          <w:rFonts w:ascii="Arial" w:cs="Arial" w:eastAsia="Arial" w:hAnsi="Arial"/>
          <w:sz w:val="17"/>
          <w:szCs w:val="17"/>
          <w:b w:val="1"/>
          <w:bCs w:val="1"/>
          <w:color w:val="auto"/>
        </w:rPr>
        <w:t xml:space="preserve"> </w:t>
      </w:r>
      <w:r>
        <w:rPr>
          <w:rFonts w:ascii="Arial" w:cs="Arial" w:eastAsia="Arial" w:hAnsi="Arial"/>
          <w:sz w:val="17"/>
          <w:szCs w:val="17"/>
          <w:color w:val="auto"/>
        </w:rPr>
        <w:t>Cancer</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780"/>
          </w:cols>
          <w:pgMar w:left="320" w:top="309" w:right="79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 Briggs W. Morrison, M.D., certify that:</w:t>
      </w:r>
    </w:p>
    <w:p>
      <w:pPr>
        <w:spacing w:after="0" w:line="195" w:lineRule="exact"/>
        <w:rPr>
          <w:sz w:val="20"/>
          <w:szCs w:val="20"/>
          <w:color w:val="auto"/>
        </w:rPr>
      </w:pPr>
    </w:p>
    <w:p>
      <w:pPr>
        <w:ind w:left="660" w:hanging="15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Syndax Pharmaceuticals, Inc.;</w:t>
      </w:r>
    </w:p>
    <w:p>
      <w:pPr>
        <w:spacing w:after="0" w:line="194" w:lineRule="exact"/>
        <w:rPr>
          <w:rFonts w:ascii="Arial" w:cs="Arial" w:eastAsia="Arial" w:hAnsi="Arial"/>
          <w:sz w:val="16"/>
          <w:szCs w:val="16"/>
          <w:color w:val="auto"/>
        </w:rPr>
      </w:pPr>
    </w:p>
    <w:p>
      <w:pPr>
        <w:ind w:right="120" w:firstLine="506"/>
        <w:spacing w:after="0" w:line="268" w:lineRule="auto"/>
        <w:tabs>
          <w:tab w:leader="none" w:pos="6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right="120" w:firstLine="506"/>
        <w:spacing w:after="0" w:line="268" w:lineRule="auto"/>
        <w:tabs>
          <w:tab w:leader="none" w:pos="6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660" w:hanging="154"/>
        <w:spacing w:after="0"/>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88" w:lineRule="exact"/>
        <w:rPr>
          <w:rFonts w:ascii="Arial" w:cs="Arial" w:eastAsia="Arial" w:hAnsi="Arial"/>
          <w:sz w:val="14"/>
          <w:szCs w:val="14"/>
          <w:color w:val="auto"/>
        </w:rPr>
      </w:pPr>
    </w:p>
    <w:p>
      <w:pPr>
        <w:ind w:left="500" w:right="20" w:firstLine="493"/>
        <w:spacing w:after="0" w:line="257" w:lineRule="auto"/>
        <w:tabs>
          <w:tab w:leader="none" w:pos="12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500" w:right="40" w:firstLine="493"/>
        <w:spacing w:after="0" w:line="257" w:lineRule="auto"/>
        <w:tabs>
          <w:tab w:leader="none" w:pos="1212"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500" w:right="280" w:firstLine="493"/>
        <w:spacing w:after="0" w:line="268" w:lineRule="auto"/>
        <w:tabs>
          <w:tab w:leader="none" w:pos="12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00" w:right="220" w:firstLine="493"/>
        <w:spacing w:after="0" w:line="257" w:lineRule="auto"/>
        <w:tabs>
          <w:tab w:leader="none" w:pos="1212"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right="420" w:firstLine="506"/>
        <w:spacing w:after="0" w:line="268" w:lineRule="auto"/>
        <w:tabs>
          <w:tab w:leader="none" w:pos="6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500" w:right="460" w:firstLine="493"/>
        <w:spacing w:after="0" w:line="268" w:lineRule="auto"/>
        <w:tabs>
          <w:tab w:leader="none" w:pos="12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220" w:hanging="227"/>
        <w:spacing w:after="0"/>
        <w:tabs>
          <w:tab w:leader="none" w:pos="122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3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auto"/>
        </w:rPr>
        <w:t>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60" w:type="dxa"/>
            <w:vAlign w:val="bottom"/>
          </w:tcPr>
          <w:p>
            <w:pPr>
              <w:spacing w:after="0"/>
              <w:rPr>
                <w:sz w:val="20"/>
                <w:szCs w:val="20"/>
                <w:color w:val="auto"/>
              </w:rPr>
            </w:pPr>
            <w:r>
              <w:rPr>
                <w:rFonts w:ascii="Arial" w:cs="Arial" w:eastAsia="Arial" w:hAnsi="Arial"/>
                <w:sz w:val="16"/>
                <w:szCs w:val="16"/>
                <w:color w:val="auto"/>
              </w:rPr>
              <w:t>Date: August 6, 2020</w:t>
            </w:r>
          </w:p>
        </w:tc>
        <w:tc>
          <w:tcPr>
            <w:tcW w:w="7200" w:type="dxa"/>
            <w:vAlign w:val="bottom"/>
            <w:gridSpan w:val="2"/>
          </w:tcPr>
          <w:p>
            <w:pPr>
              <w:ind w:left="2700"/>
              <w:spacing w:after="0"/>
              <w:rPr>
                <w:sz w:val="20"/>
                <w:szCs w:val="20"/>
                <w:color w:val="auto"/>
              </w:rPr>
            </w:pPr>
            <w:r>
              <w:rPr>
                <w:rFonts w:ascii="Arial" w:cs="Arial" w:eastAsia="Arial" w:hAnsi="Arial"/>
                <w:sz w:val="16"/>
                <w:szCs w:val="16"/>
                <w:color w:val="auto"/>
              </w:rPr>
              <w:t>By:   /s/ Briggs W. Morrison, M.D.</w:t>
            </w:r>
          </w:p>
        </w:tc>
      </w:tr>
      <w:tr>
        <w:trPr>
          <w:trHeight w:val="169"/>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Briggs W. Morrison, M.D.</w:t>
            </w:r>
          </w:p>
        </w:tc>
      </w:tr>
      <w:tr>
        <w:trPr>
          <w:trHeight w:val="189"/>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1"/>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0"/>
          </w:cols>
          <w:pgMar w:left="320" w:top="312"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 Daphne Karydas, certify that:</w:t>
      </w:r>
    </w:p>
    <w:p>
      <w:pPr>
        <w:spacing w:after="0" w:line="195" w:lineRule="exact"/>
        <w:rPr>
          <w:sz w:val="20"/>
          <w:szCs w:val="20"/>
          <w:color w:val="auto"/>
        </w:rPr>
      </w:pPr>
    </w:p>
    <w:p>
      <w:pPr>
        <w:ind w:left="660" w:hanging="15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Syndax Pharmaceuticals, Inc.;</w:t>
      </w:r>
    </w:p>
    <w:p>
      <w:pPr>
        <w:spacing w:after="0" w:line="194" w:lineRule="exact"/>
        <w:rPr>
          <w:rFonts w:ascii="Arial" w:cs="Arial" w:eastAsia="Arial" w:hAnsi="Arial"/>
          <w:sz w:val="16"/>
          <w:szCs w:val="16"/>
          <w:color w:val="auto"/>
        </w:rPr>
      </w:pPr>
    </w:p>
    <w:p>
      <w:pPr>
        <w:ind w:right="120" w:firstLine="506"/>
        <w:spacing w:after="0" w:line="268" w:lineRule="auto"/>
        <w:tabs>
          <w:tab w:leader="none" w:pos="6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right="120" w:firstLine="506"/>
        <w:spacing w:after="0" w:line="268" w:lineRule="auto"/>
        <w:tabs>
          <w:tab w:leader="none" w:pos="6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660" w:hanging="154"/>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88" w:lineRule="exact"/>
        <w:rPr>
          <w:rFonts w:ascii="Arial" w:cs="Arial" w:eastAsia="Arial" w:hAnsi="Arial"/>
          <w:sz w:val="14"/>
          <w:szCs w:val="14"/>
          <w:color w:val="auto"/>
        </w:rPr>
      </w:pPr>
    </w:p>
    <w:p>
      <w:pPr>
        <w:ind w:left="500" w:right="20" w:firstLine="493"/>
        <w:spacing w:after="0" w:line="257" w:lineRule="auto"/>
        <w:tabs>
          <w:tab w:leader="none" w:pos="1203"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500" w:right="40" w:firstLine="493"/>
        <w:spacing w:after="0" w:line="257" w:lineRule="auto"/>
        <w:tabs>
          <w:tab w:leader="none" w:pos="1212"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500" w:right="280" w:firstLine="493"/>
        <w:spacing w:after="0" w:line="268" w:lineRule="auto"/>
        <w:tabs>
          <w:tab w:leader="none" w:pos="120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00" w:right="220" w:firstLine="493"/>
        <w:spacing w:after="0" w:line="257" w:lineRule="auto"/>
        <w:tabs>
          <w:tab w:leader="none" w:pos="1212"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right="420" w:firstLine="506"/>
        <w:spacing w:after="0" w:line="268" w:lineRule="auto"/>
        <w:tabs>
          <w:tab w:leader="none" w:pos="6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500" w:right="460" w:firstLine="493"/>
        <w:spacing w:after="0" w:line="268" w:lineRule="auto"/>
        <w:tabs>
          <w:tab w:leader="none" w:pos="1203"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220" w:hanging="227"/>
        <w:spacing w:after="0"/>
        <w:tabs>
          <w:tab w:leader="none" w:pos="1220" w:val="left"/>
        </w:tabs>
        <w:numPr>
          <w:ilvl w:val="1"/>
          <w:numId w:val="6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3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auto"/>
        </w:rPr>
        <w:t>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80" w:type="dxa"/>
            <w:vAlign w:val="bottom"/>
          </w:tcPr>
          <w:p>
            <w:pPr>
              <w:spacing w:after="0"/>
              <w:rPr>
                <w:sz w:val="20"/>
                <w:szCs w:val="20"/>
                <w:color w:val="auto"/>
              </w:rPr>
            </w:pPr>
            <w:r>
              <w:rPr>
                <w:rFonts w:ascii="Arial" w:cs="Arial" w:eastAsia="Arial" w:hAnsi="Arial"/>
                <w:sz w:val="16"/>
                <w:szCs w:val="16"/>
                <w:color w:val="auto"/>
              </w:rPr>
              <w:t>Date: August 6, 2020</w:t>
            </w:r>
          </w:p>
        </w:tc>
        <w:tc>
          <w:tcPr>
            <w:tcW w:w="7180" w:type="dxa"/>
            <w:vAlign w:val="bottom"/>
            <w:gridSpan w:val="2"/>
          </w:tcPr>
          <w:p>
            <w:pPr>
              <w:ind w:left="2720"/>
              <w:spacing w:after="0"/>
              <w:rPr>
                <w:sz w:val="20"/>
                <w:szCs w:val="20"/>
                <w:color w:val="auto"/>
              </w:rPr>
            </w:pPr>
            <w:r>
              <w:rPr>
                <w:rFonts w:ascii="Arial" w:cs="Arial" w:eastAsia="Arial" w:hAnsi="Arial"/>
                <w:sz w:val="16"/>
                <w:szCs w:val="16"/>
                <w:color w:val="auto"/>
              </w:rPr>
              <w:t>By:   /s/ Daphne Karydas</w:t>
            </w:r>
          </w:p>
        </w:tc>
      </w:tr>
      <w:tr>
        <w:trPr>
          <w:trHeight w:val="169"/>
        </w:trPr>
        <w:tc>
          <w:tcPr>
            <w:tcW w:w="4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4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Daphne Karydas</w:t>
            </w:r>
          </w:p>
        </w:tc>
      </w:tr>
      <w:tr>
        <w:trPr>
          <w:trHeight w:val="189"/>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Chief Financial Officer and Treasurer</w:t>
            </w:r>
          </w:p>
        </w:tc>
      </w:tr>
      <w:tr>
        <w:trPr>
          <w:trHeight w:val="201"/>
        </w:trPr>
        <w:tc>
          <w:tcPr>
            <w:tcW w:w="4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w w:val="94"/>
              </w:rPr>
              <w:t>(Principal Financial Officer and Principal Accounting Officer)</w:t>
            </w:r>
          </w:p>
        </w:tc>
      </w:tr>
    </w:tbl>
    <w:p>
      <w:pPr>
        <w:sectPr>
          <w:pgSz w:w="11900" w:h="16838" w:orient="portrait"/>
          <w:cols w:equalWidth="0" w:num="1">
            <w:col w:w="11260"/>
          </w:cols>
          <w:pgMar w:left="320" w:top="466"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4" w:lineRule="exact"/>
        <w:rPr>
          <w:sz w:val="20"/>
          <w:szCs w:val="20"/>
          <w:color w:val="auto"/>
        </w:rPr>
      </w:pPr>
    </w:p>
    <w:p>
      <w:pPr>
        <w:jc w:val="both"/>
        <w:ind w:right="60" w:firstLine="511"/>
        <w:spacing w:after="0" w:line="257" w:lineRule="auto"/>
        <w:rPr>
          <w:sz w:val="20"/>
          <w:szCs w:val="20"/>
          <w:color w:val="auto"/>
        </w:rPr>
      </w:pPr>
      <w:r>
        <w:rPr>
          <w:rFonts w:ascii="Arial" w:cs="Arial" w:eastAsia="Arial" w:hAnsi="Arial"/>
          <w:sz w:val="16"/>
          <w:szCs w:val="16"/>
          <w:color w:val="auto"/>
        </w:rPr>
        <w:t>In connection with the Quarterly Report on Form 10-Q of Syndax Pharmaceuticals, Inc. (the “Company”) for the period ended June 30, 2020, as filed with the Securities and Exchange Commission on the date hereof (the “Report”), each of the undersigned officers of the Company hereby certifies, pursuant to 18 U.S.C. Section 1350, that to his or her knowledge:</w:t>
      </w:r>
    </w:p>
    <w:p>
      <w:pPr>
        <w:spacing w:after="0" w:line="167" w:lineRule="exact"/>
        <w:rPr>
          <w:sz w:val="20"/>
          <w:szCs w:val="20"/>
          <w:color w:val="auto"/>
        </w:rPr>
      </w:pPr>
    </w:p>
    <w:p>
      <w:pPr>
        <w:ind w:left="1020" w:hanging="516"/>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1020" w:hanging="516"/>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60" w:type="dxa"/>
            <w:vAlign w:val="bottom"/>
          </w:tcPr>
          <w:p>
            <w:pPr>
              <w:spacing w:after="0"/>
              <w:rPr>
                <w:sz w:val="20"/>
                <w:szCs w:val="20"/>
                <w:color w:val="auto"/>
              </w:rPr>
            </w:pPr>
            <w:r>
              <w:rPr>
                <w:rFonts w:ascii="Arial" w:cs="Arial" w:eastAsia="Arial" w:hAnsi="Arial"/>
                <w:sz w:val="16"/>
                <w:szCs w:val="16"/>
                <w:color w:val="auto"/>
              </w:rPr>
              <w:t>Date: August 6, 2020</w:t>
            </w:r>
          </w:p>
        </w:tc>
        <w:tc>
          <w:tcPr>
            <w:tcW w:w="3140" w:type="dxa"/>
            <w:vAlign w:val="bottom"/>
          </w:tcPr>
          <w:p>
            <w:pPr>
              <w:ind w:left="2700"/>
              <w:spacing w:after="0"/>
              <w:rPr>
                <w:sz w:val="20"/>
                <w:szCs w:val="20"/>
                <w:color w:val="auto"/>
              </w:rPr>
            </w:pPr>
            <w:r>
              <w:rPr>
                <w:rFonts w:ascii="Arial" w:cs="Arial" w:eastAsia="Arial" w:hAnsi="Arial"/>
                <w:sz w:val="16"/>
                <w:szCs w:val="16"/>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Briggs W. Morrison, M.D.</w:t>
            </w:r>
          </w:p>
        </w:tc>
      </w:tr>
      <w:tr>
        <w:trPr>
          <w:trHeight w:val="169"/>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6"/>
                <w:szCs w:val="16"/>
                <w:color w:val="auto"/>
              </w:rPr>
              <w:t>Briggs W. Morrison, M.D.</w:t>
            </w:r>
          </w:p>
        </w:tc>
      </w:tr>
      <w:tr>
        <w:trPr>
          <w:trHeight w:val="201"/>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451"/>
        </w:trPr>
        <w:tc>
          <w:tcPr>
            <w:tcW w:w="4060" w:type="dxa"/>
            <w:vAlign w:val="bottom"/>
          </w:tcPr>
          <w:p>
            <w:pPr>
              <w:spacing w:after="0"/>
              <w:rPr>
                <w:sz w:val="20"/>
                <w:szCs w:val="20"/>
                <w:color w:val="auto"/>
              </w:rPr>
            </w:pPr>
            <w:r>
              <w:rPr>
                <w:rFonts w:ascii="Arial" w:cs="Arial" w:eastAsia="Arial" w:hAnsi="Arial"/>
                <w:sz w:val="16"/>
                <w:szCs w:val="16"/>
                <w:color w:val="auto"/>
              </w:rPr>
              <w:t>Date: August 6, 2020</w:t>
            </w:r>
          </w:p>
        </w:tc>
        <w:tc>
          <w:tcPr>
            <w:tcW w:w="3140" w:type="dxa"/>
            <w:vAlign w:val="bottom"/>
          </w:tcPr>
          <w:p>
            <w:pPr>
              <w:ind w:left="2700"/>
              <w:spacing w:after="0"/>
              <w:rPr>
                <w:sz w:val="20"/>
                <w:szCs w:val="20"/>
                <w:color w:val="auto"/>
              </w:rPr>
            </w:pPr>
            <w:r>
              <w:rPr>
                <w:rFonts w:ascii="Arial" w:cs="Arial" w:eastAsia="Arial" w:hAnsi="Arial"/>
                <w:sz w:val="16"/>
                <w:szCs w:val="16"/>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Daphne Karydas</w:t>
            </w:r>
          </w:p>
        </w:tc>
      </w:tr>
      <w:tr>
        <w:trPr>
          <w:trHeight w:val="169"/>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6"/>
                <w:szCs w:val="16"/>
                <w:color w:val="auto"/>
              </w:rPr>
              <w:t>Daphne Karydas</w:t>
            </w:r>
          </w:p>
        </w:tc>
      </w:tr>
      <w:tr>
        <w:trPr>
          <w:trHeight w:val="201"/>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Financial Officer and Treasurer</w:t>
            </w:r>
          </w:p>
        </w:tc>
      </w:tr>
    </w:tbl>
    <w:p>
      <w:pPr>
        <w:spacing w:after="0" w:line="1" w:lineRule="exact"/>
        <w:rPr>
          <w:sz w:val="20"/>
          <w:szCs w:val="20"/>
          <w:color w:val="auto"/>
        </w:rPr>
      </w:pPr>
    </w:p>
    <w:sectPr>
      <w:pgSz w:w="11900" w:h="16838" w:orient="portrait"/>
      <w:cols w:equalWidth="0" w:num="1">
        <w:col w:w="11260"/>
      </w:cols>
      <w:pgMar w:left="320" w:top="3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3"/>
    </w:lvl>
  </w:abstractNum>
  <w:abstractNum w:abstractNumId="4">
    <w:nsid w:val="440BADFC"/>
    <w:multiLevelType w:val="hybridMultilevel"/>
    <w:lvl w:ilvl="0">
      <w:lvlJc w:val="left"/>
      <w:lvlText w:val="(%1)"/>
      <w:numFmt w:val="lowerRoman"/>
      <w:start w:val="3"/>
    </w:lvl>
  </w:abstractNum>
  <w:abstractNum w:abstractNumId="5">
    <w:nsid w:val="5072367"/>
    <w:multiLevelType w:val="hybridMultilevel"/>
    <w:lvl w:ilvl="0">
      <w:lvlJc w:val="left"/>
      <w:lvlText w:val="(%1)"/>
      <w:numFmt w:val="lowerRoman"/>
      <w:start w:val="2"/>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0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upperLetter"/>
      <w:start w:val="1"/>
    </w:lvl>
  </w:abstractNum>
  <w:abstractNum w:abstractNumId="36">
    <w:nsid w:val="79A1DEAA"/>
    <w:multiLevelType w:val="hybridMultilevel"/>
    <w:lvl w:ilvl="0">
      <w:lvlJc w:val="left"/>
      <w:lvlText w:val="%1"/>
      <w:numFmt w:val="upperLetter"/>
      <w:start w:val="1"/>
    </w:lvl>
    <w:lvl w:ilvl="1">
      <w:lvlJc w:val="left"/>
      <w:lvlText w:val="%2."/>
      <w:numFmt w:val="upperLetter"/>
      <w:start w:val="4"/>
    </w:lvl>
  </w:abstractNum>
  <w:abstractNum w:abstractNumId="37">
    <w:nsid w:val="75C6C33A"/>
    <w:multiLevelType w:val="hybridMultilevel"/>
    <w:lvl w:ilvl="0">
      <w:lvlJc w:val="left"/>
      <w:lvlText w:val="%1."/>
      <w:numFmt w:val="upperLetter"/>
      <w:start w:val="5"/>
    </w:lvl>
    <w:lvl w:ilvl="1">
      <w:lvlJc w:val="left"/>
      <w:lvlText w:val="%2"/>
      <w:numFmt w:val="upperLetter"/>
      <w:start w:val="1"/>
    </w:lvl>
  </w:abstractNum>
  <w:abstractNum w:abstractNumId="38">
    <w:nsid w:val="12E685FB"/>
    <w:multiLevelType w:val="hybridMultilevel"/>
    <w:lvl w:ilvl="0">
      <w:lvlJc w:val="left"/>
      <w:lvlText w:val="%1."/>
      <w:numFmt w:val="upperLetter"/>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2"/>
    </w:lvl>
  </w:abstractNum>
  <w:abstractNum w:abstractNumId="41">
    <w:nsid w:val="374A3FE6"/>
    <w:multiLevelType w:val="hybridMultilevel"/>
    <w:lvl w:ilvl="0">
      <w:lvlJc w:val="left"/>
      <w:lvlText w:val="%1."/>
      <w:numFmt w:val="decimal"/>
      <w:start w:val="3"/>
    </w:lvl>
  </w:abstractNum>
  <w:abstractNum w:abstractNumId="42">
    <w:nsid w:val="4F4EF005"/>
    <w:multiLevelType w:val="hybridMultilevel"/>
    <w:lvl w:ilvl="0">
      <w:lvlJc w:val="left"/>
      <w:lvlText w:val="%1."/>
      <w:numFmt w:val="decimal"/>
      <w:start w:val="4"/>
    </w:lvl>
  </w:abstractNum>
  <w:abstractNum w:abstractNumId="43">
    <w:nsid w:val="23F9C13C"/>
    <w:multiLevelType w:val="hybridMultilevel"/>
    <w:lvl w:ilvl="0">
      <w:lvlJc w:val="left"/>
      <w:lvlText w:val="%1."/>
      <w:numFmt w:val="decimal"/>
      <w:start w:val="5"/>
    </w:lvl>
  </w:abstractNum>
  <w:abstractNum w:abstractNumId="44">
    <w:nsid w:val="649BB77C"/>
    <w:multiLevelType w:val="hybridMultilevel"/>
    <w:lvl w:ilvl="0">
      <w:lvlJc w:val="left"/>
      <w:lvlText w:val="%1."/>
      <w:numFmt w:val="decimal"/>
      <w:start w:val="6"/>
    </w:lvl>
  </w:abstractNum>
  <w:abstractNum w:abstractNumId="45">
    <w:nsid w:val="275AC794"/>
    <w:multiLevelType w:val="hybridMultilevel"/>
    <w:lvl w:ilvl="0">
      <w:lvlJc w:val="left"/>
      <w:lvlText w:val="%1."/>
      <w:numFmt w:val="decimal"/>
      <w:start w:val="7"/>
    </w:lvl>
  </w:abstractNum>
  <w:abstractNum w:abstractNumId="46">
    <w:nsid w:val="39386575"/>
    <w:multiLevelType w:val="hybridMultilevel"/>
    <w:lvl w:ilvl="0">
      <w:lvlJc w:val="left"/>
      <w:lvlText w:val="%1."/>
      <w:numFmt w:val="decimal"/>
      <w:start w:val="8"/>
    </w:lvl>
  </w:abstractNum>
  <w:abstractNum w:abstractNumId="47">
    <w:nsid w:val="1CF10FD8"/>
    <w:multiLevelType w:val="hybridMultilevel"/>
    <w:lvl w:ilvl="0">
      <w:lvlJc w:val="left"/>
      <w:lvlText w:val="%1."/>
      <w:numFmt w:val="decimal"/>
      <w:start w:val="9"/>
    </w:lvl>
  </w:abstractNum>
  <w:abstractNum w:abstractNumId="48">
    <w:nsid w:val="180115BE"/>
    <w:multiLevelType w:val="hybridMultilevel"/>
    <w:lvl w:ilvl="0">
      <w:lvlJc w:val="left"/>
      <w:lvlText w:val="%1."/>
      <w:numFmt w:val="decimal"/>
      <w:start w:val="10"/>
    </w:lvl>
  </w:abstractNum>
  <w:abstractNum w:abstractNumId="49">
    <w:nsid w:val="235BA861"/>
    <w:multiLevelType w:val="hybridMultilevel"/>
    <w:lvl w:ilvl="0">
      <w:lvlJc w:val="left"/>
      <w:lvlText w:val="%1."/>
      <w:numFmt w:val="decimal"/>
      <w:start w:val="11"/>
    </w:lvl>
  </w:abstractNum>
  <w:abstractNum w:abstractNumId="50">
    <w:nsid w:val="47398C89"/>
    <w:multiLevelType w:val="hybridMultilevel"/>
    <w:lvl w:ilvl="0">
      <w:lvlJc w:val="left"/>
      <w:lvlText w:val="%1."/>
      <w:numFmt w:val="decimal"/>
      <w:start w:val="12"/>
    </w:lvl>
  </w:abstractNum>
  <w:abstractNum w:abstractNumId="51">
    <w:nsid w:val="354FE9F9"/>
    <w:multiLevelType w:val="hybridMultilevel"/>
    <w:lvl w:ilvl="0">
      <w:lvlJc w:val="left"/>
      <w:lvlText w:val="%1."/>
      <w:numFmt w:val="decimal"/>
      <w:start w:val="13"/>
    </w:lvl>
  </w:abstractNum>
  <w:abstractNum w:abstractNumId="52">
    <w:nsid w:val="15B5AF5C"/>
    <w:multiLevelType w:val="hybridMultilevel"/>
    <w:lvl w:ilvl="0">
      <w:lvlJc w:val="left"/>
      <w:lvlText w:val="%1."/>
      <w:numFmt w:val="upperLetter"/>
      <w:start w:val="2"/>
    </w:lvl>
  </w:abstractNum>
  <w:abstractNum w:abstractNumId="53">
    <w:nsid w:val="741226BB"/>
    <w:multiLevelType w:val="hybridMultilevel"/>
    <w:lvl w:ilvl="0">
      <w:lvlJc w:val="left"/>
      <w:lvlText w:val="%1."/>
      <w:numFmt w:val="upperLetter"/>
      <w:start w:val="3"/>
    </w:lvl>
  </w:abstractNum>
  <w:abstractNum w:abstractNumId="54">
    <w:nsid w:val="D34B6A8"/>
    <w:multiLevelType w:val="hybridMultilevel"/>
    <w:lvl w:ilvl="0">
      <w:lvlJc w:val="left"/>
      <w:lvlText w:val="%1."/>
      <w:numFmt w:val="upperLetter"/>
      <w:start w:val="4"/>
    </w:lvl>
  </w:abstractNum>
  <w:abstractNum w:abstractNumId="55">
    <w:nsid w:val="10233C99"/>
    <w:multiLevelType w:val="hybridMultilevel"/>
    <w:lvl w:ilvl="0">
      <w:lvlJc w:val="left"/>
      <w:lvlText w:val="%1."/>
      <w:numFmt w:val="upperLetter"/>
      <w:start w:val="5"/>
    </w:lvl>
  </w:abstractNum>
  <w:abstractNum w:abstractNumId="56">
    <w:nsid w:val="3F6AB60F"/>
    <w:multiLevelType w:val="hybridMultilevel"/>
    <w:lvl w:ilvl="0">
      <w:lvlJc w:val="left"/>
      <w:lvlText w:val="%1."/>
      <w:numFmt w:val="upperLetter"/>
      <w:start w:val="6"/>
    </w:lvl>
  </w:abstractNum>
  <w:abstractNum w:abstractNumId="57">
    <w:nsid w:val="61574095"/>
    <w:multiLevelType w:val="hybridMultilevel"/>
    <w:lvl w:ilvl="0">
      <w:lvlJc w:val="left"/>
      <w:lvlText w:val="%1."/>
      <w:numFmt w:val="upperLetter"/>
      <w:start w:val="7"/>
    </w:lvl>
  </w:abstractNum>
  <w:abstractNum w:abstractNumId="58">
    <w:nsid w:val="7E0C57B1"/>
    <w:multiLevelType w:val="hybridMultilevel"/>
    <w:lvl w:ilvl="0">
      <w:lvlJc w:val="left"/>
      <w:lvlText w:val="%1."/>
      <w:numFmt w:val="upperLetter"/>
      <w:start w:val="8"/>
    </w:lvl>
  </w:abstractNum>
  <w:abstractNum w:abstractNumId="59">
    <w:nsid w:val="77AE35EB"/>
    <w:multiLevelType w:val="hybridMultilevel"/>
    <w:lvl w:ilvl="0">
      <w:lvlJc w:val="left"/>
      <w:lvlText w:val="%1."/>
      <w:numFmt w:val="upperLetter"/>
      <w:start w:val="9"/>
    </w:lvl>
  </w:abstractNum>
  <w:abstractNum w:abstractNumId="60">
    <w:nsid w:val="579BE4F1"/>
    <w:multiLevelType w:val="hybridMultilevel"/>
    <w:lvl w:ilvl="0">
      <w:lvlJc w:val="left"/>
      <w:lvlText w:val="%1."/>
      <w:numFmt w:val="upperLetter"/>
      <w:start w:val="10"/>
    </w:lvl>
  </w:abstractNum>
  <w:abstractNum w:abstractNumId="61">
    <w:nsid w:val="310C50B3"/>
    <w:multiLevelType w:val="hybridMultilevel"/>
    <w:lvl w:ilvl="0">
      <w:lvlJc w:val="left"/>
      <w:lvlText w:val="%1."/>
      <w:numFmt w:val="upperLetter"/>
      <w:start w:val="11"/>
    </w:lvl>
  </w:abstractNum>
  <w:abstractNum w:abstractNumId="62">
    <w:nsid w:val="5FF87E05"/>
    <w:multiLevelType w:val="hybridMultilevel"/>
    <w:lvl w:ilvl="0">
      <w:lvlJc w:val="left"/>
      <w:lvlText w:val="%1."/>
      <w:numFmt w:val="upperLetter"/>
      <w:start w:val="12"/>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89" Type="http://schemas.openxmlformats.org/officeDocument/2006/relationships/hyperlink" Target="http://www.sec.gov/Archives/edgar/data/1395937/000119312516496764/d119516dex31.htm" TargetMode="External"/><Relationship Id="rId90" Type="http://schemas.openxmlformats.org/officeDocument/2006/relationships/hyperlink" Target="http://www.sec.gov/Archives/edgar/data/1395937/000119312516496764/d119516dex32.htm" TargetMode="External"/><Relationship Id="rId91" Type="http://schemas.openxmlformats.org/officeDocument/2006/relationships/hyperlink" Target="http://www.sec.gov/Archives/edgar/data/1395937/000119312520023646/d88005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2020-08-06T16:03:24Z</dcterms:created>
  <dcterms:modified xsi:type="dcterms:W3CDTF">2020-08-06T16:03:24Z</dcterms:modified>
</cp:coreProperties>
</file>