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108585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9"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June 30, 2019</w:t>
      </w:r>
    </w:p>
    <w:p>
      <w:pPr>
        <w:spacing w:after="0" w:line="12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2"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-4445</wp:posOffset>
            </wp:positionV>
            <wp:extent cx="1191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0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114935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4"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Syndax Pharmaceuticals, Inc.</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4" w:lineRule="exact"/>
        <w:rPr>
          <w:sz w:val="24"/>
          <w:szCs w:val="24"/>
          <w:color w:val="auto"/>
        </w:rPr>
      </w:pPr>
    </w:p>
    <w:tbl>
      <w:tblPr>
        <w:tblLayout w:type="fixed"/>
        <w:tblInd w:w="1900" w:type="dxa"/>
        <w:tblCellMar>
          <w:top w:w="0" w:type="dxa"/>
          <w:left w:w="0" w:type="dxa"/>
          <w:bottom w:w="0" w:type="dxa"/>
          <w:right w:w="0" w:type="dxa"/>
        </w:tblCellMar>
      </w:tblPr>
      <w:tr>
        <w:trPr>
          <w:trHeight w:val="194"/>
        </w:trPr>
        <w:tc>
          <w:tcPr>
            <w:tcW w:w="5600" w:type="dxa"/>
            <w:vAlign w:val="bottom"/>
          </w:tcPr>
          <w:p>
            <w:pPr>
              <w:jc w:val="center"/>
              <w:ind w:right="2743"/>
              <w:spacing w:after="0"/>
              <w:rPr>
                <w:sz w:val="20"/>
                <w:szCs w:val="20"/>
                <w:color w:val="auto"/>
              </w:rPr>
            </w:pPr>
            <w:r>
              <w:rPr>
                <w:rFonts w:ascii="Arial" w:cs="Arial" w:eastAsia="Arial" w:hAnsi="Arial"/>
                <w:sz w:val="16"/>
                <w:szCs w:val="16"/>
                <w:b w:val="1"/>
                <w:bCs w:val="1"/>
                <w:color w:val="auto"/>
                <w:w w:val="93"/>
              </w:rPr>
              <w:t>Delaware</w:t>
            </w:r>
          </w:p>
        </w:tc>
        <w:tc>
          <w:tcPr>
            <w:tcW w:w="1200" w:type="dxa"/>
            <w:vAlign w:val="bottom"/>
          </w:tcPr>
          <w:p>
            <w:pPr>
              <w:jc w:val="right"/>
              <w:ind w:right="84"/>
              <w:spacing w:after="0"/>
              <w:rPr>
                <w:sz w:val="20"/>
                <w:szCs w:val="20"/>
                <w:color w:val="auto"/>
              </w:rPr>
            </w:pPr>
            <w:r>
              <w:rPr>
                <w:rFonts w:ascii="Arial" w:cs="Arial" w:eastAsia="Arial" w:hAnsi="Arial"/>
                <w:sz w:val="16"/>
                <w:szCs w:val="16"/>
                <w:b w:val="1"/>
                <w:bCs w:val="1"/>
                <w:color w:val="auto"/>
              </w:rPr>
              <w:t>32-0162505</w:t>
            </w:r>
          </w:p>
        </w:tc>
      </w:tr>
      <w:tr>
        <w:trPr>
          <w:trHeight w:val="149"/>
        </w:trPr>
        <w:tc>
          <w:tcPr>
            <w:tcW w:w="5600" w:type="dxa"/>
            <w:vAlign w:val="bottom"/>
          </w:tcPr>
          <w:p>
            <w:pPr>
              <w:jc w:val="center"/>
              <w:ind w:right="274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600" w:type="dxa"/>
            <w:vAlign w:val="bottom"/>
          </w:tcPr>
          <w:p>
            <w:pPr>
              <w:jc w:val="center"/>
              <w:ind w:right="2743"/>
              <w:spacing w:after="0"/>
              <w:rPr>
                <w:sz w:val="20"/>
                <w:szCs w:val="20"/>
                <w:color w:val="auto"/>
              </w:rPr>
            </w:pPr>
            <w:r>
              <w:rPr>
                <w:rFonts w:ascii="Arial" w:cs="Arial" w:eastAsia="Arial" w:hAnsi="Arial"/>
                <w:sz w:val="14"/>
                <w:szCs w:val="14"/>
                <w:b w:val="1"/>
                <w:bCs w:val="1"/>
                <w:color w:val="auto"/>
                <w:w w:val="95"/>
              </w:rPr>
              <w:t>Incorporation or Organization)</w:t>
            </w:r>
          </w:p>
        </w:tc>
        <w:tc>
          <w:tcPr>
            <w:tcW w:w="120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Identification No.)</w:t>
            </w:r>
          </w:p>
        </w:tc>
      </w:tr>
      <w:tr>
        <w:trPr>
          <w:trHeight w:val="403"/>
        </w:trPr>
        <w:tc>
          <w:tcPr>
            <w:tcW w:w="5600" w:type="dxa"/>
            <w:vAlign w:val="bottom"/>
          </w:tcPr>
          <w:p>
            <w:pPr>
              <w:jc w:val="center"/>
              <w:ind w:right="2763"/>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1200" w:type="dxa"/>
            <w:vAlign w:val="bottom"/>
          </w:tcPr>
          <w:p>
            <w:pPr>
              <w:spacing w:after="0"/>
              <w:rPr>
                <w:sz w:val="24"/>
                <w:szCs w:val="24"/>
                <w:color w:val="auto"/>
              </w:rPr>
            </w:pPr>
          </w:p>
        </w:tc>
      </w:tr>
      <w:tr>
        <w:trPr>
          <w:trHeight w:val="207"/>
        </w:trPr>
        <w:tc>
          <w:tcPr>
            <w:tcW w:w="5600" w:type="dxa"/>
            <w:vAlign w:val="bottom"/>
          </w:tcPr>
          <w:p>
            <w:pPr>
              <w:jc w:val="center"/>
              <w:ind w:right="2763"/>
              <w:spacing w:after="0"/>
              <w:rPr>
                <w:sz w:val="20"/>
                <w:szCs w:val="20"/>
                <w:color w:val="auto"/>
              </w:rPr>
            </w:pPr>
            <w:r>
              <w:rPr>
                <w:rFonts w:ascii="Arial" w:cs="Arial" w:eastAsia="Arial" w:hAnsi="Arial"/>
                <w:sz w:val="16"/>
                <w:szCs w:val="16"/>
                <w:b w:val="1"/>
                <w:bCs w:val="1"/>
                <w:color w:val="auto"/>
                <w:w w:val="90"/>
              </w:rPr>
              <w:t>Waltham, Massachusetts</w:t>
            </w:r>
          </w:p>
        </w:tc>
        <w:tc>
          <w:tcPr>
            <w:tcW w:w="120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86"/>
        </w:trPr>
        <w:tc>
          <w:tcPr>
            <w:tcW w:w="5600" w:type="dxa"/>
            <w:vAlign w:val="bottom"/>
          </w:tcPr>
          <w:p>
            <w:pPr>
              <w:jc w:val="center"/>
              <w:ind w:right="2743"/>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00" w:type="dxa"/>
            <w:vAlign w:val="bottom"/>
          </w:tcPr>
          <w:p>
            <w:pPr>
              <w:jc w:val="center"/>
              <w:ind w:left="24"/>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5600" w:type="dxa"/>
            <w:vAlign w:val="bottom"/>
          </w:tcPr>
          <w:p>
            <w:pPr>
              <w:jc w:val="right"/>
              <w:ind w:right="1203"/>
              <w:spacing w:after="0"/>
              <w:rPr>
                <w:sz w:val="20"/>
                <w:szCs w:val="20"/>
                <w:color w:val="auto"/>
              </w:rPr>
            </w:pPr>
            <w:r>
              <w:rPr>
                <w:rFonts w:ascii="Arial" w:cs="Arial" w:eastAsia="Arial" w:hAnsi="Arial"/>
                <w:sz w:val="16"/>
                <w:szCs w:val="16"/>
                <w:b w:val="1"/>
                <w:bCs w:val="1"/>
                <w:color w:val="auto"/>
              </w:rPr>
              <w:t>(781) 419-1400</w:t>
            </w:r>
          </w:p>
        </w:tc>
        <w:tc>
          <w:tcPr>
            <w:tcW w:w="1200" w:type="dxa"/>
            <w:vAlign w:val="bottom"/>
          </w:tcPr>
          <w:p>
            <w:pPr>
              <w:spacing w:after="0"/>
              <w:rPr>
                <w:sz w:val="23"/>
                <w:szCs w:val="23"/>
                <w:color w:val="auto"/>
              </w:rPr>
            </w:pPr>
          </w:p>
        </w:tc>
      </w:tr>
      <w:tr>
        <w:trPr>
          <w:trHeight w:val="186"/>
        </w:trPr>
        <w:tc>
          <w:tcPr>
            <w:tcW w:w="5600" w:type="dxa"/>
            <w:vAlign w:val="bottom"/>
          </w:tcPr>
          <w:p>
            <w:pPr>
              <w:jc w:val="center"/>
              <w:ind w:left="1963"/>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6" w:lineRule="exact"/>
        <w:rPr>
          <w:sz w:val="24"/>
          <w:szCs w:val="24"/>
          <w:color w:val="auto"/>
        </w:rPr>
      </w:pPr>
    </w:p>
    <w:tbl>
      <w:tblPr>
        <w:tblLayout w:type="fixed"/>
        <w:tblInd w:w="590" w:type="dxa"/>
        <w:tblCellMar>
          <w:top w:w="0" w:type="dxa"/>
          <w:left w:w="0" w:type="dxa"/>
          <w:bottom w:w="0" w:type="dxa"/>
          <w:right w:w="0" w:type="dxa"/>
        </w:tblCellMar>
      </w:tblPr>
      <w:tr>
        <w:trPr>
          <w:trHeight w:val="227"/>
        </w:trPr>
        <w:tc>
          <w:tcPr>
            <w:tcW w:w="344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6"/>
                <w:szCs w:val="16"/>
                <w:b w:val="1"/>
                <w:bCs w:val="1"/>
                <w:color w:val="auto"/>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Stock</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98" w:lineRule="exact"/>
        <w:rPr>
          <w:sz w:val="24"/>
          <w:szCs w:val="24"/>
          <w:color w:val="auto"/>
        </w:rPr>
      </w:pPr>
    </w:p>
    <w:p>
      <w:pPr>
        <w:ind w:right="260" w:firstLine="38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8" w:lineRule="exact"/>
        <w:rPr>
          <w:sz w:val="24"/>
          <w:szCs w:val="24"/>
          <w:color w:val="auto"/>
        </w:rPr>
      </w:pPr>
    </w:p>
    <w:p>
      <w:pPr>
        <w:ind w:right="40" w:firstLine="38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86" w:lineRule="exact"/>
        <w:rPr>
          <w:sz w:val="24"/>
          <w:szCs w:val="24"/>
          <w:color w:val="auto"/>
        </w:rPr>
      </w:pPr>
    </w:p>
    <w:p>
      <w:pPr>
        <w:ind w:firstLine="38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9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100" w:lineRule="exact"/>
        <w:rPr>
          <w:sz w:val="24"/>
          <w:szCs w:val="24"/>
          <w:color w:val="auto"/>
        </w:rPr>
      </w:pPr>
    </w:p>
    <w:p>
      <w:pPr>
        <w:ind w:right="220" w:firstLine="38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400" w:right="224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6, 2019, there were 27,136,794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635000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32" w:right="3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HR+, HER2- breast cancer;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and cancer-related indications;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the progress and receipt of data from the Phase 1b clinical trial of SNDX-6352 in chronic graft versus host disease (cGVHD);</w:t>
      </w:r>
    </w:p>
    <w:p>
      <w:pPr>
        <w:spacing w:after="0" w:line="128" w:lineRule="exact"/>
        <w:rPr>
          <w:rFonts w:ascii="Arial" w:cs="Arial" w:eastAsia="Arial" w:hAnsi="Arial"/>
          <w:sz w:val="17"/>
          <w:szCs w:val="17"/>
          <w:color w:val="auto"/>
        </w:rPr>
      </w:pPr>
    </w:p>
    <w:p>
      <w:pPr>
        <w:ind w:left="1040" w:right="2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1/2 clinical trial of SNDX-5613 in patients with relapsed/refractory (R/R) acute leukemia and the potential use of SNDX-5613 to treat acute leukemias;</w:t>
      </w:r>
    </w:p>
    <w:p>
      <w:pPr>
        <w:spacing w:after="0" w:line="62"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 of entinostat with Tecentriq® (atezolizumab) from Genentech, Inc., a member of the Roche Group, in advanced hormone receptor positive, human epidermal growth factor receptor 2 negative (HR+, HER2-) breast cancer;</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UCB Biopharma Sprl, and Vitae Pharmaceuticals, Inc., a subsidiary of Allergan plc;</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291"/>
        </w:trPr>
        <w:tc>
          <w:tcPr>
            <w:tcW w:w="30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4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Financial Statements:</w:t>
              </w:r>
            </w:hyperlink>
          </w:p>
        </w:tc>
        <w:tc>
          <w:tcPr>
            <w:tcW w:w="7220" w:type="dxa"/>
            <w:vAlign w:val="bottom"/>
            <w:gridSpan w:val="9"/>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4"/>
                <w:szCs w:val="24"/>
                <w:color w:val="auto"/>
              </w:rPr>
            </w:pPr>
          </w:p>
        </w:tc>
        <w:tc>
          <w:tcPr>
            <w:tcW w:w="95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2019 and December 31, 201</w:t>
              </w:r>
            </w:hyperlink>
            <w:r>
              <w:rPr>
                <w:rFonts w:ascii="Arial" w:cs="Arial" w:eastAsia="Arial" w:hAnsi="Arial"/>
                <w:sz w:val="18"/>
                <w:szCs w:val="18"/>
                <w:color w:val="000000"/>
              </w:rPr>
              <w:t>8</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69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and six months ended</w:t>
              </w:r>
            </w:hyperlink>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2019 and 201</w:t>
              </w:r>
              <w:r>
                <w:rPr>
                  <w:rFonts w:ascii="Arial" w:cs="Arial" w:eastAsia="Arial" w:hAnsi="Arial"/>
                  <w:sz w:val="18"/>
                  <w:szCs w:val="18"/>
                  <w:color w:val="000000"/>
                </w:rPr>
                <w:t>8</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66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June 30, 2019</w:t>
              </w:r>
            </w:hyperlink>
          </w:p>
        </w:tc>
        <w:tc>
          <w:tcPr>
            <w:tcW w:w="29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w:t>
              </w:r>
              <w:r>
                <w:rPr>
                  <w:rFonts w:ascii="Arial" w:cs="Arial" w:eastAsia="Arial" w:hAnsi="Arial"/>
                  <w:sz w:val="18"/>
                  <w:szCs w:val="18"/>
                  <w:color w:val="000000"/>
                </w:rPr>
                <w:t>8</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58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2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31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80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7840" w:type="dxa"/>
            <w:vAlign w:val="bottom"/>
            <w:gridSpan w:val="14"/>
          </w:tcPr>
          <w:p>
            <w:pPr>
              <w:spacing w:after="0"/>
              <w:rPr>
                <w:sz w:val="24"/>
                <w:szCs w:val="24"/>
                <w:color w:val="auto"/>
              </w:rPr>
            </w:pPr>
          </w:p>
        </w:tc>
        <w:tc>
          <w:tcPr>
            <w:tcW w:w="800" w:type="dxa"/>
            <w:vAlign w:val="bottom"/>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00" w:type="dxa"/>
            <w:vAlign w:val="bottom"/>
            <w:tcBorders>
              <w:top w:val="single" w:sz="8" w:color="0000EE"/>
            </w:tcBorders>
          </w:tcPr>
          <w:p>
            <w:pPr>
              <w:spacing w:after="0"/>
              <w:rPr>
                <w:sz w:val="24"/>
                <w:szCs w:val="24"/>
                <w:color w:val="auto"/>
              </w:rPr>
            </w:pPr>
          </w:p>
        </w:tc>
        <w:tc>
          <w:tcPr>
            <w:tcW w:w="824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Unregistered Sales of Equity Securities and Use of Proceeds</w:t>
              </w:r>
            </w:hyperlink>
          </w:p>
        </w:tc>
        <w:tc>
          <w:tcPr>
            <w:tcW w:w="522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gridSpan w:val="2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0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85,775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net</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87,390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2,276</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right-of-use liability</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17,491</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Deferred revenue, less current portion</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13,892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liability, less current portion</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Commitments</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June 30, 2019 and December 31, 2018</w:t>
            </w:r>
          </w:p>
        </w:tc>
        <w:tc>
          <w:tcPr>
            <w:tcW w:w="28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 27,117,946</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8"/>
                <w:szCs w:val="18"/>
                <w:color w:val="auto"/>
              </w:rPr>
              <w:t>and 24,835,951 shares issued and outstanding at June 30, 2019 and</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December 31, 2018, respectively</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523,855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(468,641)</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(439,423)</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55,275</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87,390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4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19,330</w:t>
            </w:r>
          </w:p>
        </w:tc>
        <w:tc>
          <w:tcPr>
            <w:tcW w:w="4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(18,951)</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4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(18,388)</w:t>
            </w:r>
          </w:p>
        </w:tc>
        <w:tc>
          <w:tcPr>
            <w:tcW w:w="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(14,866)</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(18,259)</w:t>
            </w:r>
          </w:p>
        </w:tc>
        <w:tc>
          <w:tcPr>
            <w:tcW w:w="4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(37,731)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(18,388)</w:t>
            </w: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stockholders—basic</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(0.47)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(0.74)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53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number of common shares used to compute</w:t>
            </w: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31,605,279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24,705,441</w:t>
            </w:r>
          </w:p>
        </w:tc>
        <w:tc>
          <w:tcPr>
            <w:tcW w:w="4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29,327,029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24,592,483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tcBorders>
              <w:bottom w:val="single" w:sz="8" w:color="auto"/>
            </w:tcBorders>
            <w:gridSpan w:val="5"/>
          </w:tcPr>
          <w:p>
            <w:pPr>
              <w:jc w:val="right"/>
              <w:ind w:right="105"/>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9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(29,218)</w:t>
            </w:r>
          </w:p>
        </w:tc>
        <w:tc>
          <w:tcPr>
            <w:tcW w:w="10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(37,785)</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Depreciation, amortization and accretion</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5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(29,356)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2"/>
              </w:rPr>
              <w:t>(59,894)</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(34,149)</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sales and maturities of short-term investments</w:t>
            </w:r>
          </w:p>
        </w:tc>
        <w:tc>
          <w:tcPr>
            <w:tcW w:w="10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53,715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10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(6,179)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in at-the-market stock offering, net</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direct stock offering, net</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27,379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stock option exercises</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28,432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0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(7,103)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0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33,985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26,882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w:t>
            </w:r>
          </w:p>
        </w:tc>
        <w:tc>
          <w:tcPr>
            <w:tcW w:w="10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19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2019, and the results of operations and comprehensive loss for the three and six months ended June 30, 2019 and 2018, and cash flows for the six months ended June 30, 2019 and 2018. The results for the six months ended June 30, 2019 are not necessarily indicative of the results to be expected for the year ending December 31, 2019, any other interim periods, or any future year or period. These interim financial statements should be read in conjunction with the audited financial statements as of and for the year ended December 31, 2018, and the notes thereto, which are included in the Company’s Annual Report on Form 10-K that was filed with the Securities and Exchange Commission (“SEC”) on March 7, 2019.</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1" w:lineRule="exact"/>
        <w:rPr>
          <w:sz w:val="20"/>
          <w:szCs w:val="20"/>
          <w:color w:val="auto"/>
        </w:rPr>
      </w:pPr>
    </w:p>
    <w:p>
      <w:pPr>
        <w:ind w:left="520" w:right="7860" w:hanging="512"/>
        <w:spacing w:after="0" w:line="400" w:lineRule="auto"/>
        <w:tabs>
          <w:tab w:leader="none" w:pos="183"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1"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The Company’s significant accounting policies, which are disclosed in the audited consolidated financial statements for the year ended December 31, 2018 and the notes thereto are included in the Company’s Annual Report on Form 10-K that was filed with the SEC on March 7, 2019.</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(“ASU 2016-02”). The Company adopted ASU 2016-02 and its related amendments (collectively known as Accounting Standards Codification (“ASC”) 842) using the prospective method, effective on January 1, 2019. See Note 5 “Leases” for the required disclosures related to the impact of adopting this standard and a discussion of the Company’s updated policies related to leases. The Company adopted ASU 2016-02 on January 1, 2019, and it did not have a material impact on its condensed consolidated balance sheet, condensed consolidated statement of comprehensive loss or condensed consolidated statement of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On December 19, 2014 (the “Effective Date”), the Company entered into the KHK License Agreement,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0"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8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October 2017, the Company announced that KHK enrolled the first Japanese patient into a local pivotal study of entinostat for the treatment of hormone receptor positive, human epidermal growth factor receptor 2 negative breast cancer. In accordance with the terms of the license agreement, KHK paid the Company a $5.0 million milestone payment which the Company received in December 2017.</w:t>
      </w:r>
    </w:p>
    <w:p>
      <w:pPr>
        <w:spacing w:after="0" w:line="73"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 October 2016, the Company entered into a clinical trial co-funding agreement with KHK under which the Company expanded its clinical trial agreement with Eastern Cooperative Oncology Group (the “ECOG Agreement”) to include enrollments from sites in Korea.</w:t>
      </w:r>
    </w:p>
    <w:p>
      <w:pPr>
        <w:spacing w:after="0" w:line="62"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The Company determined that the performance obligations associated with the KHK License Agreement include (i) the combined license, rights to access and use materials and data, and rights to additional intellectual property, and (ii) the clinical supply obligation. All other goods or services promised to KHK are immaterial in the context of the agreement. Under ASC 606, the 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w:t>
      </w:r>
    </w:p>
    <w:p>
      <w:pPr>
        <w:spacing w:after="0" w:line="5" w:lineRule="exact"/>
        <w:rPr>
          <w:sz w:val="20"/>
          <w:szCs w:val="20"/>
          <w:color w:val="auto"/>
        </w:rPr>
      </w:pPr>
    </w:p>
    <w:p>
      <w:pPr>
        <w:ind w:right="100" w:firstLine="8"/>
        <w:spacing w:after="0" w:line="286"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clinical supply does not significantly modify or customize the other promises nor is it significantly modified or customized by them, and (iii) the clinical supply is not highly interdependent or highly interrelated with the other promises in the agreement as KHK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KHK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KHK Agreement at contract inception were not distinct and represented a single performance obligation, and that the obligations for goods and services provided would be completed over the performance period of the agreement, any payments received by the Company from KHK,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67"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Contract liabilities consisted of deferred revenue, as presented on the consolidated balance sheet, as of June 30, 2019. Deferred revenue related to the KHK License Agreement was $15.4 million as of June 30, 2019 and will be recognized over the remainder of the contract term.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Topic 842, “Leases”</w:t>
      </w:r>
    </w:p>
    <w:p>
      <w:pPr>
        <w:spacing w:after="0" w:line="17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adopted ASC 842 on January 1, 2019, using the prospective approach which provides a method for recording existing leases at adoption using the effective date of the standard as its initial application date. ASC 842 generally requires all leases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right="80"/>
        <w:spacing w:after="0" w:line="293" w:lineRule="auto"/>
        <w:rPr>
          <w:sz w:val="20"/>
          <w:szCs w:val="20"/>
          <w:color w:val="auto"/>
        </w:rPr>
      </w:pPr>
      <w:r>
        <w:rPr>
          <w:rFonts w:ascii="Arial" w:cs="Arial" w:eastAsia="Arial" w:hAnsi="Arial"/>
          <w:sz w:val="16"/>
          <w:szCs w:val="16"/>
          <w:color w:val="auto"/>
        </w:rPr>
        <w:t>to be recognized on the balance sheet. In addition, the Company elected the relief package of practical expedients permitted under the transition guidance within the new standard, which among other things, allowed the Company not to reassess whether any expired or existing contracts are or contain leases, the lease classification for any expired or existing leases and initial direct costs for any existing leases. The reported results for 2019 reflect the application of ASC 842 guidance while the reported results for 2018 were prepared under the guidance of ASC 840, Leases. The adoption of ASC 842 resulted in the recording of an additional lease asset and lease liability of approximately $1.3 million as of January 1, 2019. ASC 842 did not materially impact the Company’s condensed consolidated results of operations, equity or cash flows as of the adoption date or for the periods presented.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 determines whether an arrangement is a lease at inception. Operating lease right-of-use (“ROU”) assets and lease liabilities are recognized 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spacing w:after="0" w:line="11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Company identified two existing long-term building leases on the adoption date of ASC 842 that are classified as operating leases. In September 2016, the Company entered into a five-year operating lease for 12,207 square feet of office space in Waltham, Massachusetts, with a lease commencement date of March 1, 2017. In December 2015, the Company entered into a 62-month operating lease for 4,039 square feet of space in New York, New York, which commenced on January 1, 2016. The remaining lease terms as of June 30, 2019 for the facility in Waltham, Massachusetts and New York, New York, were 32 and 20 months, respectively. As of June 30, 2019, the condensed consolidated balance sheet includes a $1.1 million operating lease ROU asset and a $1.3 million ROU liability. The Company used a weighted average discount rate of 14% to calculate its lease obligations, and an increase or decrease in the rate does not have a significant impact on the ROU asset or ROU liability. The ROU asset is amortized on a straight-line basis over the remainder of the lease term. For the six months ended June 30, 2019, the Company recorded approximately $243,000 in operating lease expense and made approximately $282,000 in lease payments.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the Company’s operating leases as of June 30, 2019 and December 31, 2018, were as follows: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Maturity of lease liabilities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56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June 30, 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 2018</w:t>
            </w:r>
          </w:p>
        </w:tc>
      </w:tr>
      <w:tr>
        <w:trPr>
          <w:trHeight w:val="223"/>
        </w:trPr>
        <w:tc>
          <w:tcPr>
            <w:tcW w:w="540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r>
      <w:tr>
        <w:trPr>
          <w:trHeight w:val="230"/>
        </w:trPr>
        <w:tc>
          <w:tcPr>
            <w:tcW w:w="56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5600" w:type="dxa"/>
            <w:vAlign w:val="bottom"/>
            <w:tcBorders>
              <w:bottom w:val="single" w:sz="8" w:color="CFF0FC"/>
            </w:tcBorders>
            <w:gridSpan w:val="2"/>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CFF0FC"/>
            </w:tcBorders>
          </w:tcPr>
          <w:p>
            <w:pPr>
              <w:jc w:val="right"/>
              <w:ind w:right="170"/>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FF0FC"/>
            </w:tcBorders>
          </w:tcPr>
          <w:p>
            <w:pPr>
              <w:spacing w:after="0"/>
              <w:rPr>
                <w:sz w:val="22"/>
                <w:szCs w:val="22"/>
                <w:color w:val="auto"/>
              </w:rPr>
            </w:pPr>
          </w:p>
        </w:tc>
      </w:tr>
      <w:tr>
        <w:trPr>
          <w:trHeight w:val="210"/>
        </w:trPr>
        <w:tc>
          <w:tcPr>
            <w:tcW w:w="56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3"/>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Total operating lease liability</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660" w:firstLine="518"/>
        <w:spacing w:after="0" w:line="277" w:lineRule="auto"/>
        <w:rPr>
          <w:sz w:val="20"/>
          <w:szCs w:val="20"/>
          <w:color w:val="auto"/>
        </w:rPr>
      </w:pPr>
      <w:r>
        <w:rPr>
          <w:rFonts w:ascii="Arial" w:cs="Arial" w:eastAsia="Arial" w:hAnsi="Arial"/>
          <w:sz w:val="18"/>
          <w:szCs w:val="18"/>
          <w:color w:val="auto"/>
        </w:rPr>
        <w:t>Future minimum lease payments under the Company’s capital leases as of June 30, 2019 and December 31, 2018, were $11,000 and $10,000,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Net Loss per Share Attributable to Common Stockholders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80" w:type="dxa"/>
            <w:vAlign w:val="bottom"/>
            <w:gridSpan w:val="5"/>
          </w:tcPr>
          <w:p>
            <w:pPr>
              <w:jc w:val="center"/>
              <w:ind w:right="94"/>
              <w:spacing w:after="0" w:line="133" w:lineRule="exact"/>
              <w:rPr>
                <w:sz w:val="20"/>
                <w:szCs w:val="20"/>
                <w:color w:val="auto"/>
              </w:rPr>
            </w:pPr>
            <w:r>
              <w:rPr>
                <w:rFonts w:ascii="Arial" w:cs="Arial" w:eastAsia="Arial" w:hAnsi="Arial"/>
                <w:sz w:val="14"/>
                <w:szCs w:val="14"/>
                <w:b w:val="1"/>
                <w:bCs w:val="1"/>
                <w:color w:val="auto"/>
                <w:w w:val="91"/>
              </w:rPr>
              <w:t>(In thousands, except share and per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114"/>
              <w:spacing w:after="0" w:line="133" w:lineRule="exact"/>
              <w:rPr>
                <w:sz w:val="20"/>
                <w:szCs w:val="20"/>
                <w:color w:val="auto"/>
              </w:rPr>
            </w:pPr>
            <w:r>
              <w:rPr>
                <w:rFonts w:ascii="Arial" w:cs="Arial" w:eastAsia="Arial" w:hAnsi="Arial"/>
                <w:sz w:val="14"/>
                <w:szCs w:val="14"/>
                <w:b w:val="1"/>
                <w:bCs w:val="1"/>
                <w:color w:val="auto"/>
                <w:w w:val="90"/>
              </w:rPr>
              <w:t>(In thousands, except share and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center"/>
              <w:ind w:left="679"/>
              <w:spacing w:after="0"/>
              <w:rPr>
                <w:sz w:val="20"/>
                <w:szCs w:val="20"/>
                <w:color w:val="auto"/>
              </w:rPr>
            </w:pPr>
            <w:r>
              <w:rPr>
                <w:rFonts w:ascii="Arial" w:cs="Arial" w:eastAsia="Arial" w:hAnsi="Arial"/>
                <w:sz w:val="14"/>
                <w:szCs w:val="14"/>
                <w:b w:val="1"/>
                <w:bCs w:val="1"/>
                <w:color w:val="auto"/>
                <w:w w:val="90"/>
              </w:rPr>
              <w:t>share data)</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center"/>
              <w:ind w:left="659"/>
              <w:spacing w:after="0"/>
              <w:rPr>
                <w:sz w:val="20"/>
                <w:szCs w:val="20"/>
                <w:color w:val="auto"/>
              </w:rPr>
            </w:pPr>
            <w:r>
              <w:rPr>
                <w:rFonts w:ascii="Arial" w:cs="Arial" w:eastAsia="Arial" w:hAnsi="Arial"/>
                <w:sz w:val="14"/>
                <w:szCs w:val="14"/>
                <w:b w:val="1"/>
                <w:bCs w:val="1"/>
                <w:color w:val="auto"/>
                <w:w w:val="93"/>
              </w:rPr>
              <w:t>share data)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(14,916)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(18,388)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(29,218)</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(37,785)</w:t>
            </w:r>
          </w:p>
        </w:tc>
        <w:tc>
          <w:tcPr>
            <w:tcW w:w="0" w:type="dxa"/>
            <w:vAlign w:val="bottom"/>
          </w:tcPr>
          <w:p>
            <w:pPr>
              <w:spacing w:after="0"/>
              <w:rPr>
                <w:sz w:val="1"/>
                <w:szCs w:val="1"/>
                <w:color w:val="auto"/>
              </w:rPr>
            </w:pPr>
          </w:p>
        </w:tc>
      </w:tr>
      <w:tr>
        <w:trPr>
          <w:trHeight w:val="209"/>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w:t>
            </w:r>
          </w:p>
        </w:tc>
        <w:tc>
          <w:tcPr>
            <w:tcW w:w="5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(14,916)</w:t>
            </w: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(18,388)</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(29,218)</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(37,785)</w:t>
            </w: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5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rPr>
              <w:t>stockholders—basic and diluted</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(0.74)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Denominator—basic and diluted:</w:t>
            </w:r>
          </w:p>
        </w:tc>
        <w:tc>
          <w:tcPr>
            <w:tcW w:w="5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Weighted-average number of common shares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used to compute net loss per share attributable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to common stockholders—basic and diluted</w:t>
            </w: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31,605,279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24,705,441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29,327,029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24,592,483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8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5,770,616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4,232,590</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4,595,039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15,804</w:t>
            </w:r>
          </w:p>
        </w:tc>
        <w:tc>
          <w:tcPr>
            <w:tcW w:w="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June 2018, the Company signed an exchange agreement with an investor under which the investor exchanged 2,000,000 shares of common stock for 2,000,000 warrant shares. The warrants are exercisable into shares of common stock for $0.0001 per share. The shares of common stock into which the warrants may be exercised are considered outstanding for the purposes of computing earnings per share.</w:t>
      </w:r>
    </w:p>
    <w:p>
      <w:pPr>
        <w:spacing w:after="0" w:line="18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In March 2019, the Company sold 2,095,039 shares of common stock as well as 2,500,000 pre-funded warrant shares (see Note 13). The warrants are exercisable into shares of common stock for $0.0001 per share. The shares of common stock into which the warrants may be exercised are considered outstanding for the purposes of computing earnings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In October 2017, the Company entered into a license agreement (the “Allergan License Agreement”) with Vitae Pharmaceuticals, Inc., a subsidiary of Allergan plc (“Allergan”), under which Allergan granted the Company an exclusive, sublicensable, worldwide license to a portfolio of preclinical, orally available, small molecule inhibitors of the interaction of Menin with the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20"/>
        <w:spacing w:after="0" w:line="272" w:lineRule="auto"/>
        <w:rPr>
          <w:sz w:val="20"/>
          <w:szCs w:val="20"/>
          <w:color w:val="auto"/>
        </w:rPr>
      </w:pPr>
      <w:r>
        <w:rPr>
          <w:rFonts w:ascii="Arial" w:cs="Arial" w:eastAsia="Arial" w:hAnsi="Arial"/>
          <w:sz w:val="17"/>
          <w:szCs w:val="17"/>
          <w:color w:val="auto"/>
        </w:rPr>
        <w:t>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As a result, in June 2019, the Company recorded $4.0 million as research and development expense and has recorded the amount payable in accrued milestone expenses as of June 30, 2019.</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In 2016, the Company entered into a license agreement (the “UCB License Agreement”) with UCB Biopharma Sprl (“UCB”), under which UCB granted to the Company a worldwide, sublicenseable, exclusive license to UCB6352, which the Company refers to as SNDX-6352, an investigational new drug (“IND”) ready anti-CSF-1R monoclonal antibody. The Company made a nonrefundable upfront payment of $5.0 million to UCB in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SNDX-6352, except 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240" w:firstLine="518"/>
        <w:spacing w:after="0" w:line="287" w:lineRule="auto"/>
        <w:rPr>
          <w:sz w:val="20"/>
          <w:szCs w:val="20"/>
          <w:color w:val="auto"/>
        </w:rPr>
      </w:pPr>
      <w:r>
        <w:rPr>
          <w:rFonts w:ascii="Arial" w:cs="Arial" w:eastAsia="Arial" w:hAnsi="Arial"/>
          <w:sz w:val="16"/>
          <w:szCs w:val="16"/>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second quarter of 2016, the ECOG Agreement was amended to provide additional study activities and the contractual obligation increased by $0.8 million. During the first quarter of 2017, the ECOG Agreement was amended to expand the study to include enrollments from sites in Korea and to provide additional study activities and the contractual obligation increased by $2.0 million. As of June 30, 2019, the Company’s aggregate payment obligations under this agreement were approximately $24.5 million and its remaining payment obligations are approximately $8.3 million over an estimated period of approximately three years.</w:t>
      </w:r>
    </w:p>
    <w:p>
      <w:pPr>
        <w:spacing w:after="0" w:line="17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determines accrual estimates through financial models, taking into account discussion with applicable personnel and ECOG-ACRIN as to the progress or state of consummation of the clinical trial or the services completed.</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was exercised or the closing of the IPO. The warrant contained anti-dilution protection to maintain Bayer’s potential ownership at 1.75% of the shares of common stock outstanding on a fully diluted basis, requiring that the actual number of shares of common stock issuable pursuant to the warrant be increased or decreased for any changes in the fully diluted shares of common stock outstanding. The warrant was exercisable at an exercise price of $1.54 per share and would have expired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 On March 1, 2018, Bayer notified the Company of its election to exercise the warrant utilizing the net exercise feature contained therein, resulting in the Company’s issuance to Bayer of 299,215 shares of the Company’s common stock for no net cash proceeds.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29" w:lineRule="exact"/>
        <w:rPr>
          <w:sz w:val="20"/>
          <w:szCs w:val="20"/>
          <w:color w:val="auto"/>
        </w:rPr>
      </w:pPr>
    </w:p>
    <w:p>
      <w:pPr>
        <w:ind w:left="1220" w:right="20" w:hanging="688"/>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Measurements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7"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Prices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(unadjusted)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5"/>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June 30, 2019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2680" w:type="dxa"/>
            <w:vAlign w:val="bottom"/>
            <w:tcBorders>
              <w:top w:val="single" w:sz="8" w:color="CFF0FC"/>
            </w:tcBorders>
            <w:gridSpan w:val="2"/>
          </w:tcPr>
          <w:p>
            <w:pPr>
              <w:spacing w:after="0"/>
              <w:rPr>
                <w:sz w:val="19"/>
                <w:szCs w:val="19"/>
                <w:color w:val="auto"/>
              </w:rPr>
            </w:pPr>
          </w:p>
        </w:tc>
        <w:tc>
          <w:tcPr>
            <w:tcW w:w="16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Short-term investments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20" w:type="dxa"/>
            <w:vAlign w:val="bottom"/>
            <w:gridSpan w:val="4"/>
            <w:vMerge w:val="continue"/>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4,499</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Short-term investments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gridSpan w:val="3"/>
          </w:tcPr>
          <w:p>
            <w:pPr>
              <w:ind w:left="480"/>
              <w:spacing w:after="0"/>
              <w:rPr>
                <w:sz w:val="20"/>
                <w:szCs w:val="20"/>
                <w:color w:val="auto"/>
              </w:rPr>
            </w:pPr>
            <w:r>
              <w:rPr>
                <w:rFonts w:ascii="Arial" w:cs="Arial" w:eastAsia="Arial" w:hAnsi="Arial"/>
                <w:sz w:val="18"/>
                <w:szCs w:val="18"/>
                <w:color w:val="auto"/>
              </w:rPr>
              <w:t>Total assets</w:t>
            </w: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80,911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Cash of $26.7 million and $29.3 million as of June 30, 2019 and December 31, 2018, respectively, consisted of overnight investments and money market funds and are classified within Level 1 of the fair value hierarchy because they are valued using quoted market prices in active markets. Cash equivalents of $4.5 million as of December 31, 2018,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 Short-term investments of $53.9 million and $47.1 million as of June 30, 2019 and December 31, 2018, respectively, consisted of commercial paper, highly rated corporate bonds and asset backed securities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66"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short-term investments are classified as available-for-sale securities. As of June 30, 2019,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three months ended June 30, 2019 and 2018. As a result, the Company did not reclassify any amounts out of accumulated other comprehensive income for the same periods. The Company has a limited number of available-for-sale securities in insignificant loss positions as of June 30, 2019, which the Company does not intend to sell and has concluded it will not be required to sell before recovery of the amortized cost for the investment at maturity. The following table summarizes the available-for-sale securities: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Unrealized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75"/>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jc w:val="right"/>
              <w:ind w:right="840"/>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40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June 30, 2019</w:t>
            </w:r>
          </w:p>
        </w:tc>
        <w:tc>
          <w:tcPr>
            <w:tcW w:w="1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31,257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tcPr>
          <w:p>
            <w:pPr>
              <w:ind w:left="240"/>
              <w:spacing w:after="0"/>
              <w:rPr>
                <w:sz w:val="20"/>
                <w:szCs w:val="20"/>
                <w:color w:val="auto"/>
              </w:rPr>
            </w:pPr>
            <w:r>
              <w:rPr>
                <w:rFonts w:ascii="Arial" w:cs="Arial" w:eastAsia="Arial" w:hAnsi="Arial"/>
                <w:sz w:val="18"/>
                <w:szCs w:val="18"/>
                <w:color w:val="auto"/>
              </w:rPr>
              <w:t>Asset back securities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December 31, 2018</w:t>
            </w: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80" w:type="dxa"/>
            <w:vAlign w:val="bottom"/>
            <w:gridSpan w:val="4"/>
            <w:vMerge w:val="continue"/>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20" w:type="dxa"/>
            <w:vAlign w:val="bottom"/>
            <w:tcBorders>
              <w:top w:val="single" w:sz="8" w:color="auto"/>
            </w:tcBorders>
            <w:gridSpan w:val="5"/>
          </w:tcPr>
          <w:p>
            <w:pPr>
              <w:jc w:val="right"/>
              <w:ind w:right="1092"/>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Prepaid clinical supplies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Reimbursable costs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5,154</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20" w:type="dxa"/>
            <w:vAlign w:val="bottom"/>
            <w:tcBorders>
              <w:top w:val="single" w:sz="8" w:color="auto"/>
            </w:tcBorders>
            <w:gridSpan w:val="5"/>
          </w:tcPr>
          <w:p>
            <w:pPr>
              <w:jc w:val="right"/>
              <w:ind w:right="1092"/>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Accrued milestones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ind w:left="1720"/>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13,168</w:t>
            </w:r>
          </w:p>
        </w:tc>
        <w:tc>
          <w:tcPr>
            <w:tcW w:w="2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In January 2019, the number of shares of common stock available for issuance under the 2015 Omnibus Incentive Plan (“2015 Plan”), was increased by 993,438 shares due to the automatic annual provision to increase shares available under the 2015 Plan. As of June 30, 2019, the total number of shares of common stock available for issuance under the 2015 Plan was 876,639.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ectPr>
          <w:pgSz w:w="11900" w:h="16838" w:orient="portrait"/>
          <w:cols w:equalWidth="0" w:num="1">
            <w:col w:w="11440"/>
          </w:cols>
          <w:pgMar w:left="240" w:top="445" w:right="219" w:bottom="1440" w:gutter="0" w:footer="0" w:header="0"/>
        </w:sectPr>
      </w:pPr>
    </w:p>
    <w:p>
      <w:pPr>
        <w:spacing w:after="0" w:line="72"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5320" w:type="dxa"/>
        <w:tblCellMar>
          <w:top w:w="0" w:type="dxa"/>
          <w:left w:w="0" w:type="dxa"/>
          <w:bottom w:w="0" w:type="dxa"/>
          <w:right w:w="0" w:type="dxa"/>
        </w:tblCellMar>
      </w:tblPr>
      <w:tr>
        <w:trPr>
          <w:trHeight w:val="156"/>
        </w:trPr>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19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880" w:type="dxa"/>
            <w:vAlign w:val="bottom"/>
          </w:tcPr>
          <w:p>
            <w:pPr>
              <w:spacing w:after="0"/>
              <w:rPr>
                <w:sz w:val="13"/>
                <w:szCs w:val="13"/>
                <w:color w:val="auto"/>
              </w:rPr>
            </w:pPr>
          </w:p>
        </w:tc>
        <w:tc>
          <w:tcPr>
            <w:tcW w:w="1960" w:type="dxa"/>
            <w:vAlign w:val="bottom"/>
          </w:tcPr>
          <w:p>
            <w:pPr>
              <w:jc w:val="right"/>
              <w:ind w:right="908"/>
              <w:spacing w:after="0" w:line="155" w:lineRule="exact"/>
              <w:rPr>
                <w:sz w:val="20"/>
                <w:szCs w:val="20"/>
                <w:color w:val="auto"/>
              </w:rPr>
            </w:pPr>
            <w:r>
              <w:rPr>
                <w:rFonts w:ascii="Arial" w:cs="Arial" w:eastAsia="Arial" w:hAnsi="Arial"/>
                <w:sz w:val="14"/>
                <w:szCs w:val="14"/>
                <w:b w:val="1"/>
                <w:bCs w:val="1"/>
                <w:color w:val="auto"/>
                <w:w w:val="99"/>
              </w:rPr>
              <w:t>(In thousands)</w:t>
            </w:r>
          </w:p>
        </w:tc>
      </w:tr>
    </w:tbl>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68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700" w:type="dxa"/>
            <w:vAlign w:val="bottom"/>
          </w:tcPr>
          <w:p>
            <w:pPr>
              <w:spacing w:after="0"/>
              <w:rPr>
                <w:sz w:val="13"/>
                <w:szCs w:val="13"/>
                <w:color w:val="auto"/>
              </w:rPr>
            </w:pPr>
          </w:p>
        </w:tc>
        <w:tc>
          <w:tcPr>
            <w:tcW w:w="1680" w:type="dxa"/>
            <w:vAlign w:val="bottom"/>
          </w:tcPr>
          <w:p>
            <w:pPr>
              <w:jc w:val="right"/>
              <w:ind w:right="688"/>
              <w:spacing w:after="0" w:line="155" w:lineRule="exact"/>
              <w:rPr>
                <w:sz w:val="20"/>
                <w:szCs w:val="20"/>
                <w:color w:val="auto"/>
              </w:rPr>
            </w:pPr>
            <w:r>
              <w:rPr>
                <w:rFonts w:ascii="Arial" w:cs="Arial" w:eastAsia="Arial" w:hAnsi="Arial"/>
                <w:sz w:val="14"/>
                <w:szCs w:val="14"/>
                <w:b w:val="1"/>
                <w:bCs w:val="1"/>
                <w:color w:val="auto"/>
                <w:w w:val="93"/>
              </w:rPr>
              <w:t>(In thousands)</w:t>
            </w:r>
          </w:p>
        </w:tc>
      </w:tr>
    </w:tbl>
    <w:p>
      <w:pPr>
        <w:spacing w:after="0" w:line="20" w:lineRule="exact"/>
        <w:rPr>
          <w:sz w:val="20"/>
          <w:szCs w:val="20"/>
          <w:color w:val="auto"/>
        </w:rPr>
      </w:pPr>
    </w:p>
    <w:p>
      <w:pPr>
        <w:sectPr>
          <w:pgSz w:w="11900" w:h="16838" w:orient="portrait"/>
          <w:cols w:equalWidth="0" w:num="2">
            <w:col w:w="8160" w:space="220"/>
            <w:col w:w="3060"/>
          </w:cols>
          <w:pgMar w:left="240" w:top="445" w:right="21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72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5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w:t>
            </w:r>
          </w:p>
        </w:tc>
        <w:tc>
          <w:tcPr>
            <w:tcW w:w="6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FF0FC"/>
          </w:tcPr>
          <w:p>
            <w:pPr>
              <w:spacing w:after="0"/>
              <w:rPr>
                <w:sz w:val="18"/>
                <w:szCs w:val="18"/>
                <w:color w:val="auto"/>
              </w:rPr>
            </w:pPr>
          </w:p>
        </w:tc>
      </w:tr>
      <w:tr>
        <w:trPr>
          <w:trHeight w:val="230"/>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FF0FC"/>
            </w:tcBorders>
          </w:tcPr>
          <w:p>
            <w:pPr>
              <w:spacing w:after="0"/>
              <w:rPr>
                <w:sz w:val="19"/>
                <w:szCs w:val="19"/>
                <w:color w:val="auto"/>
              </w:rPr>
            </w:pPr>
          </w:p>
        </w:tc>
      </w:tr>
      <w:tr>
        <w:trPr>
          <w:trHeight w:val="223"/>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and six months ended June 30, 2019 and 2018 was as follows:</w:t>
      </w:r>
    </w:p>
    <w:p>
      <w:pPr>
        <w:sectPr>
          <w:pgSz w:w="11900" w:h="16838" w:orient="portrait"/>
          <w:cols w:equalWidth="0" w:num="1">
            <w:col w:w="11440"/>
          </w:cols>
          <w:pgMar w:left="240" w:top="445" w:right="219" w:bottom="1440" w:gutter="0" w:footer="0" w:header="0"/>
          <w:type w:val="continuous"/>
        </w:sectPr>
      </w:pPr>
    </w:p>
    <w:p>
      <w:pPr>
        <w:spacing w:after="0" w:line="217"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5320" w:type="dxa"/>
        <w:tblCellMar>
          <w:top w:w="0" w:type="dxa"/>
          <w:left w:w="0" w:type="dxa"/>
          <w:bottom w:w="0" w:type="dxa"/>
          <w:right w:w="0" w:type="dxa"/>
        </w:tblCellMar>
      </w:tblPr>
      <w:tr>
        <w:trPr>
          <w:trHeight w:val="156"/>
        </w:trPr>
        <w:tc>
          <w:tcPr>
            <w:tcW w:w="8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196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880" w:type="dxa"/>
            <w:vAlign w:val="bottom"/>
          </w:tcPr>
          <w:p>
            <w:pPr>
              <w:spacing w:after="0"/>
              <w:rPr>
                <w:sz w:val="13"/>
                <w:szCs w:val="13"/>
                <w:color w:val="auto"/>
              </w:rPr>
            </w:pPr>
          </w:p>
        </w:tc>
        <w:tc>
          <w:tcPr>
            <w:tcW w:w="1960" w:type="dxa"/>
            <w:vAlign w:val="bottom"/>
          </w:tcPr>
          <w:p>
            <w:pPr>
              <w:jc w:val="right"/>
              <w:ind w:right="908"/>
              <w:spacing w:after="0" w:line="155" w:lineRule="exact"/>
              <w:rPr>
                <w:sz w:val="20"/>
                <w:szCs w:val="20"/>
                <w:color w:val="auto"/>
              </w:rPr>
            </w:pPr>
            <w:r>
              <w:rPr>
                <w:rFonts w:ascii="Arial" w:cs="Arial" w:eastAsia="Arial" w:hAnsi="Arial"/>
                <w:sz w:val="14"/>
                <w:szCs w:val="14"/>
                <w:b w:val="1"/>
                <w:bCs w:val="1"/>
                <w:color w:val="auto"/>
                <w:w w:val="99"/>
              </w:rPr>
              <w:t>(In thousands)</w:t>
            </w: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68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700" w:type="dxa"/>
            <w:vAlign w:val="bottom"/>
          </w:tcPr>
          <w:p>
            <w:pPr>
              <w:spacing w:after="0"/>
              <w:rPr>
                <w:sz w:val="13"/>
                <w:szCs w:val="13"/>
                <w:color w:val="auto"/>
              </w:rPr>
            </w:pPr>
          </w:p>
        </w:tc>
        <w:tc>
          <w:tcPr>
            <w:tcW w:w="1680" w:type="dxa"/>
            <w:vAlign w:val="bottom"/>
          </w:tcPr>
          <w:p>
            <w:pPr>
              <w:jc w:val="right"/>
              <w:ind w:right="688"/>
              <w:spacing w:after="0" w:line="155" w:lineRule="exact"/>
              <w:rPr>
                <w:sz w:val="20"/>
                <w:szCs w:val="20"/>
                <w:color w:val="auto"/>
              </w:rPr>
            </w:pPr>
            <w:r>
              <w:rPr>
                <w:rFonts w:ascii="Arial" w:cs="Arial" w:eastAsia="Arial" w:hAnsi="Arial"/>
                <w:sz w:val="14"/>
                <w:szCs w:val="14"/>
                <w:b w:val="1"/>
                <w:bCs w:val="1"/>
                <w:color w:val="auto"/>
                <w:w w:val="93"/>
              </w:rPr>
              <w:t>(In thousands)</w:t>
            </w:r>
          </w:p>
        </w:tc>
      </w:tr>
    </w:tbl>
    <w:p>
      <w:pPr>
        <w:spacing w:after="0" w:line="20" w:lineRule="exact"/>
        <w:rPr>
          <w:sz w:val="20"/>
          <w:szCs w:val="20"/>
          <w:color w:val="auto"/>
        </w:rPr>
      </w:pPr>
    </w:p>
    <w:p>
      <w:pPr>
        <w:sectPr>
          <w:pgSz w:w="11900" w:h="16838" w:orient="portrait"/>
          <w:cols w:equalWidth="0" w:num="2">
            <w:col w:w="8160" w:space="220"/>
            <w:col w:w="3060"/>
          </w:cols>
          <w:pgMar w:left="240" w:top="445"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72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5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w:t>
            </w:r>
          </w:p>
        </w:tc>
        <w:tc>
          <w:tcPr>
            <w:tcW w:w="6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type w:val="continuous"/>
        </w:sectPr>
      </w:pPr>
    </w:p>
    <w:bookmarkStart w:id="14" w:name="page15"/>
    <w:bookmarkEnd w:id="14"/>
    <w:p>
      <w:pPr>
        <w:ind w:right="20" w:firstLine="518"/>
        <w:spacing w:after="0" w:line="286" w:lineRule="auto"/>
        <w:rPr>
          <w:sz w:val="20"/>
          <w:szCs w:val="20"/>
          <w:color w:val="auto"/>
        </w:rPr>
      </w:pPr>
      <w:r>
        <w:rPr>
          <w:rFonts w:ascii="Arial" w:cs="Arial" w:eastAsia="Arial" w:hAnsi="Arial"/>
          <w:sz w:val="17"/>
          <w:szCs w:val="17"/>
          <w:color w:val="auto"/>
        </w:rPr>
        <w:t>During the six months ended June 30, 2019, the Company granted 1,022,825 stock options to certain executives and employees having service-based vesting conditions. The grant date fair value of the options granted in the six months ended June 30, 2019, was $4.6 million, or $4.47 per share on a weighted-average basis, and will be recognized as compensation expense over the requisite service period of one to four years.</w:t>
      </w:r>
    </w:p>
    <w:p>
      <w:pPr>
        <w:spacing w:after="0" w:line="166"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During the six months ended June 30, 2019, the Company granted 583,000 stock options to certain employees to purchase shares of common stock that contain certain performance-based vesting criteria,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4"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The achievement of one of the performance milestones was considered to be probable and the Company recorded approximately $80,000 of stock compensation expense associated with these awards for the six months ended June 30, 2019. For the remaining awards containing performance-based vesting criteria, the achievement of the milestones were considered not probable, nor met, and therefore no expense has been recognized related to these awards for the six months ended June 30, 2019.</w:t>
      </w:r>
    </w:p>
    <w:p>
      <w:pPr>
        <w:spacing w:after="0" w:line="2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There were 22,167 options exercised during the three and six months ended June 30, 2019, resulting in total proceeds of $151,000 and 7,850 options were exercised during the three and six months ended June 30, 2018, resulting in total proceeds of $26,000. The intrinsic value of the options exercised during the six months ended June 30, 2019 and 2018 was $7,000 and $91,000, respectively. In accordance with the Company’s policy, the shares were issued from a pool of shares reserved for issuance under the 2007 and 2015 Plans.</w:t>
      </w:r>
    </w:p>
    <w:p>
      <w:pPr>
        <w:spacing w:after="0" w:line="187" w:lineRule="exact"/>
        <w:rPr>
          <w:sz w:val="20"/>
          <w:szCs w:val="20"/>
          <w:color w:val="auto"/>
        </w:rPr>
      </w:pPr>
    </w:p>
    <w:p>
      <w:pPr>
        <w:ind w:right="540" w:firstLine="518"/>
        <w:spacing w:after="0" w:line="279" w:lineRule="auto"/>
        <w:rPr>
          <w:sz w:val="20"/>
          <w:szCs w:val="20"/>
          <w:color w:val="auto"/>
        </w:rPr>
      </w:pPr>
      <w:r>
        <w:rPr>
          <w:rFonts w:ascii="Arial" w:cs="Arial" w:eastAsia="Arial" w:hAnsi="Arial"/>
          <w:sz w:val="18"/>
          <w:szCs w:val="18"/>
          <w:color w:val="auto"/>
        </w:rPr>
        <w:t>As of June 30, 2019, there was $11.2 million of unrecognized compensation cost related to employee and non-employee unvested stock options granted under the 2015 and 2007 Plans, which is expected to be recognized over a weighted-average remaining service period of 2.4 years. Stock compensation costs have not been capitalized by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Stock Purchase Plan</w:t>
      </w:r>
    </w:p>
    <w:p>
      <w:pPr>
        <w:spacing w:after="0" w:line="12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In January 2019, the number of shares of common stock available for issuance under the ESPP, was increased by 248,359 shares as a result of the automatic increase provision of the ESPP. As of June 30, 2019, the total number of shares of common stock available for issuance under the ESPP was 875,842. The Company issued 23,970 shares during the six months end June 30, 2019.</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starting on February 1 and on August 1. The compensation expense related to the ESPP for the three and six months ended June 30, 2019, was approximately $30,000 and $63,000, respectively. The compensation expense related to the ESPP recorded in the three and six months ended June 30, 2018, was approximately $30,000 and $58,000,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13.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six months ended June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20" w:type="dxa"/>
            <w:vAlign w:val="bottom"/>
            <w:gridSpan w:val="3"/>
            <w:vMerge w:val="restart"/>
          </w:tcPr>
          <w:p>
            <w:pPr>
              <w:jc w:val="center"/>
              <w:ind w:left="133"/>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20" w:type="dxa"/>
            <w:vAlign w:val="bottom"/>
            <w:gridSpan w:val="3"/>
          </w:tcPr>
          <w:p>
            <w:pPr>
              <w:jc w:val="center"/>
              <w:ind w:left="133"/>
              <w:spacing w:after="0" w:line="149" w:lineRule="exact"/>
              <w:rPr>
                <w:sz w:val="20"/>
                <w:szCs w:val="20"/>
                <w:color w:val="auto"/>
              </w:rPr>
            </w:pPr>
            <w:r>
              <w:rPr>
                <w:rFonts w:ascii="Arial" w:cs="Arial" w:eastAsia="Arial" w:hAnsi="Arial"/>
                <w:sz w:val="14"/>
                <w:szCs w:val="14"/>
                <w:b w:val="1"/>
                <w:bCs w:val="1"/>
                <w:color w:val="auto"/>
                <w:w w:val="90"/>
              </w:rPr>
              <w:t>$0.0001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1920" w:type="dxa"/>
            <w:vAlign w:val="bottom"/>
            <w:gridSpan w:val="3"/>
          </w:tcPr>
          <w:p>
            <w:pPr>
              <w:jc w:val="center"/>
              <w:ind w:left="113"/>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1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78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2019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24,835,951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492,493</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(439,423)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23,970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'at-the-market' offering, net of</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$34 offering 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140,819</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direct offering, net of $1,571 in</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warrants, $78 offering</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expenses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2,095,039</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10,921</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10,922</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Proceeds from pre-funded common stock</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8"/>
                <w:szCs w:val="18"/>
                <w:color w:val="auto"/>
              </w:rPr>
              <w:t>warrant from direct offering, net of $1,875</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40"/>
              <w:spacing w:after="0"/>
              <w:rPr>
                <w:sz w:val="20"/>
                <w:szCs w:val="20"/>
                <w:color w:val="auto"/>
              </w:rPr>
            </w:pPr>
            <w:r>
              <w:rPr>
                <w:rFonts w:ascii="Arial" w:cs="Arial" w:eastAsia="Arial" w:hAnsi="Arial"/>
                <w:sz w:val="18"/>
                <w:szCs w:val="18"/>
                <w:color w:val="auto"/>
              </w:rPr>
              <w:t>in common stock warrants, $93 offering</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13,032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warrant with direct</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offering</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(14,302)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27,095,779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522,340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(453,725</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Offering expenses associated with direct offering</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jc w:val="right"/>
              <w:spacing w:after="0"/>
              <w:rPr>
                <w:sz w:val="20"/>
                <w:szCs w:val="20"/>
                <w:color w:val="auto"/>
              </w:rPr>
            </w:pPr>
            <w:r>
              <w:rPr>
                <w:rFonts w:ascii="Arial" w:cs="Arial" w:eastAsia="Arial" w:hAnsi="Arial"/>
                <w:sz w:val="18"/>
                <w:szCs w:val="18"/>
                <w:color w:val="auto"/>
              </w:rPr>
              <w:t>22,167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(14,916)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Balance as of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27,117,946</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523,855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(468,641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gridSpan w:val="2"/>
          </w:tcPr>
          <w:p>
            <w:pPr>
              <w:jc w:val="right"/>
              <w:ind w:right="426"/>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The following table represents the changes in stockholders’ equity for the three and six months ended June 30,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920" w:type="dxa"/>
            <w:vAlign w:val="bottom"/>
            <w:gridSpan w:val="4"/>
            <w:vMerge w:val="restart"/>
          </w:tcPr>
          <w:p>
            <w:pPr>
              <w:jc w:val="center"/>
              <w:ind w:left="133"/>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20" w:type="dxa"/>
            <w:vAlign w:val="bottom"/>
            <w:gridSpan w:val="4"/>
          </w:tcPr>
          <w:p>
            <w:pPr>
              <w:jc w:val="center"/>
              <w:ind w:left="133"/>
              <w:spacing w:after="0" w:line="149" w:lineRule="exact"/>
              <w:rPr>
                <w:sz w:val="20"/>
                <w:szCs w:val="20"/>
                <w:color w:val="auto"/>
              </w:rPr>
            </w:pPr>
            <w:r>
              <w:rPr>
                <w:rFonts w:ascii="Arial" w:cs="Arial" w:eastAsia="Arial" w:hAnsi="Arial"/>
                <w:sz w:val="14"/>
                <w:szCs w:val="14"/>
                <w:b w:val="1"/>
                <w:bCs w:val="1"/>
                <w:color w:val="auto"/>
                <w:w w:val="90"/>
              </w:rPr>
              <w:t>$0.0001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80" w:type="dxa"/>
            <w:vAlign w:val="bottom"/>
            <w:vMerge w:val="continue"/>
          </w:tcPr>
          <w:p>
            <w:pPr>
              <w:spacing w:after="0"/>
              <w:rPr>
                <w:sz w:val="14"/>
                <w:szCs w:val="14"/>
                <w:color w:val="auto"/>
              </w:rPr>
            </w:pPr>
          </w:p>
        </w:tc>
        <w:tc>
          <w:tcPr>
            <w:tcW w:w="1920" w:type="dxa"/>
            <w:vAlign w:val="bottom"/>
            <w:gridSpan w:val="4"/>
          </w:tcPr>
          <w:p>
            <w:pPr>
              <w:jc w:val="center"/>
              <w:ind w:left="113"/>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1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10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January 1, 2018</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24,390,033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470,571</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CFF0FC"/>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(366,111)</w:t>
            </w:r>
          </w:p>
        </w:tc>
        <w:tc>
          <w:tcPr>
            <w:tcW w:w="2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104,319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40" w:type="dxa"/>
            <w:vAlign w:val="bottom"/>
          </w:tcPr>
          <w:p>
            <w:pPr>
              <w:jc w:val="right"/>
              <w:spacing w:after="0"/>
              <w:rPr>
                <w:sz w:val="20"/>
                <w:szCs w:val="20"/>
                <w:color w:val="auto"/>
              </w:rPr>
            </w:pPr>
            <w:r>
              <w:rPr>
                <w:rFonts w:ascii="Arial" w:cs="Arial" w:eastAsia="Arial" w:hAnsi="Arial"/>
                <w:sz w:val="18"/>
                <w:szCs w:val="18"/>
                <w:color w:val="auto"/>
              </w:rPr>
              <w:t>8,696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Stock issuance due to warrant exercise, cashless</w:t>
            </w:r>
          </w:p>
        </w:tc>
        <w:tc>
          <w:tcPr>
            <w:tcW w:w="940" w:type="dxa"/>
            <w:vAlign w:val="bottom"/>
          </w:tcPr>
          <w:p>
            <w:pPr>
              <w:jc w:val="right"/>
              <w:spacing w:after="0"/>
              <w:rPr>
                <w:sz w:val="20"/>
                <w:szCs w:val="20"/>
                <w:color w:val="auto"/>
              </w:rPr>
            </w:pPr>
            <w:r>
              <w:rPr>
                <w:rFonts w:ascii="Arial" w:cs="Arial" w:eastAsia="Arial" w:hAnsi="Arial"/>
                <w:sz w:val="18"/>
                <w:szCs w:val="18"/>
                <w:color w:val="auto"/>
              </w:rPr>
              <w:t>299,215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adjustment of adoption ASU</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2014-09</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(19,398)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(19,398)</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24,697,944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472,026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(384,860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Retirement of common stock in exchange for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40"/>
              <w:spacing w:after="0"/>
              <w:rPr>
                <w:sz w:val="20"/>
                <w:szCs w:val="20"/>
                <w:color w:val="auto"/>
              </w:rPr>
            </w:pPr>
            <w:r>
              <w:rPr>
                <w:rFonts w:ascii="Arial" w:cs="Arial" w:eastAsia="Arial" w:hAnsi="Arial"/>
                <w:sz w:val="18"/>
                <w:szCs w:val="18"/>
                <w:color w:val="auto"/>
              </w:rPr>
              <w:t xml:space="preserve">common stock warrant </w:t>
            </w:r>
            <w:r>
              <w:rPr>
                <w:rFonts w:ascii="Arial" w:cs="Arial" w:eastAsia="Arial" w:hAnsi="Arial"/>
                <w:sz w:val="15"/>
                <w:szCs w:val="15"/>
                <w:color w:val="auto"/>
              </w:rPr>
              <w:t>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warrant in exchange</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for retirement of common stock </w:t>
            </w:r>
            <w:r>
              <w:rPr>
                <w:rFonts w:ascii="Arial" w:cs="Arial" w:eastAsia="Arial" w:hAnsi="Arial"/>
                <w:sz w:val="15"/>
                <w:szCs w:val="15"/>
                <w:color w:val="auto"/>
              </w:rPr>
              <w:t>1</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(18,388)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(18,388)</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2018</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22,705,794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(403,247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0" w:hanging="132"/>
        <w:spacing w:after="0" w:line="188" w:lineRule="auto"/>
        <w:tabs>
          <w:tab w:leader="none" w:pos="140" w:val="left"/>
        </w:tabs>
        <w:numPr>
          <w:ilvl w:val="0"/>
          <w:numId w:val="6"/>
        </w:numPr>
        <w:rPr>
          <w:rFonts w:ascii="Arial" w:cs="Arial" w:eastAsia="Arial" w:hAnsi="Arial"/>
          <w:sz w:val="33"/>
          <w:szCs w:val="33"/>
          <w:color w:val="auto"/>
          <w:vertAlign w:val="subscript"/>
        </w:rPr>
      </w:pPr>
      <w:r>
        <w:rPr>
          <w:rFonts w:ascii="Arial" w:cs="Arial" w:eastAsia="Arial" w:hAnsi="Arial"/>
          <w:sz w:val="13"/>
          <w:szCs w:val="13"/>
          <w:color w:val="auto"/>
        </w:rPr>
        <w:t>On June 18, 2018, the Company signed an exchange agreement with Biotechnology Value Fund and certain affiliated funds (“BVF”) under which BVF exchanged 2,000,000 shares of common</w:t>
      </w:r>
    </w:p>
    <w:p>
      <w:pPr>
        <w:spacing w:after="0" w:line="47" w:lineRule="exact"/>
        <w:rPr>
          <w:sz w:val="20"/>
          <w:szCs w:val="20"/>
          <w:color w:val="auto"/>
        </w:rPr>
      </w:pPr>
    </w:p>
    <w:p>
      <w:pPr>
        <w:ind w:right="260"/>
        <w:spacing w:after="0" w:line="255" w:lineRule="auto"/>
        <w:rPr>
          <w:sz w:val="20"/>
          <w:szCs w:val="20"/>
          <w:color w:val="auto"/>
        </w:rPr>
      </w:pPr>
      <w:r>
        <w:rPr>
          <w:rFonts w:ascii="Arial" w:cs="Arial" w:eastAsia="Arial" w:hAnsi="Arial"/>
          <w:sz w:val="13"/>
          <w:szCs w:val="13"/>
          <w:color w:val="auto"/>
        </w:rPr>
        <w:t>stock for 2,000,000 warrant shares. The Company recorded the issuance of the warrant shares and the retirement of the common stock at fair value within additional paid-in capital. BVF can exercise the warrant shares at an exercise price per share equal to $0.0001 per share and the warrant shares expire 20 years from issuance. Per the terms of the warrant agreement, the outstanding warrants to purchase shares of common stock may not be exercised if the holder's ownership of the Company's common stock would exceed 9.99 percent following such exercise.</w:t>
      </w:r>
    </w:p>
    <w:p>
      <w:pPr>
        <w:spacing w:after="0" w:line="178"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April 2017, the Company entered into a sales agreement with Cowen and Company, LLC (“Cowen”) under which the Company may issue and sell shares of our common stock having aggregate sales proceeds of up to $50.0 million from time to time through Cowen, acting as agent, in a series of one or more at-the-market (“ATM”) equity offerings. Cowen is not required to sell any specific amount, but acts as our sales agent using commercially reasonable efforts consistent with its normal trading and sales practices. The Company pays Cowen up to 3% of the gross proceeds from any common stock sold through this sales agreement. In the first quarter of 2019, the Company sold 140,819 shares of common stock under the ATM program for net proceeds of $0.8 million. In the second and third quarter of 2019, through August 6, 2019, the Company sold no additional shares of common stock under the ATM program.</w:t>
      </w:r>
    </w:p>
    <w:p>
      <w:pPr>
        <w:spacing w:after="0" w:line="16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March 2019, the Company issued 2,095,039 shares of its common stock and pre-funded warrants to purchase 2,500,000 shares of common stock (the “Pre-Funded Warrants”) to certain investors in a registered direct offering. The Pre-Funded Warrants are exercisable immediately upon issuance at an exercise price of $0.0001 per share and have a term of 20 years. The Company sold the shares of common stock and Pre-Funded Warrants together with two series of warrants, Series 1 Warrants and Series 2 Warrants, to purchase an aggregate of 4,595,039 shares of the Company’s common stock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178"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The Series Warrants are immediately exercisable. Each Series 1 Warrant has an initial exercise price of $12.00 per share of common stock and each Series 2 Warrant has an initial exercise price of $18.00 per share of common stock, in each case subject to certain adjustments. The Series Warrants expire on the earlier of (i) 90 days following the Company’s confirmation to holders of the Company’s release of positive data confirming the achievement of the specified primary endpoint of overall survival benefit in the E2112 clinical trial in breast cancer patients, or (ii)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40" w:firstLine="518"/>
        <w:spacing w:after="0" w:line="270" w:lineRule="auto"/>
        <w:rPr>
          <w:sz w:val="20"/>
          <w:szCs w:val="20"/>
          <w:color w:val="auto"/>
        </w:rPr>
      </w:pPr>
      <w:r>
        <w:rPr>
          <w:rFonts w:ascii="Arial" w:cs="Arial" w:eastAsia="Arial" w:hAnsi="Arial"/>
          <w:sz w:val="17"/>
          <w:szCs w:val="17"/>
          <w:color w:val="auto"/>
        </w:rPr>
        <w:t>If, prior to the expiration date of the Series Warrant, the Company sells additional capital stock or derivative securities convertible into or exercisable for capital stock, as defined, in one or more related transactions primarily for the purpose of raising capital at a Weighted-Average Price (as described below) below $12.00 per share, then the initial exercise price of the Series Warrants will be automatically reset upon exercise to an exercise price (the “Adjusted Exercise Price”) that is the midpoint between the initial exercise price and the lowest Weighted-Average Price per share at which the Company sells capital stock or derivative securities convertible into or exercisable for capital stock in a subsequent offering prior to the exercise date; provided, however, that the Adjusted Exercise Price will not be reduced below $6.00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Series Warrants be adjusted more than once pursuant to this adjustment mechanism.</w:t>
      </w:r>
    </w:p>
    <w:p>
      <w:pPr>
        <w:spacing w:after="0" w:line="18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permits the holders to receive a fixed number of common shares upon exercise. In addition, such warrants do not provide any guarantee of value or return</w:t>
      </w:r>
      <w:r>
        <w:rPr>
          <w:rFonts w:ascii="Arial" w:cs="Arial" w:eastAsia="Arial" w:hAnsi="Arial"/>
          <w:sz w:val="19"/>
          <w:szCs w:val="19"/>
          <w:color w:val="auto"/>
        </w:rPr>
        <w:t>.</w:t>
      </w:r>
      <w:r>
        <w:rPr>
          <w:rFonts w:ascii="Arial" w:cs="Arial" w:eastAsia="Arial" w:hAnsi="Arial"/>
          <w:sz w:val="16"/>
          <w:szCs w:val="16"/>
          <w:color w:val="auto"/>
        </w:rPr>
        <w:t xml:space="preserve"> The Company valued the Series Warrants at issuance using the Black Scholes option pricing model and determined the fair value of the 4,595,039 Series Warrants at $3.4 million. The key inputs to the valuation model included the weighted average volatility of 89.1% and the weighted average expected term of 1.4 years.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12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Company’s chief executive officer and member of the board of directors is also a managing director at MPM Asset Management, LLC, which holds an investment in the Company’s common stock.</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7,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 xml:space="preserve">We are a clinical-stage biopharmaceutical company developing an innovative pipeline of cancer therapies. Our lead product candidate, entinostat is a once-weekly, oral, small molecule, Class I HDAC inhibitor currently being evaluated in a Phase 3 clinical trial in combination with exemestane for advanced hormone receptor positive, or HR+, human epidermal growth factor receptor 2 negative, or HER2-, breast cancer, an indication for which it has been granted breakthrough therapy designation by the FDA. In addition, entinostat has been shown to block the function of immune suppressive cells in the tumor microenvironment, and is being evaluated in combination with </w:t>
      </w:r>
      <w:r>
        <w:rPr>
          <w:rFonts w:ascii="Arial" w:cs="Arial" w:eastAsia="Arial" w:hAnsi="Arial"/>
          <w:sz w:val="18"/>
          <w:szCs w:val="18"/>
          <w:i w:val="1"/>
          <w:iCs w:val="1"/>
          <w:color w:val="auto"/>
        </w:rPr>
        <w:t>Keytruda</w:t>
      </w:r>
      <w:r>
        <w:rPr>
          <w:rFonts w:ascii="Arial" w:cs="Arial" w:eastAsia="Arial" w:hAnsi="Arial"/>
          <w:sz w:val="15"/>
          <w:szCs w:val="15"/>
          <w:color w:val="auto"/>
        </w:rPr>
        <w:t>®</w:t>
      </w:r>
      <w:r>
        <w:rPr>
          <w:rFonts w:ascii="Arial" w:cs="Arial" w:eastAsia="Arial" w:hAnsi="Arial"/>
          <w:sz w:val="18"/>
          <w:szCs w:val="18"/>
          <w:color w:val="auto"/>
        </w:rPr>
        <w:t xml:space="preserve"> (pembrolizumab) from Merck &amp; Co., Inc. for non-small cell lung cancer and melanoma.</w:t>
      </w:r>
    </w:p>
    <w:p>
      <w:pPr>
        <w:spacing w:after="0" w:line="85" w:lineRule="exact"/>
        <w:rPr>
          <w:sz w:val="20"/>
          <w:szCs w:val="20"/>
          <w:color w:val="auto"/>
        </w:rPr>
      </w:pPr>
    </w:p>
    <w:p>
      <w:pPr>
        <w:ind w:right="80" w:firstLine="518"/>
        <w:spacing w:after="0" w:line="269" w:lineRule="auto"/>
        <w:rPr>
          <w:sz w:val="20"/>
          <w:szCs w:val="20"/>
          <w:color w:val="auto"/>
        </w:rPr>
      </w:pPr>
      <w:r>
        <w:rPr>
          <w:rFonts w:ascii="Arial" w:cs="Arial" w:eastAsia="Arial" w:hAnsi="Arial"/>
          <w:sz w:val="17"/>
          <w:szCs w:val="17"/>
          <w:color w:val="auto"/>
        </w:rPr>
        <w:t xml:space="preserve">We are also developing SNDX-5613, an orally-available, small molecule inhibitor of the interaction of menin with the mixed lineage leukemia, or MLL, protein as a targeted therapy to potentially treat two genetically defined acute leukemias: (i) mixed lineage leukemia-rearranged, or MLLr, a genetically-defined subset of acute leukemias with chromosomal rearrangements in the MLL gene; and (ii) acute myeloid leukemia, or AML, with a mutated nucleophosmin 1, or NPM1, characterized by a somatic mutation in the NPM1 gene, or NPM1c. In July 2019, we announced that the FDA has cleared our IND application to begin a Phase 1/2 trial for SNDX-5613 in patients with relapsed/refractory (R/R) acute leukemias. Our clinical-stage product candidate, SNDX-6352, is a monoclonal antibody that targets the colony stimulating factor-1 receptor, or CSF-1R, a cell surface protein thought to control the survival and function of monocytes and macrophages. Researchers believe that in many cancers, inhibition of CSF-1R will reduce the number of immunosuppressive tumor-associated macrophages, or TAMs, and enable an immune response against tumors. We are conducting a Phase 1 trial of SNDX-6352 in patients with chronic graft versus host disease, or cGVHD, as well as a Phase 1/1b trial of SNDX-6352, alone or in combination with </w:t>
      </w:r>
      <w:r>
        <w:rPr>
          <w:rFonts w:ascii="Arial" w:cs="Arial" w:eastAsia="Arial" w:hAnsi="Arial"/>
          <w:sz w:val="17"/>
          <w:szCs w:val="17"/>
          <w:i w:val="1"/>
          <w:iCs w:val="1"/>
          <w:color w:val="auto"/>
        </w:rPr>
        <w:t>Imfinzi</w:t>
      </w:r>
      <w:r>
        <w:rPr>
          <w:rFonts w:ascii="Arial" w:cs="Arial" w:eastAsia="Arial" w:hAnsi="Arial"/>
          <w:sz w:val="17"/>
          <w:szCs w:val="17"/>
          <w:color w:val="auto"/>
        </w:rPr>
        <w:t>® (durvalumab), from AstraZeneca plc. We plan to continue to leverage the technical and business expertise of our management team and scientific collaborators to opportunistically license, acquire and develop additional cancer therapies to expand our pipeline.</w:t>
      </w:r>
    </w:p>
    <w:p>
      <w:pPr>
        <w:spacing w:after="0" w:line="183"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six months ended June 30, 2019 and 2018, we reported a net loss of $29.2 million and $37.8 million, respectively. As of June 30, 2019, we had an accumulated deficit of $468.6 million, which included non-cash charges for stock-based compensation, preferred stock accretion and extinguishment charges. As of June 30, 2019, we had cash, cash equivalents and short-term investments of $80.5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May 2019, we announced that the E2112 trial passed its fourth interim overall survival (OS) analysis and will continue as planned until either an OS benefit is observed, or the final target number of events occur. E2112 is our NCI-sponsored, ECOG-ACRIN led Phase 3 registration trial of entinostat, a Class I selective HDAC inhibitor, plus exemestane in advanced hormone receptor positive, human epidermal growth factor receptor 2 negative (HR+, HER2-) breast cancer.</w:t>
      </w:r>
    </w:p>
    <w:p>
      <w:pPr>
        <w:spacing w:after="0" w:line="7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continue to anticipate the final E2112 interim OS analysis in the fourth quarter of 2019. If necessary, the final OS assessment, which will be triggered when the trial reaches a total of 410 death events, is expected to be conducted in the second quarter of 2020. A positive OS assessment at any point would enable us to file for full regulatory approval. The E2112 trial design was informed by the Phase 2b ENCORE 301 trial, the results of which led to entinostat's Breakthrough Therapy designation in HR+, HER2- breast cancer, in which patients receiving the entinostat/exemestane combination demonstrated a strong OS benefit.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SNDX-5613</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July 2019, we announced that the U.S. Food and Drug Administration (FDA) cleared our Investigational New Drug (IND) application to begin a Phase 1/2 trial for SNDX-5613, a highly selective Menin inhibitor. We will refer to the clinical development of SNDX-5613 as the AUGMENT Program. The Phase 1/2 open-label trial will assess orally administered SNDX-5613 in adults with relapsed/refractory (R/R) acute leukemias. The Phase 1 dose escalation portion of the study will evaluate the safety, tolerability and pharmacokinetics of SNDX-5613, and will seek to establish a recommended Phase 2 dose. The Phase 2 portion will evaluate efficacy, as defined by Complete Response rate (per International Working Group response criteria), across three expansion cohorts: MLL-rearranged (MLL-r) acute lymphoblastic leukemia (ALL), MLL-r acute myeloid leukemia (AML), and NPM1 mutant AML. We expect to report initial clinical data from the trial in 2020.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SNDX-6352</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Enrollment continues in the Phase 1 dose escalation trial of SNDX-6352, our anti-CSF-1R monoclonal antibody, in patients with chronic graft versus host disease (cGVHD). We now anticipate results from this trial in the second half of 2020. The objectives of this trial are to evaluate the safety and preliminary efficacy of SNDX-6352 in cGVHD and to identify a recommended Phase 2 dose and schedule.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To date, we have not generated any product revenues. Our ability to generate revenue and become profitable depends upon our ability to obtain marketing approval of and successfully commercialize our product candidates. Our revenues for the three and six months ended June 30, 2019 and 2018 have been solely derived from our license, development and commercialization agreement with Kyowa Hakko Kirin Co., Ltd., or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KHK’s purchase of shares of our convertible preferred stock.</w:t>
      </w:r>
    </w:p>
    <w:p>
      <w:pPr>
        <w:spacing w:after="0" w:line="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October 2017, KHK enrolled the first Japanese patient into a local pivotal study of entinostat for the treatment of hormone receptor positive, human epidermal growth factor 2 negative breast cancer. In accordance with the terms of the KHK License Agreement, in December 2017 we received a $5.0 million milestone payment from KHK for achievement of the development milestone.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40" w:right="1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June 30, 2019, we have incurred $235.3 million in research and development expenses.</w:t>
      </w:r>
    </w:p>
    <w:p>
      <w:pPr>
        <w:spacing w:after="0" w:line="19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3"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primarily of interest expense on capital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78"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the “Management’s Discussion and Analysis of Financial Condition and Results of Operations” contained in our Annual Report.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ind w:left="260"/>
              <w:spacing w:after="0"/>
              <w:rPr>
                <w:sz w:val="20"/>
                <w:szCs w:val="20"/>
                <w:color w:val="auto"/>
              </w:rPr>
            </w:pPr>
            <w:r>
              <w:rPr>
                <w:rFonts w:ascii="Arial" w:cs="Arial" w:eastAsia="Arial" w:hAnsi="Arial"/>
                <w:sz w:val="14"/>
                <w:szCs w:val="14"/>
                <w:b w:val="1"/>
                <w:bCs w:val="1"/>
                <w:color w:val="auto"/>
                <w:w w:val="90"/>
              </w:rPr>
              <w:t>Increase (Decrease)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right"/>
              <w:ind w:right="45"/>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10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(2,561)</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5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(1,016)</w:t>
            </w: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(15,374)</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(18,951)</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(3,577)</w:t>
            </w:r>
          </w:p>
        </w:tc>
        <w:tc>
          <w:tcPr>
            <w:tcW w:w="2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Total other income</w:t>
            </w: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4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(14,916)</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(18,388)</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For the three months ended June 30, 2019 and 2018, we recognized license fees of $0.4 million and $0.4 million respectively, derived from the KHK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three months ended June 30, 2019, our total research and development expenses decreased $2.6 million, or 17%, to $12.3 million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$14.9 million for the comparable quarter in the prior year due to a decrease in employee compensation expense of $0.5 million, decreased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for SNDX-6352 of $1.6 million, decreased professional expenses of $1.2 million and reduced activity primarily in the ENCORE clinical programs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$3.3 million, partly offset by a $4.0 million expense recognized upon the achievement of certain milestones in connection with the Menin program.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employee compensation costs was primarily due to decreased consulting fees and temporary employees. We expect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to fluctuate from quarter to quarter depending on the timing of clinical trial activities, clinical manufacturing and other development activities.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w w:val="97"/>
              </w:rPr>
              <w:t>Three Months Ended June 30,</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0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8,747</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10,702</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(1,955)</w:t>
            </w: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12,290</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w:t>
            </w:r>
          </w:p>
        </w:tc>
        <w:tc>
          <w:tcPr>
            <w:tcW w:w="20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20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For the three months ended June 30, 2019, our total general and administrative expenses decreased $1.0 million, or 23%, to $3.5 million from $4.5 million for the comparable period in the prior year. The decrease in general and administrative expenses was primarily due to decreased legal and professional fees of $0.8 million and decreased employee compensation of $0.2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June 30, 2019, interest income, net, remained flat from the comparable period in the prior year.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61"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Increase (Decrease)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65"/>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500"/>
              <w:spacing w:after="0"/>
              <w:rPr>
                <w:sz w:val="20"/>
                <w:szCs w:val="20"/>
                <w:color w:val="auto"/>
              </w:rPr>
            </w:pPr>
            <w:r>
              <w:rPr>
                <w:rFonts w:ascii="Arial" w:cs="Arial" w:eastAsia="Arial" w:hAnsi="Arial"/>
                <w:sz w:val="18"/>
                <w:szCs w:val="18"/>
                <w:color w:val="auto"/>
              </w:rPr>
              <w:t>License fees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56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(6,621)</w:t>
            </w: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3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(1,896)</w:t>
            </w: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(8,517)</w:t>
            </w:r>
          </w:p>
        </w:tc>
        <w:tc>
          <w:tcPr>
            <w:tcW w:w="22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(30,185)</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(38,702)</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(8,517)</w:t>
            </w:r>
          </w:p>
        </w:tc>
        <w:tc>
          <w:tcPr>
            <w:tcW w:w="2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expense</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Total other income</w:t>
            </w: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(29,218)</w:t>
            </w:r>
          </w:p>
        </w:tc>
        <w:tc>
          <w:tcPr>
            <w:tcW w:w="12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(37,785)</w:t>
            </w:r>
          </w:p>
        </w:tc>
        <w:tc>
          <w:tcPr>
            <w:tcW w:w="12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(8,567)</w:t>
            </w:r>
          </w:p>
        </w:tc>
        <w:tc>
          <w:tcPr>
            <w:tcW w:w="22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For the six months ended June 30, 2019 and 2018, we recognized license fees of $0.8 million and $0.8 million respectively, derived from the KHK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six months ended June 30, 2019, our total research and development expenses decreased $6.6 million, or 22%, to $23.6 million from</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$30.2 million for the comparable period in the prior year due to a decrease in employee compensation expense of $0.2 million, decreased professional fees of $3.2 million, decreased manufacturing activities for SNDX-6352 of $4.6 million and decreased activity in the ENCORE and SNDX-6352 clinical programs of $3.4 million, partially offset by increased activities related to the Menin program of $0.8 million and a $4.0 million expense recognized upon the achievement of certain milestones in connection with the Menin program. We expect research and development expenses to fluctuate from period to period depending on the timing of clinical trial activities, clinical manufacturing and other development activities.</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Increase (Decrease)</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0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16,020</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22,415</w:t>
            </w:r>
          </w:p>
        </w:tc>
        <w:tc>
          <w:tcPr>
            <w:tcW w:w="6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(6,395)</w:t>
            </w: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7,775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5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8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23,569</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30,190</w:t>
            </w:r>
          </w:p>
        </w:tc>
        <w:tc>
          <w:tcPr>
            <w:tcW w:w="200" w:type="dxa"/>
            <w:vAlign w:val="bottom"/>
            <w:vMerge w:val="continue"/>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w:t>
            </w:r>
          </w:p>
        </w:tc>
        <w:tc>
          <w:tcPr>
            <w:tcW w:w="20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six months ended June 30, 2019, our total general and administrative expenses decreased $1.9 million, or 20%, to $7.4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$9.3 million for the comparable period in the prior year. The decrease in general and administrative expenses was primarily due to decreased legal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 of $1.5 million and decreased employee compensation cost of $0.4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months ended June 30, 2019, interest income, net, remained flat from the comparable period in the prior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As of June 30, 2019, we had cash, cash equivalents and short-term investments totaling $80.5 million. Since our inception, our operations have been primarily financed by net proceeds from our IPO, our follow-on stock offerings, our ATM Program, sale of convertible preferred stock and convertible debt securities and proceeds from our license agreements. We believe that our existing cash, cash equivalents and short-term investments will fund our projected operating expenses and capital expenditure requirements for at least the next 12 months. In addition to our existing cash, cash equivalents and short-term investments, we are eligible to receive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220"/>
        <w:spacing w:after="0" w:line="259" w:lineRule="auto"/>
        <w:rPr>
          <w:sz w:val="20"/>
          <w:szCs w:val="20"/>
          <w:color w:val="auto"/>
        </w:rPr>
      </w:pPr>
      <w:r>
        <w:rPr>
          <w:rFonts w:ascii="Arial" w:cs="Arial" w:eastAsia="Arial" w:hAnsi="Arial"/>
          <w:sz w:val="18"/>
          <w:szCs w:val="18"/>
          <w:color w:val="auto"/>
        </w:rPr>
        <w:t>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87" w:lineRule="exact"/>
        <w:rPr>
          <w:sz w:val="20"/>
          <w:szCs w:val="20"/>
          <w:color w:val="auto"/>
        </w:rPr>
      </w:pPr>
    </w:p>
    <w:p>
      <w:pPr>
        <w:ind w:right="140" w:firstLine="518"/>
        <w:spacing w:after="0" w:line="287" w:lineRule="auto"/>
        <w:rPr>
          <w:sz w:val="20"/>
          <w:szCs w:val="20"/>
          <w:color w:val="auto"/>
        </w:rPr>
      </w:pPr>
      <w:r>
        <w:rPr>
          <w:rFonts w:ascii="Arial" w:cs="Arial" w:eastAsia="Arial" w:hAnsi="Arial"/>
          <w:sz w:val="16"/>
          <w:szCs w:val="16"/>
          <w:color w:val="auto"/>
        </w:rPr>
        <w:t>In March 2016, we completed our IPO whereby we sold 4,809,475 shares of our common stock at the price of $12.00 per share, resulting in total net proceeds of $50.5 million, after deducting underwriting discounts and commissions and offering expenses. In May 2017, we completed a follow-on public offering whereby we sold 3,950,190 shares of our common stock at a price of $13.25 per share, resulting in total net proceeds of $48.7 million, net of underwriting discounts and commissions and offering expenses. In October 2017, we issued to Biotechnology Value Fund, or BVF, 2,021,018 shares of our common stock at a price of $12.37 per share. Net proceeds after deducting expenses were approximately $24.9 million. In March 2019, we issued to certain investors an aggregate of 2,095,039 shares of our common stock and 2,500,000 pre-funded warrants to purchase shares of our common stock, at a price of $6.00 per share of common stock and $5.9999 for each pre-funded warrant. We sold the shares of common stock and pre-funded warrants together with two series of warrants, Series 1 warrants and Series 2 warrants, to purchase an aggregate of 4,595,039 shares of our common stock. The pre-funded warrants enable the holder to make a cash investment in our common stock without increasing its beneficial ownership in our common stock because the shares of common stock underlying the pre-funded warrant are not issued or issuable until the warrant is actually exercised or becomes exercisable without exceeding the ownership limitations set forth in the pre-funded warrant. Each Series 1 warrant has an initial exercise price of $12.00 per share of common stock and each Series 2 warrant has an initial exercise price of $18.00 per share of common stock, in each case subject to certain adjustments.</w:t>
      </w:r>
    </w:p>
    <w:p>
      <w:pPr>
        <w:spacing w:after="0" w:line="16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April 2017, we entered into a sales agreement with Cowen under which we may issue and sell shares of our common stock having aggregate sales proceeds of up to $50.0 million from time to time pursuant to the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 (Registration No. 333-217172), which was declared effective on April 20, 2017. Our common stock will be sold at prevailing market prices at the time of the sale; and as a result, prices may vary. We will pay Cowen up to 3% of the gross proceeds from any common stock sold through the sales agreement. The proceeds from the offerings, if any, will be used for general corporate purposes, including expenditures for research and development of our drug products. During the six months ended June 30, 2019, we sold 140,819 shares of common stock, with net proceeds of $0.9 million. As of June 30, 2019, $31.2 million of common stock remained available for sale under the ATM program. No additional shares of common stock have been sold since June 30, 2019, and through the date of this filing.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85"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40" w:right="44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0"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7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June 30, 2019, we had an accumulated deficit of $468.6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2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(29,356)</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(35,019)</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(6,179)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31,928</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28,432</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Net cash used in operating activities for the six months ended June 30, 2019, was $29.4 million and primarily consisted of our net loss of $29.2 million adjusted for non-cash items, including stock-based compensation of $2.9 million, a net decrease in operating assets and liabilities of $2.7 million and a net decrease in investment amortization of $0.4 million. The decrease in our net loss was primarily due to the decrease in our clinical trial activities and CMC expenses. The significant items in the decrease in operating assets and liabilities included a decrease in accrued expenses, other liabilities and deferred revenue of $0.8 million and an increase in accounts payable of $0.8 million offset by an increase in prepaid expenses and other assets of $2.7 million.</w:t>
      </w:r>
    </w:p>
    <w:p>
      <w:pPr>
        <w:spacing w:after="0" w:line="5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Net cash used in operating activities for the six months ended June 30, 2018, was $35.0 million and primarily consisted of our net loss of $37.8 million adjusted for non-cash items, including stock-based compensation of $3.0 million, net decrease in operating assets and liabilities of $0.1 million and a net decrease in investment amortization of $0.1 million. The increase in our net loss was primarily due to the increase in our clinical trial activities and CMC expenses. The significant items in the decrease in operating assets and liabilities included an increase in prepaid expenses and other assets of $2.8 million and a decrease in deferred revenue of $0.8 million partially offset by an increase in accounts payable, accrued expenses and other liabilities of $3.5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17"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2019, was $6.2 million and was primarily due to the $53.7 million of proceeds from the maturities of available-for-sale securities partially offset by the purchase of $59.9 million of available-for-sale marketable securities.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5" w:name="page26"/>
    <w:bookmarkEnd w:id="25"/>
    <w:p>
      <w:pPr>
        <w:ind w:right="260" w:firstLine="518"/>
        <w:spacing w:after="0" w:line="264" w:lineRule="auto"/>
        <w:rPr>
          <w:sz w:val="20"/>
          <w:szCs w:val="20"/>
          <w:color w:val="auto"/>
        </w:rPr>
      </w:pPr>
      <w:r>
        <w:rPr>
          <w:rFonts w:ascii="Arial" w:cs="Arial" w:eastAsia="Arial" w:hAnsi="Arial"/>
          <w:sz w:val="18"/>
          <w:szCs w:val="18"/>
          <w:color w:val="auto"/>
        </w:rPr>
        <w:t>Net cash provided by investing activities for the six months ended June 30, 2018, was $31.9 million and was primarily due to the $66.3 million of proceeds from the maturities of available-for-sale securities partially offset by the purchase of $34.1 million of available-for-sale marketable securities and purchase of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Net cash provided by financing activities for the six months ended June 30, 2019, of $28.4 million was primarily due to proceeds from sales of shares of our common stock and a pre-funded warrant, net of fees, of $27.4 million and our at-the-market offering, net of discounts and commissions of $0.8 million.</w:t>
      </w:r>
    </w:p>
    <w:p>
      <w:pPr>
        <w:spacing w:after="0" w:line="124"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2018, of $0.1 million was primarily due to purchases pursuant to our 2015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that was filed with the U.S. Securities and Exchange Commission, or SEC, on March 7,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June 30, 2019, we had cash and cash equivalents of $26.7 million, consisting of overnight investments, interest-bearing money market funds, commercial papers and short-term corporate bonds, and short-term investments of $53.9 million, consisting of commercial paper, highly rated corporate bonds and credit card asset backed securities.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As of June 30, 2019,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ind w:right="140"/>
        <w:spacing w:after="0" w:line="286" w:lineRule="auto"/>
        <w:rPr>
          <w:sz w:val="20"/>
          <w:szCs w:val="20"/>
          <w:color w:val="auto"/>
        </w:rPr>
      </w:pPr>
      <w:r>
        <w:rPr>
          <w:rFonts w:ascii="Arial" w:cs="Arial" w:eastAsia="Arial" w:hAnsi="Arial"/>
          <w:sz w:val="17"/>
          <w:szCs w:val="17"/>
          <w:color w:val="auto"/>
        </w:rPr>
        <w:t>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2019, our disclosure controls and procedures were effective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materially affected, or is reasonably likely to materially affect, our internal control over financial reporting.</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557" w:right="4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2019, we were not party to any material legal or arbitration proceedings. No governmental proceedings are pending or, to our knowledge, contemplated against us.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39"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exemestane in advanced HR+, HER2- breast cancer patients. The NCI designed the trial to measure two primary endpoints, progression-free survival, or PFS, and overall survival, or OS. We received the final PFS analysis from ECOG-ACRIN in October 2018 and we expect to receive the final OS analysis no later than the end of 2020. In October 2018, ECOG-ACRIN informed us that the trial did not achieve the high statistical hurdle for the first primary endpoint of improving PFS, which would have provided the earliest regulatory filing opportunity. In accordance with the trial protocol, ECOG-ACRIN is confidentially holding the findings from the PFS analysis until reporting final OS results. We will not be able to submit an NDA unless and until we receive data demonstrating that the trial has achieved the primary endpoint for OS. In addition, based on scientific advice that we received from the European Medicines Agency in March 2014, the current Phase 3 clinical trial may not be sufficient to receive regulatory approval in Europe for entinostat to treat advanced HR+, HER2- breast cancer, and it is unclear whether we would be able to complete an alternate clinical trial that would be sufficient.</w:t>
      </w:r>
    </w:p>
    <w:p>
      <w:pPr>
        <w:spacing w:after="0" w:line="193"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adverse drug reactions in the Phase 3 clinical trial.</w:t>
      </w:r>
    </w:p>
    <w:p>
      <w:pPr>
        <w:spacing w:after="0" w:line="15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8"/>
          <w:szCs w:val="18"/>
          <w:i w:val="1"/>
          <w:iCs w:val="1"/>
          <w:color w:val="auto"/>
        </w:rPr>
        <w:t>Verzenio</w:t>
      </w:r>
      <w:r>
        <w:rPr>
          <w:rFonts w:ascii="Arial" w:cs="Arial" w:eastAsia="Arial" w:hAnsi="Arial"/>
          <w:sz w:val="18"/>
          <w:szCs w:val="18"/>
          <w:color w:val="auto"/>
        </w:rPr>
        <w:t>,</w:t>
      </w:r>
      <w:r>
        <w:rPr>
          <w:rFonts w:ascii="Arial" w:cs="Arial" w:eastAsia="Arial" w:hAnsi="Arial"/>
          <w:sz w:val="18"/>
          <w:szCs w:val="18"/>
          <w:i w:val="1"/>
          <w:iCs w:val="1"/>
          <w:color w:val="auto"/>
        </w:rPr>
        <w:t xml:space="preserve"> Kisqali, Ibrance</w:t>
      </w:r>
      <w:r>
        <w:rPr>
          <w:rFonts w:ascii="Arial" w:cs="Arial" w:eastAsia="Arial" w:hAnsi="Arial"/>
          <w:sz w:val="18"/>
          <w:szCs w:val="18"/>
          <w:color w:val="auto"/>
        </w:rPr>
        <w:t>, and</w:t>
      </w:r>
      <w:r>
        <w:rPr>
          <w:rFonts w:ascii="Arial" w:cs="Arial" w:eastAsia="Arial" w:hAnsi="Arial"/>
          <w:sz w:val="18"/>
          <w:szCs w:val="18"/>
          <w:i w:val="1"/>
          <w:iCs w:val="1"/>
          <w:color w:val="auto"/>
        </w:rPr>
        <w:t xml:space="preserve"> Piqray </w:t>
      </w:r>
      <w:r>
        <w:rPr>
          <w:rFonts w:ascii="Arial" w:cs="Arial" w:eastAsia="Arial" w:hAnsi="Arial"/>
          <w:sz w:val="18"/>
          <w:szCs w:val="18"/>
          <w:color w:val="auto"/>
        </w:rPr>
        <w:t>patients enrolled in the Phase 3 clinical trial may be different than those enrolled in our previous Phase 2b clinical trial</w:t>
      </w:r>
      <w:r>
        <w:rPr>
          <w:rFonts w:ascii="Arial" w:cs="Arial" w:eastAsia="Arial" w:hAnsi="Arial"/>
          <w:sz w:val="18"/>
          <w:szCs w:val="18"/>
          <w:i w:val="1"/>
          <w:iCs w:val="1"/>
          <w:color w:val="auto"/>
        </w:rPr>
        <w:t xml:space="preserve"> </w:t>
      </w:r>
      <w:r>
        <w:rPr>
          <w:rFonts w:ascii="Arial" w:cs="Arial" w:eastAsia="Arial" w:hAnsi="Arial"/>
          <w:sz w:val="18"/>
          <w:szCs w:val="18"/>
          <w:color w:val="auto"/>
        </w:rPr>
        <w:t>in that they may have received a CDK 4/6 inhibitor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right="200"/>
        <w:spacing w:after="0" w:line="375"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GCPs,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9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 authority, such regulatory authority will determine that any of our trials comply with GCP requirements. In addition, we must conduct our trials with products produced under current Good Manufacturing Practices regulations, or cGMP requirements. Failure to comply with any of these regulations may require us to repeat preclinical and clinical trials, which would delay the regulatory development process.</w:t>
      </w:r>
    </w:p>
    <w:p>
      <w:pPr>
        <w:spacing w:after="0" w:line="2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Phase 3 clinical trial of entinostat in combination with exemestane in advanced HR+, HER2- breast cancer commenced in the second quarter of 2014, and we expect to receive the final OS analysis no later than the end of 2020. Our product development costs could increase if we experience delays in the overall number of survival events.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that may result in a delay or unsuccessful completion of clinical development of entinostat include, among other things:</w:t>
      </w:r>
    </w:p>
    <w:p>
      <w:pPr>
        <w:spacing w:after="0" w:line="85" w:lineRule="exact"/>
        <w:rPr>
          <w:sz w:val="20"/>
          <w:szCs w:val="20"/>
          <w:color w:val="auto"/>
        </w:rPr>
      </w:pPr>
    </w:p>
    <w:p>
      <w:pPr>
        <w:ind w:left="1040" w:hanging="519"/>
        <w:spacing w:after="0" w:line="342"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unexpectedly high rate of patients withdrawing consent or being lost to follow-up, including patients that withdraw or are lost to follow-up following our announcement in October 2018 that the trial did not achieve the statistical hurdle for the first primary endpoint of improving PFS;</w:t>
      </w:r>
    </w:p>
    <w:p>
      <w:pPr>
        <w:spacing w:after="0" w:line="15" w:lineRule="exact"/>
        <w:rPr>
          <w:rFonts w:ascii="Arial" w:cs="Arial" w:eastAsia="Arial" w:hAnsi="Arial"/>
          <w:sz w:val="16"/>
          <w:szCs w:val="16"/>
          <w:color w:val="auto"/>
        </w:rPr>
      </w:pPr>
    </w:p>
    <w:p>
      <w:pPr>
        <w:ind w:left="1040" w:right="16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62" w:lineRule="exact"/>
        <w:rPr>
          <w:rFonts w:ascii="Arial" w:cs="Arial" w:eastAsia="Arial" w:hAnsi="Arial"/>
          <w:sz w:val="18"/>
          <w:szCs w:val="18"/>
          <w:color w:val="auto"/>
        </w:rPr>
      </w:pPr>
    </w:p>
    <w:p>
      <w:pPr>
        <w:ind w:left="1040" w:right="30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73" w:lineRule="exact"/>
        <w:rPr>
          <w:rFonts w:ascii="Arial" w:cs="Arial" w:eastAsia="Arial" w:hAnsi="Arial"/>
          <w:sz w:val="18"/>
          <w:szCs w:val="18"/>
          <w:color w:val="auto"/>
        </w:rPr>
      </w:pPr>
    </w:p>
    <w:p>
      <w:pPr>
        <w:ind w:left="1040" w:right="9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 to conduct the trial in accordance with regulatory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ind w:left="1040" w:right="1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drug reactions;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2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7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protocol for the pivotal Phase 3 trial of entinostat in combination with exemestane in advanced HR+, HER2- breast cancer was reviewed and agreed upon by the FDA under a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In October 2018, ECOG-ACRIN informed us that the trial did not achieve the statistical hurdle for the first primary endpoint of improving PFS, which would have provided the earliest regulatory filing opportunity. Further, obtaining clinical trial data meeting the OS endpoint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OS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62"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We received breakthrough therapy designation from the FDA for entinostat when used in combination with exemestane based on the OS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our Phase 3 trial in HR+, HER2- breast cancer patients failed to achieve one of its primary endpoints of improving PFS. We expect to receive final analysis on the second primary endpoint, OS, no later than the end of 2020. If the results do not confirm the improvement in OS observed in our Phase 2b clinical trial, the FDA may rescind our breakthrough therapy designation.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63" w:lineRule="exact"/>
        <w:rPr>
          <w:sz w:val="20"/>
          <w:szCs w:val="20"/>
          <w:color w:val="auto"/>
        </w:rPr>
      </w:pPr>
    </w:p>
    <w:p>
      <w:pPr>
        <w:ind w:left="5620" w:right="4820" w:hanging="5099"/>
        <w:spacing w:after="0" w:line="573" w:lineRule="auto"/>
        <w:tabs>
          <w:tab w:leader="none" w:pos="1031"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attract and build a significant marketing or sales force;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left="1040" w:right="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7"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Entinostat, SNDX-6352 and SNDX-5613 are currently our only product candidates. 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9"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timely commencement and completion of the Phase 1/2 clinical trial of SNDX-5613 in patients with relapsed/refractory acute leukemia;</w:t>
      </w:r>
    </w:p>
    <w:p>
      <w:pPr>
        <w:spacing w:after="0" w:line="128" w:lineRule="exact"/>
        <w:rPr>
          <w:rFonts w:ascii="Arial" w:cs="Arial" w:eastAsia="Arial" w:hAnsi="Arial"/>
          <w:sz w:val="17"/>
          <w:szCs w:val="17"/>
          <w:color w:val="auto"/>
        </w:rPr>
      </w:pPr>
    </w:p>
    <w:p>
      <w:pPr>
        <w:jc w:val="both"/>
        <w:ind w:left="1040" w:right="60" w:hanging="519"/>
        <w:spacing w:after="0" w:line="34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timely completion of the Phase 3 clinical trial in advanced HR+, HER2- breast cancer, which has been significantly slower than we anticipated and will depend substantially upon the satisfactory performance of ECOG-ACRIN and the NCI and other third-party contractors for entinostat;</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timely commencement and completion of the Phase 1/1b clinical trials of SNDX-6352 as a monotherapy and in combination with durvalumab;</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2" w:lineRule="exact"/>
        <w:rPr>
          <w:rFonts w:ascii="Arial" w:cs="Arial" w:eastAsia="Arial" w:hAnsi="Arial"/>
          <w:sz w:val="18"/>
          <w:szCs w:val="18"/>
          <w:color w:val="auto"/>
        </w:rPr>
      </w:pPr>
    </w:p>
    <w:p>
      <w:pPr>
        <w:ind w:left="1040" w:right="46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availability of commercial supplies of therapeutics, including exemestane and clinical supplies of investigational drugs, to support the development and marketing of the entinostat therapy as a component of a combination drug regimen for entinostat;</w:t>
      </w:r>
    </w:p>
    <w:p>
      <w:pPr>
        <w:spacing w:after="0" w:line="38" w:lineRule="exact"/>
        <w:rPr>
          <w:rFonts w:ascii="Arial" w:cs="Arial" w:eastAsia="Arial" w:hAnsi="Arial"/>
          <w:sz w:val="17"/>
          <w:szCs w:val="17"/>
          <w:color w:val="auto"/>
        </w:rPr>
      </w:pPr>
    </w:p>
    <w:p>
      <w:pPr>
        <w:ind w:left="1040" w:right="76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the availability of commercial supplies of therapeutics, including </w:t>
      </w:r>
      <w:r>
        <w:rPr>
          <w:rFonts w:ascii="Arial" w:cs="Arial" w:eastAsia="Arial" w:hAnsi="Arial"/>
          <w:sz w:val="17"/>
          <w:szCs w:val="17"/>
          <w:i w:val="1"/>
          <w:iCs w:val="1"/>
          <w:color w:val="auto"/>
        </w:rPr>
        <w:t>Imfinzi</w:t>
      </w:r>
      <w:r>
        <w:rPr>
          <w:rFonts w:ascii="Arial" w:cs="Arial" w:eastAsia="Arial" w:hAnsi="Arial"/>
          <w:sz w:val="17"/>
          <w:szCs w:val="17"/>
          <w:color w:val="auto"/>
        </w:rPr>
        <w:t>, and clinical supplies of investigational drugs, to support the development and marketing of the SNDX-6352 therapy as a component of a combination drug regimen for SNDX-6352;</w:t>
      </w:r>
    </w:p>
    <w:p>
      <w:pPr>
        <w:spacing w:after="0" w:line="3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ind w:right="280" w:firstLine="51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27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Our strategy of combining entinostat with immune checkpoint inhibitors has undergone limited clinical testing and we may fail to show that the combination is safe and well tolerated and demonstrates additional clinical benefit from the combination.</w:t>
      </w:r>
    </w:p>
    <w:p>
      <w:pPr>
        <w:spacing w:after="0" w:line="38"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Preclinical studies conducted by us and others suggest a strong rationale for combining entinostat with immune checkpoint inhibitors, including PD-1 pathway antagonists, to enhance the immune system’s ability to detect and eliminate tumor cells. Our approach was to conduct Phase 1 and 2 clinical trials in patients with tumors that are known to be responsive to PD-1 pathway antagonists and assess both the safety and efficacy of the combination of entinostat plus a PD-1 pathway antagonist. Our initial clinical data is supportive of our hypothesis as we have seen clinical benefit from the combination of entinostat plus pembrolizumab in patients with metastatic melanoma and non-small cell lung cancer. We recently completed a full portfolio prioritization assessment and have determined to place the initiation of a potential registration trial on hold until we receive final OS results from E2112. However, if we resume this trial, we have not yet sufficiently demonstrated a favorable risk-benefit of this combination in patients, and we may be unable to establish efficacy to warrant regulatory submission or approval.</w:t>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strategy for developing SNDX-6352 has undergone limited clinical testing and we may fail to show that this drug is safe, well tolerated and provides a clinical benefit for patients.</w:t>
      </w:r>
    </w:p>
    <w:p>
      <w:pPr>
        <w:spacing w:after="0" w:line="62" w:lineRule="exact"/>
        <w:rPr>
          <w:sz w:val="20"/>
          <w:szCs w:val="20"/>
          <w:color w:val="auto"/>
        </w:rPr>
      </w:pPr>
    </w:p>
    <w:p>
      <w:pPr>
        <w:ind w:right="160" w:firstLine="518"/>
        <w:spacing w:after="0" w:line="290" w:lineRule="auto"/>
        <w:rPr>
          <w:sz w:val="20"/>
          <w:szCs w:val="20"/>
          <w:color w:val="auto"/>
        </w:rPr>
      </w:pPr>
      <w:r>
        <w:rPr>
          <w:rFonts w:ascii="Arial" w:cs="Arial" w:eastAsia="Arial" w:hAnsi="Arial"/>
          <w:sz w:val="16"/>
          <w:szCs w:val="16"/>
          <w:color w:val="auto"/>
        </w:rPr>
        <w:t>Preclinical studies suggest that CSF-1/CSF-1R signaling may be the key regulatory pathway involved in the expansion and infiltration of donor derived macrophages that mediate the disease processes involved in cGVHD.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SNDX-6352 may play a meaningful role as a monotherapy agent in the treatment of cGVHD. Our approach is to conduct Phase 1 clinical trial with SNDX-6352 in subjects with active cGVHD who have failed at least two prior lines of therapy. If our initial clinical data lend support for our hypothesis, we plan to continue developing SNDX-6352 in this indication. At this time however, we have not yet sufficiently demonstrated a favorable risk-benefit of SNDX-6352 in patients and we may be unable to establish sufficient efficacy to warrant continued development in this indication.</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strategy for developing SNDX-5613 has not yet undergone clinical testing and we may fail to show that the drug is safe, well tolerated and provides clinical benefit for patients.</w:t>
      </w:r>
    </w:p>
    <w:p>
      <w:pPr>
        <w:spacing w:after="0" w:line="2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Research suggests that certain acute leukemias, such as MLLr leukemias and NPM1 mutant AML, are dependent on the interaction of Menin, a nuclear protein involved in transcription, with the mixed lineage leukemia protein-1 (MLL1, also known as KMT2A). In pre-clinical animal models, small molecules, such as SNDX-5613, which bind to, and block the interaction of menin with MLL1, have demonstrated deep and durable single agent treatment effects in multiple leukemic xenograft models harboring MLL fusions or NPM1 mutations. Our strategy for developing SNDX-5613 is to conduct a Phase 1/2 clinical trial in patients with relapsed/refractory acute leukemias. The Phase 1 portion of the study will assess the safety, tolerability and pharmacokinetics of SNDX-5613, and will seek to establish a recommended Phase 2 dose. The Phase 2 portion will evaluate efficacy, as defined by Complete Remission rate, across three expansion cohorts enrolling adult patients with MLL-r acute lymphoblastic leukemia (ALL), MLL-r acute myeloid leukemia (AML), and NPM1 mutant AML. If our initial clinical data lend support for our hypothesis, we plan to continue developing SNDX-5613 in one or more of these indications. At this time however, we have not begun clinical testing and thus have not demonstrated a favorable risk-benefit of SNDX-5613 in patients. Failure to do so may warrant discontinuing development one or more of these indications.</w:t>
      </w:r>
    </w:p>
    <w:p>
      <w:pPr>
        <w:spacing w:after="0" w:line="28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may be unable to transfer, qualify and validate an assay for determining peripheral monocyte levels to be used in conjunction with a future registration enabling non-small cell lung cancer, or NSCLC, trial.</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 xml:space="preserve">In October 2018, we announced that we are proceeding with a registration trial in NSCLC patients whose disease has progressed after both platinum-based combination chemotherapy and a PD-1 antagonist therapy. We designed the trial to both validate a classical monocyte biomarker and demonstrate that the combination therapy of entinostat plus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is superior to standard of care chemotherapy in a high monocyte population. This trial will require testing patients for levels of circulating classical monocytes prior to treatment before assigning them to the appropriate arm of the trial. The assay that our academic collaborators have used to determine circulating levels of classical monocytes has not been developed or validated to the qualifications that the FDA may require for patient selection. We are working to measure circulating levels of cells, including monocytes, but we may not be able to successfully transfer, qualify and validate an assay for determining peripheral monocyte levels that will be acceptable to the FDA.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right="220"/>
        <w:spacing w:after="0" w:line="277" w:lineRule="auto"/>
        <w:rPr>
          <w:sz w:val="20"/>
          <w:szCs w:val="20"/>
          <w:color w:val="auto"/>
        </w:rPr>
      </w:pPr>
      <w:r>
        <w:rPr>
          <w:rFonts w:ascii="Arial" w:cs="Arial" w:eastAsia="Arial" w:hAnsi="Arial"/>
          <w:sz w:val="18"/>
          <w:szCs w:val="18"/>
          <w:color w:val="auto"/>
        </w:rPr>
        <w:t>recently completed a full portfolio prioritization assessment and have determined to place the initiation of this trial on hold until we receive final OS results from E2112.</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such as MLL-r acute leukemia;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actions of KHK, Eddingpharm Investment Company Limited and any other current or future sublicensees could adversely affect our business.</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KHK,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7" w:lineRule="exact"/>
        <w:rPr>
          <w:rFonts w:ascii="Arial" w:cs="Arial" w:eastAsia="Arial" w:hAnsi="Arial"/>
          <w:sz w:val="18"/>
          <w:szCs w:val="18"/>
          <w:color w:val="auto"/>
        </w:rPr>
      </w:pPr>
    </w:p>
    <w:p>
      <w:pPr>
        <w:ind w:left="1040" w:right="12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2"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62"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ind w:left="1040" w:right="1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2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exemestane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79"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 or other drugs that we are testing in combination with entinostat could adversely affect our ability to timely conduct the Phase 3 clinical trial in advanced HR+, HER2- breast cancer, our future potential Phase 3 clinical trial in NSCLC, any future clinical trials in melanoma, and if entinostat receives regulatory approval, to commercialize entinostat for treatment of advanced HR+, HER2- breast cancer, NSCLC, or melanoma. A shortage of supply may also result in an increase, which could be significant, in our costs of procuring exemestane.</w:t>
      </w:r>
    </w:p>
    <w:p>
      <w:pPr>
        <w:spacing w:after="0" w:line="178"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63"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2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3"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5"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6" w:name="page37"/>
    <w:bookmarkEnd w:id="36"/>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96"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ind w:left="1040" w:right="5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40" w:right="780" w:hanging="519"/>
        <w:spacing w:after="0" w:line="264"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5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that we received from the European Medicines Agency in March 2014,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 xml:space="preserve">If entinostat in combination with exemestane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t>
      </w:r>
      <w:r>
        <w:rPr>
          <w:rFonts w:ascii="Arial" w:cs="Arial" w:eastAsia="Arial" w:hAnsi="Arial"/>
          <w:sz w:val="18"/>
          <w:szCs w:val="18"/>
          <w:i w:val="1"/>
          <w:iCs w:val="1"/>
          <w:color w:val="auto"/>
        </w:rPr>
        <w:t>Verzenio</w:t>
      </w:r>
      <w:r>
        <w:rPr>
          <w:rFonts w:ascii="Arial" w:cs="Arial" w:eastAsia="Arial" w:hAnsi="Arial"/>
          <w:sz w:val="18"/>
          <w:szCs w:val="18"/>
          <w:color w:val="auto"/>
        </w:rPr>
        <w:t xml:space="preserve">, </w:t>
      </w:r>
      <w:r>
        <w:rPr>
          <w:rFonts w:ascii="Arial" w:cs="Arial" w:eastAsia="Arial" w:hAnsi="Arial"/>
          <w:sz w:val="18"/>
          <w:szCs w:val="18"/>
          <w:i w:val="1"/>
          <w:iCs w:val="1"/>
          <w:color w:val="auto"/>
        </w:rPr>
        <w:t>Piqray</w:t>
      </w:r>
      <w:r>
        <w:rPr>
          <w:rFonts w:ascii="Arial" w:cs="Arial" w:eastAsia="Arial" w:hAnsi="Arial"/>
          <w:sz w:val="18"/>
          <w:szCs w:val="18"/>
          <w:color w:val="auto"/>
        </w:rPr>
        <w:t xml:space="preserve"> and other therapies under FDA review or currently in Phase 3 clinical development.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ind w:right="120" w:firstLine="518"/>
        <w:spacing w:after="0" w:line="257" w:lineRule="auto"/>
        <w:rPr>
          <w:sz w:val="20"/>
          <w:szCs w:val="20"/>
          <w:color w:val="auto"/>
        </w:rPr>
      </w:pPr>
      <w:r>
        <w:rPr>
          <w:rFonts w:ascii="Arial" w:cs="Arial" w:eastAsia="Arial" w:hAnsi="Arial"/>
          <w:sz w:val="18"/>
          <w:szCs w:val="18"/>
          <w:color w:val="auto"/>
        </w:rPr>
        <w:t xml:space="preserve">The pharmacologic treatment of NSCLC and melanoma patients has included chemotherapies and therapies targeting specific gene mutations. Over the past few years, immune checkpoint inhibitors have been approved for NSCLC and melanoma. Currently there are few approved combination immuno-oncology therapies although numerous drugs are undergoing active clinical investigation. We believe that if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were approved for the treatment of NSCLC or melanoma it would face competition from standard-of-care approaches and other investigational drugs being tested in combination with any of these approaches.</w:t>
      </w:r>
    </w:p>
    <w:p>
      <w:pPr>
        <w:spacing w:after="0" w:line="18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17"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acceptance of entinostat in combination with exemestane, </w:t>
      </w:r>
      <w:r>
        <w:rPr>
          <w:rFonts w:ascii="Arial" w:cs="Arial" w:eastAsia="Arial" w:hAnsi="Arial"/>
          <w:sz w:val="17"/>
          <w:szCs w:val="17"/>
          <w:i w:val="1"/>
          <w:iCs w:val="1"/>
          <w:color w:val="auto"/>
        </w:rPr>
        <w:t>Keytruda</w:t>
      </w:r>
      <w:r>
        <w:rPr>
          <w:rFonts w:ascii="Arial" w:cs="Arial" w:eastAsia="Arial" w:hAnsi="Arial"/>
          <w:sz w:val="17"/>
          <w:szCs w:val="17"/>
          <w:color w:val="auto"/>
        </w:rPr>
        <w:t>, and other drugs by physicians and other healthcare providers.</w:t>
      </w:r>
    </w:p>
    <w:p>
      <w:pPr>
        <w:spacing w:after="0" w:line="23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4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9" w:name="page40"/>
    <w:bookmarkEnd w:id="39"/>
    <w:p>
      <w:pPr>
        <w:ind w:right="20"/>
        <w:spacing w:after="0" w:line="269" w:lineRule="auto"/>
        <w:rPr>
          <w:sz w:val="20"/>
          <w:szCs w:val="20"/>
          <w:color w:val="auto"/>
        </w:rPr>
      </w:pPr>
      <w:r>
        <w:rPr>
          <w:rFonts w:ascii="Arial" w:cs="Arial" w:eastAsia="Arial" w:hAnsi="Arial"/>
          <w:sz w:val="17"/>
          <w:szCs w:val="17"/>
          <w:color w:val="auto"/>
        </w:rPr>
        <w:t>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9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right="60"/>
        <w:spacing w:after="0" w:line="264" w:lineRule="auto"/>
        <w:rPr>
          <w:sz w:val="20"/>
          <w:szCs w:val="20"/>
          <w:color w:val="auto"/>
        </w:rPr>
      </w:pPr>
      <w:r>
        <w:rPr>
          <w:rFonts w:ascii="Arial" w:cs="Arial" w:eastAsia="Arial" w:hAnsi="Arial"/>
          <w:sz w:val="18"/>
          <w:szCs w:val="18"/>
          <w:color w:val="auto"/>
        </w:rPr>
        <w:t>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1"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Some of the provisions of the Affordable Care Act have yet to be implemented, while certain provisions have been subject to judicial and Congressional challenges, as well as recent efforts by the Trump administration to repeal or replace certain aspects of the Affordable Care Act. Since January 2017, President Trump has signed two 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fees mandated by the Affordable Care Act,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July 2018, CMS published a final rule permitting further collections and payments to and from certain Affordable Care Act qualified health plans and health insurance issuers under its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the U.S. Congress as part of the Tax Cuts and Jobs Act of 2017 Act. While the Texas U.S. District Court Judge, as well as the Trump administration and CMS, have stated that the ruling will have no immediate effect pending appeal of the decision, it is unclear how this decision, subsequent appeals, and other efforts to repeal and replace the Affordable Care Act will impact the Affordable Care and our business. In addition, Congress may consider other legislation to repeal and replace elements of the Affordable Care Act.</w:t>
      </w:r>
    </w:p>
    <w:p>
      <w:pPr>
        <w:spacing w:after="0" w:line="183"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including the BBA, has extended the 2% reduction to 2027. In January 2013, then President Obama signed into law the American Taxpayer Relief Act of 2012, which, among other things,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520"/>
        <w:spacing w:after="0" w:line="277" w:lineRule="auto"/>
        <w:rPr>
          <w:sz w:val="20"/>
          <w:szCs w:val="20"/>
          <w:color w:val="auto"/>
        </w:rPr>
      </w:pPr>
      <w:r>
        <w:rPr>
          <w:rFonts w:ascii="Arial" w:cs="Arial" w:eastAsia="Arial" w:hAnsi="Arial"/>
          <w:sz w:val="18"/>
          <w:szCs w:val="18"/>
          <w:color w:val="auto"/>
        </w:rPr>
        <w:t>reduced Medicare payments to several types of providers and increased the statute of limitations period for the government to recover overpayments to providers from three to five years.</w:t>
      </w:r>
    </w:p>
    <w:p>
      <w:pPr>
        <w:spacing w:after="0" w:line="17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years 2019 and 2020 contain additional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The Trump administration also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in September 2018, CMS announced that it will allow Medicare Advantage Plans the option to use step therapy for Part B drugs beginning January 1, 2019. While some of these and other-sharing for generic drugs for low-income patients. While proposed measures will require authorization through additional legislation to become effective, Congress and the Trump administration have each indicated that it will continue to seek new legislative, administrative and executive measures, including the President’s issuance of future executive orders,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0"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right="12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4" w:lineRule="exact"/>
        <w:rPr>
          <w:sz w:val="20"/>
          <w:szCs w:val="20"/>
          <w:color w:val="auto"/>
        </w:rPr>
      </w:pPr>
    </w:p>
    <w:p>
      <w:pPr>
        <w:ind w:left="1040" w:right="300" w:hanging="519"/>
        <w:spacing w:after="0" w:line="279"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040" w:right="40" w:hanging="519"/>
        <w:spacing w:after="0" w:line="259"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040" w:hanging="519"/>
        <w:spacing w:after="0" w:line="297"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and</w:t>
      </w:r>
    </w:p>
    <w:p>
      <w:pPr>
        <w:spacing w:after="0" w:line="50" w:lineRule="exact"/>
        <w:rPr>
          <w:rFonts w:ascii="Arial" w:cs="Arial" w:eastAsia="Arial" w:hAnsi="Arial"/>
          <w:sz w:val="16"/>
          <w:szCs w:val="16"/>
          <w:color w:val="auto"/>
        </w:rPr>
      </w:pPr>
    </w:p>
    <w:p>
      <w:pPr>
        <w:ind w:left="1040" w:right="20" w:hanging="519"/>
        <w:spacing w:after="0" w:line="269"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manufactures to report pricing information regarding certain drugs;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3" w:name="page44"/>
    <w:bookmarkEnd w:id="43"/>
    <w:p>
      <w:pPr>
        <w:ind w:firstLine="518"/>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six months ended June 30, 2019, we reported a net loss of $29.2 million; and as of June 30, 2019, we had an accumulated deficit of</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$468.6 million, which included non-cash charges for stock-based compensation, preferred stock accretion and extinguishment charges.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both"/>
        <w:ind w:right="140"/>
        <w:spacing w:after="0" w:line="286" w:lineRule="auto"/>
        <w:rPr>
          <w:sz w:val="20"/>
          <w:szCs w:val="20"/>
          <w:color w:val="auto"/>
        </w:rPr>
      </w:pPr>
      <w:r>
        <w:rPr>
          <w:rFonts w:ascii="Arial" w:cs="Arial" w:eastAsia="Arial" w:hAnsi="Arial"/>
          <w:sz w:val="17"/>
          <w:szCs w:val="17"/>
          <w:color w:val="auto"/>
        </w:rPr>
        <w:t>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166"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9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For example, we may discover that we need to conduct additional activities that exceed our current budget to achieve appropriate rates of patient enrollment, which would increase our development costs.</w:t>
      </w:r>
    </w:p>
    <w:p>
      <w:pPr>
        <w:spacing w:after="0" w:line="15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0"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our product candidates or cease operations altogether;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040" w:right="440" w:hanging="519"/>
        <w:spacing w:after="0" w:line="264"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left="1040" w:right="1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need to implement additional internal systems and infrastructure, including financial and reporting systems, as we grow our company.</w:t>
      </w:r>
    </w:p>
    <w:p>
      <w:pPr>
        <w:spacing w:after="0" w:line="23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March 31, 2019 and determined that on March 30, 2007 and August 21, 2015 ownership changes had occurred. We did not experience ownership changes since August 21, 2015 but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December 22, 2017, the Tax Cuts and Jobs Act of 2017, or the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net operating losses to 80% of current year taxable income in respect of net operating losses generated during or after 2018 and elimination of net operating loss carrybacks, (iv) one-time taxation of offshore earnings at reduced rates regardless of whether they are repatriated, (v) immediate deductions for certain new investments instead of deductions for depreciation expense over time, and (vi) modifying or repealing many business deductions and credits. Any federal net operating loss incurred in 2018 and in future years may now be carried forward indefinitely pursuant to the Tax Act. It is uncertain if and to what extent various states will conform to the newly enacted federal tax law. We will continue to examine the impact the Tax Act may have on our business.</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6" w:name="page47"/>
    <w:bookmarkEnd w:id="46"/>
    <w:p>
      <w:pPr>
        <w:ind w:right="80" w:firstLine="51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18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ind w:right="40" w:firstLine="51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17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portfolio that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16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portfolio that we licensed from Vitae Pharmaceuticals, a subsidiary of Allergan, includes patent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patents will be granted based on the pending applications that we licensed from Allergan or even if one or more patents are granted that the claims issued in those patents would cover the desired lead compounds, compositions, and methods of use thereof. Based on the priority date and filing date of the applications in the portfolio that we licensed from Allergan, we expect that a patent, if any, granted based on the currently pending applications would expire in 2036. The actual term of any patents granted based on the pending applications that we licensed from Allergan can only be determined after such patents are actually granted.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8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ind w:right="760"/>
        <w:spacing w:after="0" w:line="277" w:lineRule="auto"/>
        <w:rPr>
          <w:sz w:val="20"/>
          <w:szCs w:val="20"/>
          <w:color w:val="auto"/>
        </w:rPr>
      </w:pPr>
      <w:r>
        <w:rPr>
          <w:rFonts w:ascii="Arial" w:cs="Arial" w:eastAsia="Arial" w:hAnsi="Arial"/>
          <w:sz w:val="18"/>
          <w:szCs w:val="18"/>
          <w:color w:val="auto"/>
        </w:rPr>
        <w:t>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62"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If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right="120" w:firstLine="51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commercial success depends upon our ability to develop, manufacture, market and sell SNDX-5613. Subject to the achievement of certain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milestone events, we may be required to pay Vitae, a subsidiary of Allergan, up to $99 million in one-time development and regulatory milestone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term of the Allergan license agreement. In the event that we or any of our affiliates or sublicensees commercializes SNDX-5613, we will also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obligated to pay Allergan low single to low double-digit royalties on sales, subject to reduction in certain circumstances, as well as up to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 million in potential one-time sales-based milestone payments based on achievement of certain annual sales thresholds. Under certain circumstances,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required to share a percentage of non-royalty income from sublicensees, subject to certain deductions, with Allergan.</w:t>
      </w:r>
    </w:p>
    <w:p>
      <w:pPr>
        <w:spacing w:after="0" w:line="211"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license agreement if we seek to revoke or challenge the validity of any patent licensed to us by Allergan under the license agreement or if we procure or assist a third party to take any such action.</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SNDX-5613 have occurred and the last-to-expire relevant patent covering SNDX-5613 in a given country may change in the future.</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0"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ind w:right="80" w:firstLine="518"/>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ind w:right="100"/>
        <w:spacing w:after="0" w:line="302" w:lineRule="auto"/>
        <w:rPr>
          <w:sz w:val="20"/>
          <w:szCs w:val="20"/>
          <w:color w:val="auto"/>
        </w:rPr>
      </w:pPr>
      <w:r>
        <w:rPr>
          <w:rFonts w:ascii="Arial" w:cs="Arial" w:eastAsia="Arial" w:hAnsi="Arial"/>
          <w:sz w:val="16"/>
          <w:szCs w:val="16"/>
          <w:color w:val="auto"/>
        </w:rPr>
        <w:t>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154"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18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w:t>
      </w:r>
    </w:p>
    <w:p>
      <w:pPr>
        <w:spacing w:after="0" w:line="28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40" w:right="8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In April 2017, we filed a shelf registration statement on Form S-3 (Registration No. 333-217172) that allows us to sell up to an aggregate of $200 million of our common stock, which includes up to $50.0 million designated in the prospectus supplement for an at-the-market offering program, or ATM program. As of June 30, 2019, $31.2 million of common stock remained available for sale under the at-the-market offering program. We have sold no additional shares of common stock since June 30, 2019, and through the date of this filing.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2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of June 30, 2019, our executive officers, directors, holders of 5% or more of our capital stock and their respective affiliates beneficially own approximately 59% of our outstanding voting stock and options.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ind w:right="40"/>
        <w:spacing w:after="0" w:line="264" w:lineRule="auto"/>
        <w:rPr>
          <w:sz w:val="20"/>
          <w:szCs w:val="20"/>
          <w:color w:val="auto"/>
        </w:rPr>
      </w:pPr>
      <w:r>
        <w:rPr>
          <w:rFonts w:ascii="Arial" w:cs="Arial" w:eastAsia="Arial" w:hAnsi="Arial"/>
          <w:sz w:val="18"/>
          <w:szCs w:val="18"/>
          <w:color w:val="auto"/>
        </w:rPr>
        <w:t>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9"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may avail ourselves of reduced disclosure requirements applicable to emerging growth companies, which could make our common stock less attractive to investors and adversely affect the market price of our common stock.</w:t>
      </w:r>
    </w:p>
    <w:p>
      <w:pPr>
        <w:spacing w:after="0" w:line="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040" w:right="480" w:hanging="519"/>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8" w:lineRule="exact"/>
        <w:rPr>
          <w:rFonts w:ascii="Arial" w:cs="Arial" w:eastAsia="Arial" w:hAnsi="Arial"/>
          <w:sz w:val="17"/>
          <w:szCs w:val="17"/>
          <w:color w:val="auto"/>
        </w:rPr>
      </w:pPr>
    </w:p>
    <w:p>
      <w:pPr>
        <w:ind w:left="1040" w:hanging="519"/>
        <w:spacing w:after="0" w:line="259"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78"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040" w:right="4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88"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6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right="60" w:firstLine="518"/>
        <w:spacing w:after="0" w:line="302" w:lineRule="auto"/>
        <w:rPr>
          <w:sz w:val="20"/>
          <w:szCs w:val="20"/>
          <w:color w:val="auto"/>
        </w:rPr>
      </w:pPr>
      <w:r>
        <w:rPr>
          <w:rFonts w:ascii="Arial" w:cs="Arial" w:eastAsia="Arial" w:hAnsi="Arial"/>
          <w:sz w:val="16"/>
          <w:szCs w:val="16"/>
          <w:color w:val="auto"/>
        </w:rPr>
        <w:t>Some of the holders of our securities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trading price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24"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line="264" w:lineRule="auto"/>
        <w:rPr>
          <w:sz w:val="20"/>
          <w:szCs w:val="20"/>
          <w:color w:val="auto"/>
        </w:rPr>
      </w:pPr>
      <w:r>
        <w:rPr>
          <w:rFonts w:ascii="Arial" w:cs="Arial" w:eastAsia="Arial" w:hAnsi="Arial"/>
          <w:sz w:val="18"/>
          <w:szCs w:val="18"/>
          <w:color w:val="auto"/>
        </w:rPr>
        <w:t>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gridSpan w:val="19"/>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12"/>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6"/>
              </w:rPr>
            </w:pPr>
            <w:hyperlink r:id="rId78">
              <w:r>
                <w:rPr>
                  <w:rFonts w:ascii="Arial" w:cs="Arial" w:eastAsia="Arial" w:hAnsi="Arial"/>
                  <w:sz w:val="18"/>
                  <w:szCs w:val="18"/>
                  <w:color w:val="0000EE"/>
                  <w:w w:val="96"/>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Current Report on Form 8-K (File No. 001-37708), as filed with the SEC on March 8, 2016).</w:t>
              </w:r>
            </w:hyperlink>
          </w:p>
        </w:tc>
        <w:tc>
          <w:tcPr>
            <w:tcW w:w="5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Amended and Restated Bylaws of the Company (incorporated herein by reference to Exhibit 3.2 to the Company’s Current Report on Form 8-</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K (File No. 001-37708), as filed with the SEC on March 8,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620" w:type="dxa"/>
            <w:vAlign w:val="bottom"/>
            <w:tcBorders>
              <w:bottom w:val="single" w:sz="8" w:color="0000EE"/>
            </w:tcBorders>
            <w:gridSpan w:val="10"/>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Specimen Common Stock Certificate of the Company (incorporated herein by reference to Exhibit 4.1 to the Company’s Registration</w:t>
              </w:r>
            </w:hyperlink>
          </w:p>
        </w:tc>
        <w:tc>
          <w:tcPr>
            <w:tcW w:w="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Statement on Form S-1/A (File No. 333-208861), as filed with the SEC on February 10, 2016).</w:t>
              </w:r>
            </w:hyperlink>
          </w:p>
        </w:tc>
        <w:tc>
          <w:tcPr>
            <w:tcW w:w="3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8"/>
              </w:rPr>
            </w:pPr>
            <w:hyperlink r:id="rId81">
              <w:r>
                <w:rPr>
                  <w:rFonts w:ascii="Arial" w:cs="Arial" w:eastAsia="Arial" w:hAnsi="Arial"/>
                  <w:sz w:val="18"/>
                  <w:szCs w:val="18"/>
                  <w:color w:val="0000EE"/>
                  <w:w w:val="98"/>
                </w:rPr>
                <w:t>Form of Pre-Funded Warrant to purchase Common Stock issued pursuant to the Exchange Agreement between the Company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620" w:type="dxa"/>
            <w:vAlign w:val="bottom"/>
            <w:gridSpan w:val="4"/>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w w:val="93"/>
              </w:rPr>
            </w:pPr>
            <w:hyperlink r:id="rId81">
              <w:r>
                <w:rPr>
                  <w:rFonts w:ascii="Arial" w:cs="Arial" w:eastAsia="Arial" w:hAnsi="Arial"/>
                  <w:sz w:val="18"/>
                  <w:szCs w:val="18"/>
                  <w:color w:val="0000EE"/>
                  <w:w w:val="93"/>
                </w:rPr>
                <w:t>Biotechnology Value Fund, L.P., Biotechnology Value Fund II, L.P. and Biotechnology Value Trading Fund OS, L.P., dated June 18, 2018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080" w:type="dxa"/>
            <w:vAlign w:val="bottom"/>
            <w:gridSpan w:val="7"/>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(incorporated by reference to Exhibit 4.1 to the Company’s Current Report on Form 8-K (File No. 001-37708), as filed with the SEC on June</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81">
              <w:r>
                <w:rPr>
                  <w:rFonts w:ascii="Arial" w:cs="Arial" w:eastAsia="Arial" w:hAnsi="Arial"/>
                  <w:sz w:val="18"/>
                  <w:szCs w:val="18"/>
                  <w:color w:val="0000EE"/>
                  <w:w w:val="88"/>
                </w:rPr>
                <w:t>20, 2018).</w:t>
              </w:r>
            </w:hyperlink>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160" w:type="dxa"/>
            <w:vAlign w:val="bottom"/>
            <w:tcBorders>
              <w:bottom w:val="single" w:sz="8" w:color="0000EE"/>
            </w:tcBorders>
            <w:gridSpan w:val="15"/>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Form of Series Warrant to purchase Common Stock (incorporated by reference to Exhibit 4.1 to the Company’s Current Report on Form 8-K</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(File No. 001-37708), as filed with the SEC on March 29,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9760" w:type="dxa"/>
            <w:vAlign w:val="bottom"/>
            <w:tcBorders>
              <w:bottom w:val="single" w:sz="8" w:color="0000EE"/>
            </w:tcBorders>
            <w:gridSpan w:val="12"/>
          </w:tcPr>
          <w:p>
            <w:pPr>
              <w:spacing w:after="0"/>
              <w:rPr>
                <w:rFonts w:ascii="Arial" w:cs="Arial" w:eastAsia="Arial" w:hAnsi="Arial"/>
                <w:sz w:val="18"/>
                <w:szCs w:val="18"/>
                <w:color w:val="0000EE"/>
                <w:w w:val="88"/>
              </w:rPr>
            </w:pPr>
            <w:hyperlink r:id="rId83">
              <w:r>
                <w:rPr>
                  <w:rFonts w:ascii="Arial" w:cs="Arial" w:eastAsia="Arial" w:hAnsi="Arial"/>
                  <w:sz w:val="18"/>
                  <w:szCs w:val="18"/>
                  <w:color w:val="0000EE"/>
                  <w:w w:val="88"/>
                </w:rPr>
                <w:t>Form of Pre-Funded Warrant issued pursuant to the securities purchase agreement between the Company and Certain Purchasers, dated</w:t>
              </w:r>
            </w:hyperlink>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March 26, 2019 (incorporated by reference to Exhibit 4.2 to the Company’s Current Report on Form 8-K (File No. 001-37708), as filed with</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the SEC on March 29, 2019).</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Certification of Principal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1934, as amended.</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613"/>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99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Principal Financial Officer pursuant to Rules 13a-14(a) and 15d-14(a) promulgated under the Securities Exchange Act of</w:t>
              </w:r>
            </w:hyperlink>
          </w:p>
        </w:tc>
        <w:tc>
          <w:tcPr>
            <w:tcW w:w="3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1934, as amended.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62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jc w:val="right"/>
              <w:ind w:right="513"/>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Certifications of Chief Executive Officer and Chief Financial Officer 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of the Sarbanes-Oxley Act of 2002.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160" w:right="20" w:hanging="1152"/>
        <w:spacing w:after="0" w:line="259"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June 30, 2019,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9690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40" w:lineRule="exact"/>
        <w:rPr>
          <w:sz w:val="20"/>
          <w:szCs w:val="20"/>
          <w:color w:val="auto"/>
        </w:rPr>
      </w:pPr>
    </w:p>
    <w:p>
      <w:pPr>
        <w:jc w:val="both"/>
        <w:ind w:left="520" w:right="440" w:hanging="512"/>
        <w:spacing w:after="0" w:line="31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4"/>
              </w:rPr>
              <w:t>(Principal Executive Officer and Principal Accounting</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700" w:hanging="17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526"/>
        <w:spacing w:after="0" w:line="264" w:lineRule="auto"/>
        <w:tabs>
          <w:tab w:leader="none" w:pos="6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499"/>
        <w:spacing w:after="0" w:line="277" w:lineRule="auto"/>
        <w:tabs>
          <w:tab w:leader="none" w:pos="12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August 7, 2019</w:t>
            </w:r>
          </w:p>
        </w:tc>
        <w:tc>
          <w:tcPr>
            <w:tcW w:w="7200" w:type="dxa"/>
            <w:vAlign w:val="bottom"/>
            <w:gridSpan w:val="2"/>
          </w:tcPr>
          <w:p>
            <w:pPr>
              <w:ind w:left="2660"/>
              <w:spacing w:after="0"/>
              <w:rPr>
                <w:sz w:val="20"/>
                <w:szCs w:val="20"/>
                <w:color w:val="auto"/>
              </w:rPr>
            </w:pPr>
            <w:r>
              <w:rPr>
                <w:rFonts w:ascii="Arial" w:cs="Arial" w:eastAsia="Arial" w:hAnsi="Arial"/>
                <w:sz w:val="18"/>
                <w:szCs w:val="18"/>
                <w:color w:val="auto"/>
              </w:rPr>
              <w:t>By:  /s/ Briggs W. Morrison, M.D.</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225" w:lineRule="exact"/>
        <w:rPr>
          <w:sz w:val="20"/>
          <w:szCs w:val="20"/>
          <w:color w:val="auto"/>
        </w:rPr>
      </w:pPr>
    </w:p>
    <w:p>
      <w:pPr>
        <w:ind w:left="700" w:hanging="17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526"/>
        <w:spacing w:after="0" w:line="264" w:lineRule="auto"/>
        <w:tabs>
          <w:tab w:leader="none" w:pos="69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499"/>
        <w:spacing w:after="0" w:line="342" w:lineRule="auto"/>
        <w:tabs>
          <w:tab w:leader="none" w:pos="1259"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40" w:firstLine="499"/>
        <w:spacing w:after="0" w:line="277" w:lineRule="auto"/>
        <w:tabs>
          <w:tab w:leader="none" w:pos="127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August 7, 2019</w:t>
            </w:r>
          </w:p>
        </w:tc>
        <w:tc>
          <w:tcPr>
            <w:tcW w:w="7200" w:type="dxa"/>
            <w:vAlign w:val="bottom"/>
            <w:gridSpan w:val="2"/>
          </w:tcPr>
          <w:p>
            <w:pPr>
              <w:ind w:left="2680"/>
              <w:spacing w:after="0"/>
              <w:rPr>
                <w:sz w:val="20"/>
                <w:szCs w:val="20"/>
                <w:color w:val="auto"/>
              </w:rPr>
            </w:pPr>
            <w:r>
              <w:rPr>
                <w:rFonts w:ascii="Arial" w:cs="Arial" w:eastAsia="Arial" w:hAnsi="Arial"/>
                <w:sz w:val="18"/>
                <w:szCs w:val="18"/>
                <w:color w:val="auto"/>
              </w:rPr>
              <w:t>By:  /s/ Richard P. Shea</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8"/>
              </w:rPr>
              <w:t>(Principal Financial Officer and Principal Accounting</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513"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June 30, 2019,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August 7, 2019</w:t>
            </w: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3"/>
        </w:trPr>
        <w:tc>
          <w:tcPr>
            <w:tcW w:w="4220" w:type="dxa"/>
            <w:vAlign w:val="bottom"/>
          </w:tcPr>
          <w:p>
            <w:pPr>
              <w:spacing w:after="0"/>
              <w:rPr>
                <w:sz w:val="20"/>
                <w:szCs w:val="20"/>
                <w:color w:val="auto"/>
              </w:rPr>
            </w:pPr>
            <w:r>
              <w:rPr>
                <w:rFonts w:ascii="Arial" w:cs="Arial" w:eastAsia="Arial" w:hAnsi="Arial"/>
                <w:sz w:val="18"/>
                <w:szCs w:val="18"/>
                <w:color w:val="auto"/>
              </w:rPr>
              <w:t>Date: August 7, 2019</w:t>
            </w:r>
          </w:p>
        </w:tc>
        <w:tc>
          <w:tcPr>
            <w:tcW w:w="310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42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30"/>
        </w:trPr>
        <w:tc>
          <w:tcPr>
            <w:tcW w:w="42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lowerRoman"/>
      <w:start w:val="2"/>
    </w:lvl>
  </w:abstractNum>
  <w:abstractNum w:abstractNumId="5">
    <w:nsid w:val="75A2A8D4"/>
    <w:multiLevelType w:val="hybridMultilevel"/>
    <w:lvl w:ilvl="0">
      <w:lvlJc w:val="left"/>
      <w:lvlText w:val="1"/>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0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78" Type="http://schemas.openxmlformats.org/officeDocument/2006/relationships/hyperlink" Target="http://www.sec.gov/Archives/edgar/data/1395937/000119312516496764/d119516dex31.htm" TargetMode="External"/><Relationship Id="rId79" Type="http://schemas.openxmlformats.org/officeDocument/2006/relationships/hyperlink" Target="http://www.sec.gov/Archives/edgar/data/1395937/000119312516496764/d119516dex32.htm" TargetMode="External"/><Relationship Id="rId80" Type="http://schemas.openxmlformats.org/officeDocument/2006/relationships/hyperlink" Target="http://www.sec.gov/Archives/edgar/data/1395937/000119312516457615/d117131dex41.htm" TargetMode="External"/><Relationship Id="rId81" Type="http://schemas.openxmlformats.org/officeDocument/2006/relationships/hyperlink" Target="http://www.sec.gov/Archives/edgar/data/1395937/000119312518197997/d617552dex41.htm" TargetMode="External"/><Relationship Id="rId82" Type="http://schemas.openxmlformats.org/officeDocument/2006/relationships/hyperlink" Target="http://www.sec.gov/Archives/edgar/data/1395937/000119312519092679/d730757dex41.htm" TargetMode="External"/><Relationship Id="rId83" Type="http://schemas.openxmlformats.org/officeDocument/2006/relationships/hyperlink" Target="http://www.sec.gov/Archives/edgar/data/1395937/000119312519092679/d73075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2019-12-28T08:01:22Z</dcterms:created>
  <dcterms:modified xsi:type="dcterms:W3CDTF">2019-12-28T08:01:22Z</dcterms:modified>
</cp:coreProperties>
</file>