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Syndax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360" w:type="dxa"/>
        <w:tblCellMar>
          <w:top w:w="0" w:type="dxa"/>
          <w:left w:w="0" w:type="dxa"/>
          <w:bottom w:w="0" w:type="dxa"/>
          <w:right w:w="0" w:type="dxa"/>
        </w:tblCellMar>
      </w:tblPr>
      <w:tr>
        <w:trPr>
          <w:trHeight w:val="212"/>
        </w:trPr>
        <w:tc>
          <w:tcPr>
            <w:tcW w:w="6380" w:type="dxa"/>
            <w:vAlign w:val="bottom"/>
          </w:tcPr>
          <w:p>
            <w:pPr>
              <w:jc w:val="center"/>
              <w:ind w:right="3239"/>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32-0162505</w:t>
            </w:r>
          </w:p>
        </w:tc>
      </w:tr>
      <w:tr>
        <w:trPr>
          <w:trHeight w:val="149"/>
        </w:trPr>
        <w:tc>
          <w:tcPr>
            <w:tcW w:w="6380" w:type="dxa"/>
            <w:vAlign w:val="bottom"/>
          </w:tcPr>
          <w:p>
            <w:pPr>
              <w:jc w:val="center"/>
              <w:ind w:right="32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8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380" w:type="dxa"/>
            <w:vAlign w:val="bottom"/>
          </w:tcPr>
          <w:p>
            <w:pPr>
              <w:jc w:val="center"/>
              <w:ind w:right="3239"/>
              <w:spacing w:after="0"/>
              <w:rPr>
                <w:sz w:val="20"/>
                <w:szCs w:val="20"/>
                <w:color w:val="auto"/>
              </w:rPr>
            </w:pPr>
            <w:r>
              <w:rPr>
                <w:rFonts w:ascii="Arial" w:cs="Arial" w:eastAsia="Arial" w:hAnsi="Arial"/>
                <w:sz w:val="14"/>
                <w:szCs w:val="14"/>
                <w:b w:val="1"/>
                <w:bCs w:val="1"/>
                <w:color w:val="auto"/>
                <w:w w:val="95"/>
              </w:rPr>
              <w:t>Incorporation or Organization)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380" w:type="dxa"/>
            <w:vAlign w:val="bottom"/>
          </w:tcPr>
          <w:p>
            <w:pPr>
              <w:jc w:val="center"/>
              <w:ind w:right="3219"/>
              <w:spacing w:after="0"/>
              <w:rPr>
                <w:sz w:val="20"/>
                <w:szCs w:val="20"/>
                <w:color w:val="auto"/>
              </w:rPr>
            </w:pPr>
            <w:r>
              <w:rPr>
                <w:rFonts w:ascii="Arial" w:cs="Arial" w:eastAsia="Arial" w:hAnsi="Arial"/>
                <w:sz w:val="18"/>
                <w:szCs w:val="18"/>
                <w:b w:val="1"/>
                <w:bCs w:val="1"/>
                <w:color w:val="auto"/>
                <w:w w:val="91"/>
              </w:rPr>
              <w:t>35 Gatehouse Drive, Building D, Floor 3</w:t>
            </w:r>
          </w:p>
        </w:tc>
        <w:tc>
          <w:tcPr>
            <w:tcW w:w="1480" w:type="dxa"/>
            <w:vAlign w:val="bottom"/>
          </w:tcPr>
          <w:p>
            <w:pPr>
              <w:spacing w:after="0"/>
              <w:rPr>
                <w:sz w:val="24"/>
                <w:szCs w:val="24"/>
                <w:color w:val="auto"/>
              </w:rPr>
            </w:pPr>
          </w:p>
        </w:tc>
      </w:tr>
      <w:tr>
        <w:trPr>
          <w:trHeight w:val="225"/>
        </w:trPr>
        <w:tc>
          <w:tcPr>
            <w:tcW w:w="6380" w:type="dxa"/>
            <w:vAlign w:val="bottom"/>
          </w:tcPr>
          <w:p>
            <w:pPr>
              <w:jc w:val="center"/>
              <w:ind w:right="3239"/>
              <w:spacing w:after="0"/>
              <w:rPr>
                <w:sz w:val="20"/>
                <w:szCs w:val="20"/>
                <w:color w:val="auto"/>
              </w:rPr>
            </w:pPr>
            <w:r>
              <w:rPr>
                <w:rFonts w:ascii="Arial" w:cs="Arial" w:eastAsia="Arial" w:hAnsi="Arial"/>
                <w:sz w:val="18"/>
                <w:szCs w:val="18"/>
                <w:b w:val="1"/>
                <w:bCs w:val="1"/>
                <w:color w:val="auto"/>
                <w:w w:val="88"/>
              </w:rPr>
              <w:t>Waltham, Massachusetts</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6380" w:type="dxa"/>
            <w:vAlign w:val="bottom"/>
          </w:tcPr>
          <w:p>
            <w:pPr>
              <w:jc w:val="center"/>
              <w:ind w:right="32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380" w:type="dxa"/>
            <w:vAlign w:val="bottom"/>
          </w:tcPr>
          <w:p>
            <w:pPr>
              <w:jc w:val="right"/>
              <w:ind w:right="1379"/>
              <w:spacing w:after="0"/>
              <w:rPr>
                <w:sz w:val="20"/>
                <w:szCs w:val="20"/>
                <w:color w:val="auto"/>
              </w:rPr>
            </w:pPr>
            <w:r>
              <w:rPr>
                <w:rFonts w:ascii="Arial" w:cs="Arial" w:eastAsia="Arial" w:hAnsi="Arial"/>
                <w:sz w:val="18"/>
                <w:szCs w:val="18"/>
                <w:b w:val="1"/>
                <w:bCs w:val="1"/>
                <w:color w:val="auto"/>
              </w:rPr>
              <w:t>(781) 419-1400</w:t>
            </w:r>
          </w:p>
        </w:tc>
        <w:tc>
          <w:tcPr>
            <w:tcW w:w="1480" w:type="dxa"/>
            <w:vAlign w:val="bottom"/>
          </w:tcPr>
          <w:p>
            <w:pPr>
              <w:spacing w:after="0"/>
              <w:rPr>
                <w:sz w:val="24"/>
                <w:szCs w:val="24"/>
                <w:color w:val="auto"/>
              </w:rPr>
            </w:pPr>
          </w:p>
        </w:tc>
      </w:tr>
      <w:tr>
        <w:trPr>
          <w:trHeight w:val="186"/>
        </w:trPr>
        <w:tc>
          <w:tcPr>
            <w:tcW w:w="6380" w:type="dxa"/>
            <w:vAlign w:val="bottom"/>
          </w:tcPr>
          <w:p>
            <w:pPr>
              <w:jc w:val="center"/>
              <w:ind w:left="225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ind w:right="3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or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80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May 2, 2017, there were 18,255,943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48"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trials of entinostat in lung cancer, melanoma, microsatellite stable colorectal cancer, ovarian cancer, and triple negative breast cancer;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3 clinical trial of entinostat in advanced HR+, HER2- breast cancer;</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clinical trial of SNDX-6352 and the potential use of SNDX-6352 to treat various cancer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use of entinostat to treat additional tumor types, including head and neck, bladder and renal cells;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Hakko Kirin Co., Ltd. and UCB Biopharma Sprl;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980" w:type="dxa"/>
            <w:vAlign w:val="bottom"/>
            <w:gridSpan w:val="9"/>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7"/>
            <w:vMerge w:val="continue"/>
          </w:tcPr>
          <w:p>
            <w:pPr>
              <w:spacing w:after="0"/>
              <w:rPr>
                <w:sz w:val="13"/>
                <w:szCs w:val="13"/>
                <w:color w:val="auto"/>
              </w:rPr>
            </w:pPr>
          </w:p>
        </w:tc>
        <w:tc>
          <w:tcPr>
            <w:tcW w:w="7980" w:type="dxa"/>
            <w:vAlign w:val="bottom"/>
            <w:gridSpan w:val="9"/>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Financial Statements:</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63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as of March 31, 2017 and December 31, 2016</w:t>
              </w:r>
            </w:hyperlink>
          </w:p>
        </w:tc>
        <w:tc>
          <w:tcPr>
            <w:tcW w:w="362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4"/>
                <w:szCs w:val="24"/>
                <w:color w:val="auto"/>
              </w:rPr>
            </w:pPr>
          </w:p>
        </w:tc>
        <w:tc>
          <w:tcPr>
            <w:tcW w:w="8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months ended March 31, 2017 and 2016</w:t>
              </w:r>
            </w:hyperlink>
          </w:p>
        </w:tc>
        <w:tc>
          <w:tcPr>
            <w:tcW w:w="16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2017 and 2016</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4"/>
                <w:szCs w:val="24"/>
                <w:color w:val="auto"/>
              </w:rPr>
            </w:pPr>
          </w:p>
        </w:tc>
        <w:tc>
          <w:tcPr>
            <w:tcW w:w="758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36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4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558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8280" w:type="dxa"/>
            <w:vAlign w:val="bottom"/>
            <w:gridSpan w:val="11"/>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62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560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5"/>
          </w:tcPr>
          <w:p>
            <w:pPr>
              <w:ind w:left="180"/>
              <w:spacing w:after="0"/>
              <w:rPr>
                <w:sz w:val="20"/>
                <w:szCs w:val="20"/>
                <w:color w:val="auto"/>
              </w:rPr>
            </w:pPr>
            <w:r>
              <w:rPr>
                <w:rFonts w:ascii="Arial" w:cs="Arial" w:eastAsia="Arial" w:hAnsi="Arial"/>
                <w:sz w:val="18"/>
                <w:szCs w:val="18"/>
                <w:color w:val="auto"/>
              </w:rPr>
              <w:t>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20" w:type="dxa"/>
            <w:vAlign w:val="bottom"/>
          </w:tcPr>
          <w:p>
            <w:pPr>
              <w:jc w:val="center"/>
              <w:ind w:left="1510"/>
              <w:spacing w:after="0"/>
              <w:rPr>
                <w:sz w:val="20"/>
                <w:szCs w:val="20"/>
                <w:color w:val="auto"/>
              </w:rPr>
            </w:pPr>
            <w:r>
              <w:rPr>
                <w:rFonts w:ascii="Arial" w:cs="Arial" w:eastAsia="Arial" w:hAnsi="Arial"/>
                <w:sz w:val="18"/>
                <w:szCs w:val="18"/>
                <w:b w:val="1"/>
                <w:bCs w:val="1"/>
                <w:color w:val="auto"/>
              </w:rPr>
              <w:t>SYNDAX PHARMACEUTICALS, INC.</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20" w:type="dxa"/>
            <w:vAlign w:val="bottom"/>
          </w:tcPr>
          <w:p>
            <w:pPr>
              <w:jc w:val="center"/>
              <w:ind w:left="15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2016</w:t>
            </w:r>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24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22,356</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23,844</w:t>
            </w:r>
          </w:p>
        </w:tc>
      </w:tr>
      <w:tr>
        <w:trPr>
          <w:trHeight w:val="216"/>
        </w:trPr>
        <w:tc>
          <w:tcPr>
            <w:tcW w:w="20" w:type="dxa"/>
            <w:vAlign w:val="bottom"/>
          </w:tcPr>
          <w:p>
            <w:pPr>
              <w:spacing w:after="0"/>
              <w:rPr>
                <w:sz w:val="18"/>
                <w:szCs w:val="18"/>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70,429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81,486</w:t>
            </w:r>
          </w:p>
        </w:tc>
      </w:tr>
      <w:tr>
        <w:trPr>
          <w:trHeight w:val="223"/>
        </w:trPr>
        <w:tc>
          <w:tcPr>
            <w:tcW w:w="20" w:type="dxa"/>
            <w:vAlign w:val="bottom"/>
          </w:tcPr>
          <w:p>
            <w:pPr>
              <w:spacing w:after="0"/>
              <w:rPr>
                <w:sz w:val="19"/>
                <w:szCs w:val="19"/>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97,057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108,510</w:t>
            </w: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97,667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2,741</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w:t>
            </w:r>
          </w:p>
        </w:tc>
      </w:tr>
      <w:tr>
        <w:trPr>
          <w:trHeight w:val="216"/>
        </w:trPr>
        <w:tc>
          <w:tcPr>
            <w:tcW w:w="20" w:type="dxa"/>
            <w:vAlign w:val="bottom"/>
          </w:tcPr>
          <w:p>
            <w:pPr>
              <w:spacing w:after="0"/>
              <w:rPr>
                <w:sz w:val="18"/>
                <w:szCs w:val="18"/>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7,028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6,771</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r>
      <w:tr>
        <w:trPr>
          <w:trHeight w:val="230"/>
        </w:trPr>
        <w:tc>
          <w:tcPr>
            <w:tcW w:w="8480" w:type="dxa"/>
            <w:vAlign w:val="bottom"/>
            <w:gridSpan w:val="4"/>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Deferred revenue, less current portion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13,915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14,220</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r>
      <w:tr>
        <w:trPr>
          <w:trHeight w:val="230"/>
        </w:trPr>
        <w:tc>
          <w:tcPr>
            <w:tcW w:w="8480" w:type="dxa"/>
            <w:vAlign w:val="bottom"/>
            <w:gridSpan w:val="4"/>
          </w:tcPr>
          <w:p>
            <w:pPr>
              <w:spacing w:after="0"/>
              <w:rPr>
                <w:sz w:val="20"/>
                <w:szCs w:val="20"/>
                <w:color w:val="auto"/>
              </w:rPr>
            </w:pPr>
            <w:r>
              <w:rPr>
                <w:rFonts w:ascii="Arial" w:cs="Arial" w:eastAsia="Arial" w:hAnsi="Arial"/>
                <w:sz w:val="18"/>
                <w:szCs w:val="18"/>
                <w:color w:val="auto"/>
              </w:rPr>
              <w:t>Total long-term liabilities</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liabilities</w:t>
            </w: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25,052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24,874</w:t>
            </w: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w w:val="99"/>
              </w:rPr>
              <w:t>Commitments</w:t>
            </w:r>
          </w:p>
        </w:tc>
        <w:tc>
          <w:tcPr>
            <w:tcW w:w="24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46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Preferred stock, $0.001 par value, 10,000,000 shares authorized; 0 shares outstanding at March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460" w:type="dxa"/>
            <w:vAlign w:val="bottom"/>
            <w:gridSpan w:val="3"/>
          </w:tcPr>
          <w:p>
            <w:pPr>
              <w:ind w:left="520"/>
              <w:spacing w:after="0"/>
              <w:rPr>
                <w:sz w:val="20"/>
                <w:szCs w:val="20"/>
                <w:color w:val="auto"/>
              </w:rPr>
            </w:pPr>
            <w:r>
              <w:rPr>
                <w:rFonts w:ascii="Arial" w:cs="Arial" w:eastAsia="Arial" w:hAnsi="Arial"/>
                <w:sz w:val="18"/>
                <w:szCs w:val="18"/>
                <w:color w:val="auto"/>
              </w:rPr>
              <w:t>2017 and December 31, 2016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46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Common stock, $0.0001 par value, 100,000,000 shares authorized; 18,244,917 and 18,215,181 shares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4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outstanding at March 31, 2017 and December 31, 2016,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390,894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389,374</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23"/>
        </w:trPr>
        <w:tc>
          <w:tcPr>
            <w:tcW w:w="20" w:type="dxa"/>
            <w:vAlign w:val="bottom"/>
          </w:tcPr>
          <w:p>
            <w:pPr>
              <w:spacing w:after="0"/>
              <w:rPr>
                <w:sz w:val="19"/>
                <w:szCs w:val="19"/>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(318,279)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(305,293)</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84,139</w:t>
            </w:r>
          </w:p>
        </w:tc>
        <w:tc>
          <w:tcPr>
            <w:tcW w:w="100" w:type="dxa"/>
            <w:vAlign w:val="bottom"/>
            <w:shd w:val="clear" w:color="auto" w:fill="CCEEFF"/>
          </w:tcPr>
          <w:p>
            <w:pPr>
              <w:spacing w:after="0"/>
              <w:rPr>
                <w:sz w:val="18"/>
                <w:szCs w:val="18"/>
                <w:color w:val="auto"/>
              </w:rPr>
            </w:pPr>
          </w:p>
        </w:tc>
      </w:tr>
      <w:tr>
        <w:trPr>
          <w:trHeight w:val="223"/>
        </w:trPr>
        <w:tc>
          <w:tcPr>
            <w:tcW w:w="8480" w:type="dxa"/>
            <w:vAlign w:val="bottom"/>
            <w:gridSpan w:val="4"/>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97,667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13,482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(12,971</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Unrealized (losses) gains on marketable securities</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(58)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(13,029)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(10,130)</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(12,971</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w w:val="91"/>
              </w:rPr>
              <w:t>Weighted-average number of common shares used to compute net loss per share attributable to common stockholders</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8"/>
              </w:rPr>
              <w:t>18,231,602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4,541,536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(12,971)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Depreciation, amortization and accretion</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Change in fair value of warrants and derivative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assets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Accrued expenses and other liabilities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(12,668)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Change in restricted cash</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short-term investments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(14,081)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Proceeds from sales and maturities of short-term investments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25,095</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investing activities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(47,137)</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in initial public stock offering, net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23,844</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22,356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23,187</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Accretion of dividends on convertible preferred stock</w:t>
            </w:r>
          </w:p>
        </w:tc>
        <w:tc>
          <w:tcPr>
            <w:tcW w:w="8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costs included in accounts payable and accrued expenses</w:t>
            </w: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Vesting of restricted stock</w:t>
            </w:r>
          </w:p>
        </w:tc>
        <w:tc>
          <w:tcPr>
            <w:tcW w:w="8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of common stock warrant liability to additional paid-in capital</w:t>
            </w: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Conversion of preferred stock to common stock upon closing of IPO</w:t>
            </w:r>
          </w:p>
        </w:tc>
        <w:tc>
          <w:tcPr>
            <w:tcW w:w="8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328,942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Syndax Pharmaceuticals, Inc. (the Company) is a clinical stage biopharmaceutical company developing an innovative pipeline of combination therapies in multiple cancer indications. The Company’s lead product candidate, entinostat, is currently being evaluated in a Phase 3 clinical trial for advanced hormone receptor positive, human epidermal growth factor receptor 2 negative breast cancer. Entinostat was granted Breakthrough Therapy designation by the U.S.</w:t>
      </w:r>
    </w:p>
    <w:p>
      <w:pPr>
        <w:ind w:right="60"/>
        <w:spacing w:after="0" w:line="251" w:lineRule="auto"/>
        <w:rPr>
          <w:sz w:val="20"/>
          <w:szCs w:val="20"/>
          <w:color w:val="auto"/>
        </w:rPr>
      </w:pPr>
      <w:r>
        <w:rPr>
          <w:rFonts w:ascii="Arial" w:cs="Arial" w:eastAsia="Arial" w:hAnsi="Arial"/>
          <w:sz w:val="18"/>
          <w:szCs w:val="18"/>
          <w:color w:val="auto"/>
        </w:rPr>
        <w:t>Food and Drug Administration following positive results from the Company’s Phase 2b clinical trial, ENCORE 301. The Company is developing entinostat, which has direct effects on both cancer cells and immune regulatory cells, and SNDX-6352, a monoclonal antibody that targets the colony stimulating factor-1 receptor to enhance the body’s immune response on tumors that have shown sensitivity to immunotherapy. Given its potential ability to block the function of immune suppressive cells in the tumor microenvironment, the Company is evaluating entinostat as a combination therapeutic in Phase 1b/2 clinical trials with Merck &amp; Co., Inc. for non-small cell lung cancer and melanoma; with Genentech, Inc. for triple negative breast cancer; and with Merck KGaA, Darmstadt, Germany, and Pfizer Inc. for ovarian cancer. The Company is evaluating SNDX-6352 in a single ascending dose Phase 1 clinical trial. In April 2017, a fourth cohort for microsatellite stable colorectal cancer was added to the Phase 1b/2 clinical trial with Merck &amp; Co., Inc. The Company plans to continue to leverage the technical and business expertise of our management team and scientific collaborators to license, acquire and develop additional cancer therapies to expand our pipeline.</w:t>
      </w:r>
    </w:p>
    <w:p>
      <w:pPr>
        <w:spacing w:after="0" w:line="13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March 2016, the Company completed its initial public offering (“IPO”) whereby it sold 4,809,475 shares of common stock at the initial public offering price of $12.00 per share, which included 409,475 shares issued pursuant to the underwriters’ partial exercise of their over-allotment option to purchase additional shares of common stock. The aggregate net proceeds received by the Company from the offering were $50.5 million, net of underwriting discounts and commissions of $4.0 million and offering expenses of $3.1 million. Upon the closing of the IPO, all outstanding shares of the Company’s outstanding convertible preferred stock converted into 12,872,551 shares of common stock; and the Company’s outstanding warrant liability to purchase 357,840 shares of the Company’s common stock valued at $4.6 million was reclassified to additional paid-in capital. In connection with the closing of the Company’s IPO, the Company filed an amended and restated certificate of incorporation and adopted amended and restated bylaws, both of which were approved by the Company’s board of directors and stockholders on September 28, 2015 and February 24, 2016, respectively. Pursuant to the amended and restated certificate of incorporation, the Company is now authorized to issue 100,000,000 shares of common stock and 10,000,000 shares of preferred stock.</w:t>
      </w:r>
    </w:p>
    <w:p>
      <w:pPr>
        <w:spacing w:after="0" w:line="8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several years before either entinostat or SNDX-6352 is approved, if ever, and the Company begins to generate revenue from sales of entinostat and SNDX-6352. Accordingly, management expects to incur substantial losses on the ongoing development of entinostat and SNDX-6352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0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Company’s management believes that the cash, cash equivalents and short-term investments balances as of March 31, 2017 should enable the Company to maintain its planned operations for at least the next 12 months.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adjustments, which include only normal recurring adjustments, necessary for the fair statement of the Company’s financial position as of March 31, 2017, and the results of operations, comprehensive loss, and cash flows for the three months ended March 31, 2017 and 2016. The results for the three months ended March 31, 2017 are not necessarily indicative of the results to be expected for the year ending December 31, 2017, any other interim periods, or any future year or period. These interim financial statements should be read in conjunction with the audited financial statements as of and for the year ended December 31, 2016, and the notes thereto, which are included in the Company’s Annual Report on Form 10-K that was filed with the Securities and Exchange Commission (“SEC”) on March 14, 2017.</w:t>
      </w:r>
    </w:p>
    <w:p>
      <w:pPr>
        <w:spacing w:after="0" w:line="85"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75" w:lineRule="exact"/>
        <w:rPr>
          <w:sz w:val="20"/>
          <w:szCs w:val="20"/>
          <w:color w:val="auto"/>
        </w:rPr>
      </w:pPr>
    </w:p>
    <w:p>
      <w:pPr>
        <w:ind w:left="460" w:right="7840" w:hanging="452"/>
        <w:spacing w:after="0" w:line="400" w:lineRule="auto"/>
        <w:tabs>
          <w:tab w:leader="none" w:pos="18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spacing w:after="0" w:line="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2016 and the notes thereto, which are included in the Company’s Annual Report on Form 10-K that was filed with the SEC on March 14, 2017, have had no material changes during the three months ended March 31, 2017.</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Other assets consist of deferred issuance costs, long-term security deposits and noncurrent restricted cash. Deferred issuance costs consist primarily of direct incremental legal and accounting fees relating to the IPO and other public offerings, which are deferred until completion of the offering, at which time they are reclassified to additional paid-in capital as a reduction of the offering proceeds. In the event that the offering is terminated, all costs deferred will be expensed immediately. As of March 31, 2017 and 2016, the Company had capitalized deferred issuance costs of $0.1 million and $0. The capitalized deferred issuance costs as of March 31, 2017 related to the at the market equity offering.</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instances where the Company has entered into cost-sharing arrangements, all research and development costs reimbursed by the collaborators are accounted for as reductions to research and development expense. For the three months ended March 31, 2017 and 2016, the Company incurred $0.4 million and $0, respectively, in external costs related to cost-sharing collaborations, of which $0.2 million and $0 has been recorded as a reduction to research and development expense, respectively.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and Adopted Accounting Pronouncements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November 2016, the Financial Accounting Standards Board (“FASB”) issued Accounting Standards Update (“ASU”) ASU 2016-18, </w:t>
      </w:r>
      <w:r>
        <w:rPr>
          <w:rFonts w:ascii="Arial" w:cs="Arial" w:eastAsia="Arial" w:hAnsi="Arial"/>
          <w:sz w:val="18"/>
          <w:szCs w:val="18"/>
          <w:i w:val="1"/>
          <w:iCs w:val="1"/>
          <w:color w:val="auto"/>
        </w:rPr>
        <w:t>“Statement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Flows (Topic 230): Restricted Cash” </w:t>
      </w:r>
      <w:r>
        <w:rPr>
          <w:rFonts w:ascii="Arial" w:cs="Arial" w:eastAsia="Arial" w:hAnsi="Arial"/>
          <w:sz w:val="18"/>
          <w:szCs w:val="18"/>
          <w:color w:val="auto"/>
        </w:rPr>
        <w:t>(“ASU 2016-18”). ASU 2016-18 requires that restricted cash and restricted cash equivalents be included with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equivalents when reconciling the beginning-of-period and end-of-period total amounts shown on the statement of cash flows. The statement of cash flows must also explain the change during the period in the total of cash, cash equivalents, and restricted cash or restricted cash equivalents. ASU 2016-18 will be effective for the Company on January 1, 2018. The Company does not expect the adoption of this standard to have a material impact on its consolidated financial statements.</w:t>
      </w:r>
    </w:p>
    <w:p>
      <w:pPr>
        <w:spacing w:after="0" w:line="11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ASU 2016-09 simplifies several aspects related to the accounting for share-based payment transactions,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forfeitures, statutory tax withholding requirements and classification on the statement of cash flows. The Company adopted ASU 2016-09 on January 1, 2017, and it did not have a material impact on its condensed consolidated balance sheet, condensed consolidated statement of comprehensive loss and condensed statement of cash flows. As part of the adoption of this guidance, the Company adopted a policy to account for forfeitures as they occur.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ASU 2016-02, lessees will be required to recognize, for all leases of 12 months or more, a liability to make lease payments and a right-of-use asset representing the right to 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 The standard will be effective for the Company on January 1, 2019. The Company is in the process of evaluating the effect of the new guidance on the Company’s consolidated financial statements and related disclosures.</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ASU 2014-09 supersedes the revenue recognition requirements of FASB Accounting Standards Codification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most industry-specific guidance throughout the Accounting Standards Codification, resulting in the creation of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ASU 2014-09 requires entities to recognize revenue in a way that depicts the transfer of promised goods or services to customers in an amount that reflects the consideration to which the entity expects to be entitled to in exchange for those goods or services. Adoption will be permitted using either a retrospective or modified retrospective approach. In July 2015, FASB voted to delay the effective date of the standard by one year to the first quarter of 2018 to provide companies sufficient time to implement the standard. Early adoption will be permitted. The Company is currently evaluating the method by which it will implement this standard and the impact of the adoption of this standard on the Company’s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 Attributable to Common Stockholders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gridSpan w:val="5"/>
          </w:tcPr>
          <w:p>
            <w:pPr>
              <w:jc w:val="right"/>
              <w:ind w:right="93"/>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Numerator—basic and diluted: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(12,971)</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(10,330)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dividends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w w:val="96"/>
              </w:rPr>
              <w:t>Net loss attributable to common stockholders—basic and diluted</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Net loss per share attributable to common stockholders— basic</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(0.71)</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Denominator—basic and diluted:</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Weighted-average common shares used to compute net loss per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share—basic and diluted</w:t>
            </w:r>
          </w:p>
        </w:tc>
        <w:tc>
          <w:tcPr>
            <w:tcW w:w="3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18,231,602</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4,541,536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428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940" w:type="dxa"/>
            <w:vAlign w:val="bottom"/>
            <w:gridSpan w:val="4"/>
          </w:tcPr>
          <w:p>
            <w:pPr>
              <w:ind w:left="6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7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3,147,793</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2,717,539</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Common stock warrant</w:t>
            </w:r>
          </w:p>
        </w:tc>
        <w:tc>
          <w:tcPr>
            <w:tcW w:w="780" w:type="dxa"/>
            <w:vAlign w:val="bottom"/>
          </w:tcPr>
          <w:p>
            <w:pPr>
              <w:jc w:val="right"/>
              <w:spacing w:after="0"/>
              <w:rPr>
                <w:sz w:val="20"/>
                <w:szCs w:val="20"/>
                <w:color w:val="auto"/>
              </w:rPr>
            </w:pPr>
            <w:r>
              <w:rPr>
                <w:rFonts w:ascii="Arial" w:cs="Arial" w:eastAsia="Arial" w:hAnsi="Arial"/>
                <w:sz w:val="18"/>
                <w:szCs w:val="18"/>
                <w:color w:val="auto"/>
              </w:rPr>
              <w:t>357,840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357,840</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subject to future vesting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6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Significant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In July 2016, the Company entered into a license agreement (the “UCB License Agreement”) with UCB Biopharma Sprl (“UCB”), under which UCB granted to the Company a worldwide, sublicenseable, exclusive license to UCB6352, which the Company refers to as SNDX-6352, an IND-ready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of these findings, the upfront payment of $5.0 million has been recorded as research and development expense in the consolidated statement of comprehensive loss.</w:t>
      </w: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Kyowa Hakko Kirin Co., Ltd.</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On December 19, 2014 (the “Effective Date”), the Company entered into a license agreement (the “KHK License Agreement”) with Kyowa Hakko Kirin Co., Ltd. (“KHK”),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 agreement, KHK will receive the right to the intellectual property when and if available. KHK will conduct the development, regulatory approval filings, and commercialization activities of entinostat in Japan and Korea. KHK paid the Company $25.0 million upfront, which included a $7.5 million equity investment of 536,049 shares of Series B-1 convertible preferred stock and a $17.5 million non-refundable cash payment. In addition, to the extent certain development and commercial milestones are achieved, KHK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purchase of the Series B-1 and the up-front payment of the license fee were accounted for separately. The Company allocated the amount of consideration related to Series B-1 equal to the fair value of the Series B-1 shares on the Effective Date based on a share price of $14.39 per share, which resulted in $7.7 million of proceeds allocated to the Series B-1 and the remaining consideration of $17.3 million allocated to the up-front license fee. The fair value of the Series B-1 of $14.39 per share was based on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contemporaneous valuation. The Company received $7.5 million and issued the Series B-1 in January 2015 and received the remaining $17.5 million in February 2015. On the date of issuance, the Company recorded accretion of $5.4 million to record the Series B-1 at its redemption value.</w:t>
      </w:r>
    </w:p>
    <w:p>
      <w:pPr>
        <w:spacing w:after="0" w:line="5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Company has concluded that this agreement is within the scope of ASC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Pursuant to this guidance, the Company identified the following deliverables: (i) licenses, (ii) clinical supply and manufacturing obligations, (iii) rights to access and use materials and data, and (iv) rights to additional intellectual property. All other potential deliverables included in the arrangement have been deemed either contingent or inconsequential or perfunctory, individually and in the aggregate. Moreover, the Company has evaluated all deliverables included in the KHK License Agreement and determined that there are two units of accounting in connection with its obligations at inception under the KHK License Agreement:</w:t>
      </w:r>
    </w:p>
    <w:p>
      <w:pPr>
        <w:spacing w:after="0" w:line="2" w:lineRule="exact"/>
        <w:rPr>
          <w:sz w:val="20"/>
          <w:szCs w:val="20"/>
          <w:color w:val="auto"/>
        </w:rPr>
      </w:pPr>
    </w:p>
    <w:p>
      <w:pPr>
        <w:ind w:right="40" w:firstLine="8"/>
        <w:spacing w:after="0" w:line="255"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license unit of accounting and (ii) rights to additional intellectual property. The first three deliverables identified above comprise the license unit of accounting. The Company concluded that the stand-alone selling price for the rights to additional intellectual property unit of account is immaterial. As such, the entire $17.3 million allocated to the upfront payment was allocated to the license unit of accounting.</w:t>
      </w:r>
    </w:p>
    <w:p>
      <w:pPr>
        <w:spacing w:after="0" w:line="123"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arrangement consideration allocated to the license unit of accounting will be recognized as revenue ratably over the Company’s expected services period (currently expected to be through 2029) commencing on the date of the first delivery of the clinical trial materials. In June 2015, the Company began delivering clinical materials to KHK and commenced recognizing revenue from the upfront consideration of $17.3 million. During the three months ended March 31, 2017 and 2016, the Company recognized $0.3 million of revenue associated with the KHK License Agreement. As of March 31, 2017, there was $15.1 million of deferred revenue related to the KHK License Agreement, which is classified as current or long-term in the consolidated balance sheets.</w:t>
      </w:r>
    </w:p>
    <w:p>
      <w:pPr>
        <w:spacing w:after="0" w:line="7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October 2016, the Company entered into a clinical trial co-funding agreement with KHK under which the Company will expand its clinical trial agreement with Eastern Cooperative Oncology Group (the “ECOG Agreement”) to include enrollments from sites in Korea.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Eastern Cooperative Oncology Group</w:t>
      </w:r>
    </w:p>
    <w:p>
      <w:pPr>
        <w:spacing w:after="0" w:line="121"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will provide a fixed level of financial support for the clinical trial through an upfront payment of $695,000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During the second quarter of 2016, the ECOG Agreement was amended to provide additional study activities and the contractual obligation increased by $0.8 million. During the first quarter of 2017, the ECOG Agreement was amended to expand the study to include enrollments from sites in Korea and to provide additional study activities and the contractual obligation increased by $2.0 million. As of March 31, 2017, the Company’s aggregate payment obligations under this agreement were approximately $23.4 million; and its remaining payment obligations are approximately $14.9 million over an estimated period of approximately four years.</w:t>
      </w:r>
    </w:p>
    <w:p>
      <w:pPr>
        <w:spacing w:after="0" w:line="10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w:t>
      </w:r>
    </w:p>
    <w:p>
      <w:pPr>
        <w:spacing w:after="0" w:line="10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March 2007, the Company entered into a license agreement (the “Bayer Agreement”) with Bayer Schering Pharma AG (“Bayer”) for a worldwide, exclusive license to develop and commercialize entinostat and any other products containing the same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58"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is exercised or the closing of the IPO. The warrant contains anti-dilution protection to maintain Bayer’s potential ownership at 1.75% of the shares of common stock outstanding on a fully diluted basis, which requires that the actual number of shares of common stock issuable pursuant to the warrant be increased or decreased for any changes in the fully diluted shares of common stock outstanding. The warrant is exercisable at an exercise price of $1.54 per share and expires upon the earlier of the</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using current assumptions just prior to the reclassification.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4"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that are accessible at the market date for identical unrestricted assets or liabilities.</w:t>
      </w:r>
    </w:p>
    <w:p>
      <w:pPr>
        <w:spacing w:after="0" w:line="117" w:lineRule="exact"/>
        <w:rPr>
          <w:sz w:val="20"/>
          <w:szCs w:val="20"/>
          <w:color w:val="auto"/>
        </w:rPr>
      </w:pPr>
    </w:p>
    <w:p>
      <w:pPr>
        <w:ind w:left="1380" w:right="220" w:hanging="1017"/>
        <w:spacing w:after="0" w:line="264"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jc w:val="center"/>
        <w:ind w:left="320" w:right="280"/>
        <w:spacing w:after="0" w:line="449"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2"/>
              </w:rPr>
              <w:t>Fair Value Measurements Using</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Quoted</w:t>
            </w:r>
          </w:p>
        </w:tc>
        <w:tc>
          <w:tcPr>
            <w:tcW w:w="12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Prices</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 Active</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Value</w:t>
            </w: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5"/>
          </w:tcPr>
          <w:p>
            <w:pPr>
              <w:jc w:val="right"/>
              <w:ind w:right="90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March 31, 2017</w:t>
            </w:r>
          </w:p>
        </w:tc>
        <w:tc>
          <w:tcPr>
            <w:tcW w:w="2400" w:type="dxa"/>
            <w:vAlign w:val="bottom"/>
            <w:tcBorders>
              <w:bottom w:val="single" w:sz="8" w:color="CCEEFF"/>
            </w:tcBorders>
            <w:gridSpan w:val="2"/>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Assets: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22,356</w:t>
            </w:r>
          </w:p>
        </w:tc>
        <w:tc>
          <w:tcPr>
            <w:tcW w:w="11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2"/>
              </w:rPr>
              <w:t>$18,910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3,446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ind w:left="340"/>
              <w:spacing w:after="0"/>
              <w:rPr>
                <w:sz w:val="20"/>
                <w:szCs w:val="20"/>
                <w:color w:val="auto"/>
              </w:rPr>
            </w:pPr>
            <w:r>
              <w:rPr>
                <w:rFonts w:ascii="Arial" w:cs="Arial" w:eastAsia="Arial" w:hAnsi="Arial"/>
                <w:sz w:val="18"/>
                <w:szCs w:val="18"/>
                <w:color w:val="auto"/>
              </w:rPr>
              <w:t>Short-term investments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70,429</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70,429</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92,785</w:t>
            </w:r>
          </w:p>
        </w:tc>
        <w:tc>
          <w:tcPr>
            <w:tcW w:w="11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18,910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73,875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2016</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00" w:type="dxa"/>
            <w:vAlign w:val="bottom"/>
            <w:gridSpan w:val="4"/>
            <w:vMerge w:val="continue"/>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ind w:left="340"/>
              <w:spacing w:after="0"/>
              <w:rPr>
                <w:sz w:val="20"/>
                <w:szCs w:val="20"/>
                <w:color w:val="auto"/>
              </w:rPr>
            </w:pPr>
            <w:r>
              <w:rPr>
                <w:rFonts w:ascii="Arial" w:cs="Arial" w:eastAsia="Arial" w:hAnsi="Arial"/>
                <w:sz w:val="18"/>
                <w:szCs w:val="18"/>
                <w:color w:val="auto"/>
              </w:rPr>
              <w:t>Cash equivalents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23,844</w:t>
            </w:r>
          </w:p>
        </w:tc>
        <w:tc>
          <w:tcPr>
            <w:tcW w:w="11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$17,089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6,755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81,486</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81,486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3"/>
          </w:tcPr>
          <w:p>
            <w:pPr>
              <w:ind w:left="700"/>
              <w:spacing w:after="0"/>
              <w:rPr>
                <w:sz w:val="20"/>
                <w:szCs w:val="20"/>
                <w:color w:val="auto"/>
              </w:rPr>
            </w:pPr>
            <w:r>
              <w:rPr>
                <w:rFonts w:ascii="Arial" w:cs="Arial" w:eastAsia="Arial" w:hAnsi="Arial"/>
                <w:sz w:val="18"/>
                <w:szCs w:val="18"/>
                <w:color w:val="auto"/>
              </w:rPr>
              <w:t>Total assets</w:t>
            </w:r>
          </w:p>
        </w:tc>
        <w:tc>
          <w:tcPr>
            <w:tcW w:w="2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105,330</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17,089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88,241</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60" w:type="dxa"/>
            <w:vAlign w:val="bottom"/>
            <w:vMerge w:val="restart"/>
          </w:tcPr>
          <w:p>
            <w:pPr>
              <w:jc w:val="right"/>
              <w:ind w:right="6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90" w:lineRule="auto"/>
        <w:rPr>
          <w:sz w:val="20"/>
          <w:szCs w:val="20"/>
          <w:color w:val="auto"/>
        </w:rPr>
      </w:pPr>
      <w:r>
        <w:rPr>
          <w:rFonts w:ascii="Arial" w:cs="Arial" w:eastAsia="Arial" w:hAnsi="Arial"/>
          <w:sz w:val="16"/>
          <w:szCs w:val="16"/>
          <w:color w:val="auto"/>
        </w:rPr>
        <w:t>Cash equivalents of $18.9 million as of March 31, 2017 and $17.1 million as of December 31, 2016 consisted of overnight investments and money market funds and are classified within Level 1 of the fair value hierarchy because they are valued using quoted market prices in active markets. Cash equivalents of $3.4 million as of March 31, 2017 and $6.8 million as of December 31, 2016 consisted of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 Short-term investments of $70.4 million as of March 31, 2017 and $81.5 million as of December 31, 2016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short-term investments are classified as available-for-sale securities. As of March 31, 2017, the remaining contractual maturities of the available-for-sale securities were less than one year, and the balance in the Company’s accumulated other comprehensive loss (income) was comprised solely of activity related to the Company’s available-for-sale securities. There were no realized gains or losses recognized on the sale or maturity of available-for-sale securities during the three months ended March 31, 2017 and 2016. As a result, the Company did not reclassify any amounts out of accumulated other comprehensive loss (income) for the same periods. The Company has a limited number of available-for-sale securities in insignificant loss positions as of March 31, 2017, which the Company does not intend to sell and has concluded it will not be required to sell before recovery of the amortized cost for the investment at maturity. The following table summarizes the available-for-sale securities: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Gains</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March 31, 2017</w:t>
            </w:r>
          </w:p>
        </w:tc>
        <w:tc>
          <w:tcPr>
            <w:tcW w:w="504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360"/>
              <w:spacing w:after="0"/>
              <w:rPr>
                <w:sz w:val="20"/>
                <w:szCs w:val="20"/>
                <w:color w:val="auto"/>
              </w:rPr>
            </w:pPr>
            <w:r>
              <w:rPr>
                <w:rFonts w:ascii="Arial" w:cs="Arial" w:eastAsia="Arial" w:hAnsi="Arial"/>
                <w:sz w:val="18"/>
                <w:szCs w:val="18"/>
                <w:color w:val="auto"/>
              </w:rPr>
              <w:t>Commercial paper</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$ 26,430</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$ 26,451</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44,001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43,978</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$ 70,431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72"/>
              </w:rPr>
              <w:t>(23)</w:t>
            </w: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$ 70,429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8"/>
              </w:rPr>
              <w:t>December 31, 2016</w:t>
            </w:r>
          </w:p>
        </w:tc>
        <w:tc>
          <w:tcPr>
            <w:tcW w:w="47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360"/>
              <w:spacing w:after="0"/>
              <w:rPr>
                <w:sz w:val="20"/>
                <w:szCs w:val="20"/>
                <w:color w:val="auto"/>
              </w:rPr>
            </w:pPr>
            <w:r>
              <w:rPr>
                <w:rFonts w:ascii="Arial" w:cs="Arial" w:eastAsia="Arial" w:hAnsi="Arial"/>
                <w:sz w:val="18"/>
                <w:szCs w:val="18"/>
                <w:color w:val="auto"/>
              </w:rPr>
              <w:t>Commercial paper</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$ 30,125</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$ 30,186</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51,305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51,300</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$ 81,430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color w:val="auto"/>
                <w:w w:val="70"/>
              </w:rPr>
              <w:t>(11)</w:t>
            </w: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$ 81,486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roll-forward of the recurring fair value measurements of the common stock warrant liability and the derivative liability categorized with Level 3 inputs is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46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Warrant</w:t>
            </w:r>
          </w:p>
        </w:tc>
        <w:tc>
          <w:tcPr>
            <w:tcW w:w="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7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Change in fair value</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1,703</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(4,551)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Balance—March 31, 2016</w:t>
            </w:r>
          </w:p>
        </w:tc>
        <w:tc>
          <w:tcPr>
            <w:tcW w:w="29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940" w:type="dxa"/>
            <w:vAlign w:val="bottom"/>
            <w:vMerge w:val="restart"/>
          </w:tcPr>
          <w:p>
            <w:pPr>
              <w:jc w:val="right"/>
              <w:ind w:right="1696"/>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common stock warrant liability was recorded at fair value determined by using the Black-Scholes option-pricing model. This method of valuation involves using inputs such as the fair value of the Company’s common stock, stock price volatility, the contractual term of the warrant, risk-free interest rates, and dividend yields. Due to the nature of these inputs, the valuation of the warrants was considered a Level 3 measurement. Upon the closing of the IPO, the warrant was reclassified to additional paid-in capital. See Note 5 for further discussion of the accounting for the Bayer common stock warrant as well as for a summary of the significant inputs and assumptions used to determine the fair value of the warrant. The derivative liability related to the contingent success fee owed under the term loans. Upon the completion of an IPO or upon the occurrence of certain change of control or liquidation events, the Company was required to pay a $0.2 million success fee. The Company had recorded the success fee as a derivative financial liability. The initial fair value of the derivative of $0.1 million had been recorded as a debt discount. The term loans were paid in full in October 2015; however, the liability for the success fee survived the repayment of the term loans. Upon completion of the IPO this is no longer accounted for as a derivative, and the success fee of $0.2 million that was payable in June 2018 was included in other long-term liabilities. The success fee was paid in full in March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Expenses and Other Current Assets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80" w:type="dxa"/>
            <w:vAlign w:val="bottom"/>
            <w:gridSpan w:val="3"/>
          </w:tcPr>
          <w:p>
            <w:pPr>
              <w:ind w:left="1120"/>
              <w:spacing w:after="0"/>
              <w:rPr>
                <w:sz w:val="20"/>
                <w:szCs w:val="20"/>
                <w:color w:val="auto"/>
              </w:rPr>
            </w:pPr>
            <w:r>
              <w:rPr>
                <w:rFonts w:ascii="Arial" w:cs="Arial" w:eastAsia="Arial" w:hAnsi="Arial"/>
                <w:sz w:val="14"/>
                <w:szCs w:val="14"/>
                <w:b w:val="1"/>
                <w:bCs w:val="1"/>
                <w:color w:val="auto"/>
                <w:w w:val="94"/>
              </w:rPr>
              <w:t>March 31, 2017</w:t>
            </w:r>
          </w:p>
        </w:tc>
        <w:tc>
          <w:tcPr>
            <w:tcW w:w="2120" w:type="dxa"/>
            <w:vAlign w:val="bottom"/>
            <w:gridSpan w:val="4"/>
          </w:tcPr>
          <w:p>
            <w:pPr>
              <w:ind w:left="900"/>
              <w:spacing w:after="0"/>
              <w:rPr>
                <w:sz w:val="20"/>
                <w:szCs w:val="20"/>
                <w:color w:val="auto"/>
              </w:rPr>
            </w:pPr>
            <w:r>
              <w:rPr>
                <w:rFonts w:ascii="Arial" w:cs="Arial" w:eastAsia="Arial" w:hAnsi="Arial"/>
                <w:sz w:val="14"/>
                <w:szCs w:val="14"/>
                <w:b w:val="1"/>
                <w:bCs w:val="1"/>
                <w:color w:val="auto"/>
                <w:w w:val="95"/>
              </w:rPr>
              <w:t>December 31, 2016</w:t>
            </w: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Prepaid insurance</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637</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 on short-term investments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Reimbursable costs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Prepaid clinical supplies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9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January 2017, the number of shares of common stock available for issuance under the 2015 Omnibus Incentive Plan (“2015 Plan”), was increased by 728,948 shares due to the automatic increase provision of the 2015 Plan. As of March 31, 2017, the total number of shares of common stock available for issuance under the 2015 Plan was 1,578,921. The Company recognized stock-based compensation expense related to the issuance of stock option awards to employees and non-employees in the condensed consolidated statements of comprehensive loss as follows:</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During the three months ended March 31, 2017, the Company granted 663,990 stock options to certain executives and employees. The grant date fair value of these options was $4.0 million, or $6.01 per share on a weighted-average basis, and will be recognized as compensation expense over the requisite service period of three to four years.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There were 28,200 options exercised during the three months ended March 31, 2017, resulting in total proceeds of $0.1 million. The intrinsic value of the options exercised was $0.2 million. In accordance with the Company’s policy, the shares were issued from a pool of shares reserved for issuance under the 2007 and 2015 Plans.</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As of March 31, 2017, there was $10.7 million of unrecognized compensation cost related to employee and non-employee unvested stock options and unvested restricted stock share-based compensation arrangements granted under the 2015 and 2007 Plans, which is expected to be recognized over a weighted-average remaining service period of 2.8 years. Stock compensation costs have not been capitalized by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Upon the closing of the IPO on March 8, 2016, the vesting of certain options granted to two of the Company’s executives immediately vested, in accordance with their employment agreements. The Company recorded $0.7 million of additional stock compensation expense related to this accelerated vesting in March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Stock Purchase Plan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January 2017, the number of shares of common stock available for issuance under the 2015 Employee Stock Purchase Plan (“2015 ESPP”), was increased by 182,237 shares as a result of the automatic increase provision of the 2015 ESPP. As of March 31, 2017, the total number of shares of common stock available for issuance under the 2015 ESPP was 432,237, and no offering periods have been approved.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Transactions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Company’s chief executive officer and member of the board of directors is also a managing director at MPM Asset Management, LLC, which holds an investment in the Company’s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April 6, 2017, the Company entered into a sales agreement with Cowen and Company, LLC (“Cowen”) under which the Company may issue and sell shares of its common stock having aggregate sales proceeds of up to $50.0 million from time to time through Cowen, acting as agent, in a series of one or more at the market equity offerings.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which became effective on April 20, 2017. The Company’s common stock will be sold at prevailing market prices at the time of the sale; and as a result, prices may vary. The Company will pay Cowen up to 3% of the gross proceeds from any common stock sold through the sales agreement. Unless otherwise terminated earlier, the sales agreement continues until all shares available under the sales agreement have been sold. The proceeds from the offerings, if any, will be used for general corporate purposes, including expenditures for research and development of the Company’s drug products. There were no sales under this facility through May 5, 2017.</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14,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 clinical stage biopharmaceutical company developing an innovative pipeline of combination therapies in multiple cancer indications. Our lead product candidate, entinostat, is currently being evaluated in a Phase 3 clinical trial for advanced hormone receptor positive, human epidermal growth factor receptor 2 negative breast cancer, or HR+, HER2- breast cancer. Entinostat was granted Breakthrough Therapy designation by the U. S. Food and Drug Administration, or FDA, following positive results from our Phase 2b clinical trial, ENCORE 301. We are developing entinostat, which has direct effects on both cancer cells and immune regulatory cells, and SNDX-6352, a monoclonal antibody that targets the colony stimulating factor-1 receptor, or CSF-1R, to enhance the body’s immune response on tumors that have shown sensitivity to immunotherapy. Given its potential ability to block the function of immune suppressive cells in the tumor microenvironment, we are evaluating entinostat as a combination therapeutic in Phase 1b/2 clinical trials with Merck for non-small cell lung cancer, or NSCLC, and melanoma; with Genentech for triple negative breast cancer, or TNBC; and with Merck KGaA and Pfizer for ovarian cancer. We are evaluating SNDX-6352 in a single ascending dose Phase 1 clinical trial. In April 2017, we added a fourth cohort for microsatellite stable colorectal cancer to the Phase 1b/2 clinical trial with Merck. We plan to continue to leverage the technical and business expertise of our management team and scientific collaborators to license, acquire and develop additional cancer therapies to expand our pipeline.</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February 24, 2016, we effected a 1-for-1.25 reverse stock split of our outstanding common stock and convertible preferred stock. Stockholders entitled to fractional shares as a result of the reverse stock splits received a cash payment in lieu of receiving fractional shares. All of our historical share and per share information shown in the accompanying financial statements and related notes have been retroactively adjusted to give effect to the reverse stock splits.</w:t>
      </w:r>
    </w:p>
    <w:p>
      <w:pPr>
        <w:spacing w:after="0" w:line="18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March 2016, we completed our IPO, whereby we sold 4,809,475 shares of common stock at the initial public offering price of $12.00 per share, which included 409,475 shares issued pursuant to the underwriters’ partial exercise of their over-allotment option to purchase additional shares of common stock. We received net proceeds of $50.5 million from the offering, after deducting underwriting discounts and commissions and other offering costs.</w:t>
      </w:r>
    </w:p>
    <w:p>
      <w:pPr>
        <w:spacing w:after="0" w:line="14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three months ended March 31, 2017 and 2016, we reported a net loss of $13.0 million and $10.3 million, respectively. As of March 31, 2017, we had an accumulated deficit of $318.3 million, which included non-cash charges for stock-based compensation, preferred stock accretion and extinguishment charges. As of March 31, 3017, we had cash, cash equivalents and short-term investments of $92.8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w:t>
      </w:r>
    </w:p>
    <w:p>
      <w:pPr>
        <w:spacing w:after="0" w:line="135" w:lineRule="exact"/>
        <w:rPr>
          <w:sz w:val="20"/>
          <w:szCs w:val="20"/>
          <w:color w:val="auto"/>
        </w:rPr>
      </w:pPr>
    </w:p>
    <w:p>
      <w:pPr>
        <w:ind w:left="900" w:right="1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E2112 is 73% enrolled as of the end of April 2017. Based upon current enrollment trends, ECOG-ACRIN expects completion of enrollment and progression-free survival analysis in the first half of 2018.</w:t>
      </w:r>
    </w:p>
    <w:p>
      <w:pPr>
        <w:spacing w:after="0" w:line="75"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2017, the melanoma cohort of the 601 trial met the pre-specified objective response threshold for the first 13 patients; and we progressed to the second stage of the trial. This cohort will now enroll an additional 21 patients. We expect to complete enrollment by the end of the third quarter of 2017. Data from Stage 1 of the other two cohorts is still maturing, and we expect to have a decision regarding a go/no go decision into Stage 2 for these cohorts by the end of the second quarter of 2017.</w:t>
      </w:r>
    </w:p>
    <w:p>
      <w:pPr>
        <w:spacing w:after="0" w:line="92"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2017, we added a fourth cohort to the 601 trial for colorectal cancer patients who have not been previously treated with a PD-1 blocking antibody, and who have what is called microsatellite stable colorectal cancer. As with the other three cohorts, we are using a two-stage design in which a defined minimum number of responders must be seen in the first stage for the cohort to advance to full enrollment in the second stage. If it progresses to Stage 2, the cohort will enroll 34 patients.</w:t>
      </w:r>
    </w:p>
    <w:p>
      <w:pPr>
        <w:spacing w:after="0" w:line="92"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June 2016, we initiated the Phase 1b portion of ENCORE 602 in patients with TNBC. This phase of the study completed enrollment during the fourth quarter of 2016, establishing the 5 mg weekly dose of entinostat safe to go forward in the recently initiated phase 2 portion of the trial. Enrollment is expected to complete by the end of the year.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collaboration with Merck KGaA and Pfizer, we initiated Phase 1b/2 of ENCORE 603 in January 2017 and expect to begin the phase 2 portion of the trial during the third quarter of 2017.</w:t>
      </w:r>
    </w:p>
    <w:p>
      <w:pPr>
        <w:spacing w:after="0" w:line="75" w:lineRule="exact"/>
        <w:rPr>
          <w:rFonts w:ascii="Arial" w:cs="Arial" w:eastAsia="Arial" w:hAnsi="Arial"/>
          <w:sz w:val="18"/>
          <w:szCs w:val="18"/>
          <w:color w:val="auto"/>
        </w:rPr>
      </w:pPr>
    </w:p>
    <w:p>
      <w:pPr>
        <w:ind w:left="900" w:right="140" w:hanging="325"/>
        <w:spacing w:after="0" w:line="31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March 31, 2017, we have enrolled 20 healthy volunteers in the Phase 1 clinical trial of SNDX-6352 to determine the safety and pharmacokinetics of the anti-CSF-1R monoclonal antibody. We are enrolling up to 36 healthy subjects and expect to complete enrollment in the Phase 1 trial by the end of the second quarter of 2017 and initiate a multiple ascending dose trial in cancer patients in the third quarter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 date, we have not generated any product revenues. Our ability to generate revenue and become profitable depends upon our ability to obtain marketing approval of and successfully commercialize our product candidates. Our revenues for the three months ended March 31, 2017 and 2016 have been solely derived from our license agreement with Kyowa Hakko Kirin Co., Ltd., or KHK, under which we granted KHK an exclusive license to develop and commercialize entinostat in Japan and Korea, or the KHK license agreement. In 2015, we received a $25.0 million upfront payment from KHK, inclusive of an equity investment. We allocated $17.3 million of the upfront payment to the license fee, and such fee is being recognized as revenue ratably over our expected service period (currently expected to be through 2029) commencing on the date of the first delivery of the clinical trial materials, which occurred in June 2015. The balance of the upfront payment of $7.7 million was allocated to KHK’s purchase of shares of our Series B-1 convertible preferred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76" w:lineRule="exact"/>
        <w:rPr>
          <w:sz w:val="20"/>
          <w:szCs w:val="20"/>
          <w:color w:val="auto"/>
        </w:rPr>
      </w:pPr>
    </w:p>
    <w:p>
      <w:pPr>
        <w:ind w:left="900" w:right="2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CROs, that conduct our clinical trials;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18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06"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March 31, 2017, we have incurred $113.0 million in research and development expenses.</w:t>
      </w:r>
    </w:p>
    <w:p>
      <w:pPr>
        <w:spacing w:after="0" w:line="13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8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primarily of interest expense on capital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change in fair value of the common stock warrant liability was associated with a warrant to purchase common stock issued in connection with a license agreement and consisted of the calculated change in value based upon the fair value of the underlying security at the end of each reporting period as calculated using the Black-Scholes option pricing model. Gains and losses arising from changes in fair value were recognized in other income (expense) in the consolidated statement of operations. As of the closing of our IPO, the anti-dilution provision of the warrant expired; and the warrant liability was reclassified to additional paid-in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79"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There have been no material changes to our critical accounting policies from those described in “Management’s Discussion and Analysis of Financial Condition and Results of Operations,” included in Company’s Annual Report on Form 10-K that was filed with the SEC on March 14, 2017.</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4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8"/>
              </w:rPr>
              <w:t>Three Months Ended March 31,</w:t>
            </w: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(342)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13,482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(13,177)</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(8,753)</w:t>
            </w: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4,424</w:t>
            </w:r>
          </w:p>
        </w:tc>
        <w:tc>
          <w:tcPr>
            <w:tcW w:w="300" w:type="dxa"/>
            <w:vAlign w:val="bottom"/>
            <w:vMerge w:val="continue"/>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(1,703)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(1,783)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gridSpan w:val="2"/>
            <w:vMerge w:val="continue"/>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(12,971</w:t>
            </w:r>
          </w:p>
        </w:tc>
        <w:tc>
          <w:tcPr>
            <w:tcW w:w="34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(10,330</w:t>
            </w:r>
          </w:p>
        </w:tc>
        <w:tc>
          <w:tcPr>
            <w:tcW w:w="3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2,641</w:t>
            </w:r>
          </w:p>
        </w:tc>
        <w:tc>
          <w:tcPr>
            <w:tcW w:w="300" w:type="dxa"/>
            <w:vAlign w:val="bottom"/>
            <w:vMerge w:val="continue"/>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three months ended March 31, 2017 and 2016, we recognized license fees of $0.3 million derived from the KHK license agreement. In 2015, arrangement consideration of $17.3 million related to the KHK license agreement was allocated to the license unit of accounting and is being recognized as revenue ratably over our expected service period (currently expected to be through 2029), commencing on the date of the first delivery of the clinical trial materials, which occurred in June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the three months ended March 31, 2017, our total research and development expenses increased $4.8 million, or 100%, to $9.6 million from $4.8 million for the comparable quarter in the prior year due to increases in clinical trial activities of $3.4 million, employee compensation expense of $0.8 million, legal and consultant expenses of $0.5 million and facility costs of $0.1 million. The increase in clinical trial activities was primarily due to increases in spending related the additional cohorts added to ENCORE 601, increased activities in ENCORE 602 and ENCORE 603, start-up costs related to SNDX-6352, our Phase 1 clinical pharmacology trials and CMC activities. The increase in employee compensation costs was primarily due to increased headcount. We expect our research and development expenses for the foreseeable future to increase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 March 31,</w:t>
            </w:r>
          </w:p>
        </w:tc>
        <w:tc>
          <w:tcPr>
            <w:tcW w:w="100" w:type="dxa"/>
            <w:vAlign w:val="bottom"/>
          </w:tcPr>
          <w:p>
            <w:pPr>
              <w:spacing w:after="0"/>
              <w:rPr>
                <w:sz w:val="14"/>
                <w:szCs w:val="14"/>
                <w:color w:val="auto"/>
              </w:rPr>
            </w:pPr>
          </w:p>
        </w:tc>
        <w:tc>
          <w:tcPr>
            <w:tcW w:w="1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7,264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3,840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926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4,766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months ended March 31, 2017, our total general and administrative expenses decreased $0.4 million, or 8%, to $3.9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$4.3 million for the comparable period in the prior year. The decrease in general and administrative expenses was primarily due to a decrease in 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of $0.7 million partially offset by increases in consulting expenses of $0.1 million and costs related to being a public company of $0.2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employee compensation of $0.7 million was primarily due to decreases in non-cash stock-based compensation of $0.9 million and bonus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of $0.2 million, partially offset by an increase in salary expense of $0.3 million due to increased headcount.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three months ended March 31, 2017, interest income, net, increased $0.1 million from the comparable period in the prior year. The increase was primarily due to interest earned on our cash, cash equivalents and short-term investments, which increased due to the $50.5 million proceeds received from our IPO in March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change in fair value of common stock warrant liability for the three months ended March 31, 2017 decreased $1.7 million compared to the comparable period in the prior year. At each period end until the closing of our IPO, the fair value of the outstanding common stock warrant liability was re-measured; and the change in the fair value was recorded in other expense in the condensed consolidated statement of comprehensive loss. Upon the closing of our IPO, the anti-dilution provision of the warrant expired; and the warrant liability was reclassified to additional paid-in capital. Just prior to the reclassification, the warrant was re-measured using current assumptions on that date, and the change in fair value was recorded in other expense.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April 2017, we entered into a sales agreement with Cowen and Company, LLC (“Cowen”) under which we may issue and sell shares of our common stock having aggregate sales proceeds of up to $50.0 million from time to time through Cowen, acting as agent, in a series of one or more at the market equity offerings. Cowen is not required to sell any specific amount, but acts as our sales agent using commercially reasonable efforts consistent with its normal trading and sales practices. Shares sold pursuant to the sales agreement will be sold pursuant to a shelf registration statement, which became effective on April 20, 2017. Our common stock will be sold at prevailing market prices at the time of the sale; and as a result, prices may vary. We will pay Cowen up to 3% of the gross proceeds from any common stock sold through the sales agreement. The proceeds from the offerings, if any, will be used for general corporate purposes, including expenditures for research and development of the Company’s drug products. There were no sales under this facility through May 5, 2017. In March 2016, we completed our IPO whereby we sold 4,809,475 shares of our common stock at $12.00 per share, resulting in total net proceeds of $50.5 million, after deducting underwriting discounts and commissions and offering expenses. Since our inception and through March 31, 2017, our operations have been financed primarily by net proceeds from our IPO, sale of convertible preferred stock and convertible debt securities and proceeds from our license agreements. As of March 31, 2017, our cash, cash equivalents and short-term investments were $92.8 million. We believe that our existing cash, cash equivalents and short-term investments will fund our projected operating expenses and capital expenditure requirements for at least the next 12 months.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9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drug candidates;</w:t>
      </w:r>
    </w:p>
    <w:p>
      <w:pPr>
        <w:spacing w:after="0" w:line="130" w:lineRule="exact"/>
        <w:rPr>
          <w:rFonts w:ascii="Arial" w:cs="Arial" w:eastAsia="Arial" w:hAnsi="Arial"/>
          <w:sz w:val="18"/>
          <w:szCs w:val="18"/>
          <w:color w:val="auto"/>
        </w:rPr>
      </w:pPr>
    </w:p>
    <w:p>
      <w:pPr>
        <w:ind w:left="900" w:right="620" w:hanging="325"/>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1" w:lineRule="exact"/>
        <w:rPr>
          <w:rFonts w:ascii="Arial" w:cs="Arial" w:eastAsia="Arial" w:hAnsi="Arial"/>
          <w:sz w:val="17"/>
          <w:szCs w:val="17"/>
          <w:color w:val="auto"/>
        </w:rPr>
      </w:pPr>
    </w:p>
    <w:p>
      <w:pPr>
        <w:jc w:val="both"/>
        <w:ind w:left="900" w:right="56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our drug candidates;</w:t>
      </w:r>
    </w:p>
    <w:p>
      <w:pPr>
        <w:spacing w:after="0" w:line="130" w:lineRule="exact"/>
        <w:rPr>
          <w:rFonts w:ascii="Arial" w:cs="Arial" w:eastAsia="Arial" w:hAnsi="Arial"/>
          <w:sz w:val="18"/>
          <w:szCs w:val="18"/>
          <w:color w:val="auto"/>
        </w:rPr>
      </w:pPr>
    </w:p>
    <w:p>
      <w:pPr>
        <w:ind w:left="900" w:right="8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42"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become a public company.</w:t>
      </w:r>
    </w:p>
    <w:p>
      <w:pPr>
        <w:spacing w:after="0" w:line="2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8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March 31, 2017, we had an accumulated deficit of $318.3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cash flows: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(12,668)</w:t>
            </w: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(6,403)</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11,063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(47,137)</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53,548</w:t>
            </w:r>
          </w:p>
        </w:tc>
        <w:tc>
          <w:tcPr>
            <w:tcW w:w="12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cash used in operating activities for the three months ended March 31, 2017 was $12.7 million and primarily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$11.6 million adjusted for non-cash items including stock-based compensation of $1.4 million and a net decrease in operating assets and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 million. The increase in our net loss was primarily due to the increase in our clinical trial activities. The significant items in the increase in operating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included an increase in prepaid expenses and other assets of $1.1 million and a decrease in deferred revenue of $0.3 million partially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offset by an increase in accounts payable of $0.4 million.</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Net cash used in operating activities for the three months ended March 31, 2016 was $6.4 million and primarily consisted of our net loss of $6.4 million adjusted for non-cash items including stock-based compensation of $2.2 million and the change in the fair value of the warrant of $1.7 million. Changes in operating assets and liabilities included an increase in prepaid expenses and other current assets of $0.6 million and decreases in accounts payable of</w:t>
      </w:r>
    </w:p>
    <w:p>
      <w:pPr>
        <w:spacing w:after="0"/>
        <w:rPr>
          <w:sz w:val="20"/>
          <w:szCs w:val="20"/>
          <w:color w:val="auto"/>
        </w:rPr>
      </w:pPr>
      <w:r>
        <w:rPr>
          <w:rFonts w:ascii="Arial" w:cs="Arial" w:eastAsia="Arial" w:hAnsi="Arial"/>
          <w:sz w:val="16"/>
          <w:szCs w:val="16"/>
          <w:color w:val="auto"/>
        </w:rPr>
        <w:t>$0.4 million and deferred revenue of $0.3 million that were completely offset by a decrease in accrued expenses and other current liabilities of $1.3 million.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Net cash provided by investing activities for the three months ended March 31, 2017 was $11.1 million and was primarily due to the $25.1 million of proceeds from the maturities of available-for-sale securities partially offset by the purchase of $14.1 million of available-for-sale marketable securities. Cash provided by investing activities for the three months ended March 31, 2017 of $11.1 million compared to the cash used in investing activities for the three months ended March 31, 2016 of $47.1 million increased $58.2 million due to the proceeds from the maturities of available-for-sale securities partially offset by the purchase of available-for-sale marketable securities that were used to fund current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cash used in investing activities for the three months ended March 31, 2016 was $47.1 million and was primarily due to the purchase of</w:t>
      </w:r>
    </w:p>
    <w:p>
      <w:pPr>
        <w:spacing w:after="0" w:line="3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$78.9 million of available-for-sale marketable securities partially offset by $31.9 million of proceeds from the maturities of available-for-sale securities and purchases of property and equipment of $0.1 million. During the three months ended March 31, 2016, we received $53.5 million of proceeds, net of underwriting discounts and commissions of $4.0 million and other direct costs of $0.1 million.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2017 of $0.1 million was primarily due to proceeds from the exercise of stock options of $0.1 million.</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2016 of $53.5 million was primarily due to the proceeds from our IPO, net of underwriting discounts and commissions of $4.0 million and other direct costs related to our IPO of $0.1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that was filed with the SEC on March 14,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March 31, 2017, we had cash equivalents of $22.4 million, consisting of overnight investments, interest-bearing money market funds and highly rated corporate bonds, and short-term investments of $70.4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do not believe that inflation and changing prices had a significant impact on our results of operations for any periods presented herein.</w:t>
      </w:r>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As of March 31, 2017,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2017, our disclosure controls and procedures were effective at the reasonable assurance level.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materially affected, or is reasonably likely to materially affect, our internal control over financial reporting.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March 31, 2017,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2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8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For the three months ended March 31, 2017, we reported a net loss of $13.0 million; and as of March 31, 2017, we had an accumulated deficit of</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$318.3 million, which included non-cash charges for stock-based compensation, preferred stock accretion and extinguishment charges. We expect to continue to incur significant losses for the foreseeable future, and we expect these losses to increase as we continue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9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two product candidates, entinostat and SNDX-6352.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8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30"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 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entinostat and any other product candidates we may develop.</w:t>
      </w:r>
    </w:p>
    <w:p>
      <w:pPr>
        <w:spacing w:after="0" w:line="19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7" w:lineRule="exact"/>
        <w:rPr>
          <w:sz w:val="20"/>
          <w:szCs w:val="20"/>
          <w:color w:val="auto"/>
        </w:rPr>
      </w:pPr>
    </w:p>
    <w:p>
      <w:pPr>
        <w:jc w:val="both"/>
        <w:ind w:right="120"/>
        <w:spacing w:after="0" w:line="381" w:lineRule="auto"/>
        <w:rPr>
          <w:sz w:val="20"/>
          <w:szCs w:val="20"/>
          <w:color w:val="auto"/>
        </w:rPr>
      </w:pPr>
      <w:r>
        <w:rPr>
          <w:rFonts w:ascii="Arial" w:cs="Arial" w:eastAsia="Arial" w:hAnsi="Arial"/>
          <w:sz w:val="15"/>
          <w:szCs w:val="15"/>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entinostat or SNDX-6352 or develop new product candidates.</w:t>
      </w:r>
    </w:p>
    <w:p>
      <w:pPr>
        <w:spacing w:after="0" w:line="101"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w:t>
      </w:r>
    </w:p>
    <w:p>
      <w:pPr>
        <w:spacing w:after="0" w:line="323" w:lineRule="auto"/>
        <w:rPr>
          <w:sz w:val="20"/>
          <w:szCs w:val="20"/>
          <w:color w:val="auto"/>
        </w:rPr>
      </w:pPr>
      <w:r>
        <w:rPr>
          <w:rFonts w:ascii="Arial" w:cs="Arial" w:eastAsia="Arial" w:hAnsi="Arial"/>
          <w:sz w:val="16"/>
          <w:szCs w:val="16"/>
          <w:color w:val="auto"/>
        </w:rPr>
        <w:t>Unexpected circumstances may cause us to consume capital more rapidly than we currently anticipate. For example, we may discover that we need to conduct additional activities which exceed our current budget to achieve appropriate rates of patient enrollment, which would increase our development costs.</w:t>
      </w:r>
    </w:p>
    <w:p>
      <w:pPr>
        <w:spacing w:after="0" w:line="13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entinostat and SNDX-6352 and any future product candidates. Any efforts to secure additional financing may divert our management from our day-to-day activities, which may adversely affect our ability to develop and commercialize entinostat and SNDX-6352. In addition, we cannot guarantee that future financing will be available in sufficient amounts or on terms acceptable to us, if at all. If we do not raise additional capital when required or on acceptable terms, we may need to:</w:t>
      </w:r>
    </w:p>
    <w:p>
      <w:pPr>
        <w:spacing w:after="0" w:line="9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scale back or discontinue the development or commercialization of our product candidates or cease operations altogether;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strategic alliances for entinostat on terms less favorable than might otherwise be available; or</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harm our business, operating results and prospects.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30" w:lineRule="exact"/>
        <w:rPr>
          <w:rFonts w:ascii="Arial" w:cs="Arial" w:eastAsia="Arial" w:hAnsi="Arial"/>
          <w:sz w:val="18"/>
          <w:szCs w:val="18"/>
          <w:color w:val="auto"/>
        </w:rPr>
      </w:pPr>
    </w:p>
    <w:p>
      <w:pPr>
        <w:ind w:left="900" w:right="620" w:hanging="325"/>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1" w:lineRule="exact"/>
        <w:rPr>
          <w:rFonts w:ascii="Arial" w:cs="Arial" w:eastAsia="Arial" w:hAnsi="Arial"/>
          <w:sz w:val="17"/>
          <w:szCs w:val="17"/>
          <w:color w:val="auto"/>
        </w:rPr>
      </w:pPr>
    </w:p>
    <w:p>
      <w:pPr>
        <w:jc w:val="both"/>
        <w:ind w:left="900" w:right="56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30" w:lineRule="exact"/>
        <w:rPr>
          <w:rFonts w:ascii="Arial" w:cs="Arial" w:eastAsia="Arial" w:hAnsi="Arial"/>
          <w:sz w:val="18"/>
          <w:szCs w:val="18"/>
          <w:color w:val="auto"/>
        </w:rPr>
      </w:pPr>
    </w:p>
    <w:p>
      <w:pPr>
        <w:ind w:left="900" w:right="8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01" w:lineRule="exact"/>
        <w:rPr>
          <w:rFonts w:ascii="Arial" w:cs="Arial" w:eastAsia="Arial" w:hAnsi="Arial"/>
          <w:sz w:val="17"/>
          <w:szCs w:val="17"/>
          <w:color w:val="auto"/>
        </w:rPr>
      </w:pPr>
    </w:p>
    <w:p>
      <w:pPr>
        <w:ind w:left="900" w:right="1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either candidate receives regulatory approval and we determine to commercialize it ourselves;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10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April 30, 2016 and determined that on March 30, 2007 and August 21, 2015 ownership changes had occurred. We may have experienced an ownership change subsequent to April 30, 2016; and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Entinostat and SNDX-6352 are currently our only product candidates. If we are unable to successfully complete clinical development of, obtain regulatory approval for and commercialize entinostat or SNDX-6352, our business prospects will be significantly harmed.</w:t>
      </w:r>
    </w:p>
    <w:p>
      <w:pPr>
        <w:spacing w:after="0" w:line="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Entinostat and SNDX-6352 are currently our only product candidates. Our financial success will depend substantially on our ability to effectively and profitably commercialize entinostat and SNDX-6352. In order to commercialize entinostat and SNDX-6352, we will be required to obtain regulatory approvals by establishing that each of them is sufficiently safe and effective. The clinical and commercial success of entinostat and SNDX-6352 will depend on a number of factors, including the following:</w:t>
      </w:r>
    </w:p>
    <w:p>
      <w:pPr>
        <w:spacing w:after="0" w:line="52" w:lineRule="exact"/>
        <w:rPr>
          <w:sz w:val="20"/>
          <w:szCs w:val="20"/>
          <w:color w:val="auto"/>
        </w:rPr>
      </w:pPr>
    </w:p>
    <w:p>
      <w:pPr>
        <w:ind w:left="900" w:right="5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commencement and completion of the planned Phase 1b/2 clinical trial of entinostat in combination with avelumab and the Phase 1 clinical trial of SNDX-6352;</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completion of the planned Phase 1b/2 clinical trials of entinostat in combination with each of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and atezolizumab;</w:t>
      </w:r>
    </w:p>
    <w:p>
      <w:pPr>
        <w:spacing w:after="0" w:line="90" w:lineRule="exact"/>
        <w:rPr>
          <w:rFonts w:ascii="Arial" w:cs="Arial" w:eastAsia="Arial" w:hAnsi="Arial"/>
          <w:sz w:val="18"/>
          <w:szCs w:val="18"/>
          <w:color w:val="auto"/>
        </w:rPr>
      </w:pPr>
    </w:p>
    <w:p>
      <w:pPr>
        <w:jc w:val="both"/>
        <w:ind w:left="900" w:right="6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patient enrollment and completion of the Phase 3 clinical trial in advanced HR+, HER2- breast cancer, which may be significantly slower than we currently anticipate and will depend substantially upon the satisfactory performance of the ECOG-ACRIN and the NCI and other third-party contractors for entinostat;</w:t>
      </w:r>
    </w:p>
    <w:p>
      <w:pPr>
        <w:spacing w:after="0" w:line="4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9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entinostat and SNDX-6352 for their proposed indications and the timely receipt of necessary marketing approvals from the FDA and foreign regulatory authorities;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9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of entinostat and SNDX-6352, and to develop, validate and maintain a commercially viable manufacturing process that is compliant with cGMP;</w:t>
      </w:r>
    </w:p>
    <w:p>
      <w:pPr>
        <w:spacing w:after="0" w:line="75" w:lineRule="exact"/>
        <w:rPr>
          <w:rFonts w:ascii="Arial" w:cs="Arial" w:eastAsia="Arial" w:hAnsi="Arial"/>
          <w:sz w:val="18"/>
          <w:szCs w:val="18"/>
          <w:color w:val="auto"/>
        </w:rPr>
      </w:pPr>
    </w:p>
    <w:p>
      <w:pPr>
        <w:ind w:left="900" w:right="500" w:hanging="325"/>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availability of commercial supplies of therapeutics, including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and </w:t>
      </w:r>
      <w:r>
        <w:rPr>
          <w:rFonts w:ascii="Arial" w:cs="Arial" w:eastAsia="Arial" w:hAnsi="Arial"/>
          <w:sz w:val="16"/>
          <w:szCs w:val="16"/>
          <w:i w:val="1"/>
          <w:iCs w:val="1"/>
          <w:color w:val="auto"/>
        </w:rPr>
        <w:t>Keytruda</w:t>
      </w:r>
      <w:r>
        <w:rPr>
          <w:rFonts w:ascii="Arial" w:cs="Arial" w:eastAsia="Arial" w:hAnsi="Arial"/>
          <w:sz w:val="16"/>
          <w:szCs w:val="16"/>
          <w:color w:val="auto"/>
        </w:rPr>
        <w:t>, and clinical supplies of investigational drugs, to support the development and marketing of the entinostat therapy as a component of a combination drug regimen for entinostat;</w:t>
      </w:r>
    </w:p>
    <w:p>
      <w:pPr>
        <w:spacing w:after="0" w:line="29"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entinostat and SNDX-6352.</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strategy of combining entinostat with immune checkpoint inhibitors is clinically untested and we may fail to show that the combination is safe and well tolerated and demonstrates additional clinical benefit from the combination.</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studies conducted by us and others suggest a strong rationale for combining entinostat with immune checkpoint inhibitors to enhance the immune system’s ability to detect and eliminate tumor cells. Our approach is to conduct Phase 1 and 2 clinical trials in patients with tumors that are known to be responsive to immune checkpoint inhibitors and assess both the safety and efficacy of the combination of entinostat plus a checkpoint inhibitor. However, we have not yet demonstrated the safety or the benefit of this combination in humans and we may be unable to establish a clinically meaningful benefit for patient without added toxicity.</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SPA, agreement with the FDA relating to the pivotal Phase 3 clinical trial of entinostat for advanced HR+, HER2- breast cancer, this agreement does not guarantee any particular outcome with respect to regulatory review of the trial or any associated NDA for entinostat.</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protocol for the pivotal Phase 3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HER2- breast cancer was reviewed and agreed upon by the FDA under an SPA agreement with the NCI. The SPA agreement allows for FDA evaluation of whether a clinical trial protocol could form the primary basis of an efficacy claim in support of a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Further, obtaining clinical trial data meeting the clinical endpoints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16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If the Phase 3 clinical trial of entinostat in combination with Aromasin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16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in advanced HR+, HER2- breast cancer patients. The trial will measure two primary endpoints of progression free survival, or PFS, and overall survival. Based on information received from ECOG-ACRIN to date, PFS data is expected in the first half of 2018 and overall survival data no sooner than the second half of 2019. If the Phase 3 clinical trial meets the PFS endpoint and the interim analysis of overall survival demonstrates a favorable trend, we expect to submit an NDA based on this data. However, if the trial does not meet the PFS endpoint, we will not be able to submit an NDA unless and until we receive data demonstrating that the primary endpoint for overall survival has been achieved. In addition, based on scientific advice from the European Medicines Agency, the current Phase 3 clinical trial is not likely to be sufficient to receive regulatory approval in Europe for entinostat to treat advanced HR+, HER2- breast cancer, and it is unclear whether we would be able to complete an alternate clinical trial that would be sufficient.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 xml:space="preserve">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w:t>
      </w:r>
      <w:r>
        <w:rPr>
          <w:rFonts w:ascii="Arial" w:cs="Arial" w:eastAsia="Arial" w:hAnsi="Arial"/>
          <w:sz w:val="16"/>
          <w:szCs w:val="16"/>
          <w:i w:val="1"/>
          <w:iCs w:val="1"/>
          <w:color w:val="auto"/>
        </w:rPr>
        <w:t>Aromasin</w:t>
      </w:r>
      <w:r>
        <w:rPr>
          <w:rFonts w:ascii="Arial" w:cs="Arial" w:eastAsia="Arial" w:hAnsi="Arial"/>
          <w:sz w:val="16"/>
          <w:szCs w:val="16"/>
          <w:color w:val="auto"/>
        </w:rPr>
        <w:t>, we cannot be certain that we will not observe these toxicities or unexpected side effects in the Phase 3 clinical trial.</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8"/>
          <w:szCs w:val="18"/>
          <w:i w:val="1"/>
          <w:iCs w:val="1"/>
          <w:color w:val="auto"/>
        </w:rPr>
        <w:t xml:space="preserve">Faslodex </w:t>
      </w:r>
      <w:r>
        <w:rPr>
          <w:rFonts w:ascii="Arial" w:cs="Arial" w:eastAsia="Arial" w:hAnsi="Arial"/>
          <w:sz w:val="18"/>
          <w:szCs w:val="18"/>
          <w:color w:val="auto"/>
        </w:rPr>
        <w:t>and</w:t>
      </w:r>
      <w:r>
        <w:rPr>
          <w:rFonts w:ascii="Arial" w:cs="Arial" w:eastAsia="Arial" w:hAnsi="Arial"/>
          <w:sz w:val="18"/>
          <w:szCs w:val="18"/>
          <w:i w:val="1"/>
          <w:iCs w:val="1"/>
          <w:color w:val="auto"/>
        </w:rPr>
        <w:t xml:space="preserve"> Ibrance</w:t>
      </w:r>
      <w:r>
        <w:rPr>
          <w:rFonts w:ascii="Arial" w:cs="Arial" w:eastAsia="Arial" w:hAnsi="Arial"/>
          <w:sz w:val="18"/>
          <w:szCs w:val="18"/>
          <w:color w:val="auto"/>
        </w:rPr>
        <w:t>, patients enrolled in the Phase 3 clinical trial may be different than those enrolled in our previous Phase 2b clinical trial in that they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received </w:t>
      </w:r>
      <w:r>
        <w:rPr>
          <w:rFonts w:ascii="Arial" w:cs="Arial" w:eastAsia="Arial" w:hAnsi="Arial"/>
          <w:sz w:val="18"/>
          <w:szCs w:val="18"/>
          <w:i w:val="1"/>
          <w:iCs w:val="1"/>
          <w:color w:val="auto"/>
        </w:rPr>
        <w:t>Faslodex</w:t>
      </w:r>
      <w:r>
        <w:rPr>
          <w:rFonts w:ascii="Arial" w:cs="Arial" w:eastAsia="Arial" w:hAnsi="Arial"/>
          <w:sz w:val="18"/>
          <w:szCs w:val="18"/>
          <w:color w:val="auto"/>
        </w:rPr>
        <w:t xml:space="preserve"> and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89"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The failure of ECOG-ACRIN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0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We have entered into an arrangement with ECOG-ACRIN, pursuant to which it, with sponsorship and funding support by the NCI, is conducting the Phase 3 clinical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HER2- breast cancer patients. While we provide operational and logistical support for the trial, we have limited control of their activities. We cannot control whether or not ECOG-ACRIN will devote sufficient time and resources to the trial, including as a result of any reduction or delay in government funding or sponsorship of the activities of ECOG-ACRIN or the NCI. If ECOG-ACRIN does not successfully carry out its obligations and responsibilities or meet expected deadlines or if the quality or accuracy of the clinical data it obtains is compromised due to the failure to adhere to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66" w:lineRule="exact"/>
        <w:rPr>
          <w:sz w:val="20"/>
          <w:szCs w:val="20"/>
          <w:color w:val="auto"/>
        </w:rPr>
      </w:pPr>
    </w:p>
    <w:p>
      <w:pPr>
        <w:ind w:right="240" w:firstLine="456"/>
        <w:spacing w:after="0" w:line="270" w:lineRule="auto"/>
        <w:rPr>
          <w:sz w:val="20"/>
          <w:szCs w:val="20"/>
          <w:color w:val="auto"/>
        </w:rPr>
      </w:pPr>
      <w:r>
        <w:rPr>
          <w:rFonts w:ascii="Arial" w:cs="Arial" w:eastAsia="Arial" w:hAnsi="Arial"/>
          <w:sz w:val="17"/>
          <w:szCs w:val="17"/>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you that upon inspection by a given regulatory authority, such regulatory authority will determine that any of our trials comply with GCP requirements. In addition, we must conduct our trials with products produced under cGMP requirements. Failure to comply with any of these regulations may require us to repeat preclinical and clinical trials, which would delay the regulatory development process.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p>
    <w:p>
      <w:pPr>
        <w:spacing w:after="0" w:line="170"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 xml:space="preserve">The Phase 3 clinical trial of entinostat in combination with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in advanced HR+, HER2- breast cancer commenced in the second quarter of 2014, and ECOG-ACRIN expects to have PFS data from this trial in the first half of 2018. However, to date, ECOG-ACRIN’s enrollment of patients in this trial has been slower than expected. We do not know whether this trial will need to be restructured, or will be completed on schedule or at all. Our product development costs will increase if we experience delays in clinical testing.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which may result in a delay or unsuccessful completion of clinical development of entinostat include, among other things:</w:t>
      </w:r>
    </w:p>
    <w:p>
      <w:pPr>
        <w:spacing w:after="0" w:line="83"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ECOG-ACRIN to timely identify and enroll patients in the Phase 3 clinical trial;</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4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46"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deviations from the trial protocol by clinical trial sites and investigators or failure to conduct the trial in accordance with regulatory requirements;</w:t>
      </w:r>
    </w:p>
    <w:p>
      <w:pPr>
        <w:spacing w:after="0" w:line="11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sponsorship of the NCI because of a failure of ECOG-ACRIN to meet certain performance metrics in the clinical 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unexpectedly high rate of patients withdrawing consent or being lost to follow-up;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side effects;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w:t>
      </w:r>
    </w:p>
    <w:p>
      <w:pPr>
        <w:spacing w:after="0" w:line="9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clinical trial sites, many of which may already be engaged in other clinical trial programs, including some that may be for the same indication;</w:t>
      </w:r>
    </w:p>
    <w:p>
      <w:pPr>
        <w:spacing w:after="0" w:line="3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trials; or</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9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perception about the relative efficacy of our product candidates versus other compounds in clinical development or commercially available;</w:t>
      </w:r>
    </w:p>
    <w:p>
      <w:pPr>
        <w:spacing w:after="0" w:line="101" w:lineRule="exact"/>
        <w:rPr>
          <w:rFonts w:ascii="Arial" w:cs="Arial" w:eastAsia="Arial" w:hAnsi="Arial"/>
          <w:sz w:val="17"/>
          <w:szCs w:val="17"/>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 with immuno-oncology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above factors, there is a risk that our or our collaborators’ clinical trials may not be completed on a timely basis or at all.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Merck, Genentech, Merck KGaA and Pfizer and any future collaborators to perform satisfactorily under our agreements.</w:t>
      </w:r>
    </w:p>
    <w:p>
      <w:pPr>
        <w:spacing w:after="0" w:line="14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Under the agreements with Merck, Genentech, Merck KGaA and Pfizer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collaboration with 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and, for example, Merck has the right to terminate the Merck agreement for any reason after a specified advance notice period. Any termination may require us to 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1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If we are unable to enter into additional clinical collaborations with developers of immune checkpoint inhibitors or other combination therapies to explore the same or additional indications, the commercial potential of entinostat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actions of KHK and any other current or future sublicensees could adversely affect our business.</w:t>
      </w:r>
    </w:p>
    <w:p>
      <w:pPr>
        <w:spacing w:after="0" w:line="14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It is possible that any clinical trials conducted by KHK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to comply with the terms of our license agreement for SNDX-6352.</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commercial success also depends upon our ability to develop, manufacture, market and sell SNDX-6352. In July 2016, we entered into the UCB license agreement pursuant to which we obtained a worldwide, sublicenseable, exclusive license to SNDX-6352,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For example, under the UCB license agreement, UCB is transferring to us certain data and materials, provide limited technical assistance and certain transitional services, and manufacture and supply us with a preliminary supply of SNDX-6352, which we expect will assist us with the development, manufacture and commercialization of SNDX-6352. If UCB fails to complete such technology transfer or to supply us with sufficient quantities of SNDX-6352, our efforts to develop and commercialization SNDX-6352 may be delayed or may fail.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is terminated,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10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3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35"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46"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9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3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3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3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2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35"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9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 NDA or other submission or to obtain regulatory approval;</w:t>
      </w:r>
    </w:p>
    <w:p>
      <w:pPr>
        <w:spacing w:after="0" w:line="3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3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entinostat and/or SNDX-6352 for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more limited patient population than we request, may grant approval contingent on the performance of costly post-marketing trials, may impose a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product candidates.</w:t>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Aromasin, Keytruda, atezolizumab, avelumab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w:t>
      </w:r>
      <w:r>
        <w:rPr>
          <w:rFonts w:ascii="Arial" w:cs="Arial" w:eastAsia="Arial" w:hAnsi="Arial"/>
          <w:sz w:val="18"/>
          <w:szCs w:val="18"/>
          <w:i w:val="1"/>
          <w:iCs w:val="1"/>
          <w:color w:val="auto"/>
        </w:rPr>
        <w:t>Keytruda</w:t>
      </w:r>
      <w:r>
        <w:rPr>
          <w:rFonts w:ascii="Arial" w:cs="Arial" w:eastAsia="Arial" w:hAnsi="Arial"/>
          <w:sz w:val="18"/>
          <w:szCs w:val="18"/>
          <w:color w:val="auto"/>
        </w:rPr>
        <w:t>, atezolizumab, avelumab or other drugs that we are testing in combination with entinostat could adversely affect our ability to timely conduct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Phase 3 clinical trial in advanced HR+, HER2- breast cancer and the Phase 1b/2 clinical trials in NSCLC, melanoma, microsatellite stable colorectal cancer, ovarian cancer, and TNBC, and if entinostat receives regulatory approval, to commercialize entinostat for treatment of advanced HR+, HER2- breast cancer, NSCLC, melanoma, microsatellite stable colorectal cancer, ovarian cancer, or TNBC. A shortage of supply may also result in an increase, which could be significant, in our costs of procuring </w:t>
      </w:r>
      <w:r>
        <w:rPr>
          <w:rFonts w:ascii="Arial" w:cs="Arial" w:eastAsia="Arial" w:hAnsi="Arial"/>
          <w:sz w:val="18"/>
          <w:szCs w:val="18"/>
          <w:i w:val="1"/>
          <w:iCs w:val="1"/>
          <w:color w:val="auto"/>
        </w:rPr>
        <w:t>Aromasin</w:t>
      </w:r>
      <w:r>
        <w:rPr>
          <w:rFonts w:ascii="Arial" w:cs="Arial" w:eastAsia="Arial" w:hAnsi="Arial"/>
          <w:sz w:val="18"/>
          <w:szCs w:val="18"/>
          <w:color w:val="auto"/>
        </w:rPr>
        <w:t>.</w:t>
      </w:r>
    </w:p>
    <w:p>
      <w:pPr>
        <w:spacing w:after="0" w:line="18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7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11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entinostat and SNDX-6352.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8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We have received breakthrough therapy designation from the FDA for entinostat when used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based on the overall survival results from our completed Phase 2b clinical trial in advanced HR+, HER2- breast cancer.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The Phase 2b trial showed statistically significant improvements in PFS, the primary endpoint, and OS,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if results from the Phase 3 clinical trial do not confirm the improvements in PFS or overall survival observed in our Phase 2b clinical trial, the FDA may rescind our breakthrough therapy designation.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5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23"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9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do not lawfully promote our approved products, we may become subject to such litigation, which have a material adverse effect on our business, financial condition and results of operations.</w:t>
      </w:r>
    </w:p>
    <w:p>
      <w:pPr>
        <w:spacing w:after="0" w:line="188"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its regulatory approval, limit the commercial scope of its approved use, or result in significant negative consequences following any marketing approval.</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7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from the European Medicines Agency, the current Phase 3 clinical trial is likely to be insufficient to receive regulatory approval in Europe for entinostat to treat advanced HR+, HER2-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 xml:space="preserve">The pharmacologic treatment of NSCLC, melanoma, microsatellite stable colorectal cancer, ovarian cancer, TNBC patients includes chemotherapies and therapies targeting specific gene mutations. More recently, immune checkpoint inhibitors have been approved for NSCLC and melanoma and are under investigation for ovarian cancer and TNBC. There are currently no approved combination immuno-oncology therapies although numerous drugs are undergoing active clinical investigation. We believe that if entinostat in combination with either </w:t>
      </w:r>
      <w:r>
        <w:rPr>
          <w:rFonts w:ascii="Arial" w:cs="Arial" w:eastAsia="Arial" w:hAnsi="Arial"/>
          <w:sz w:val="17"/>
          <w:szCs w:val="17"/>
          <w:i w:val="1"/>
          <w:iCs w:val="1"/>
          <w:color w:val="auto"/>
        </w:rPr>
        <w:t>Keytruda</w:t>
      </w:r>
      <w:r>
        <w:rPr>
          <w:rFonts w:ascii="Arial" w:cs="Arial" w:eastAsia="Arial" w:hAnsi="Arial"/>
          <w:sz w:val="17"/>
          <w:szCs w:val="17"/>
          <w:color w:val="auto"/>
        </w:rPr>
        <w:t>, atezolizumab or avelumab were approved for the treatment of NSCLC, melanoma, microsatellite stable colorectal cancer, ovarian cancer or TNBC, it would face competition from these standard-of-care approaches and other investigational drugs being tested in combination with any of these approaches.</w:t>
      </w:r>
    </w:p>
    <w:p>
      <w:pPr>
        <w:spacing w:after="0" w:line="17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If entinostat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w:t>
      </w:r>
      <w:r>
        <w:rPr>
          <w:rFonts w:ascii="Arial" w:cs="Arial" w:eastAsia="Arial" w:hAnsi="Arial"/>
          <w:sz w:val="18"/>
          <w:szCs w:val="18"/>
          <w:i w:val="1"/>
          <w:iCs w:val="1"/>
          <w:color w:val="auto"/>
        </w:rPr>
        <w:t>Afinitor</w:t>
      </w:r>
      <w:r>
        <w:rPr>
          <w:rFonts w:ascii="Arial" w:cs="Arial" w:eastAsia="Arial" w:hAnsi="Arial"/>
          <w:sz w:val="18"/>
          <w:szCs w:val="18"/>
          <w:color w:val="auto"/>
        </w:rPr>
        <w:t>, and other therapies currently in Phase 3 clinical development such as abemaciclib, being developed by Eli Lilly and Company, and ribociclib and buparlisib, both of which are being developed by Novartis.</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3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acceptance of entinostat in combination with </w:t>
      </w:r>
      <w:r>
        <w:rPr>
          <w:rFonts w:ascii="Arial" w:cs="Arial" w:eastAsia="Arial" w:hAnsi="Arial"/>
          <w:sz w:val="18"/>
          <w:szCs w:val="18"/>
          <w:i w:val="1"/>
          <w:iCs w:val="1"/>
          <w:color w:val="auto"/>
        </w:rPr>
        <w:t>Aromasin, Keytruda</w:t>
      </w:r>
      <w:r>
        <w:rPr>
          <w:rFonts w:ascii="Arial" w:cs="Arial" w:eastAsia="Arial" w:hAnsi="Arial"/>
          <w:sz w:val="18"/>
          <w:szCs w:val="18"/>
          <w:color w:val="auto"/>
        </w:rPr>
        <w:t xml:space="preserve"> and other drugs by physicians and other healthcare providers.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16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4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26"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8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ability to successfully commercialize entinostat, or any other product candidates that we develop, will depend in part on the extent to which coverage and adequate reimbursement for these products and related treatments will be available from government healthcare programs, private health insurers, managed care plans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1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1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Private payors often follow the Centers for Medicare and Medicaid Services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0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44"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77"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1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regulatory requirements, the FDA could take enforcement action that could jeopardize our ability to market the product candidate.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26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have been judicial and Congressional challenges to certain aspects of the Affordable Care Act, and we expect there will be additional challenges and amendments in the future. Some of the provisions of the Affordable Care Act have yet to be implemented, and there have been judicial and Congressional challenges to certain aspects of the Affordable Care Act. In addition, the current administration and Congress will likely continue to seek legislative and regulatory changes, including repeal and replacement of certain provisions of the Affordable Care Act.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In March 2017, following the passage of the budget resolution for fiscal year 2017, the U.S. House of Representatives introduced legislation known as the American Health Care Act, which, if enacted, would have amended or repealed significant portions of the Affordable Care Act. However, consensus over the scope of the American Health Care Act could not be reached by its proponents in the U.S. House of Representatives. Thus, the proposed legislation has been withdrawn and the prospects for legislative action on this bill are uncertain. Congress could consider other legislation to repeal or replace certain elements of the Affordable Care Act. We continue to evaluate the effect that the ACA and its possible repeal and replacement has on our business.</w:t>
      </w:r>
    </w:p>
    <w:p>
      <w:pPr>
        <w:spacing w:after="0" w:line="17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has extended the 2% reduction to 2025.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 Further,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review the relationship between pricing and manufacturer patient programs, reduce the cost of drugs under Medicare, and reform government program reimbursement methodologies for drugs.</w:t>
      </w:r>
    </w:p>
    <w:p>
      <w:pPr>
        <w:spacing w:after="0" w:line="18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94"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8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6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37" w:lineRule="exact"/>
        <w:rPr>
          <w:sz w:val="20"/>
          <w:szCs w:val="20"/>
          <w:color w:val="auto"/>
        </w:rPr>
      </w:pPr>
    </w:p>
    <w:p>
      <w:pPr>
        <w:ind w:left="9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51"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1" w:lineRule="exact"/>
        <w:rPr>
          <w:rFonts w:ascii="Arial" w:cs="Arial" w:eastAsia="Arial" w:hAnsi="Arial"/>
          <w:sz w:val="18"/>
          <w:szCs w:val="18"/>
          <w:color w:val="auto"/>
        </w:rPr>
      </w:pPr>
    </w:p>
    <w:p>
      <w:pPr>
        <w:ind w:left="900" w:right="40" w:hanging="325"/>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and their implementing regulations, or HIPAA, imposes civil and criminal liability for, among other things, knowingly and willfully executing a scheme to defraud any healthcare benefit program, knowingly and willfully embezzling or stealing from a health care benefit program, willfully obstructing a criminal investigation of a health care offense, knowingly and willfully making false statements relating to healthcare matters, or knowingly obtaining or disclosing individually identifiable health information maintained by a HIPAA-covered entity in a manner that is not authorized or permitted by HIPAA;</w:t>
      </w:r>
    </w:p>
    <w:p>
      <w:pPr>
        <w:spacing w:after="0" w:line="58"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46" w:lineRule="exact"/>
        <w:rPr>
          <w:rFonts w:ascii="Arial" w:cs="Arial" w:eastAsia="Arial" w:hAnsi="Arial"/>
          <w:sz w:val="18"/>
          <w:szCs w:val="18"/>
          <w:color w:val="auto"/>
        </w:rPr>
      </w:pPr>
    </w:p>
    <w:p>
      <w:pPr>
        <w:ind w:left="900" w:right="80" w:hanging="325"/>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Open Payments program, created as part of the Physician Payments Sunshine Act under Section 6002 of the Affordable Care Act and its implementing regulations,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54"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0" w:lineRule="auto"/>
        <w:rPr>
          <w:sz w:val="20"/>
          <w:szCs w:val="20"/>
          <w:color w:val="auto"/>
        </w:rPr>
      </w:pPr>
      <w:r>
        <w:rPr>
          <w:rFonts w:ascii="Arial" w:cs="Arial" w:eastAsia="Arial" w:hAnsi="Arial"/>
          <w:sz w:val="17"/>
          <w:szCs w:val="17"/>
          <w:color w:val="auto"/>
        </w:rPr>
        <w:t>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74"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8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7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6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expires in September 2017.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authorities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 Even if we submit an NDA before the expiration of U.S. Patent RE39,754 and are successful in obtaining an extension of the term of U.S. Patent RE39,754 based on FDA regulatory delays, such extension will only extend the term of RE39,754 for a few additional years (up to a maximum of five additional years for patent claims covering a new chemical entity).</w:t>
      </w:r>
    </w:p>
    <w:p>
      <w:pPr>
        <w:spacing w:after="0" w:line="16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in September 2017, a competitor may develop a competing polymorphic form other than based on polymorph B, which could compete with polymorph B.</w:t>
      </w:r>
    </w:p>
    <w:p>
      <w:pPr>
        <w:spacing w:after="0" w:line="1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portfolio we licensed from UCB includes patent applications with pending claims directed to the composition of matter of SNDX-6352 (a humanized, full-length IgG4 (kappa light chain) antibody with high affinity for the CSF-1R) as well as claims directed to methods of use of SNDX-6352. There is no guarantee that 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05"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9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10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9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obligated to pay Bayer up to approximately $50.0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86"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1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17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7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13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5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15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3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1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any patent assignments or employee agreements demonstrating that all inventors have assigned their rights to the inventions or related patents. As a result, we may be subject to claims of ownership by such inventors.</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rely significantly on information technology and any failure, inadequacy, interruption or security lapse of that technology, including any cyber security incidents, could harm our ability to operate our business effectively.</w:t>
      </w:r>
    </w:p>
    <w:p>
      <w:pPr>
        <w:spacing w:after="0" w:line="17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System failures, accidents or security breaches could cause interruptions in our operations, and could result in a material disruption of our clinical and commercialization activities and business operations, in addition to possibly requiring substantial expenditures of resources to remedy. The loss of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our product research, development and commercialization efforts could be delayed.</w:t>
      </w:r>
    </w:p>
    <w:p>
      <w:pPr>
        <w:sectPr>
          <w:pgSz w:w="11900" w:h="16838" w:orient="portrait"/>
          <w:cols w:equalWidth="0" w:num="1">
            <w:col w:w="11420"/>
          </w:cols>
          <w:pgMar w:left="240" w:top="45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8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52"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240" w:top="121" w:right="6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Until we can generate a sufficient amount of revenue from our products, if ever, we expect to finance future cash needs through public or private equity or debt offerings.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no or few securities or industry analysts commence coverage of us, the trading price for our stock could be negatively impacted. In the event we obtain securities or industry analyst coverage, if any of the analysts who cover us issue an adverse or misleading opinion regarding us, our business model, our intellectual property or our stock performance, or if our trials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As of March 31, 2017, our executive officers, directors, holders of 5% or more of our capital stock and their respective affiliates beneficially own approximately 73% of our outstanding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78"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0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76" w:lineRule="exact"/>
        <w:rPr>
          <w:sz w:val="20"/>
          <w:szCs w:val="20"/>
          <w:color w:val="auto"/>
        </w:rPr>
      </w:pPr>
    </w:p>
    <w:p>
      <w:pPr>
        <w:ind w:left="900" w:right="1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75"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92"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29" w:lineRule="exact"/>
        <w:rPr>
          <w:rFonts w:ascii="Arial" w:cs="Arial" w:eastAsia="Arial" w:hAnsi="Arial"/>
          <w:sz w:val="16"/>
          <w:szCs w:val="16"/>
          <w:color w:val="auto"/>
        </w:rPr>
      </w:pPr>
    </w:p>
    <w:p>
      <w:pPr>
        <w:ind w:left="900" w:right="5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take advantage of these exemptions until we are no longer an “emerging growth company.” We would cease to be an “emerging growth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upon the earliest of: (i) the first fiscal year following the fifth anniversary of our IPO; (ii) the first fiscal year after our annual gross revenues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billion or more; (iii) the date on which we have, during the previous three-year period, issued more than $1.0 billion in non-convertible debt securities; or</w:t>
      </w:r>
    </w:p>
    <w:p>
      <w:pPr>
        <w:spacing w:after="0" w:line="32" w:lineRule="exact"/>
        <w:rPr>
          <w:sz w:val="20"/>
          <w:szCs w:val="20"/>
          <w:color w:val="auto"/>
        </w:rPr>
      </w:pPr>
    </w:p>
    <w:p>
      <w:pPr>
        <w:ind w:right="180" w:firstLine="8"/>
        <w:spacing w:after="0" w:line="261" w:lineRule="auto"/>
        <w:tabs>
          <w:tab w:leader="none" w:pos="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the end of any fiscal year in which the market value of our common stock held by non-affiliates exceeded $700 million as of the end of the second quarter of that fiscal year.</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intend to take advantage of some, but not all, of the reduced regulatory and reporting requirements that will be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needs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these rules and regulations have made it more difficult and more expensive for us to obtain director and officer liability insurance and we were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Some of the holders of our securities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 material adverse effect on the trading price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0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w:t>
      </w:r>
    </w:p>
    <w:p>
      <w:pPr>
        <w:spacing w:after="0" w:line="18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2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87" w:lineRule="exact"/>
        <w:rPr>
          <w:sz w:val="20"/>
          <w:szCs w:val="20"/>
          <w:color w:val="auto"/>
        </w:rPr>
      </w:pPr>
    </w:p>
    <w:p>
      <w:pPr>
        <w:ind w:left="900" w:right="56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3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March 8, 2016, we completed our IPO and sold 4,400,000 shares of common stock at the initial public offering price of $12.00 per share.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11, 2016, we sold an additional 409,475 shares of our common stock at the initial public offering price of $12.00 per share as a result of the partial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 by the underwriters of their option purchase additional shares of common stock. We received net proceeds from the IPO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$50.5 million, after deducting underwriting discounts, commissions and offering expenses. None of these expenses consisted of payments made by us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officers or persons owning 10% or more of our common stock or to their associates, or to our affiliates. The offer and sale of the shares in our IPO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registered pursuant to our Registration Statement on Form S-1 (File No. 333-208861), which was declared effective by the SEC on March 2,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and Citigroup acted as joint book-running managers for the offering, and JMP Securities and Oppenheimer &amp; Co. acted as co-managers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offering. There has been no material change in the planned use of proceeds from our IPO as described in our final prospectus filed with the SEC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 2016, pursuant to Rule 424. We invested the funds received in cash equivalents and other short-term investments in accordance with our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policy. As of March 31, 2017, we have not used any of the proceeds from the IPO and as such, the entire amount of the net proceeds is included as cash,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equivalents and short-term investments.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 48</w:t>
      </w:r>
    </w:p>
    <w:p>
      <w:pPr>
        <w:sectPr>
          <w:pgSz w:w="11900" w:h="16838" w:orient="portrait"/>
          <w:cols w:equalWidth="0" w:num="1">
            <w:col w:w="10660"/>
          </w:cols>
          <w:pgMar w:left="240" w:top="459" w:right="9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Briggs W. Morrison, M.D.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Richard P. Shea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(Principal Executive Officer and Principal Accounting</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459" w:right="239" w:bottom="1440" w:gutter="0" w:footer="0" w:header="0"/>
        </w:sectPr>
      </w:pPr>
    </w:p>
    <w:p>
      <w:pPr>
        <w:spacing w:after="0" w:line="248" w:lineRule="exact"/>
        <w:rPr>
          <w:sz w:val="20"/>
          <w:szCs w:val="20"/>
          <w:color w:val="auto"/>
        </w:rPr>
      </w:pPr>
    </w:p>
    <w:p>
      <w:pPr>
        <w:jc w:val="center"/>
        <w:ind w:left="8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5080</wp:posOffset>
            </wp:positionV>
            <wp:extent cx="2832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Amended and Restated Certificate of Incorporation of the Company (incorporated herein by reference to Exhibit 3.1 to the Company’s Current Report on Form 8-K (File No. 001-37708), as filed with the SEC on March 8, 2016).</w:t>
      </w:r>
    </w:p>
    <w:p>
      <w:pPr>
        <w:spacing w:after="0" w:line="62" w:lineRule="exact"/>
        <w:rPr>
          <w:sz w:val="20"/>
          <w:szCs w:val="20"/>
          <w:color w:val="auto"/>
        </w:rPr>
      </w:pPr>
    </w:p>
    <w:p>
      <w:pPr>
        <w:sectPr>
          <w:pgSz w:w="11900" w:h="16838" w:orient="portrait"/>
          <w:cols w:equalWidth="0" w:num="2">
            <w:col w:w="520" w:space="400"/>
            <w:col w:w="10500"/>
          </w:cols>
          <w:pgMar w:left="240" w:top="459" w:right="239" w:bottom="1440" w:gutter="0" w:footer="0" w:header="0"/>
          <w:type w:val="continuous"/>
        </w:sectPr>
      </w:pPr>
    </w:p>
    <w:p>
      <w:pPr>
        <w:ind w:left="920" w:right="120" w:hanging="737"/>
        <w:spacing w:after="0" w:line="277"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Company (incorporated herein by reference to Exhibit 3.1 to the Company’s Current Report on Form 8-K (File No. 001-37708), as filed with the SEC on March 8, 2016).</w:t>
      </w:r>
    </w:p>
    <w:p>
      <w:pPr>
        <w:spacing w:after="0" w:line="62" w:lineRule="exact"/>
        <w:rPr>
          <w:sz w:val="20"/>
          <w:szCs w:val="20"/>
          <w:color w:val="auto"/>
        </w:rPr>
      </w:pPr>
    </w:p>
    <w:p>
      <w:pPr>
        <w:ind w:left="920" w:right="120" w:hanging="737"/>
        <w:spacing w:after="0" w:line="277" w:lineRule="auto"/>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Common Stock Certificate of the Company (incorporated herein by reference to Exhibit 4.1 to the Company’s Registration Statement on Form S-1/A (File No. 333-208861), as filed with the SEC on February 10, 2016).</w:t>
      </w:r>
    </w:p>
    <w:p>
      <w:pPr>
        <w:spacing w:after="0" w:line="62" w:lineRule="exact"/>
        <w:rPr>
          <w:sz w:val="20"/>
          <w:szCs w:val="20"/>
          <w:color w:val="auto"/>
        </w:rPr>
      </w:pPr>
    </w:p>
    <w:p>
      <w:pPr>
        <w:ind w:left="920" w:right="140" w:hanging="737"/>
        <w:spacing w:after="0" w:line="264" w:lineRule="auto"/>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Warrant to purchase Common Stock issued pursuant to the Warrant Agreement by and between the Company and Bayer Schering Pharma AG, dated March 26, 2007 (incorporated herein by reference to Exhibit 4.2 to the Company’s Registration Statement on Form S-1 (File No. 333-208861), as filed with the SEC on January 4, 2016).</w:t>
      </w:r>
    </w:p>
    <w:p>
      <w:pPr>
        <w:spacing w:after="0" w:line="7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No. 7 to Clinical Trial Agreement by and between the Company and ECOG-ACRIN Cancer Research Group, dated January 9, 2017.</w:t>
      </w:r>
    </w:p>
    <w:p>
      <w:pPr>
        <w:spacing w:after="0" w:line="117" w:lineRule="exact"/>
        <w:rPr>
          <w:sz w:val="20"/>
          <w:szCs w:val="20"/>
          <w:color w:val="auto"/>
        </w:rPr>
      </w:pPr>
    </w:p>
    <w:p>
      <w:pPr>
        <w:ind w:left="920" w:right="260" w:hanging="827"/>
        <w:spacing w:after="0" w:line="277"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#2 to License, Development and Commercialization Agreement by and between the company and Kyowa Hakko Kirin Co., Ltd., dated January 16, 2017.</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No. 8 to Clinical Trial Agreement by and between the Company and ECOG-ACRIN Cancer Research Group, dated January 18,</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2017.</w:t>
      </w:r>
    </w:p>
    <w:p>
      <w:pPr>
        <w:spacing w:after="0" w:line="10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Side Agreement by and between the Company and UCB Biopharma Sprl, dated March 8, 2017.</w:t>
      </w:r>
    </w:p>
    <w:p>
      <w:pPr>
        <w:spacing w:after="0" w:line="117" w:lineRule="exact"/>
        <w:rPr>
          <w:sz w:val="20"/>
          <w:szCs w:val="20"/>
          <w:color w:val="auto"/>
        </w:rPr>
      </w:pPr>
    </w:p>
    <w:p>
      <w:pPr>
        <w:ind w:left="920" w:right="120" w:hanging="827"/>
        <w:spacing w:after="0" w:line="277" w:lineRule="auto"/>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Principal Executive Officer pursuant to Rules 13a-14(a) and 15d-14(a) promulgated under the Securities Exchange Act of 1934, as amended.</w:t>
      </w:r>
    </w:p>
    <w:p>
      <w:pPr>
        <w:spacing w:after="0" w:line="62" w:lineRule="exact"/>
        <w:rPr>
          <w:sz w:val="20"/>
          <w:szCs w:val="20"/>
          <w:color w:val="auto"/>
        </w:rPr>
      </w:pPr>
    </w:p>
    <w:p>
      <w:pPr>
        <w:ind w:left="920" w:right="180" w:hanging="827"/>
        <w:spacing w:after="0" w:line="277" w:lineRule="auto"/>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Principal Financial Officer pursuant to Rules 13a-14(a) and 15d-14(a) promulgated under the Securities Exchange Act of 1934, as amended.</w:t>
      </w:r>
    </w:p>
    <w:p>
      <w:pPr>
        <w:spacing w:after="0" w:line="62" w:lineRule="exact"/>
        <w:rPr>
          <w:sz w:val="20"/>
          <w:szCs w:val="20"/>
          <w:color w:val="auto"/>
        </w:rPr>
      </w:pPr>
    </w:p>
    <w:p>
      <w:pPr>
        <w:ind w:left="920" w:right="120" w:hanging="827"/>
        <w:spacing w:after="0" w:line="277"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Certifications of Chief Executive Officer and Chief Financial Officer pursuant to 18 U.S.C. Section 1350, as adopted pursuant to Section 906 of the Sarbanes-Oxley Act of 2002.</w:t>
      </w:r>
    </w:p>
    <w:p>
      <w:pPr>
        <w:spacing w:after="0" w:line="62" w:lineRule="exact"/>
        <w:rPr>
          <w:sz w:val="20"/>
          <w:szCs w:val="20"/>
          <w:color w:val="auto"/>
        </w:rPr>
      </w:pPr>
    </w:p>
    <w:p>
      <w:pPr>
        <w:ind w:left="920" w:right="120" w:hanging="912"/>
        <w:spacing w:after="0" w:line="259"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March 31, 2017, formatted in XBRL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20" w:right="100" w:hanging="219"/>
        <w:spacing w:after="0" w:line="271" w:lineRule="auto"/>
        <w:tabs>
          <w:tab w:leader="none" w:pos="200" w:val="left"/>
        </w:tabs>
        <w:rPr>
          <w:sz w:val="20"/>
          <w:szCs w:val="20"/>
          <w:color w:val="auto"/>
        </w:rPr>
      </w:pPr>
      <w:r>
        <w:rPr>
          <w:rFonts w:ascii="Arial" w:cs="Arial" w:eastAsia="Arial" w:hAnsi="Arial"/>
          <w:sz w:val="17"/>
          <w:szCs w:val="17"/>
          <w:color w:val="auto"/>
        </w:rPr>
        <w:t>*</w:t>
        <w:tab/>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rPr>
          <w:sz w:val="20"/>
          <w:szCs w:val="20"/>
          <w:color w:val="auto"/>
        </w:rPr>
      </w:pPr>
      <w:r>
        <w:rPr>
          <w:rFonts w:ascii="Arial" w:cs="Arial" w:eastAsia="Arial" w:hAnsi="Arial"/>
          <w:sz w:val="17"/>
          <w:szCs w:val="17"/>
          <w:color w:val="auto"/>
        </w:rPr>
        <w:t>†  Confidential treatment has been requested for certain portions of this exhibit. These portions have been omitted and filed separately with the SEC.</w:t>
      </w:r>
    </w:p>
    <w:p>
      <w:pPr>
        <w:sectPr>
          <w:pgSz w:w="11900" w:h="16838" w:orient="portrait"/>
          <w:cols w:equalWidth="0" w:num="1">
            <w:col w:w="11420"/>
          </w:cols>
          <w:pgMar w:left="240" w:top="459" w:right="2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firstLine="8"/>
        <w:spacing w:after="0" w:line="266" w:lineRule="auto"/>
        <w:tabs>
          <w:tab w:leader="none" w:pos="31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7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TRIAL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ECOG-ACRIN CANCER RESEARCH GROUP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SYNDAX PHARMACEUTICALS, INC.</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Amendment No. 7 to Clinical Trial Agreement (the “Amendment” or “Amendment 7”) is entered into as of January 9, 2017 (the “Effective Date”), by and between ECOG-ACRIN Cancer Research Group, on behalf of itself and its member hospitals, institutions and physicians (the “Group,” “ECOG” or “ECOG-ACRIN”), and Syndax Pharmaceuticals, Inc. (“Company” or “Syndax”).</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WHEREAS, pursuant to the Clinical Trial Agreement dated March 14, 2014 between the parties (“Agreement”), the parties agreed to certain terms specified therein for research services related to Group’s performance of the Study; and</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WHEREAS, the parties agree to increase the support for the Study to cover budget support to partially offset the expenses associated with *** participation in the Study as set forth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3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is added to Section 1.G of the Agreement: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The Company will provide financial support to the Group in the amount of $484,091 to provide support the activities of *** associated with ***</w:t>
      </w:r>
    </w:p>
    <w:p>
      <w:pPr>
        <w:spacing w:after="0" w:line="34" w:lineRule="exact"/>
        <w:rPr>
          <w:rFonts w:ascii="Arial" w:cs="Arial" w:eastAsia="Arial" w:hAnsi="Arial"/>
          <w:sz w:val="18"/>
          <w:szCs w:val="18"/>
          <w:color w:val="auto"/>
        </w:rPr>
      </w:pPr>
    </w:p>
    <w:p>
      <w:pPr>
        <w:ind w:left="460" w:right="100"/>
        <w:spacing w:after="0" w:line="261" w:lineRule="auto"/>
        <w:rPr>
          <w:rFonts w:ascii="Arial" w:cs="Arial" w:eastAsia="Arial" w:hAnsi="Arial"/>
          <w:sz w:val="18"/>
          <w:szCs w:val="18"/>
          <w:color w:val="auto"/>
        </w:rPr>
      </w:pPr>
      <w:r>
        <w:rPr>
          <w:rFonts w:ascii="Arial" w:cs="Arial" w:eastAsia="Arial" w:hAnsi="Arial"/>
          <w:sz w:val="18"/>
          <w:szCs w:val="18"/>
          <w:color w:val="auto"/>
        </w:rPr>
        <w:t>participation in the Study as set forth in Exhibit C. The activities include additional *** of study documentation required for *** to enroll in the Study. The maximum financial support for the Agreement is increased from $21,382,415 by $484,091 to $21,866,506.</w:t>
      </w:r>
    </w:p>
    <w:p>
      <w:pPr>
        <w:spacing w:after="0" w:line="8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 B of the Agreement is deleted in its entirety and replaced by Exhibit B attached hereto.</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 C attached hereto is hereby added as Exhibit C of the Agreement thereto.</w:t>
      </w:r>
    </w:p>
    <w:p>
      <w:pPr>
        <w:spacing w:after="0" w:line="130"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Amendment constitutes the full understanding of the parties and a complete and exclusive statement of the terms of their agreement with respect to the subject matter described herein, and no terms, conditions, understanding, or agreement purporting to modify or vary the terms of this Amendment shall be binding unless made in writing and signed by the parties.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to the extent amended herein, all of the terms and conditions of the Agreement remain in full force and effect.</w:t>
      </w:r>
    </w:p>
    <w:p>
      <w:pPr>
        <w:sectPr>
          <w:pgSz w:w="11900" w:h="16838" w:orient="portrait"/>
          <w:cols w:equalWidth="0" w:num="1">
            <w:col w:w="11420"/>
          </w:cols>
          <w:pgMar w:left="240" w:top="121" w:right="239" w:bottom="1440" w:gutter="0" w:footer="0" w:header="0"/>
        </w:sectPr>
      </w:pPr>
    </w:p>
    <w:bookmarkStart w:id="55" w:name="page56"/>
    <w:bookmarkEnd w:id="55"/>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Capitalized terms herein that are not defined shall have the meaning ascribed to such terms in the Agreement.</w:t>
      </w:r>
    </w:p>
    <w:p>
      <w:pPr>
        <w:spacing w:after="0" w:line="130"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shall be deemed an original, but all of which shall be considered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Amendment, as of the Effective Date, by proper persons duly authorized.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ECOG-ACRIN Cancer Research Group</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Syndax Pharmaceuticals, Inc.</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/s/ Robert L. Comis</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/s/ Allan Shaw</w:t>
            </w:r>
          </w:p>
        </w:tc>
      </w:tr>
      <w:tr>
        <w:trPr>
          <w:trHeight w:val="209"/>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Robert L. Comis, M.D.</w:t>
            </w:r>
          </w:p>
        </w:tc>
        <w:tc>
          <w:tcPr>
            <w:tcW w:w="660" w:type="dxa"/>
            <w:vAlign w:val="bottom"/>
          </w:tcPr>
          <w:p>
            <w:pPr>
              <w:spacing w:after="0"/>
              <w:rPr>
                <w:sz w:val="18"/>
                <w:szCs w:val="18"/>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Allan Shaw</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Title:  Group Co-Chair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CFO</w:t>
            </w:r>
          </w:p>
        </w:tc>
      </w:tr>
    </w:tbl>
    <w:p>
      <w:pPr>
        <w:spacing w:after="0" w:line="130" w:lineRule="exact"/>
        <w:rPr>
          <w:sz w:val="20"/>
          <w:szCs w:val="20"/>
          <w:color w:val="auto"/>
        </w:rPr>
      </w:pPr>
    </w:p>
    <w:p>
      <w:pPr>
        <w:ind w:firstLine="8"/>
        <w:spacing w:after="0" w:line="266" w:lineRule="auto"/>
        <w:tabs>
          <w:tab w:leader="none" w:pos="31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E2112 Budget &amp; Payment Schedule</w:t>
      </w:r>
    </w:p>
    <w:p>
      <w:pPr>
        <w:spacing w:after="0" w:line="25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Budget Details</w:t>
      </w:r>
    </w:p>
    <w:p>
      <w:pPr>
        <w:spacing w:after="0" w:line="13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Budget – Excluding Amendment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this project is $19,406,948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Budget – Amendment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1 is $1,200,000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Budget – Amendment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3 (*** Support) is $450,000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Budget – Amendment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4 (***) is $7,908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Budget – Amendment 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5 is $30,121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services being provided through Amendment 5 is limited to *** of *** services plus *** of Group ***.</w:t>
      </w:r>
    </w:p>
    <w:p>
      <w:pPr>
        <w:spacing w:after="0" w:line="37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Budget – Amendment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6 is $287,438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Budget – Amendment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7 is $484,091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firstLine="8"/>
        <w:spacing w:after="0" w:line="266" w:lineRule="auto"/>
        <w:tabs>
          <w:tab w:leader="none" w:pos="31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57" w:name="page58"/>
    <w:bookmarkEnd w:id="57"/>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Invoicing and Payments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Company will make payments within *** of receipt of invoices from Group according to the Payment Schedule herein. Payments will be made to as set forth in Section 1.B of the Agreement as follows:</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ECOG Research and Education Foundation,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Agent for ECOG-ACRIN Cancer Research Group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Donna Marinucci</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1818 Market Street, Suite 1100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Philadelphia, PA 19103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Group will send invoices to the following address: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Jeannette Hasapidis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VP, Clinical Operations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Syndax Pharmaceuticals,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400 Totten Pond Road, Suite 110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Waltham, MA 02451</w:t>
      </w:r>
    </w:p>
    <w:p>
      <w:pPr>
        <w:spacing w:after="0" w:line="355"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Excluding Amendment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3 (***)</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firstLine="8"/>
        <w:spacing w:after="0" w:line="266" w:lineRule="auto"/>
        <w:tabs>
          <w:tab w:leader="none" w:pos="315"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8" w:name="page59"/>
    <w:bookmarkEnd w:id="58"/>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Schedule – Amendment 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firstLine="8"/>
        <w:spacing w:after="0" w:line="266" w:lineRule="auto"/>
        <w:tabs>
          <w:tab w:leader="none" w:pos="31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9" w:name="page60"/>
    <w:bookmarkEnd w:id="5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E2112 Scope of Work – Amendment 7</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 Site Support Services)</w:t>
      </w:r>
    </w:p>
    <w:p>
      <w:pPr>
        <w:spacing w:after="0" w:line="20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Protocol Title: </w:t>
      </w:r>
      <w:r>
        <w:rPr>
          <w:rFonts w:ascii="Arial" w:cs="Arial" w:eastAsia="Arial" w:hAnsi="Arial"/>
          <w:sz w:val="18"/>
          <w:szCs w:val="18"/>
          <w:color w:val="auto"/>
        </w:rPr>
        <w:t>A Randomized Phase III Trial of Endocrine Therapy plus Entinostat/Placebo in Patients with Hormone Receptor-Positive Advanced Breast</w:t>
      </w:r>
      <w:r>
        <w:rPr>
          <w:rFonts w:ascii="Arial" w:cs="Arial" w:eastAsia="Arial" w:hAnsi="Arial"/>
          <w:sz w:val="18"/>
          <w:szCs w:val="18"/>
          <w:b w:val="1"/>
          <w:bCs w:val="1"/>
          <w:color w:val="auto"/>
        </w:rPr>
        <w:t xml:space="preserve"> </w:t>
      </w:r>
      <w:r>
        <w:rPr>
          <w:rFonts w:ascii="Arial" w:cs="Arial" w:eastAsia="Arial" w:hAnsi="Arial"/>
          <w:sz w:val="18"/>
          <w:szCs w:val="18"/>
          <w:color w:val="auto"/>
        </w:rPr>
        <w:t>Cancer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both"/>
        <w:ind w:firstLine="8"/>
        <w:spacing w:after="0" w:line="266" w:lineRule="auto"/>
        <w:tabs>
          <w:tab w:leader="none" w:pos="31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2 PAGES OF MATERIAL THAT WERE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0" w:right="3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firstLine="8"/>
        <w:spacing w:after="0" w:line="266" w:lineRule="auto"/>
        <w:tabs>
          <w:tab w:leader="none" w:pos="31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#2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DEVELOPMENT AND COMMERCIALIZATION AGREEMENT</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This Amendment #2 to LICENSE, DEVELOPMENT AND COMMERCIALIZATION AGREEMENT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between Syndax Pharmaceuticals, Inc., a Delaware corporation having a place of business at 400 Totten Pond Road, Suite 110, Waltham, MA 02451 USA (“</w:t>
      </w:r>
      <w:r>
        <w:rPr>
          <w:rFonts w:ascii="Arial" w:cs="Arial" w:eastAsia="Arial" w:hAnsi="Arial"/>
          <w:sz w:val="18"/>
          <w:szCs w:val="18"/>
          <w:b w:val="1"/>
          <w:bCs w:val="1"/>
          <w:color w:val="auto"/>
        </w:rPr>
        <w:t>Syndax</w:t>
      </w:r>
      <w:r>
        <w:rPr>
          <w:rFonts w:ascii="Arial" w:cs="Arial" w:eastAsia="Arial" w:hAnsi="Arial"/>
          <w:sz w:val="18"/>
          <w:szCs w:val="18"/>
          <w:color w:val="auto"/>
        </w:rPr>
        <w:t>”) and Kyowa Hakko Kirin Co., Ltd., a Japanese corporation having a place of business at 1-9-2, Otemachi, Chiyoda-ku, Tokyo 100-0004, Japan (“</w:t>
      </w:r>
      <w:r>
        <w:rPr>
          <w:rFonts w:ascii="Arial" w:cs="Arial" w:eastAsia="Arial" w:hAnsi="Arial"/>
          <w:sz w:val="18"/>
          <w:szCs w:val="18"/>
          <w:b w:val="1"/>
          <w:bCs w:val="1"/>
          <w:color w:val="auto"/>
        </w:rPr>
        <w:t>KHK</w:t>
      </w:r>
      <w:r>
        <w:rPr>
          <w:rFonts w:ascii="Arial" w:cs="Arial" w:eastAsia="Arial" w:hAnsi="Arial"/>
          <w:sz w:val="18"/>
          <w:szCs w:val="18"/>
          <w:color w:val="auto"/>
        </w:rPr>
        <w:t>”), effective as of January 16, 2017 (the “Amendment Effective Date”).</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Reference is made to that the LICENSE, DEVELOPMENT AND COMMERCIALIZATION AGREEMENT by and between Syndax and KHK entered into as of December 19, 2014 (“</w:t>
      </w:r>
      <w:r>
        <w:rPr>
          <w:rFonts w:ascii="Arial" w:cs="Arial" w:eastAsia="Arial" w:hAnsi="Arial"/>
          <w:sz w:val="17"/>
          <w:szCs w:val="17"/>
          <w:b w:val="1"/>
          <w:bCs w:val="1"/>
          <w:color w:val="auto"/>
        </w:rPr>
        <w:t>Agreement</w:t>
      </w:r>
      <w:r>
        <w:rPr>
          <w:rFonts w:ascii="Arial" w:cs="Arial" w:eastAsia="Arial" w:hAnsi="Arial"/>
          <w:sz w:val="17"/>
          <w:szCs w:val="17"/>
          <w:color w:val="auto"/>
        </w:rPr>
        <w:t>”), as previously amended. As of the Amendment Effective Date, the Agreement is hereby further amended as set forth in this Amendment. Capitalized terms used but not defined herein shall have the meanings assigned to such terms in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that the following new sentences are hereby added at the end of Section 4.4:</w:t>
      </w:r>
    </w:p>
    <w:p>
      <w:pPr>
        <w:spacing w:after="0" w:line="117" w:lineRule="exact"/>
        <w:rPr>
          <w:sz w:val="20"/>
          <w:szCs w:val="20"/>
          <w:color w:val="auto"/>
        </w:rPr>
      </w:pPr>
    </w:p>
    <w:p>
      <w:pPr>
        <w:ind w:left="460" w:right="140"/>
        <w:spacing w:after="0" w:line="293" w:lineRule="auto"/>
        <w:rPr>
          <w:sz w:val="20"/>
          <w:szCs w:val="20"/>
          <w:color w:val="auto"/>
        </w:rPr>
      </w:pPr>
      <w:r>
        <w:rPr>
          <w:rFonts w:ascii="Arial" w:cs="Arial" w:eastAsia="Arial" w:hAnsi="Arial"/>
          <w:sz w:val="16"/>
          <w:szCs w:val="16"/>
          <w:color w:val="auto"/>
        </w:rPr>
        <w:t>“Syndax shall use best efforts to ensure that a laboratory *** at the Medical Oncology Branch, Center for Cancer Research, National Cancer Institute (“NCI”), which has performed or is performing analyses of blood samples from one or more Clinical Trials on Entinostat for Syndax under the Cooperative Research and Development Agreement #836 “Preclinical and Clinical Development of MS-275 (NSC-706995), a Histone Deacetylase Inhibitor, as an Anti-Cancer Agent” (CRADA), will, pursuant to KHK’s request, perform analyses of blood samples from one or more Territory Trials in Japan on Entinostat being conducted by KHK (or its licensees) and provide to KHK the data developed or generated therefrom. Unless otherwise agreed upon between Syndax and KHK, the cost of such analyses of blood samples to be paid to NCI shall be the following:</w:t>
      </w:r>
    </w:p>
    <w:p>
      <w:pPr>
        <w:spacing w:after="0" w:line="70" w:lineRule="exact"/>
        <w:rPr>
          <w:sz w:val="20"/>
          <w:szCs w:val="20"/>
          <w:color w:val="auto"/>
        </w:rPr>
      </w:pPr>
    </w:p>
    <w:p>
      <w:pPr>
        <w:ind w:left="1480" w:right="340" w:hanging="567"/>
        <w:spacing w:after="0" w:line="277" w:lineRule="auto"/>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Total cost will be USD *** for *** samples. If the number of sample is more than *** samples, additional costs will be USD *** per sample.</w:t>
      </w:r>
    </w:p>
    <w:p>
      <w:pPr>
        <w:spacing w:after="0" w:line="75" w:lineRule="exact"/>
        <w:rPr>
          <w:rFonts w:ascii="Arial" w:cs="Arial" w:eastAsia="Arial" w:hAnsi="Arial"/>
          <w:sz w:val="18"/>
          <w:szCs w:val="18"/>
          <w:color w:val="auto"/>
        </w:rPr>
      </w:pPr>
    </w:p>
    <w:p>
      <w:pPr>
        <w:jc w:val="both"/>
        <w:ind w:left="1480" w:right="60" w:hanging="567"/>
        <w:spacing w:after="0" w:line="264" w:lineRule="auto"/>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Syndax will pay to NCI USD *** as an initial payment upon the execution of the amendment #12 of the CRADA with NCI. Syndax will pay to NCI the remaining cost, USD *** plus the additional costs for more than *** samples (if necessary), when NCI has completed the measurement.</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total cost shall not exceed USD *** without the express written consent of Syndax and KHK.</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Further, Syndax shall use best efforts to ensure that NCI will keep the documents of the results for and on behalf of KHK at least for *** after the end of such blood sample analyses.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Subject to the foregoing, the cost of such work for analyses of blood samples from the Territory Trials and document retention will be borne by KHK using the following procedure: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Payment for such support will be *** in connection with performing such analyses and document retention, due on a ***. Syndax will pay to NCI the *** for such work, and KHK agrees to reimburse Syndax for such cost no later than *** after receipt of invoice(s) detailing same. Unless otherwise agreed between Syndax and KHK, the maximum amount to be reimbursed by KHK shall be USD ***.”</w:t>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terms, obligations and conditions of the Agreement shall remain in full force and effect.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Amendment may be executed in one or more counterparts by the parties by a person having authority to bind the party, each of which when executed and delivered by facsimile, electronic transmission or by mail delivery, will be an original and all of which shall constitute but one and the same Amendment.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Syndax Pharmaceuticals, Inc.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Kyowa Hakko Kirin Co., Ltd.</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Allan Shaw</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Tamao Watanabe</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Allan Shaw</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Tamao Watanabe</w:t>
            </w: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CFO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Effective Officer,</w:t>
            </w:r>
          </w:p>
        </w:tc>
      </w:tr>
      <w:tr>
        <w:trPr>
          <w:trHeight w:val="216"/>
        </w:trPr>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Head of Business Development Department</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January 18, 2017</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January 16, 2017</w:t>
            </w:r>
          </w:p>
        </w:tc>
      </w:tr>
    </w:tbl>
    <w:p>
      <w:pPr>
        <w:spacing w:after="0" w:line="130" w:lineRule="exact"/>
        <w:rPr>
          <w:sz w:val="20"/>
          <w:szCs w:val="20"/>
          <w:color w:val="auto"/>
        </w:rPr>
      </w:pPr>
    </w:p>
    <w:p>
      <w:pPr>
        <w:ind w:firstLine="8"/>
        <w:spacing w:after="0" w:line="266" w:lineRule="auto"/>
        <w:tabs>
          <w:tab w:leader="none" w:pos="31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firstLine="8"/>
        <w:spacing w:after="0" w:line="266" w:lineRule="auto"/>
        <w:tabs>
          <w:tab w:leader="none" w:pos="315"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8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TRIAL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ECOG-ACRIN CANCER RESEARCH GROUP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SYNDAX PHARMACEUTICALS, INC.</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Amendment No. 8 to Clinical Trial Agreement (the “Amendment” or “Amendment 8”) is entered into as of January 18, 2017 (the “Effective Date”), by and between ECOG-ACRIN Cancer Research Group, on behalf of itself and its member hospitals, institutions and physicians (the “Group,” “ECOG” or “ECOG-ACRIN”), and Syndax Pharmaceuticals, Inc. (“Company” or “Syndax”).</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WHEREAS, pursuant to the Clinical Trial Agreement dated March 14, 2014 between the parties (“Agreement”), the parties agreed to certain terms specified therein for research services related to Group’s performance of the Study; and</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WHEREAS, the parties agree to increase the support for the Study to cover budget support to partially offset the expenses associated with *** for the Study as set forth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31"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following is added to Section 1.G of the Agreement:</w:t>
      </w:r>
    </w:p>
    <w:p>
      <w:pPr>
        <w:spacing w:after="0" w:line="117" w:lineRule="exact"/>
        <w:rPr>
          <w:rFonts w:ascii="Arial" w:cs="Arial" w:eastAsia="Arial" w:hAnsi="Arial"/>
          <w:sz w:val="18"/>
          <w:szCs w:val="18"/>
          <w:color w:val="auto"/>
        </w:rPr>
      </w:pPr>
    </w:p>
    <w:p>
      <w:pPr>
        <w:ind w:left="460" w:right="140"/>
        <w:spacing w:after="0" w:line="277" w:lineRule="auto"/>
        <w:rPr>
          <w:rFonts w:ascii="Arial" w:cs="Arial" w:eastAsia="Arial" w:hAnsi="Arial"/>
          <w:sz w:val="18"/>
          <w:szCs w:val="18"/>
          <w:color w:val="auto"/>
        </w:rPr>
      </w:pPr>
      <w:r>
        <w:rPr>
          <w:rFonts w:ascii="Arial" w:cs="Arial" w:eastAsia="Arial" w:hAnsi="Arial"/>
          <w:sz w:val="18"/>
          <w:szCs w:val="18"/>
          <w:color w:val="auto"/>
        </w:rPr>
        <w:t>The Company will provide financial support to the Group in the amount of $1,582,064 to support the activities for the *** for the Study as set forth in Exhibit D. The maximum financial support for the Agreement is increased from $21,866,506 by $1,582,064 to $23,448,570.</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Exhibit B of the Agreement is deleted in its entirety and replaced by Exhibit B attached hereto.</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Exhibit D attached hereto is hereby added as Exhibit D of the Agreement thereto.</w:t>
      </w:r>
    </w:p>
    <w:p>
      <w:pPr>
        <w:spacing w:after="0" w:line="130"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Amendment constitutes the full understanding of the parties and a complete and exclusive statement of the terms of their agreement with respect to the subject matter described herein, and no terms, conditions, understanding, or agreement purporting to modify or vary the terms of this Amendment shall be binding unless made in writing and signed by the parties.</w:t>
      </w:r>
    </w:p>
    <w:p>
      <w:pPr>
        <w:spacing w:after="0" w:line="86"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Amendment 8 may be terminated by the joint written agreement of the Company and the Group if the work being performed by the Group pursuant to this Amendment 8 is considered complete.</w:t>
      </w:r>
    </w:p>
    <w:p>
      <w:pPr>
        <w:sectPr>
          <w:pgSz w:w="11900" w:h="16838" w:orient="portrait"/>
          <w:cols w:equalWidth="0" w:num="1">
            <w:col w:w="11420"/>
          </w:cols>
          <w:pgMar w:left="240" w:top="121" w:right="239" w:bottom="1440" w:gutter="0" w:footer="0" w:header="0"/>
        </w:sectPr>
      </w:pPr>
    </w:p>
    <w:bookmarkStart w:id="63" w:name="page64"/>
    <w:bookmarkEnd w:id="63"/>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to the extent amended herein, all of the terms and conditions of the Agreement remain in full force and effect.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Capitalized terms herein that are not defined shall have the meaning ascribed to such terms in the Agreement.</w:t>
      </w:r>
    </w:p>
    <w:p>
      <w:pPr>
        <w:spacing w:after="0" w:line="130"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shall be deemed an original, but all of which shall be considered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Amendment, as of the Effective Date, by proper persons duly authorized.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ECOG-ACRIN Cancer Research Group</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Syndax Pharmaceuticals, Inc.</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/s/ Robert L. Comis</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/s/ Luke J. Albrecht</w:t>
            </w:r>
          </w:p>
        </w:tc>
      </w:tr>
      <w:tr>
        <w:trPr>
          <w:trHeight w:val="209"/>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Robert L. Comis, M.D.</w:t>
            </w:r>
          </w:p>
        </w:tc>
        <w:tc>
          <w:tcPr>
            <w:tcW w:w="660" w:type="dxa"/>
            <w:vAlign w:val="bottom"/>
          </w:tcPr>
          <w:p>
            <w:pPr>
              <w:spacing w:after="0"/>
              <w:rPr>
                <w:sz w:val="18"/>
                <w:szCs w:val="18"/>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Luke J. Albrecht</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Title:  Group Co-Chair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Vice President, General Counsel</w:t>
            </w:r>
          </w:p>
        </w:tc>
      </w:tr>
    </w:tbl>
    <w:p>
      <w:pPr>
        <w:spacing w:after="0" w:line="130" w:lineRule="exact"/>
        <w:rPr>
          <w:sz w:val="20"/>
          <w:szCs w:val="20"/>
          <w:color w:val="auto"/>
        </w:rPr>
      </w:pPr>
    </w:p>
    <w:p>
      <w:pPr>
        <w:ind w:firstLine="8"/>
        <w:spacing w:after="0" w:line="266" w:lineRule="auto"/>
        <w:tabs>
          <w:tab w:leader="none" w:pos="31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E2112 Budget &amp; Payment Schedule</w:t>
      </w:r>
    </w:p>
    <w:p>
      <w:pPr>
        <w:spacing w:after="0" w:line="252"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Budget Details</w:t>
      </w:r>
    </w:p>
    <w:p>
      <w:pPr>
        <w:spacing w:after="0" w:line="135"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Budget – Excluding Amendments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this project is $19,406,948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Budget – Amendment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1 is $1,200,000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Budget – Amendment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3 (*** Support) is $450,000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Budget – Amendment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4 (***) is $7,908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Budget – Amendment 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5 is $30,121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services being provided through Amendment 5 is limited to *** of *** services plus *** of Group ***.</w:t>
      </w:r>
    </w:p>
    <w:p>
      <w:pPr>
        <w:spacing w:after="0" w:line="374"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Budget – Amendment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6 is $287,438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firstLine="8"/>
        <w:spacing w:after="0" w:line="266" w:lineRule="auto"/>
        <w:tabs>
          <w:tab w:leader="none" w:pos="315"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65" w:name="page66"/>
    <w:bookmarkEnd w:id="65"/>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Budget – Amendment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7 is $484,091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Budget – Amendment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budget for Amendment 8 is $1,582,064 which is itemized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Invoicing and Payments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Company will make payments within *** of receipt of invoices from Group according to the Payment Schedule herein. Payments will be made to as set forth in Section 1.B of the Agreement as follows:</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ECOG Research and Education Foundation,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Agent for ECOG-ACRIN Cancer Research Group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Donna Marinucci</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1818 Market Street, Suite 1100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Philadelphia, PA 19103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Group will send invoices to the following address: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Jeannette Hasapidis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VP, Clinical Operations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Syndax Pharmaceuticals,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400 Totten Pond Road, Suite 110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Waltham, MA 02451</w:t>
      </w:r>
    </w:p>
    <w:p>
      <w:pPr>
        <w:spacing w:after="0" w:line="355"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Excluding Amendments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3 (***)</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firstLine="8"/>
        <w:spacing w:after="0" w:line="266" w:lineRule="auto"/>
        <w:tabs>
          <w:tab w:leader="none" w:pos="315"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6" w:name="page67"/>
    <w:bookmarkEnd w:id="66"/>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Schedule – Amendment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Payment Schedule – Amendment 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Group will submit invoices to Company in accordance with the following Payment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firstLine="8"/>
        <w:spacing w:after="0" w:line="266" w:lineRule="auto"/>
        <w:tabs>
          <w:tab w:leader="none" w:pos="315"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7" w:name="page68"/>
    <w:bookmarkEnd w:id="6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E2112 Scope of Work – Amendment 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 Services)</w:t>
      </w: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Protocol Title: </w:t>
      </w:r>
      <w:r>
        <w:rPr>
          <w:rFonts w:ascii="Arial" w:cs="Arial" w:eastAsia="Arial" w:hAnsi="Arial"/>
          <w:sz w:val="18"/>
          <w:szCs w:val="18"/>
          <w:color w:val="auto"/>
        </w:rPr>
        <w:t>A Randomized Phase III Trial of Endocrine Therapy plus Entinostat/Placebo in Post- menopausal Patients with Hormone Receptor-Positive</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Breast Cancer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1 PAGE OF MATERIAL THAT WAS OMITTED AND FOR WHICH CONFIDENTIAL TREATMENT WAS REQUESTED.</w:t>
      </w:r>
    </w:p>
    <w:p>
      <w:pPr>
        <w:spacing w:after="0" w:line="27" w:lineRule="exact"/>
        <w:rPr>
          <w:rFonts w:ascii="Arial" w:cs="Arial" w:eastAsia="Arial" w:hAnsi="Arial"/>
          <w:sz w:val="18"/>
          <w:szCs w:val="18"/>
          <w:b w:val="1"/>
          <w:bCs w:val="1"/>
          <w:color w:val="auto"/>
        </w:rPr>
      </w:pPr>
    </w:p>
    <w:p>
      <w:pPr>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ALL SUCH OMITTED MATERIAL WAS FILED SEPARATELY WITH THE SECURITIES AND EXCHANGE COMMISSION PURSUANT TO RULE 24B-2 PROMULGATED UNDER THE SECURITIES EXCHANGE ACT OF 1934, AS AMENDED.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0" w:right="3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ind w:firstLine="8"/>
        <w:spacing w:after="0" w:line="266" w:lineRule="auto"/>
        <w:tabs>
          <w:tab w:leader="none" w:pos="315"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SIDE AGREEMENT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License Agreement dated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July 2016 between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UCB Biopharma Sprl and Syndax Pharmaceuticals, Inc. (“License Agreement”)</w:t>
      </w:r>
    </w:p>
    <w:p>
      <w:pPr>
        <w:spacing w:after="0" w:line="207" w:lineRule="exact"/>
        <w:rPr>
          <w:sz w:val="20"/>
          <w:szCs w:val="20"/>
          <w:color w:val="auto"/>
        </w:rPr>
      </w:pPr>
    </w:p>
    <w:p>
      <w:pPr>
        <w:jc w:val="both"/>
        <w:ind w:right="200"/>
        <w:spacing w:after="0" w:line="281" w:lineRule="auto"/>
        <w:rPr>
          <w:sz w:val="20"/>
          <w:szCs w:val="20"/>
          <w:color w:val="auto"/>
        </w:rPr>
      </w:pPr>
      <w:r>
        <w:rPr>
          <w:rFonts w:ascii="Arial" w:cs="Arial" w:eastAsia="Arial" w:hAnsi="Arial"/>
          <w:sz w:val="17"/>
          <w:szCs w:val="17"/>
          <w:color w:val="auto"/>
        </w:rPr>
        <w:t>This side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entered into as of the latest date of signature appearing below by and between </w:t>
      </w:r>
      <w:r>
        <w:rPr>
          <w:rFonts w:ascii="Arial" w:cs="Arial" w:eastAsia="Arial" w:hAnsi="Arial"/>
          <w:sz w:val="17"/>
          <w:szCs w:val="17"/>
          <w:b w:val="1"/>
          <w:bCs w:val="1"/>
          <w:color w:val="auto"/>
        </w:rPr>
        <w:t>UCB Biopharma Sprl</w:t>
      </w:r>
      <w:r>
        <w:rPr>
          <w:rFonts w:ascii="Arial" w:cs="Arial" w:eastAsia="Arial" w:hAnsi="Arial"/>
          <w:sz w:val="17"/>
          <w:szCs w:val="17"/>
          <w:color w:val="auto"/>
        </w:rPr>
        <w:t>, a Belgian corporation with offices located at Allée de la Recherche 60, 1070 Brussels, Belgium (“</w:t>
      </w:r>
      <w:r>
        <w:rPr>
          <w:rFonts w:ascii="Arial" w:cs="Arial" w:eastAsia="Arial" w:hAnsi="Arial"/>
          <w:sz w:val="17"/>
          <w:szCs w:val="17"/>
          <w:b w:val="1"/>
          <w:bCs w:val="1"/>
          <w:color w:val="auto"/>
        </w:rPr>
        <w:t>UCB</w:t>
      </w:r>
      <w:r>
        <w:rPr>
          <w:rFonts w:ascii="Arial" w:cs="Arial" w:eastAsia="Arial" w:hAnsi="Arial"/>
          <w:sz w:val="17"/>
          <w:szCs w:val="17"/>
          <w:color w:val="auto"/>
        </w:rPr>
        <w:t xml:space="preserve">”) and </w:t>
      </w:r>
      <w:r>
        <w:rPr>
          <w:rFonts w:ascii="Arial" w:cs="Arial" w:eastAsia="Arial" w:hAnsi="Arial"/>
          <w:sz w:val="17"/>
          <w:szCs w:val="17"/>
          <w:b w:val="1"/>
          <w:bCs w:val="1"/>
          <w:color w:val="auto"/>
        </w:rPr>
        <w:t>Syndax Pharmaceuticals, Inc.</w:t>
      </w:r>
      <w:r>
        <w:rPr>
          <w:rFonts w:ascii="Arial" w:cs="Arial" w:eastAsia="Arial" w:hAnsi="Arial"/>
          <w:sz w:val="17"/>
          <w:szCs w:val="17"/>
          <w:color w:val="auto"/>
        </w:rPr>
        <w:t xml:space="preserve"> a Delaware corporation with offices located at 35 Gatehouse Drive, Building D, Floor 3, Waltham, Massachusetts 02451, USA (“</w:t>
      </w:r>
      <w:r>
        <w:rPr>
          <w:rFonts w:ascii="Arial" w:cs="Arial" w:eastAsia="Arial" w:hAnsi="Arial"/>
          <w:sz w:val="17"/>
          <w:szCs w:val="17"/>
          <w:b w:val="1"/>
          <w:bCs w:val="1"/>
          <w:color w:val="auto"/>
        </w:rPr>
        <w:t>Company</w:t>
      </w:r>
      <w:r>
        <w:rPr>
          <w:rFonts w:ascii="Arial" w:cs="Arial" w:eastAsia="Arial" w:hAnsi="Arial"/>
          <w:sz w:val="17"/>
          <w:szCs w:val="17"/>
          <w:color w:val="auto"/>
        </w:rPr>
        <w:t>”). UCB and Company are from time to time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or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6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WHEREAS UCB and Company entered into the License Agreement pursuant to which UCB granted certain licenses to the Company relating to the Compound, including a license of certain Licensed Manufacturing Know-How.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WHEREAS the Parties now wish to agree additional terms to allow for the disclosure by UCB to the Company of certain MBRs (as defined below).</w:t>
      </w:r>
    </w:p>
    <w:p>
      <w:pPr>
        <w:spacing w:after="0" w:line="23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NOW THEREFORE, in consideration of the premises and the mutual covenants and conditions set forth herein, and for other good and valuable consideration as set forth in the License Agreement, the Parties hereby agree as follows:</w:t>
      </w:r>
    </w:p>
    <w:p>
      <w:pPr>
        <w:spacing w:after="0" w:line="76"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126" w:lineRule="exact"/>
        <w:rPr>
          <w:rFonts w:ascii="Arial" w:cs="Arial" w:eastAsia="Arial" w:hAnsi="Arial"/>
          <w:sz w:val="18"/>
          <w:szCs w:val="18"/>
          <w:color w:val="auto"/>
        </w:rPr>
      </w:pPr>
    </w:p>
    <w:p>
      <w:pPr>
        <w:ind w:left="1920" w:right="600" w:hanging="440"/>
        <w:spacing w:after="0" w:line="282" w:lineRule="auto"/>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“Master Batch Records (MBR)s</w:t>
      </w:r>
      <w:r>
        <w:rPr>
          <w:rFonts w:ascii="Arial" w:cs="Arial" w:eastAsia="Arial" w:hAnsi="Arial"/>
          <w:sz w:val="18"/>
          <w:szCs w:val="18"/>
          <w:color w:val="auto"/>
        </w:rPr>
        <w:t>” shall mean the following documents which, for the purposes of the License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UCB’s Confidential Information:</w:t>
      </w:r>
    </w:p>
    <w:p>
      <w:pPr>
        <w:spacing w:after="0" w:line="71" w:lineRule="exact"/>
        <w:rPr>
          <w:rFonts w:ascii="Arial" w:cs="Arial" w:eastAsia="Arial" w:hAnsi="Arial"/>
          <w:sz w:val="18"/>
          <w:szCs w:val="18"/>
          <w:color w:val="auto"/>
        </w:rPr>
      </w:pPr>
    </w:p>
    <w:p>
      <w:pPr>
        <w:ind w:left="2960" w:hanging="562"/>
        <w:spacing w:after="0"/>
        <w:tabs>
          <w:tab w:leader="none" w:pos="296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All Master Batch Records approved for the production of UCB6352 ***; and</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Any pages of batch records approved for the production of *** UCB6352 ***;</w:t>
      </w:r>
    </w:p>
    <w:p>
      <w:pPr>
        <w:spacing w:after="0" w:line="127" w:lineRule="exact"/>
        <w:rPr>
          <w:sz w:val="20"/>
          <w:szCs w:val="20"/>
          <w:color w:val="auto"/>
        </w:rPr>
      </w:pPr>
    </w:p>
    <w:p>
      <w:pPr>
        <w:ind w:left="1920" w:right="160" w:hanging="440"/>
        <w:spacing w:after="0" w:line="314" w:lineRule="auto"/>
        <w:tabs>
          <w:tab w:leader="none" w:pos="19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Approval</w:t>
      </w:r>
      <w:r>
        <w:rPr>
          <w:rFonts w:ascii="Arial" w:cs="Arial" w:eastAsia="Arial" w:hAnsi="Arial"/>
          <w:sz w:val="16"/>
          <w:szCs w:val="16"/>
          <w:color w:val="auto"/>
        </w:rPr>
        <w:t>” shall have the meaning set forth in the License Agreement, except that, for purposes of this Agreement only, it shall also include approvals, registrations or authorisations of a Regulatory Authority necessary or reasonably required for the development, manufacture and/or supply of the Compound and/or Licensed Product (as applicable) in any country;</w:t>
      </w:r>
    </w:p>
    <w:p>
      <w:pPr>
        <w:spacing w:after="0" w:line="51" w:lineRule="exact"/>
        <w:rPr>
          <w:rFonts w:ascii="Arial" w:cs="Arial" w:eastAsia="Arial" w:hAnsi="Arial"/>
          <w:sz w:val="16"/>
          <w:szCs w:val="16"/>
          <w:color w:val="auto"/>
        </w:rPr>
      </w:pPr>
    </w:p>
    <w:p>
      <w:pPr>
        <w:ind w:left="1920" w:right="480" w:hanging="440"/>
        <w:spacing w:after="0" w:line="277" w:lineRule="auto"/>
        <w:tabs>
          <w:tab w:leader="none" w:pos="1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as defined herein, capitalised words and expressions which are defined in the License Agreement, shall have the same meaning when used in this Agreement (including the Recitals).</w:t>
      </w:r>
    </w:p>
    <w:p>
      <w:pPr>
        <w:sectPr>
          <w:pgSz w:w="11900" w:h="16838" w:orient="portrait"/>
          <w:cols w:equalWidth="0" w:num="1">
            <w:col w:w="11420"/>
          </w:cols>
          <w:pgMar w:left="240" w:top="121" w:right="239" w:bottom="1440" w:gutter="0" w:footer="0" w:header="0"/>
        </w:sectPr>
      </w:pPr>
    </w:p>
    <w:bookmarkStart w:id="69" w:name="page70"/>
    <w:bookmarkEnd w:id="69"/>
    <w:p>
      <w:pPr>
        <w:ind w:left="892" w:hanging="446"/>
        <w:spacing w:after="0"/>
        <w:tabs>
          <w:tab w:leader="none" w:pos="892" w:val="left"/>
        </w:tabs>
        <w:numPr>
          <w:ilvl w:val="1"/>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else in the License Agreement, the Company hereby acknowledges and agrees that:</w:t>
      </w:r>
    </w:p>
    <w:p>
      <w:pPr>
        <w:spacing w:after="0" w:line="130" w:lineRule="exact"/>
        <w:rPr>
          <w:rFonts w:ascii="Arial" w:cs="Arial" w:eastAsia="Arial" w:hAnsi="Arial"/>
          <w:sz w:val="18"/>
          <w:szCs w:val="18"/>
          <w:color w:val="auto"/>
        </w:rPr>
      </w:pPr>
    </w:p>
    <w:p>
      <w:pPr>
        <w:ind w:left="1912" w:right="20" w:hanging="440"/>
        <w:spacing w:after="0" w:line="277" w:lineRule="auto"/>
        <w:tabs>
          <w:tab w:leader="none" w:pos="1912" w:val="left"/>
        </w:tabs>
        <w:numPr>
          <w:ilvl w:val="2"/>
          <w:numId w:val="97"/>
        </w:numPr>
        <w:rPr>
          <w:rFonts w:ascii="Arial" w:cs="Arial" w:eastAsia="Arial" w:hAnsi="Arial"/>
          <w:sz w:val="18"/>
          <w:szCs w:val="18"/>
          <w:color w:val="auto"/>
        </w:rPr>
      </w:pPr>
      <w:r>
        <w:rPr>
          <w:rFonts w:ascii="Arial" w:cs="Arial" w:eastAsia="Arial" w:hAnsi="Arial"/>
          <w:sz w:val="18"/>
          <w:szCs w:val="18"/>
          <w:color w:val="auto"/>
        </w:rPr>
        <w:t xml:space="preserve">it shall hold the MBRs and Executed Batch Records in strict confidence and only use them as follows and not for any other purpose (collectively, the </w:t>
      </w:r>
      <w:r>
        <w:rPr>
          <w:rFonts w:ascii="Arial" w:cs="Arial" w:eastAsia="Arial" w:hAnsi="Arial"/>
          <w:sz w:val="18"/>
          <w:szCs w:val="18"/>
          <w:b w:val="1"/>
          <w:bCs w:val="1"/>
          <w:color w:val="auto"/>
        </w:rPr>
        <w:t>“Permitted Purpose”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3992" w:right="100" w:hanging="575"/>
        <w:spacing w:after="0" w:line="277" w:lineRule="auto"/>
        <w:tabs>
          <w:tab w:leader="none" w:pos="3992" w:val="left"/>
        </w:tabs>
        <w:numPr>
          <w:ilvl w:val="3"/>
          <w:numId w:val="97"/>
        </w:numPr>
        <w:rPr>
          <w:rFonts w:ascii="Arial" w:cs="Arial" w:eastAsia="Arial" w:hAnsi="Arial"/>
          <w:sz w:val="18"/>
          <w:szCs w:val="18"/>
          <w:color w:val="auto"/>
        </w:rPr>
      </w:pPr>
      <w:r>
        <w:rPr>
          <w:rFonts w:ascii="Arial" w:cs="Arial" w:eastAsia="Arial" w:hAnsi="Arial"/>
          <w:sz w:val="18"/>
          <w:szCs w:val="18"/>
          <w:color w:val="auto"/>
        </w:rPr>
        <w:t>The Executed Batch Record may be used for purposes of *** of the manufacturing process relating to the Compound;</w:t>
      </w:r>
    </w:p>
    <w:p>
      <w:pPr>
        <w:spacing w:after="0" w:line="75" w:lineRule="exact"/>
        <w:rPr>
          <w:rFonts w:ascii="Arial" w:cs="Arial" w:eastAsia="Arial" w:hAnsi="Arial"/>
          <w:sz w:val="18"/>
          <w:szCs w:val="18"/>
          <w:color w:val="auto"/>
        </w:rPr>
      </w:pPr>
    </w:p>
    <w:p>
      <w:pPr>
        <w:ind w:left="3992" w:right="640" w:hanging="575"/>
        <w:spacing w:after="0" w:line="277" w:lineRule="auto"/>
        <w:tabs>
          <w:tab w:leader="none" w:pos="3992" w:val="left"/>
        </w:tabs>
        <w:numPr>
          <w:ilvl w:val="3"/>
          <w:numId w:val="97"/>
        </w:numPr>
        <w:rPr>
          <w:rFonts w:ascii="Arial" w:cs="Arial" w:eastAsia="Arial" w:hAnsi="Arial"/>
          <w:sz w:val="18"/>
          <w:szCs w:val="18"/>
          <w:color w:val="auto"/>
        </w:rPr>
      </w:pPr>
      <w:r>
        <w:rPr>
          <w:rFonts w:ascii="Arial" w:cs="Arial" w:eastAsia="Arial" w:hAnsi="Arial"/>
          <w:sz w:val="18"/>
          <w:szCs w:val="18"/>
          <w:color w:val="auto"/>
        </w:rPr>
        <w:t>The MBRs may be used for purposes of *** and shall, immediately upon ***, be destroyed or returned by the Company to UCB;</w:t>
      </w:r>
    </w:p>
    <w:p>
      <w:pPr>
        <w:spacing w:after="0" w:line="75" w:lineRule="exact"/>
        <w:rPr>
          <w:rFonts w:ascii="Arial" w:cs="Arial" w:eastAsia="Arial" w:hAnsi="Arial"/>
          <w:sz w:val="18"/>
          <w:szCs w:val="18"/>
          <w:color w:val="auto"/>
        </w:rPr>
      </w:pPr>
    </w:p>
    <w:p>
      <w:pPr>
        <w:ind w:left="3992" w:hanging="575"/>
        <w:spacing w:after="0"/>
        <w:tabs>
          <w:tab w:leader="none" w:pos="3992" w:val="left"/>
        </w:tabs>
        <w:numPr>
          <w:ilvl w:val="3"/>
          <w:numId w:val="97"/>
        </w:numPr>
        <w:rPr>
          <w:rFonts w:ascii="Arial" w:cs="Arial" w:eastAsia="Arial" w:hAnsi="Arial"/>
          <w:sz w:val="17"/>
          <w:szCs w:val="17"/>
          <w:color w:val="auto"/>
        </w:rPr>
      </w:pPr>
      <w:r>
        <w:rPr>
          <w:rFonts w:ascii="Arial" w:cs="Arial" w:eastAsia="Arial" w:hAnsi="Arial"/>
          <w:sz w:val="17"/>
          <w:szCs w:val="17"/>
          <w:color w:val="auto"/>
        </w:rPr>
        <w:t>The Company may disclose relevant portions of the *** Executed Batch Records to (a) ***, and (b)</w:t>
      </w:r>
    </w:p>
    <w:p>
      <w:pPr>
        <w:spacing w:after="0" w:line="34" w:lineRule="exact"/>
        <w:rPr>
          <w:rFonts w:ascii="Arial" w:cs="Arial" w:eastAsia="Arial" w:hAnsi="Arial"/>
          <w:sz w:val="17"/>
          <w:szCs w:val="17"/>
          <w:color w:val="auto"/>
        </w:rPr>
      </w:pPr>
    </w:p>
    <w:p>
      <w:pPr>
        <w:ind w:left="3992" w:right="100"/>
        <w:spacing w:after="0" w:line="261" w:lineRule="auto"/>
        <w:rPr>
          <w:rFonts w:ascii="Arial" w:cs="Arial" w:eastAsia="Arial" w:hAnsi="Arial"/>
          <w:sz w:val="17"/>
          <w:szCs w:val="17"/>
          <w:color w:val="auto"/>
        </w:rPr>
      </w:pPr>
      <w:r>
        <w:rPr>
          <w:rFonts w:ascii="Arial" w:cs="Arial" w:eastAsia="Arial" w:hAnsi="Arial"/>
          <w:sz w:val="18"/>
          <w:szCs w:val="18"/>
          <w:color w:val="auto"/>
        </w:rPr>
        <w:t>***; and shall ensure that ***. Promptly following any such disclosure, the Company agrees to notify UCB of such disclosure, including reasonable details and identifying the recipient.</w:t>
      </w:r>
    </w:p>
    <w:p>
      <w:pPr>
        <w:spacing w:after="0" w:line="89" w:lineRule="exact"/>
        <w:rPr>
          <w:rFonts w:ascii="Arial" w:cs="Arial" w:eastAsia="Arial" w:hAnsi="Arial"/>
          <w:sz w:val="17"/>
          <w:szCs w:val="17"/>
          <w:color w:val="auto"/>
        </w:rPr>
      </w:pPr>
    </w:p>
    <w:p>
      <w:pPr>
        <w:ind w:left="1912" w:hanging="440"/>
        <w:spacing w:after="0"/>
        <w:tabs>
          <w:tab w:leader="none" w:pos="1912" w:val="left"/>
        </w:tabs>
        <w:numPr>
          <w:ilvl w:val="2"/>
          <w:numId w:val="97"/>
        </w:numPr>
        <w:rPr>
          <w:rFonts w:ascii="Arial" w:cs="Arial" w:eastAsia="Arial" w:hAnsi="Arial"/>
          <w:sz w:val="16"/>
          <w:szCs w:val="16"/>
          <w:color w:val="auto"/>
        </w:rPr>
      </w:pPr>
      <w:r>
        <w:rPr>
          <w:rFonts w:ascii="Arial" w:cs="Arial" w:eastAsia="Arial" w:hAnsi="Arial"/>
          <w:sz w:val="16"/>
          <w:szCs w:val="16"/>
          <w:color w:val="auto"/>
        </w:rPr>
        <w:t>The Company’s right to use the Executed Batch Records and the MBRs shall be strictly limited to the Permitted Purpose and ***</w:t>
      </w:r>
    </w:p>
    <w:p>
      <w:pPr>
        <w:spacing w:after="0" w:line="46" w:lineRule="exact"/>
        <w:rPr>
          <w:rFonts w:ascii="Arial" w:cs="Arial" w:eastAsia="Arial" w:hAnsi="Arial"/>
          <w:sz w:val="16"/>
          <w:szCs w:val="16"/>
          <w:color w:val="auto"/>
        </w:rPr>
      </w:pPr>
    </w:p>
    <w:p>
      <w:pPr>
        <w:ind w:left="1912"/>
        <w:spacing w:after="0"/>
        <w:rPr>
          <w:rFonts w:ascii="Arial" w:cs="Arial" w:eastAsia="Arial" w:hAnsi="Arial"/>
          <w:sz w:val="16"/>
          <w:szCs w:val="16"/>
          <w:color w:val="auto"/>
        </w:rPr>
      </w:pPr>
      <w:r>
        <w:rPr>
          <w:rFonts w:ascii="Arial" w:cs="Arial" w:eastAsia="Arial" w:hAnsi="Arial"/>
          <w:sz w:val="18"/>
          <w:szCs w:val="18"/>
          <w:color w:val="auto"/>
        </w:rPr>
        <w:t>without UCB’s prior written consent.</w:t>
      </w:r>
    </w:p>
    <w:p>
      <w:pPr>
        <w:spacing w:after="0" w:line="116" w:lineRule="exact"/>
        <w:rPr>
          <w:rFonts w:ascii="Arial" w:cs="Arial" w:eastAsia="Arial" w:hAnsi="Arial"/>
          <w:sz w:val="16"/>
          <w:szCs w:val="16"/>
          <w:color w:val="auto"/>
        </w:rPr>
      </w:pPr>
    </w:p>
    <w:p>
      <w:pPr>
        <w:jc w:val="both"/>
        <w:ind w:left="892" w:hanging="446"/>
        <w:spacing w:after="0" w:line="264" w:lineRule="auto"/>
        <w:tabs>
          <w:tab w:leader="none" w:pos="8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Subject to Article 2 of this Agreement above, the Parties acknowledge and agree that Article 8 (Confidentiality) of the License Agreement applies to the MBRs. For avoidance of doubt, any intended disclosure by the Company of the MBRs pursuant to Section 8.1(v) of the License Agreement shall only be permitted to the extent authorised by Article 2 above.</w:t>
      </w:r>
    </w:p>
    <w:p>
      <w:pPr>
        <w:spacing w:after="0" w:line="86" w:lineRule="exact"/>
        <w:rPr>
          <w:rFonts w:ascii="Arial" w:cs="Arial" w:eastAsia="Arial" w:hAnsi="Arial"/>
          <w:sz w:val="18"/>
          <w:szCs w:val="18"/>
          <w:color w:val="auto"/>
        </w:rPr>
      </w:pPr>
    </w:p>
    <w:p>
      <w:pPr>
        <w:ind w:left="892" w:right="140" w:hanging="446"/>
        <w:spacing w:after="0" w:line="277" w:lineRule="auto"/>
        <w:tabs>
          <w:tab w:leader="none" w:pos="8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terms and conditions of this Agreement are confidential and shall constitute Confidential Information of both Parties for the purposes of the License Agreement.</w:t>
      </w:r>
    </w:p>
    <w:p>
      <w:pPr>
        <w:spacing w:after="0" w:line="98" w:lineRule="exact"/>
        <w:rPr>
          <w:rFonts w:ascii="Arial" w:cs="Arial" w:eastAsia="Arial" w:hAnsi="Arial"/>
          <w:sz w:val="18"/>
          <w:szCs w:val="18"/>
          <w:color w:val="auto"/>
        </w:rPr>
      </w:pPr>
    </w:p>
    <w:p>
      <w:pPr>
        <w:ind w:left="-8" w:firstLine="8"/>
        <w:spacing w:after="0" w:line="266" w:lineRule="auto"/>
        <w:tabs>
          <w:tab w:leader="none" w:pos="307"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70" w:name="page71"/>
    <w:bookmarkEnd w:id="70"/>
    <w:p>
      <w:pPr>
        <w:ind w:left="892" w:hanging="446"/>
        <w:spacing w:after="0"/>
        <w:tabs>
          <w:tab w:leader="none" w:pos="892" w:val="left"/>
        </w:tabs>
        <w:numPr>
          <w:ilvl w:val="0"/>
          <w:numId w:val="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provisions of this Agreement, the License Agreement shall continue in full force and effect in accordance with its terms.</w:t>
      </w:r>
    </w:p>
    <w:p>
      <w:pPr>
        <w:spacing w:after="0" w:line="142" w:lineRule="exact"/>
        <w:rPr>
          <w:rFonts w:ascii="Arial" w:cs="Arial" w:eastAsia="Arial" w:hAnsi="Arial"/>
          <w:sz w:val="17"/>
          <w:szCs w:val="17"/>
          <w:color w:val="auto"/>
        </w:rPr>
      </w:pPr>
    </w:p>
    <w:p>
      <w:pPr>
        <w:ind w:left="892" w:right="100" w:hanging="446"/>
        <w:spacing w:after="0" w:line="264" w:lineRule="auto"/>
        <w:tabs>
          <w:tab w:leader="none" w:pos="89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Agreement shall be construed and the legal relations between the parties hereto determined in accordance with the laws of the State of New York, without regard for its conflict of laws provisions (other than the NY General Obligations § 5-1401). Section 12.9 (Arbitration) of the License Agreement shall also apply to and include this Agreement.</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[signature page follows]</w:t>
      </w:r>
    </w:p>
    <w:p>
      <w:pPr>
        <w:spacing w:after="0" w:line="154" w:lineRule="exact"/>
        <w:rPr>
          <w:sz w:val="20"/>
          <w:szCs w:val="20"/>
          <w:color w:val="auto"/>
        </w:rPr>
      </w:pPr>
    </w:p>
    <w:p>
      <w:pPr>
        <w:ind w:left="-8" w:firstLine="8"/>
        <w:spacing w:after="0" w:line="266" w:lineRule="auto"/>
        <w:tabs>
          <w:tab w:leader="none" w:pos="307"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Agreement has been executed by the duly authorized representatives of the Parties as of the date set forth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/s/ Luke J. Albrecht</w:t>
            </w:r>
          </w:p>
        </w:tc>
        <w:tc>
          <w:tcPr>
            <w:tcW w:w="6080" w:type="dxa"/>
            <w:vAlign w:val="bottom"/>
            <w:gridSpan w:val="2"/>
          </w:tcPr>
          <w:p>
            <w:pPr>
              <w:ind w:left="740"/>
              <w:spacing w:after="0"/>
              <w:rPr>
                <w:sz w:val="20"/>
                <w:szCs w:val="20"/>
                <w:color w:val="auto"/>
              </w:rPr>
            </w:pPr>
            <w:r>
              <w:rPr>
                <w:rFonts w:ascii="Arial" w:cs="Arial" w:eastAsia="Arial" w:hAnsi="Arial"/>
                <w:sz w:val="18"/>
                <w:szCs w:val="18"/>
                <w:color w:val="auto"/>
              </w:rPr>
              <w:t>/s/ Stefanos Grammatikos, Ph.D.</w:t>
            </w: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Syndax Pharmaceuticals, Inc.</w:t>
            </w:r>
          </w:p>
        </w:tc>
        <w:tc>
          <w:tcPr>
            <w:tcW w:w="6080" w:type="dxa"/>
            <w:vAlign w:val="bottom"/>
            <w:gridSpan w:val="2"/>
          </w:tcPr>
          <w:p>
            <w:pPr>
              <w:ind w:left="740"/>
              <w:spacing w:after="0"/>
              <w:rPr>
                <w:sz w:val="20"/>
                <w:szCs w:val="20"/>
                <w:color w:val="auto"/>
              </w:rPr>
            </w:pPr>
            <w:r>
              <w:rPr>
                <w:rFonts w:ascii="Arial" w:cs="Arial" w:eastAsia="Arial" w:hAnsi="Arial"/>
                <w:sz w:val="18"/>
                <w:szCs w:val="18"/>
                <w:b w:val="1"/>
                <w:bCs w:val="1"/>
                <w:color w:val="auto"/>
              </w:rPr>
              <w:t>UCB Biopharma Sprl</w:t>
            </w:r>
          </w:p>
        </w:tc>
      </w:tr>
      <w:tr>
        <w:trPr>
          <w:trHeight w:val="432"/>
        </w:trPr>
        <w:tc>
          <w:tcPr>
            <w:tcW w:w="5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Luke J. Albrecht</w:t>
            </w:r>
          </w:p>
        </w:tc>
        <w:tc>
          <w:tcPr>
            <w:tcW w:w="1300" w:type="dxa"/>
            <w:vAlign w:val="bottom"/>
          </w:tcPr>
          <w:p>
            <w:pPr>
              <w:ind w:left="740"/>
              <w:spacing w:after="0"/>
              <w:rPr>
                <w:sz w:val="20"/>
                <w:szCs w:val="20"/>
                <w:color w:val="auto"/>
              </w:rPr>
            </w:pPr>
            <w:r>
              <w:rPr>
                <w:rFonts w:ascii="Arial" w:cs="Arial" w:eastAsia="Arial" w:hAnsi="Arial"/>
                <w:sz w:val="18"/>
                <w:szCs w:val="18"/>
                <w:b w:val="1"/>
                <w:bCs w:val="1"/>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Stefanos Grammatikos, Ph.D.</w:t>
            </w:r>
          </w:p>
        </w:tc>
      </w:tr>
      <w:tr>
        <w:trPr>
          <w:trHeight w:val="331"/>
        </w:trPr>
        <w:tc>
          <w:tcPr>
            <w:tcW w:w="5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&amp; General Counsel</w:t>
            </w:r>
          </w:p>
        </w:tc>
        <w:tc>
          <w:tcPr>
            <w:tcW w:w="1300" w:type="dxa"/>
            <w:vAlign w:val="bottom"/>
          </w:tcPr>
          <w:p>
            <w:pPr>
              <w:ind w:left="740"/>
              <w:spacing w:after="0"/>
              <w:rPr>
                <w:sz w:val="20"/>
                <w:szCs w:val="20"/>
                <w:color w:val="auto"/>
              </w:rPr>
            </w:pPr>
            <w:r>
              <w:rPr>
                <w:rFonts w:ascii="Arial" w:cs="Arial" w:eastAsia="Arial" w:hAnsi="Arial"/>
                <w:sz w:val="18"/>
                <w:szCs w:val="18"/>
                <w:b w:val="1"/>
                <w:bCs w:val="1"/>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VP-Head of Biotech Sciences</w:t>
            </w:r>
          </w:p>
        </w:tc>
      </w:tr>
      <w:tr>
        <w:trPr>
          <w:trHeight w:val="331"/>
        </w:trPr>
        <w:tc>
          <w:tcPr>
            <w:tcW w:w="5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08 March 2017</w:t>
            </w:r>
          </w:p>
        </w:tc>
        <w:tc>
          <w:tcPr>
            <w:tcW w:w="1300" w:type="dxa"/>
            <w:vAlign w:val="bottom"/>
          </w:tcPr>
          <w:p>
            <w:pPr>
              <w:ind w:left="740"/>
              <w:spacing w:after="0"/>
              <w:rPr>
                <w:sz w:val="20"/>
                <w:szCs w:val="20"/>
                <w:color w:val="auto"/>
              </w:rPr>
            </w:pPr>
            <w:r>
              <w:rPr>
                <w:rFonts w:ascii="Arial" w:cs="Arial" w:eastAsia="Arial" w:hAnsi="Arial"/>
                <w:sz w:val="18"/>
                <w:szCs w:val="18"/>
                <w:b w:val="1"/>
                <w:bCs w:val="1"/>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06 March 2017</w:t>
            </w:r>
          </w:p>
        </w:tc>
      </w:tr>
    </w:tbl>
    <w:p>
      <w:pPr>
        <w:spacing w:after="0" w:line="144" w:lineRule="exact"/>
        <w:rPr>
          <w:sz w:val="20"/>
          <w:szCs w:val="20"/>
          <w:color w:val="auto"/>
        </w:rPr>
      </w:pPr>
    </w:p>
    <w:p>
      <w:pPr>
        <w:ind w:firstLine="8"/>
        <w:spacing w:after="0" w:line="266" w:lineRule="auto"/>
        <w:tabs>
          <w:tab w:leader="none" w:pos="315"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225" w:lineRule="exact"/>
        <w:rPr>
          <w:sz w:val="20"/>
          <w:szCs w:val="20"/>
          <w:color w:val="auto"/>
        </w:rPr>
      </w:pPr>
    </w:p>
    <w:p>
      <w:pPr>
        <w:ind w:left="640" w:hanging="176"/>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7"/>
          <w:szCs w:val="17"/>
          <w:color w:val="auto"/>
        </w:rPr>
        <w:t>By:  /s/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Briggs W. Morrison, M.D.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Shea, certify that:</w:t>
      </w:r>
    </w:p>
    <w:p>
      <w:pPr>
        <w:spacing w:after="0" w:line="225" w:lineRule="exact"/>
        <w:rPr>
          <w:sz w:val="20"/>
          <w:szCs w:val="20"/>
          <w:color w:val="auto"/>
        </w:rPr>
      </w:pPr>
    </w:p>
    <w:p>
      <w:pPr>
        <w:ind w:left="640" w:hanging="17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6"/>
          <w:szCs w:val="16"/>
          <w:color w:val="auto"/>
        </w:rPr>
        <w:t>By:  /s/ 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P. Shea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March 31, 2017,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720" w:hanging="25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May 9, 2017</w:t>
            </w:r>
          </w:p>
        </w:tc>
        <w:tc>
          <w:tcPr>
            <w:tcW w:w="2620" w:type="dxa"/>
            <w:vAlign w:val="bottom"/>
          </w:tcPr>
          <w:p>
            <w:pPr>
              <w:ind w:left="23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209"/>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Briggs W. Morrison, M.D.</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46"/>
        </w:trPr>
        <w:tc>
          <w:tcPr>
            <w:tcW w:w="3660" w:type="dxa"/>
            <w:vAlign w:val="bottom"/>
          </w:tcPr>
          <w:p>
            <w:pPr>
              <w:spacing w:after="0"/>
              <w:rPr>
                <w:sz w:val="20"/>
                <w:szCs w:val="20"/>
                <w:color w:val="auto"/>
              </w:rPr>
            </w:pPr>
            <w:r>
              <w:rPr>
                <w:rFonts w:ascii="Arial" w:cs="Arial" w:eastAsia="Arial" w:hAnsi="Arial"/>
                <w:sz w:val="18"/>
                <w:szCs w:val="18"/>
                <w:color w:val="auto"/>
              </w:rPr>
              <w:t>Date: May 9, 2017</w:t>
            </w:r>
          </w:p>
        </w:tc>
        <w:tc>
          <w:tcPr>
            <w:tcW w:w="2620" w:type="dxa"/>
            <w:vAlign w:val="bottom"/>
          </w:tcPr>
          <w:p>
            <w:pPr>
              <w:ind w:left="23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209"/>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Richard P. Shea</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1."/>
      <w:numFmt w:val="decimal"/>
      <w:start w:val="3"/>
    </w:lvl>
  </w:abstractNum>
  <w:abstractNum w:abstractNumId="4">
    <w:nsid w:val="374A3FE6"/>
    <w:multiLevelType w:val="hybridMultilevel"/>
    <w:lvl w:ilvl="0">
      <w:lvlJc w:val="left"/>
      <w:lvlText w:val="(%1)"/>
      <w:numFmt w:val="lowerRoman"/>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1)"/>
      <w:numFmt w:val="lowerRoman"/>
      <w:start w:val="4"/>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1"/>
      <w:numFmt w:val="decimal"/>
      <w:start w:val="10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1."/>
      <w:numFmt w:val="upperLetter"/>
      <w:start w:val="1"/>
    </w:lvl>
  </w:abstractNum>
  <w:abstractNum w:abstractNumId="42">
    <w:nsid w:val="1EBA5D23"/>
    <w:multiLevelType w:val="hybridMultilevel"/>
    <w:lvl w:ilvl="0">
      <w:lvlJc w:val="left"/>
      <w:lvlText w:val="%1."/>
      <w:numFmt w:val="upperLetter"/>
      <w:start w:val="6"/>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1."/>
      <w:numFmt w:val="upperLetter"/>
      <w:start w:val="1"/>
    </w:lvl>
  </w:abstractNum>
  <w:abstractNum w:abstractNumId="45">
    <w:nsid w:val="540A471C"/>
    <w:multiLevelType w:val="hybridMultilevel"/>
    <w:lvl w:ilvl="0">
      <w:lvlJc w:val="left"/>
      <w:lvlText w:val="%1."/>
      <w:numFmt w:val="decimal"/>
      <w:start w:val="1"/>
    </w:lvl>
  </w:abstractNum>
  <w:abstractNum w:abstractNumId="46">
    <w:nsid w:val="7BD3EE7B"/>
    <w:multiLevelType w:val="hybridMultilevel"/>
    <w:lvl w:ilvl="0">
      <w:lvlJc w:val="left"/>
      <w:lvlText w:val="%1."/>
      <w:numFmt w:val="decimal"/>
      <w:start w:val="2"/>
    </w:lvl>
  </w:abstractNum>
  <w:abstractNum w:abstractNumId="47">
    <w:nsid w:val="51D9C564"/>
    <w:multiLevelType w:val="hybridMultilevel"/>
    <w:lvl w:ilvl="0">
      <w:lvlJc w:val="left"/>
      <w:lvlText w:val="%1."/>
      <w:numFmt w:val="decimal"/>
      <w:start w:val="3"/>
    </w:lvl>
  </w:abstractNum>
  <w:abstractNum w:abstractNumId="48">
    <w:nsid w:val="613EFDC5"/>
    <w:multiLevelType w:val="hybridMultilevel"/>
    <w:lvl w:ilvl="0">
      <w:lvlJc w:val="left"/>
      <w:lvlText w:val="%1."/>
      <w:numFmt w:val="decimal"/>
      <w:start w:val="4"/>
    </w:lvl>
  </w:abstractNum>
  <w:abstractNum w:abstractNumId="49">
    <w:nsid w:val="BF72B14"/>
    <w:multiLevelType w:val="hybridMultilevel"/>
    <w:lvl w:ilvl="0">
      <w:lvlJc w:val="left"/>
      <w:lvlText w:val="%1."/>
      <w:numFmt w:val="decimal"/>
      <w:start w:val="5"/>
    </w:lvl>
  </w:abstractNum>
  <w:abstractNum w:abstractNumId="50">
    <w:nsid w:val="11447B73"/>
    <w:multiLevelType w:val="hybridMultilevel"/>
    <w:lvl w:ilvl="0">
      <w:lvlJc w:val="left"/>
      <w:lvlText w:val="%1."/>
      <w:numFmt w:val="decimal"/>
      <w:start w:val="6"/>
    </w:lvl>
  </w:abstractNum>
  <w:abstractNum w:abstractNumId="51">
    <w:nsid w:val="42963E5A"/>
    <w:multiLevelType w:val="hybridMultilevel"/>
    <w:lvl w:ilvl="0">
      <w:lvlJc w:val="left"/>
      <w:lvlText w:val="%1."/>
      <w:numFmt w:val="decimal"/>
      <w:start w:val="7"/>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1."/>
      <w:numFmt w:val="decimal"/>
      <w:start w:val="8"/>
    </w:lvl>
  </w:abstractNum>
  <w:abstractNum w:abstractNumId="54">
    <w:nsid w:val="1A32234B"/>
    <w:multiLevelType w:val="hybridMultilevel"/>
    <w:lvl w:ilvl="0">
      <w:lvlJc w:val="left"/>
      <w:lvlText w:val="%1."/>
      <w:numFmt w:val="upperLetter"/>
      <w:start w:val="2"/>
    </w:lvl>
  </w:abstractNum>
  <w:abstractNum w:abstractNumId="55">
    <w:nsid w:val="3B0FD379"/>
    <w:multiLevelType w:val="hybridMultilevel"/>
    <w:lvl w:ilvl="0">
      <w:lvlJc w:val="left"/>
      <w:lvlText w:val="%1."/>
      <w:numFmt w:val="upperLetter"/>
      <w:start w:val="3"/>
    </w:lvl>
  </w:abstractNum>
  <w:abstractNum w:abstractNumId="56">
    <w:nsid w:val="68EB2F63"/>
    <w:multiLevelType w:val="hybridMultilevel"/>
    <w:lvl w:ilvl="0">
      <w:lvlJc w:val="left"/>
      <w:lvlText w:val="%1."/>
      <w:numFmt w:val="upperLetter"/>
      <w:start w:val="4"/>
    </w:lvl>
  </w:abstractNum>
  <w:abstractNum w:abstractNumId="57">
    <w:nsid w:val="4962813B"/>
    <w:multiLevelType w:val="hybridMultilevel"/>
    <w:lvl w:ilvl="0">
      <w:lvlJc w:val="left"/>
      <w:lvlText w:val="%1."/>
      <w:numFmt w:val="upperLetter"/>
      <w:start w:val="5"/>
    </w:lvl>
  </w:abstractNum>
  <w:abstractNum w:abstractNumId="58">
    <w:nsid w:val="60B6DF70"/>
    <w:multiLevelType w:val="hybridMultilevel"/>
    <w:lvl w:ilvl="0">
      <w:lvlJc w:val="left"/>
      <w:lvlText w:val="%1."/>
      <w:numFmt w:val="upperLetter"/>
      <w:start w:val="6"/>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1."/>
      <w:numFmt w:val="upperLetter"/>
      <w:start w:val="7"/>
    </w:lvl>
  </w:abstractNum>
  <w:abstractNum w:abstractNumId="61">
    <w:nsid w:val="7FFFCA11"/>
    <w:multiLevelType w:val="hybridMultilevel"/>
    <w:lvl w:ilvl="0">
      <w:lvlJc w:val="left"/>
      <w:lvlText w:val="%1."/>
      <w:numFmt w:val="upperLetter"/>
      <w:start w:val="8"/>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1)"/>
      <w:numFmt w:val="lowerLetter"/>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1."/>
      <w:numFmt w:val="upperLetter"/>
      <w:start w:val="1"/>
    </w:lvl>
  </w:abstractNum>
  <w:abstractNum w:abstractNumId="69">
    <w:nsid w:val="885E1B"/>
    <w:multiLevelType w:val="hybridMultilevel"/>
    <w:lvl w:ilvl="0">
      <w:lvlJc w:val="left"/>
      <w:lvlText w:val="%1."/>
      <w:numFmt w:val="upperLetter"/>
      <w:start w:val="6"/>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1."/>
      <w:numFmt w:val="upperLetter"/>
      <w:start w:val="1"/>
    </w:lvl>
  </w:abstractNum>
  <w:abstractNum w:abstractNumId="72">
    <w:nsid w:val="1716703B"/>
    <w:multiLevelType w:val="hybridMultilevel"/>
    <w:lvl w:ilvl="0">
      <w:lvlJc w:val="left"/>
      <w:lvlText w:val="%1."/>
      <w:numFmt w:val="decimal"/>
      <w:start w:val="1"/>
    </w:lvl>
  </w:abstractNum>
  <w:abstractNum w:abstractNumId="73">
    <w:nsid w:val="14E17E33"/>
    <w:multiLevelType w:val="hybridMultilevel"/>
    <w:lvl w:ilvl="0">
      <w:lvlJc w:val="left"/>
      <w:lvlText w:val="%1."/>
      <w:numFmt w:val="decimal"/>
      <w:start w:val="2"/>
    </w:lvl>
  </w:abstractNum>
  <w:abstractNum w:abstractNumId="74">
    <w:nsid w:val="3222E7CD"/>
    <w:multiLevelType w:val="hybridMultilevel"/>
    <w:lvl w:ilvl="0">
      <w:lvlJc w:val="left"/>
      <w:lvlText w:val="%1."/>
      <w:numFmt w:val="decimal"/>
      <w:start w:val="3"/>
    </w:lvl>
  </w:abstractNum>
  <w:abstractNum w:abstractNumId="75">
    <w:nsid w:val="74DE0EE3"/>
    <w:multiLevelType w:val="hybridMultilevel"/>
    <w:lvl w:ilvl="0">
      <w:lvlJc w:val="left"/>
      <w:lvlText w:val="%1."/>
      <w:numFmt w:val="decimal"/>
      <w:start w:val="4"/>
    </w:lvl>
  </w:abstractNum>
  <w:abstractNum w:abstractNumId="76">
    <w:nsid w:val="68EBC550"/>
    <w:multiLevelType w:val="hybridMultilevel"/>
    <w:lvl w:ilvl="0">
      <w:lvlJc w:val="left"/>
      <w:lvlText w:val="%1."/>
      <w:numFmt w:val="decimal"/>
      <w:start w:val="5"/>
    </w:lvl>
  </w:abstractNum>
  <w:abstractNum w:abstractNumId="77">
    <w:nsid w:val="2DF6D648"/>
    <w:multiLevelType w:val="hybridMultilevel"/>
    <w:lvl w:ilvl="0">
      <w:lvlJc w:val="left"/>
      <w:lvlText w:val="%1."/>
      <w:numFmt w:val="decimal"/>
      <w:start w:val="6"/>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1."/>
      <w:numFmt w:val="decimal"/>
      <w:start w:val="7"/>
    </w:lvl>
  </w:abstractNum>
  <w:abstractNum w:abstractNumId="80">
    <w:nsid w:val="39EE015C"/>
    <w:multiLevelType w:val="hybridMultilevel"/>
    <w:lvl w:ilvl="0">
      <w:lvlJc w:val="left"/>
      <w:lvlText w:val="%1."/>
      <w:numFmt w:val="decimal"/>
      <w:start w:val="8"/>
    </w:lvl>
  </w:abstractNum>
  <w:abstractNum w:abstractNumId="81">
    <w:nsid w:val="57FC4FBB"/>
    <w:multiLevelType w:val="hybridMultilevel"/>
    <w:lvl w:ilvl="0">
      <w:lvlJc w:val="left"/>
      <w:lvlText w:val="%1."/>
      <w:numFmt w:val="decimal"/>
      <w:start w:val="9"/>
    </w:lvl>
  </w:abstractNum>
  <w:abstractNum w:abstractNumId="82">
    <w:nsid w:val="CC1016F"/>
    <w:multiLevelType w:val="hybridMultilevel"/>
    <w:lvl w:ilvl="0">
      <w:lvlJc w:val="left"/>
      <w:lvlText w:val="%1."/>
      <w:numFmt w:val="upperLetter"/>
      <w:start w:val="2"/>
    </w:lvl>
  </w:abstractNum>
  <w:abstractNum w:abstractNumId="83">
    <w:nsid w:val="43F18422"/>
    <w:multiLevelType w:val="hybridMultilevel"/>
    <w:lvl w:ilvl="0">
      <w:lvlJc w:val="left"/>
      <w:lvlText w:val="%1."/>
      <w:numFmt w:val="upperLetter"/>
      <w:start w:val="3"/>
    </w:lvl>
  </w:abstractNum>
  <w:abstractNum w:abstractNumId="84">
    <w:nsid w:val="60EF0119"/>
    <w:multiLevelType w:val="hybridMultilevel"/>
    <w:lvl w:ilvl="0">
      <w:lvlJc w:val="left"/>
      <w:lvlText w:val="%1."/>
      <w:numFmt w:val="upperLetter"/>
      <w:start w:val="4"/>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1."/>
      <w:numFmt w:val="upperLetter"/>
      <w:start w:val="5"/>
    </w:lvl>
  </w:abstractNum>
  <w:abstractNum w:abstractNumId="87">
    <w:nsid w:val="49DA307D"/>
    <w:multiLevelType w:val="hybridMultilevel"/>
    <w:lvl w:ilvl="0">
      <w:lvlJc w:val="left"/>
      <w:lvlText w:val="%1."/>
      <w:numFmt w:val="upperLetter"/>
      <w:start w:val="6"/>
    </w:lvl>
  </w:abstractNum>
  <w:abstractNum w:abstractNumId="88">
    <w:nsid w:val="7055A5F5"/>
    <w:multiLevelType w:val="hybridMultilevel"/>
    <w:lvl w:ilvl="0">
      <w:lvlJc w:val="left"/>
      <w:lvlText w:val="%1."/>
      <w:numFmt w:val="upperLetter"/>
      <w:start w:val="7"/>
    </w:lvl>
  </w:abstractNum>
  <w:abstractNum w:abstractNumId="89">
    <w:nsid w:val="5FB8370B"/>
    <w:multiLevelType w:val="hybridMultilevel"/>
    <w:lvl w:ilvl="0">
      <w:lvlJc w:val="left"/>
      <w:lvlText w:val="%1."/>
      <w:numFmt w:val="upperLetter"/>
      <w:start w:val="8"/>
    </w:lvl>
  </w:abstractNum>
  <w:abstractNum w:abstractNumId="90">
    <w:nsid w:val="50801EE1"/>
    <w:multiLevelType w:val="hybridMultilevel"/>
    <w:lvl w:ilvl="0">
      <w:lvlJc w:val="left"/>
      <w:lvlText w:val="%1."/>
      <w:numFmt w:val="upperLetter"/>
      <w:start w:val="9"/>
    </w:lvl>
  </w:abstractNum>
  <w:abstractNum w:abstractNumId="91">
    <w:nsid w:val="488AC1A"/>
    <w:multiLevelType w:val="hybridMultilevel"/>
    <w:lvl w:ilvl="0">
      <w:lvlJc w:val="left"/>
      <w:lvlText w:val="***"/>
      <w:numFmt w:val="bullet"/>
      <w:start w:val="1"/>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
      <w:numFmt w:val="bullet"/>
      <w:start w:val="1"/>
    </w:lvl>
  </w:abstractNum>
  <w:abstractNum w:abstractNumId="94">
    <w:nsid w:val="7672B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5">
    <w:nsid w:val="6FC75AF8"/>
    <w:multiLevelType w:val="hybridMultilevel"/>
    <w:lvl w:ilvl="0">
      <w:lvlJc w:val="left"/>
      <w:lvlText w:val="%1."/>
      <w:numFmt w:val="lowerLetter"/>
      <w:start w:val="3"/>
    </w:lvl>
  </w:abstractNum>
  <w:abstractNum w:abstractNumId="96">
    <w:nsid w:val="6A5F702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97">
    <w:nsid w:val="7D5E18F8"/>
    <w:multiLevelType w:val="hybridMultilevel"/>
    <w:lvl w:ilvl="0">
      <w:lvlJc w:val="left"/>
      <w:lvlText w:val="%1."/>
      <w:numFmt w:val="decimal"/>
      <w:start w:val="5"/>
    </w:lvl>
  </w:abstractNum>
  <w:abstractNum w:abstractNumId="98">
    <w:nsid w:val="5F3534A4"/>
    <w:multiLevelType w:val="hybridMultilevel"/>
    <w:lvl w:ilvl="0">
      <w:lvlJc w:val="left"/>
      <w:lvlText w:val="***"/>
      <w:numFmt w:val="bullet"/>
      <w:start w:val="1"/>
    </w:lvl>
  </w:abstractNum>
  <w:abstractNum w:abstractNumId="99">
    <w:nsid w:val="73A1821B"/>
    <w:multiLevelType w:val="hybridMultilevel"/>
    <w:lvl w:ilvl="0">
      <w:lvlJc w:val="left"/>
      <w:lvlText w:val="***"/>
      <w:numFmt w:val="bullet"/>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2019-12-29T06:23:37Z</dcterms:created>
  <dcterms:modified xsi:type="dcterms:W3CDTF">2019-12-29T06:23:37Z</dcterms:modified>
</cp:coreProperties>
</file>