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t>UNITED STATES</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2" w:lineRule="exact"/>
        <w:rPr>
          <w:rFonts w:ascii="MS PGothic" w:cs="MS PGothic" w:eastAsia="MS PGothic" w:hAnsi="MS PGothic"/>
          <w:sz w:val="18"/>
          <w:szCs w:val="18"/>
          <w:color w:val="auto"/>
        </w:rPr>
      </w:pPr>
    </w:p>
    <w:p>
      <w:pPr>
        <w:ind w:left="38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September 30, 2022</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09"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8" w:lineRule="exact"/>
        <w:rPr>
          <w:sz w:val="24"/>
          <w:szCs w:val="24"/>
          <w:color w:val="auto"/>
        </w:rPr>
      </w:pPr>
    </w:p>
    <w:p>
      <w:pPr>
        <w:ind w:left="360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3640455</wp:posOffset>
            </wp:positionH>
            <wp:positionV relativeFrom="paragraph">
              <wp:posOffset>-4445</wp:posOffset>
            </wp:positionV>
            <wp:extent cx="53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9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1"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Syndax Pharmaceuticals,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1440" w:type="dxa"/>
        <w:tblCellMar>
          <w:top w:w="0" w:type="dxa"/>
          <w:left w:w="0" w:type="dxa"/>
          <w:bottom w:w="0" w:type="dxa"/>
          <w:right w:w="0" w:type="dxa"/>
        </w:tblCellMar>
      </w:tblPr>
      <w:tr>
        <w:trPr>
          <w:trHeight w:val="207"/>
        </w:trPr>
        <w:tc>
          <w:tcPr>
            <w:tcW w:w="6140" w:type="dxa"/>
            <w:vAlign w:val="bottom"/>
          </w:tcPr>
          <w:p>
            <w:pPr>
              <w:jc w:val="center"/>
              <w:ind w:right="3324"/>
              <w:spacing w:after="0"/>
              <w:rPr>
                <w:sz w:val="20"/>
                <w:szCs w:val="20"/>
                <w:color w:val="auto"/>
              </w:rPr>
            </w:pPr>
            <w:r>
              <w:rPr>
                <w:rFonts w:ascii="Arial" w:cs="Arial" w:eastAsia="Arial" w:hAnsi="Arial"/>
                <w:sz w:val="16"/>
                <w:szCs w:val="16"/>
                <w:b w:val="1"/>
                <w:bCs w:val="1"/>
                <w:color w:val="auto"/>
                <w:w w:val="93"/>
              </w:rPr>
              <w:t>Delaware</w:t>
            </w:r>
          </w:p>
        </w:tc>
        <w:tc>
          <w:tcPr>
            <w:tcW w:w="1420" w:type="dxa"/>
            <w:vAlign w:val="bottom"/>
          </w:tcPr>
          <w:p>
            <w:pPr>
              <w:jc w:val="right"/>
              <w:ind w:right="104"/>
              <w:spacing w:after="0"/>
              <w:rPr>
                <w:sz w:val="20"/>
                <w:szCs w:val="20"/>
                <w:color w:val="auto"/>
              </w:rPr>
            </w:pPr>
            <w:r>
              <w:rPr>
                <w:rFonts w:ascii="Arial" w:cs="Arial" w:eastAsia="Arial" w:hAnsi="Arial"/>
                <w:sz w:val="16"/>
                <w:szCs w:val="16"/>
                <w:b w:val="1"/>
                <w:bCs w:val="1"/>
                <w:color w:val="auto"/>
              </w:rPr>
              <w:t>32-0162505</w:t>
            </w:r>
          </w:p>
        </w:tc>
      </w:tr>
      <w:tr>
        <w:trPr>
          <w:trHeight w:val="162"/>
        </w:trPr>
        <w:tc>
          <w:tcPr>
            <w:tcW w:w="6140" w:type="dxa"/>
            <w:vAlign w:val="bottom"/>
          </w:tcPr>
          <w:p>
            <w:pPr>
              <w:jc w:val="center"/>
              <w:ind w:right="3324"/>
              <w:spacing w:after="0"/>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left="204"/>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6140" w:type="dxa"/>
            <w:vAlign w:val="bottom"/>
          </w:tcPr>
          <w:p>
            <w:pPr>
              <w:jc w:val="center"/>
              <w:ind w:right="3324"/>
              <w:spacing w:after="0"/>
              <w:rPr>
                <w:sz w:val="20"/>
                <w:szCs w:val="20"/>
                <w:color w:val="auto"/>
              </w:rPr>
            </w:pPr>
            <w:r>
              <w:rPr>
                <w:rFonts w:ascii="Arial" w:cs="Arial" w:eastAsia="Arial" w:hAnsi="Arial"/>
                <w:sz w:val="14"/>
                <w:szCs w:val="14"/>
                <w:b w:val="1"/>
                <w:bCs w:val="1"/>
                <w:color w:val="auto"/>
                <w:w w:val="95"/>
              </w:rPr>
              <w:t>Incorporation or Organization)</w:t>
            </w:r>
          </w:p>
        </w:tc>
        <w:tc>
          <w:tcPr>
            <w:tcW w:w="1420" w:type="dxa"/>
            <w:vAlign w:val="bottom"/>
          </w:tcPr>
          <w:p>
            <w:pPr>
              <w:jc w:val="center"/>
              <w:ind w:left="204"/>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6140" w:type="dxa"/>
            <w:vAlign w:val="bottom"/>
          </w:tcPr>
          <w:p>
            <w:pPr>
              <w:jc w:val="center"/>
              <w:ind w:right="3304"/>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1420" w:type="dxa"/>
            <w:vAlign w:val="bottom"/>
          </w:tcPr>
          <w:p>
            <w:pPr>
              <w:spacing w:after="0"/>
              <w:rPr>
                <w:sz w:val="24"/>
                <w:szCs w:val="24"/>
                <w:color w:val="auto"/>
              </w:rPr>
            </w:pPr>
          </w:p>
        </w:tc>
      </w:tr>
      <w:tr>
        <w:trPr>
          <w:trHeight w:val="221"/>
        </w:trPr>
        <w:tc>
          <w:tcPr>
            <w:tcW w:w="6140" w:type="dxa"/>
            <w:vAlign w:val="bottom"/>
          </w:tcPr>
          <w:p>
            <w:pPr>
              <w:jc w:val="center"/>
              <w:ind w:right="3304"/>
              <w:spacing w:after="0"/>
              <w:rPr>
                <w:sz w:val="20"/>
                <w:szCs w:val="20"/>
                <w:color w:val="auto"/>
              </w:rPr>
            </w:pPr>
            <w:r>
              <w:rPr>
                <w:rFonts w:ascii="Arial" w:cs="Arial" w:eastAsia="Arial" w:hAnsi="Arial"/>
                <w:sz w:val="16"/>
                <w:szCs w:val="16"/>
                <w:b w:val="1"/>
                <w:bCs w:val="1"/>
                <w:color w:val="auto"/>
                <w:w w:val="90"/>
              </w:rPr>
              <w:t>Waltham, Massachusetts</w:t>
            </w:r>
          </w:p>
        </w:tc>
        <w:tc>
          <w:tcPr>
            <w:tcW w:w="1420" w:type="dxa"/>
            <w:vAlign w:val="bottom"/>
          </w:tcPr>
          <w:p>
            <w:pPr>
              <w:jc w:val="right"/>
              <w:ind w:right="284"/>
              <w:spacing w:after="0"/>
              <w:rPr>
                <w:sz w:val="20"/>
                <w:szCs w:val="20"/>
                <w:color w:val="auto"/>
              </w:rPr>
            </w:pPr>
            <w:r>
              <w:rPr>
                <w:rFonts w:ascii="Arial" w:cs="Arial" w:eastAsia="Arial" w:hAnsi="Arial"/>
                <w:sz w:val="16"/>
                <w:szCs w:val="16"/>
                <w:b w:val="1"/>
                <w:bCs w:val="1"/>
                <w:color w:val="auto"/>
              </w:rPr>
              <w:t>02451</w:t>
            </w:r>
          </w:p>
        </w:tc>
      </w:tr>
      <w:tr>
        <w:trPr>
          <w:trHeight w:val="186"/>
        </w:trPr>
        <w:tc>
          <w:tcPr>
            <w:tcW w:w="6140" w:type="dxa"/>
            <w:vAlign w:val="bottom"/>
          </w:tcPr>
          <w:p>
            <w:pPr>
              <w:jc w:val="center"/>
              <w:ind w:right="332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4"/>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40" w:type="dxa"/>
            <w:vAlign w:val="bottom"/>
          </w:tcPr>
          <w:p>
            <w:pPr>
              <w:jc w:val="right"/>
              <w:ind w:right="1404"/>
              <w:spacing w:after="0"/>
              <w:rPr>
                <w:sz w:val="20"/>
                <w:szCs w:val="20"/>
                <w:color w:val="auto"/>
              </w:rPr>
            </w:pPr>
            <w:r>
              <w:rPr>
                <w:rFonts w:ascii="Arial" w:cs="Arial" w:eastAsia="Arial" w:hAnsi="Arial"/>
                <w:sz w:val="16"/>
                <w:szCs w:val="16"/>
                <w:b w:val="1"/>
                <w:bCs w:val="1"/>
                <w:color w:val="auto"/>
              </w:rPr>
              <w:t>(781) 419-1400</w:t>
            </w:r>
          </w:p>
        </w:tc>
        <w:tc>
          <w:tcPr>
            <w:tcW w:w="1420" w:type="dxa"/>
            <w:vAlign w:val="bottom"/>
          </w:tcPr>
          <w:p>
            <w:pPr>
              <w:spacing w:after="0"/>
              <w:rPr>
                <w:sz w:val="23"/>
                <w:szCs w:val="23"/>
                <w:color w:val="auto"/>
              </w:rPr>
            </w:pPr>
          </w:p>
        </w:tc>
      </w:tr>
      <w:tr>
        <w:trPr>
          <w:trHeight w:val="186"/>
        </w:trPr>
        <w:tc>
          <w:tcPr>
            <w:tcW w:w="6140" w:type="dxa"/>
            <w:vAlign w:val="bottom"/>
          </w:tcPr>
          <w:p>
            <w:pPr>
              <w:jc w:val="center"/>
              <w:ind w:left="2104"/>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144780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6"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17780</wp:posOffset>
            </wp:positionV>
            <wp:extent cx="426021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60215" cy="146050"/>
                    </a:xfrm>
                    <a:prstGeom prst="rect">
                      <a:avLst/>
                    </a:prstGeom>
                    <a:noFill/>
                  </pic:spPr>
                </pic:pic>
              </a:graphicData>
            </a:graphic>
          </wp:anchor>
        </w:drawing>
      </w:r>
    </w:p>
    <w:p>
      <w:pPr>
        <w:spacing w:after="0" w:line="2" w:lineRule="exact"/>
        <w:rPr>
          <w:sz w:val="24"/>
          <w:szCs w:val="24"/>
          <w:color w:val="auto"/>
        </w:rPr>
      </w:pPr>
    </w:p>
    <w:tbl>
      <w:tblPr>
        <w:tblLayout w:type="fixed"/>
        <w:tblInd w:w="590" w:type="dxa"/>
        <w:tblCellMar>
          <w:top w:w="0" w:type="dxa"/>
          <w:left w:w="0" w:type="dxa"/>
          <w:bottom w:w="0" w:type="dxa"/>
          <w:right w:w="0" w:type="dxa"/>
        </w:tblCellMar>
      </w:tblPr>
      <w:tr>
        <w:trPr>
          <w:trHeight w:val="219"/>
        </w:trPr>
        <w:tc>
          <w:tcPr>
            <w:tcW w:w="3380" w:type="dxa"/>
            <w:vAlign w:val="bottom"/>
            <w:tcBorders>
              <w:top w:val="single" w:sz="8" w:color="auto"/>
              <w:left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79"/>
        </w:trPr>
        <w:tc>
          <w:tcPr>
            <w:tcW w:w="3380" w:type="dxa"/>
            <w:vAlign w:val="bottom"/>
            <w:tcBorders>
              <w:left w:val="single" w:sz="8" w:color="auto"/>
              <w:bottom w:val="single" w:sz="8" w:color="auto"/>
              <w:right w:val="single" w:sz="8" w:color="auto"/>
            </w:tcBorders>
          </w:tcPr>
          <w:p>
            <w:pPr>
              <w:ind w:left="20"/>
              <w:spacing w:after="0" w:line="179" w:lineRule="exact"/>
              <w:rPr>
                <w:sz w:val="20"/>
                <w:szCs w:val="20"/>
                <w:color w:val="auto"/>
              </w:rPr>
            </w:pPr>
            <w:r>
              <w:rPr>
                <w:rFonts w:ascii="Arial" w:cs="Arial" w:eastAsia="Arial" w:hAnsi="Arial"/>
                <w:sz w:val="16"/>
                <w:szCs w:val="16"/>
                <w:color w:val="auto"/>
              </w:rPr>
              <w:t>Common Stock</w:t>
            </w:r>
          </w:p>
        </w:tc>
        <w:tc>
          <w:tcPr>
            <w:tcW w:w="18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8"/>
              </w:rPr>
              <w:t>SNDX</w:t>
            </w:r>
          </w:p>
        </w:tc>
        <w:tc>
          <w:tcPr>
            <w:tcW w:w="48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65" w:lineRule="exact"/>
        <w:rPr>
          <w:sz w:val="24"/>
          <w:szCs w:val="24"/>
          <w:color w:val="auto"/>
        </w:rPr>
      </w:pPr>
    </w:p>
    <w:p>
      <w:pPr>
        <w:ind w:firstLine="38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0" w:firstLine="382"/>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73" w:lineRule="exact"/>
        <w:rPr>
          <w:sz w:val="24"/>
          <w:szCs w:val="24"/>
          <w:color w:val="auto"/>
        </w:rPr>
      </w:pPr>
    </w:p>
    <w:p>
      <w:pPr>
        <w:ind w:right="300" w:firstLine="382"/>
        <w:spacing w:after="0" w:line="25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167" w:lineRule="exact"/>
        <w:rPr>
          <w:sz w:val="24"/>
          <w:szCs w:val="24"/>
          <w:color w:val="auto"/>
        </w:rPr>
      </w:pPr>
    </w:p>
    <w:p>
      <w:pPr>
        <w:ind w:right="200" w:firstLine="382"/>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jc w:val="both"/>
        <w:ind w:left="380" w:right="2240"/>
        <w:spacing w:after="0" w:line="26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2, 2022, there were 60,223,498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557530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04" w:lineRule="exact"/>
        <w:rPr>
          <w:sz w:val="20"/>
          <w:szCs w:val="20"/>
          <w:color w:val="auto"/>
        </w:rPr>
      </w:pPr>
    </w:p>
    <w:p>
      <w:pPr>
        <w:ind w:left="1020" w:right="40" w:hanging="503"/>
        <w:spacing w:after="0" w:line="25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03"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cohorts of the AUGMENT-101 trial of revumenib in patients with relapsed/refractory, or R/R, acute leukemias;</w:t>
      </w:r>
    </w:p>
    <w:p>
      <w:pPr>
        <w:spacing w:after="0" w:line="4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AUGMENT-102 trial of revumenib in combination with chemotherapy in patients with R/R mutant nucleophosmin, NPM1, or mixed lineage leukemia rearranged, MLLr, acute leukemias;</w:t>
      </w:r>
    </w:p>
    <w:p>
      <w:pPr>
        <w:spacing w:after="0" w:line="76" w:lineRule="exact"/>
        <w:rPr>
          <w:rFonts w:ascii="Arial" w:cs="Arial" w:eastAsia="Arial" w:hAnsi="Arial"/>
          <w:sz w:val="18"/>
          <w:szCs w:val="18"/>
          <w:color w:val="auto"/>
        </w:rPr>
      </w:pPr>
    </w:p>
    <w:p>
      <w:pPr>
        <w:ind w:left="1020" w:hanging="503"/>
        <w:spacing w:after="0" w:line="23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combination trial of revumenib as part of the Leukemia &amp; Lymphoma Society’s Beat® AML Master Trial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as a monotherapy as part of the Australian Leukemia and Lymphoma Group (ALLG) INTERCEPT Master Clinical Trial, each of which is not a Company-sponsored trial;</w:t>
      </w:r>
    </w:p>
    <w:p>
      <w:pPr>
        <w:spacing w:after="0" w:line="94"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trial, AGAVE-201, of axatilimab in chronic Graft Versus Host Disease, or cGVHD;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62"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48"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Eddingpharm Investment Company Limited, UCB Biopharma Sprl, and Vitae Pharmaceuticals, Inc., a subsidiary of Allergan plc, which was acquired by AbbVie Inc.;</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 with Incyte Corporation, or Incyte, to further develop and commercialize axatilimab;</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03"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or the perception that hostilities may be imminent, including the Russia-Ukraine war and terrorism, or natural disasters and public health epidemics.</w:t>
      </w:r>
    </w:p>
    <w:p>
      <w:pPr>
        <w:spacing w:after="0" w:line="157"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04"/>
        </w:trPr>
        <w:tc>
          <w:tcPr>
            <w:tcW w:w="10440" w:type="dxa"/>
            <w:vAlign w:val="bottom"/>
            <w:gridSpan w:val="15"/>
          </w:tcPr>
          <w:p>
            <w:pPr>
              <w:spacing w:after="0"/>
              <w:rPr>
                <w:sz w:val="20"/>
                <w:szCs w:val="20"/>
                <w:color w:val="auto"/>
              </w:rPr>
            </w:pPr>
            <w:r>
              <w:rPr>
                <w:rFonts w:ascii="Arial" w:cs="Arial" w:eastAsia="Arial" w:hAnsi="Arial"/>
                <w:sz w:val="18"/>
                <w:szCs w:val="18"/>
                <w:b w:val="1"/>
                <w:bCs w:val="1"/>
                <w:color w:val="0000FF"/>
              </w:rPr>
              <w:t>PART I. 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rPr>
                <w:sz w:val="20"/>
                <w:szCs w:val="20"/>
                <w:color w:val="auto"/>
              </w:rPr>
            </w:pPr>
            <w:r>
              <w:rPr>
                <w:rFonts w:ascii="Arial" w:cs="Arial" w:eastAsia="Arial" w:hAnsi="Arial"/>
                <w:sz w:val="18"/>
                <w:szCs w:val="18"/>
                <w:color w:val="0000FF"/>
              </w:rPr>
              <w:t>Unaudited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rPr>
              <w:t>Condensed Consolidated Balance Sheets as of September 30, 2022 and December 31, 2021</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Comprehensive Loss for the three and nine months ended</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040" w:type="dxa"/>
            <w:vAlign w:val="bottom"/>
            <w:gridSpan w:val="12"/>
          </w:tcPr>
          <w:p>
            <w:pPr>
              <w:spacing w:after="0" w:line="169" w:lineRule="exact"/>
              <w:rPr>
                <w:sz w:val="20"/>
                <w:szCs w:val="20"/>
                <w:color w:val="auto"/>
              </w:rPr>
            </w:pPr>
            <w:r>
              <w:rPr>
                <w:rFonts w:ascii="Arial" w:cs="Arial" w:eastAsia="Arial" w:hAnsi="Arial"/>
                <w:sz w:val="18"/>
                <w:szCs w:val="18"/>
                <w:color w:val="0000FF"/>
              </w:rPr>
              <w:t>September 30, 2022 and 2021</w:t>
            </w:r>
          </w:p>
        </w:tc>
        <w:tc>
          <w:tcPr>
            <w:tcW w:w="12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2022</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160" w:type="dxa"/>
            <w:vAlign w:val="bottom"/>
            <w:gridSpan w:val="13"/>
          </w:tcPr>
          <w:p>
            <w:pPr>
              <w:spacing w:after="0" w:line="169" w:lineRule="exact"/>
              <w:rPr>
                <w:sz w:val="20"/>
                <w:szCs w:val="20"/>
                <w:color w:val="auto"/>
              </w:rPr>
            </w:pPr>
            <w:r>
              <w:rPr>
                <w:rFonts w:ascii="Arial" w:cs="Arial" w:eastAsia="Arial" w:hAnsi="Arial"/>
                <w:sz w:val="18"/>
                <w:szCs w:val="18"/>
                <w:color w:val="0000FF"/>
              </w:rPr>
              <w:t>and 2021</w:t>
            </w:r>
          </w:p>
        </w:tc>
        <w:tc>
          <w:tcPr>
            <w:tcW w:w="2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5"/>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940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94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tcBorders>
              <w:left w:val="single" w:sz="8" w:color="0000FF"/>
            </w:tcBorders>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40" w:type="dxa"/>
            <w:vAlign w:val="bottom"/>
            <w:gridSpan w:val="15"/>
          </w:tcPr>
          <w:p>
            <w:pPr>
              <w:spacing w:after="0"/>
              <w:rPr>
                <w:sz w:val="20"/>
                <w:szCs w:val="20"/>
                <w:color w:val="auto"/>
              </w:rPr>
            </w:pPr>
            <w:r>
              <w:rPr>
                <w:rFonts w:ascii="Arial" w:cs="Arial" w:eastAsia="Arial" w:hAnsi="Arial"/>
                <w:sz w:val="18"/>
                <w:szCs w:val="18"/>
                <w:b w:val="1"/>
                <w:bCs w:val="1"/>
                <w:color w:val="0000FF"/>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4"/>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400" w:type="dxa"/>
            <w:vAlign w:val="bottom"/>
            <w:gridSpan w:val="14"/>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5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9400" w:type="dxa"/>
            <w:vAlign w:val="bottom"/>
            <w:gridSpan w:val="14"/>
          </w:tcPr>
          <w:p>
            <w:pPr>
              <w:spacing w:after="0"/>
              <w:rPr>
                <w:sz w:val="20"/>
                <w:szCs w:val="20"/>
                <w:color w:val="auto"/>
              </w:rPr>
            </w:pPr>
            <w:r>
              <w:rPr>
                <w:rFonts w:ascii="Arial" w:cs="Arial" w:eastAsia="Arial" w:hAnsi="Arial"/>
                <w:sz w:val="18"/>
                <w:szCs w:val="18"/>
                <w:color w:val="0000FF"/>
              </w:rPr>
              <w:t>Exhibits</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SYNDAX PHARMACEUTICALS,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September 30, 2022</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10"/>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71,377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266,461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Short-term deposits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12,870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Collaboration receivable, net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357,631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 net</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359,687</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449,657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7,115</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Current portion of right-of-use liability</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capital lease</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Derivative liability</w:t>
            </w:r>
          </w:p>
        </w:tc>
        <w:tc>
          <w:tcPr>
            <w:tcW w:w="20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20,803</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liability, less current portion</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Capital lease, less current portion</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loan, less current portion</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21,585</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$0.001 par value, 10,000,000 shares authorized; 0 shares</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340"/>
              <w:spacing w:after="0"/>
              <w:rPr>
                <w:sz w:val="20"/>
                <w:szCs w:val="20"/>
                <w:color w:val="auto"/>
              </w:rPr>
            </w:pPr>
            <w:r>
              <w:rPr>
                <w:rFonts w:ascii="Arial" w:cs="Arial" w:eastAsia="Arial" w:hAnsi="Arial"/>
                <w:sz w:val="18"/>
                <w:szCs w:val="18"/>
                <w:color w:val="auto"/>
              </w:rPr>
              <w:t>outstanding at September 30, 2022 and December 31, 2021</w:t>
            </w:r>
          </w:p>
        </w:tc>
        <w:tc>
          <w:tcPr>
            <w:tcW w:w="20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$0.0001 par value, 100,000,000 shares authorized; 60,122,661</w:t>
            </w:r>
          </w:p>
        </w:tc>
        <w:tc>
          <w:tcPr>
            <w:tcW w:w="20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300" w:type="dxa"/>
            <w:vAlign w:val="bottom"/>
            <w:shd w:val="clear" w:color="auto" w:fill="CFF0FC"/>
          </w:tcPr>
          <w:p>
            <w:pPr>
              <w:ind w:left="340"/>
              <w:spacing w:after="0" w:line="189" w:lineRule="exact"/>
              <w:rPr>
                <w:sz w:val="20"/>
                <w:szCs w:val="20"/>
                <w:color w:val="auto"/>
              </w:rPr>
            </w:pPr>
            <w:r>
              <w:rPr>
                <w:rFonts w:ascii="Arial" w:cs="Arial" w:eastAsia="Arial" w:hAnsi="Arial"/>
                <w:sz w:val="18"/>
                <w:szCs w:val="18"/>
                <w:color w:val="auto"/>
              </w:rPr>
              <w:t>and 54,983,105 shares issued and outstanding at September 30, 2022 and</w:t>
            </w:r>
          </w:p>
        </w:tc>
        <w:tc>
          <w:tcPr>
            <w:tcW w:w="20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3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2021, respectively</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993,547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952,019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(1,605 )</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(653,846 )</w:t>
            </w:r>
          </w:p>
        </w:tc>
        <w:tc>
          <w:tcPr>
            <w:tcW w:w="2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(543,702 )</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338,102</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359,687</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080" w:type="dxa"/>
            <w:vAlign w:val="bottom"/>
            <w:gridSpan w:val="3"/>
          </w:tcPr>
          <w:p>
            <w:pPr>
              <w:ind w:left="2060"/>
              <w:spacing w:after="0" w:line="169" w:lineRule="exact"/>
              <w:rPr>
                <w:sz w:val="20"/>
                <w:szCs w:val="20"/>
                <w:color w:val="auto"/>
              </w:rPr>
            </w:pPr>
            <w:r>
              <w:rPr>
                <w:rFonts w:ascii="Arial" w:cs="Arial" w:eastAsia="Arial" w:hAnsi="Arial"/>
                <w:sz w:val="18"/>
                <w:szCs w:val="18"/>
                <w:color w:val="auto"/>
                <w:w w:val="88"/>
              </w:rPr>
              <w:t>The accompanying notes are an integral part of these condensed consolidated financial statements.</w:t>
            </w:r>
          </w:p>
        </w:tc>
        <w:tc>
          <w:tcPr>
            <w:tcW w:w="3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55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7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-3968115</wp:posOffset>
            </wp:positionV>
            <wp:extent cx="137160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16319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-2836545</wp:posOffset>
            </wp:positionV>
            <wp:extent cx="7747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-2279650</wp:posOffset>
            </wp:positionV>
            <wp:extent cx="7747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-1988185</wp:posOffset>
            </wp:positionV>
            <wp:extent cx="7747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-513715</wp:posOffset>
            </wp:positionV>
            <wp:extent cx="7747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ind w:left="4040"/>
        <w:spacing w:after="0"/>
        <w:rPr>
          <w:sz w:val="20"/>
          <w:szCs w:val="20"/>
          <w:color w:val="auto"/>
        </w:rPr>
      </w:pPr>
      <w:r>
        <w:rPr>
          <w:rFonts w:ascii="Arial" w:cs="Arial" w:eastAsia="Arial" w:hAnsi="Arial"/>
          <w:sz w:val="18"/>
          <w:szCs w:val="18"/>
          <w:b w:val="1"/>
          <w:bCs w:val="1"/>
          <w:color w:val="auto"/>
        </w:rPr>
        <w:t>SYNDAX PHARMACEUTICALS, INC.</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w w:val="99"/>
              </w:rPr>
              <w:t>Three Months Ended September 30,</w:t>
            </w:r>
          </w:p>
        </w:tc>
        <w:tc>
          <w:tcPr>
            <w:tcW w:w="280" w:type="dxa"/>
            <w:vAlign w:val="bottom"/>
          </w:tcPr>
          <w:p>
            <w:pPr>
              <w:spacing w:after="0"/>
              <w:rPr>
                <w:sz w:val="16"/>
                <w:szCs w:val="16"/>
                <w:color w:val="auto"/>
              </w:rPr>
            </w:pPr>
          </w:p>
        </w:tc>
        <w:tc>
          <w:tcPr>
            <w:tcW w:w="290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46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License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12,375</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12,375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25,606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86,658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3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6,801</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23,066</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35,141</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32,407</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109,724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(35,141</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(20,032</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(109,724</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(69,529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6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(1,748 )</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(649 )</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(3,094 )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(1,906 )</w:t>
            </w:r>
          </w:p>
        </w:tc>
        <w:tc>
          <w:tcPr>
            <w:tcW w:w="0" w:type="dxa"/>
            <w:vAlign w:val="bottom"/>
          </w:tcPr>
          <w:p>
            <w:pPr>
              <w:spacing w:after="0"/>
              <w:rPr>
                <w:sz w:val="1"/>
                <w:szCs w:val="1"/>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(295 )</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(41 )</w:t>
            </w: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(210 )</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color w:val="auto"/>
              </w:rPr>
              <w:t>Total other (expense) income, net</w:t>
            </w:r>
          </w:p>
        </w:tc>
        <w:tc>
          <w:tcPr>
            <w:tcW w:w="280" w:type="dxa"/>
            <w:vAlign w:val="bottom"/>
          </w:tcPr>
          <w:p>
            <w:pPr>
              <w:spacing w:after="0"/>
              <w:rPr>
                <w:sz w:val="18"/>
                <w:szCs w:val="18"/>
                <w:color w:val="auto"/>
              </w:rPr>
            </w:pP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(262 )</w:t>
            </w:r>
          </w:p>
        </w:tc>
        <w:tc>
          <w:tcPr>
            <w:tcW w:w="340" w:type="dxa"/>
            <w:vAlign w:val="bottom"/>
          </w:tcPr>
          <w:p>
            <w:pPr>
              <w:spacing w:after="0"/>
              <w:rPr>
                <w:sz w:val="18"/>
                <w:szCs w:val="18"/>
                <w:color w:val="auto"/>
              </w:rPr>
            </w:pP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(607 )</w:t>
            </w:r>
          </w:p>
        </w:tc>
        <w:tc>
          <w:tcPr>
            <w:tcW w:w="28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(420 )</w:t>
            </w: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(1,743 )</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(35,403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(110,144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462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gain on marketable securities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(270 )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(6 )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(1,650 )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(35,673 )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(20,645 )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(111,794 )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(71,257 )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(35,403</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(20,639</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(110,144</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(71,272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5"/>
        </w:trPr>
        <w:tc>
          <w:tcPr>
            <w:tcW w:w="4620" w:type="dxa"/>
            <w:vAlign w:val="bottom"/>
          </w:tcPr>
          <w:p>
            <w:pPr>
              <w:ind w:left="20"/>
              <w:spacing w:after="0" w:line="155" w:lineRule="exact"/>
              <w:rPr>
                <w:sz w:val="20"/>
                <w:szCs w:val="20"/>
                <w:color w:val="auto"/>
              </w:rPr>
            </w:pPr>
            <w:r>
              <w:rPr>
                <w:rFonts w:ascii="Arial" w:cs="Arial" w:eastAsia="Arial" w:hAnsi="Arial"/>
                <w:sz w:val="17"/>
                <w:szCs w:val="17"/>
                <w:color w:val="auto"/>
                <w:w w:val="96"/>
              </w:rPr>
              <w:t>Net loss per share attributable to common stockholders—basic</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(0.58 )</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(0.40 )</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(1.84 )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190"/>
        </w:trPr>
        <w:tc>
          <w:tcPr>
            <w:tcW w:w="4620" w:type="dxa"/>
            <w:vAlign w:val="bottom"/>
          </w:tcPr>
          <w:p>
            <w:pPr>
              <w:ind w:left="160"/>
              <w:spacing w:after="0" w:line="190" w:lineRule="exact"/>
              <w:rPr>
                <w:sz w:val="20"/>
                <w:szCs w:val="20"/>
                <w:color w:val="auto"/>
              </w:rPr>
            </w:pPr>
            <w:r>
              <w:rPr>
                <w:rFonts w:ascii="Arial" w:cs="Arial" w:eastAsia="Arial" w:hAnsi="Arial"/>
                <w:sz w:val="18"/>
                <w:szCs w:val="18"/>
                <w:color w:val="auto"/>
              </w:rPr>
              <w:t>and diluted</w:t>
            </w:r>
          </w:p>
        </w:tc>
        <w:tc>
          <w:tcPr>
            <w:tcW w:w="28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2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w w:val="96"/>
              </w:rPr>
              <w:t>Weighted-average number of common shares used to compute</w:t>
            </w: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160"/>
              <w:spacing w:after="0" w:line="189" w:lineRule="exact"/>
              <w:rPr>
                <w:sz w:val="20"/>
                <w:szCs w:val="20"/>
                <w:color w:val="auto"/>
              </w:rPr>
            </w:pPr>
            <w:r>
              <w:rPr>
                <w:rFonts w:ascii="Arial" w:cs="Arial" w:eastAsia="Arial" w:hAnsi="Arial"/>
                <w:sz w:val="18"/>
                <w:szCs w:val="18"/>
                <w:color w:val="auto"/>
              </w:rPr>
              <w:t>net loss per share attributable to common stockholders</w:t>
            </w:r>
          </w:p>
        </w:tc>
        <w:tc>
          <w:tcPr>
            <w:tcW w:w="28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60,670,294</w:t>
            </w: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51,962,320</w:t>
            </w:r>
          </w:p>
        </w:tc>
        <w:tc>
          <w:tcPr>
            <w:tcW w:w="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59,941,384</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51,690,173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FF0FC"/>
            </w:tcBorders>
            <w:shd w:val="clear" w:color="auto" w:fill="CFF0FC"/>
          </w:tcPr>
          <w:p>
            <w:pPr>
              <w:ind w:left="160"/>
              <w:spacing w:after="0" w:line="190" w:lineRule="exact"/>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-2965450</wp:posOffset>
            </wp:positionV>
            <wp:extent cx="7747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-2965450</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-2965450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-2399665</wp:posOffset>
            </wp:positionV>
            <wp:extent cx="774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-2399665</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-2399665</wp:posOffset>
            </wp:positionV>
            <wp:extent cx="685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-1559560</wp:posOffset>
            </wp:positionV>
            <wp:extent cx="7747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-1559560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-1559560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-1268095</wp:posOffset>
            </wp:positionV>
            <wp:extent cx="3308985"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8985" cy="1631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-967740</wp:posOffset>
            </wp:positionV>
            <wp:extent cx="7747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-967740</wp:posOffset>
            </wp:positionV>
            <wp:extent cx="685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-967740</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-659765</wp:posOffset>
            </wp:positionV>
            <wp:extent cx="3308985" cy="283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8985" cy="28321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ind w:right="40"/>
        <w:spacing w:after="0" w:line="236" w:lineRule="auto"/>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040"/>
        <w:spacing w:after="0"/>
        <w:rPr>
          <w:sz w:val="20"/>
          <w:szCs w:val="20"/>
          <w:color w:val="auto"/>
        </w:rPr>
      </w:pPr>
      <w:r>
        <w:rPr>
          <w:rFonts w:ascii="Arial" w:cs="Arial" w:eastAsia="Arial" w:hAnsi="Arial"/>
          <w:sz w:val="18"/>
          <w:szCs w:val="18"/>
          <w:b w:val="1"/>
          <w:bCs w:val="1"/>
          <w:color w:val="auto"/>
        </w:rPr>
        <w:t>SYNDAX PHARMACEUTICALS, INC.</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STATEMENTS OF CASH FLOWS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9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(110,144 )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(71,272 )</w:t>
            </w:r>
          </w:p>
        </w:tc>
      </w:tr>
      <w:tr>
        <w:trPr>
          <w:trHeight w:val="216"/>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and accretion of short-term investments</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(1,357 )</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380"/>
              <w:spacing w:after="0"/>
              <w:rPr>
                <w:sz w:val="20"/>
                <w:szCs w:val="20"/>
                <w:color w:val="auto"/>
              </w:rPr>
            </w:pPr>
            <w:r>
              <w:rPr>
                <w:rFonts w:ascii="Arial" w:cs="Arial" w:eastAsia="Arial" w:hAnsi="Arial"/>
                <w:sz w:val="18"/>
                <w:szCs w:val="18"/>
                <w:color w:val="auto"/>
              </w:rPr>
              <w:t>Non-cash operating lease expense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interest expense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380"/>
              <w:spacing w:after="0"/>
              <w:rPr>
                <w:sz w:val="20"/>
                <w:szCs w:val="20"/>
                <w:color w:val="auto"/>
              </w:rPr>
            </w:pPr>
            <w:r>
              <w:rPr>
                <w:rFonts w:ascii="Arial" w:cs="Arial" w:eastAsia="Arial" w:hAnsi="Arial"/>
                <w:sz w:val="18"/>
                <w:szCs w:val="18"/>
                <w:color w:val="auto"/>
              </w:rPr>
              <w:t>Changes in fair value of derivative liability</w:t>
            </w:r>
          </w:p>
        </w:tc>
        <w:tc>
          <w:tcPr>
            <w:tcW w:w="30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(187 )</w:t>
            </w:r>
          </w:p>
        </w:tc>
        <w:tc>
          <w:tcPr>
            <w:tcW w:w="3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4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7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5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(7,674 )</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(1,471 )</w:t>
            </w:r>
          </w:p>
        </w:tc>
      </w:tr>
      <w:tr>
        <w:trPr>
          <w:trHeight w:val="216"/>
        </w:trPr>
        <w:tc>
          <w:tcPr>
            <w:tcW w:w="79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Collaboration receivable, net</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(4,539 )</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(13,133 )</w:t>
            </w:r>
          </w:p>
        </w:tc>
      </w:tr>
      <w:tr>
        <w:trPr>
          <w:trHeight w:val="216"/>
        </w:trPr>
        <w:tc>
          <w:tcPr>
            <w:tcW w:w="7980" w:type="dxa"/>
            <w:vAlign w:val="bottom"/>
          </w:tcPr>
          <w:p>
            <w:pPr>
              <w:ind w:left="56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(1,545 )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8"/>
                <w:szCs w:val="18"/>
                <w:color w:val="auto"/>
              </w:rPr>
            </w:pPr>
          </w:p>
        </w:tc>
      </w:tr>
      <w:tr>
        <w:trPr>
          <w:trHeight w:val="209"/>
        </w:trPr>
        <w:tc>
          <w:tcPr>
            <w:tcW w:w="79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(110,781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(244,467 )</w:t>
            </w: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(189,492 )</w:t>
            </w: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Proceeds from sales of equipment</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sales and maturities of short-term investments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195,683</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80" w:type="dxa"/>
            <w:vAlign w:val="bottom"/>
          </w:tcPr>
          <w:p>
            <w:pPr>
              <w:ind w:left="38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(48,559 )</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19,083</w:t>
            </w:r>
          </w:p>
        </w:tc>
        <w:tc>
          <w:tcPr>
            <w:tcW w:w="100" w:type="dxa"/>
            <w:vAlign w:val="bottom"/>
          </w:tcPr>
          <w:p>
            <w:pPr>
              <w:spacing w:after="0"/>
              <w:rPr>
                <w:sz w:val="18"/>
                <w:szCs w:val="18"/>
                <w:color w:val="auto"/>
              </w:rPr>
            </w:pPr>
          </w:p>
        </w:tc>
      </w:tr>
      <w:tr>
        <w:trPr>
          <w:trHeight w:val="21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Payment on term loan</w:t>
            </w:r>
          </w:p>
        </w:tc>
        <w:tc>
          <w:tcPr>
            <w:tcW w:w="300" w:type="dxa"/>
            <w:vAlign w:val="bottom"/>
          </w:tcPr>
          <w:p>
            <w:pPr>
              <w:spacing w:after="0"/>
              <w:rPr>
                <w:sz w:val="18"/>
                <w:szCs w:val="18"/>
                <w:color w:val="auto"/>
              </w:rPr>
            </w:pP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(20,998 )</w:t>
            </w:r>
          </w:p>
        </w:tc>
        <w:tc>
          <w:tcPr>
            <w:tcW w:w="340" w:type="dxa"/>
            <w:vAlign w:val="bottom"/>
          </w:tcPr>
          <w:p>
            <w:pPr>
              <w:spacing w:after="0"/>
              <w:rPr>
                <w:sz w:val="18"/>
                <w:szCs w:val="18"/>
                <w:color w:val="auto"/>
              </w:rPr>
            </w:pPr>
          </w:p>
        </w:tc>
        <w:tc>
          <w:tcPr>
            <w:tcW w:w="12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in at-the-market stock offering, net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FF0FC"/>
          </w:tcPr>
          <w:p>
            <w:pPr>
              <w:spacing w:after="0"/>
              <w:rPr>
                <w:sz w:val="18"/>
                <w:szCs w:val="18"/>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auto"/>
              </w:rPr>
              <w:t>Proceeds from Employee Stock Purchase Plan</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r>
      <w:tr>
        <w:trPr>
          <w:trHeight w:val="216"/>
        </w:trPr>
        <w:tc>
          <w:tcPr>
            <w:tcW w:w="7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stock option exercises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10,063</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80" w:type="dxa"/>
            <w:vAlign w:val="bottom"/>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8,685</w:t>
            </w:r>
          </w:p>
        </w:tc>
        <w:tc>
          <w:tcPr>
            <w:tcW w:w="100" w:type="dxa"/>
            <w:vAlign w:val="bottom"/>
          </w:tcPr>
          <w:p>
            <w:pPr>
              <w:spacing w:after="0"/>
              <w:rPr>
                <w:sz w:val="18"/>
                <w:szCs w:val="18"/>
                <w:color w:val="auto"/>
              </w:rPr>
            </w:pPr>
          </w:p>
        </w:tc>
      </w:tr>
      <w:tr>
        <w:trPr>
          <w:trHeight w:val="210"/>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(150,588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CASH—beginning of period</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222,080</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115,358</w:t>
            </w:r>
          </w:p>
        </w:tc>
        <w:tc>
          <w:tcPr>
            <w:tcW w:w="100" w:type="dxa"/>
            <w:vAlign w:val="bottom"/>
          </w:tcPr>
          <w:p>
            <w:pPr>
              <w:spacing w:after="0"/>
              <w:rPr>
                <w:sz w:val="18"/>
                <w:szCs w:val="18"/>
                <w:color w:val="auto"/>
              </w:rPr>
            </w:pPr>
          </w:p>
        </w:tc>
      </w:tr>
      <w:tr>
        <w:trPr>
          <w:trHeight w:val="250"/>
        </w:trPr>
        <w:tc>
          <w:tcPr>
            <w:tcW w:w="7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71,492</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9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FF0FC"/>
          </w:tcPr>
          <w:p>
            <w:pPr>
              <w:spacing w:after="0"/>
              <w:rPr>
                <w:sz w:val="18"/>
                <w:szCs w:val="18"/>
                <w:color w:val="auto"/>
              </w:rPr>
            </w:pPr>
          </w:p>
        </w:tc>
      </w:tr>
      <w:tr>
        <w:trPr>
          <w:trHeight w:val="229"/>
        </w:trPr>
        <w:tc>
          <w:tcPr>
            <w:tcW w:w="9680" w:type="dxa"/>
            <w:vAlign w:val="bottom"/>
            <w:gridSpan w:val="4"/>
          </w:tcPr>
          <w:p>
            <w:pPr>
              <w:ind w:left="2060"/>
              <w:spacing w:after="0"/>
              <w:rPr>
                <w:sz w:val="20"/>
                <w:szCs w:val="20"/>
                <w:color w:val="auto"/>
              </w:rPr>
            </w:pPr>
            <w:r>
              <w:rPr>
                <w:rFonts w:ascii="Arial" w:cs="Arial" w:eastAsia="Arial" w:hAnsi="Arial"/>
                <w:sz w:val="18"/>
                <w:szCs w:val="18"/>
                <w:color w:val="auto"/>
                <w:w w:val="95"/>
              </w:rPr>
              <w:t>The accompanying notes are an integral part of these condensed consolidated financial statements.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980" w:type="dxa"/>
            <w:vAlign w:val="bottom"/>
          </w:tcPr>
          <w:p>
            <w:pPr>
              <w:ind w:left="55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01"/>
        </w:trPr>
        <w:tc>
          <w:tcPr>
            <w:tcW w:w="79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-2639695</wp:posOffset>
            </wp:positionV>
            <wp:extent cx="6858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-2082165</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-1242695</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-668020</wp:posOffset>
            </wp:positionV>
            <wp:extent cx="116586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65860"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SYNDAX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540" w:firstLine="509"/>
        <w:spacing w:after="0" w:line="248" w:lineRule="auto"/>
        <w:rPr>
          <w:sz w:val="20"/>
          <w:szCs w:val="20"/>
          <w:color w:val="auto"/>
        </w:rPr>
      </w:pPr>
      <w:r>
        <w:rPr>
          <w:rFonts w:ascii="Arial" w:cs="Arial" w:eastAsia="Arial" w:hAnsi="Arial"/>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08"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September 30, 2022, and the results of operations and comprehensive loss for the three and nine months ended September 30, 2022 and 2021, and cash flows for the nine months ended September 30, 2022 and 2021. The results for the three and nine months ended September 30, 2022 are not necessarily indicative of the results to be expected for the year ending December 31, 2022, any other interim periods, or any future year or period. These interim financial statements should be read in conjunction with the audited financial statements as of and for the year ended December 31, 2021, and the notes thereto, which are included in the Company’s Annual Report on Form 10-K as filed with the Securities and Exchange Commission (“SEC”) on March 1, 2022.</w:t>
      </w:r>
    </w:p>
    <w:p>
      <w:pPr>
        <w:spacing w:after="0" w:line="180"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In 2011, the Company established a wholly owned subsidiary in the United Kingdom, in 2014 the Company established a wholly owned U.S. subsidiary, and in 2021, the Company established a wholly owned subsidiary in the Netherlands. There have been no material activities for these entities to date. All intercompany balances and transactions have been eliminated in consolidation.</w:t>
      </w:r>
    </w:p>
    <w:p>
      <w:pPr>
        <w:spacing w:after="0" w:line="279" w:lineRule="exact"/>
        <w:rPr>
          <w:sz w:val="20"/>
          <w:szCs w:val="20"/>
          <w:color w:val="auto"/>
        </w:rPr>
      </w:pPr>
    </w:p>
    <w:p>
      <w:pPr>
        <w:ind w:left="520" w:right="7640" w:hanging="512"/>
        <w:spacing w:after="0" w:line="391" w:lineRule="auto"/>
        <w:tabs>
          <w:tab w:leader="none" w:pos="191"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2"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 Company’s significant accounting policies, which are disclosed in the audited consolidated financial statements for the year ended December 31, 2021, and the notes thereto are included in the Company’s Annual Report on Form 10-K that was filed with the SEC on March 1, 2022. Since the date of filing, there have been no material changes to the Company’s significant accounting policies except as noted below.</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420" w:firstLine="509"/>
        <w:spacing w:after="0" w:line="245"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78"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04" w:lineRule="exact"/>
        <w:rPr>
          <w:sz w:val="20"/>
          <w:szCs w:val="20"/>
          <w:color w:val="auto"/>
        </w:rPr>
      </w:pPr>
    </w:p>
    <w:p>
      <w:pPr>
        <w:ind w:right="40" w:firstLine="509"/>
        <w:spacing w:after="0" w:line="256" w:lineRule="auto"/>
        <w:rPr>
          <w:sz w:val="20"/>
          <w:szCs w:val="20"/>
          <w:color w:val="auto"/>
        </w:rPr>
      </w:pPr>
      <w:r>
        <w:rPr>
          <w:rFonts w:ascii="Arial" w:cs="Arial" w:eastAsia="Arial" w:hAnsi="Arial"/>
          <w:sz w:val="17"/>
          <w:szCs w:val="17"/>
          <w:color w:val="auto"/>
        </w:rPr>
        <w:t>We have implemented business continuity plans designed to address and mitigate the impact of the ongoing COVID-19 pandemic on our business. We anticipate that the COVID-19 pandemic could have an impact on the clinical development timelines for one or more of our clinical programs. The extent to which the COVID-19 pandemic impacts our business, our clinical development, manufacturing of clinical and commercial drug substance and drug product,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Europe and other countries, and the effectiveness of actions taken globally to contain and treat the disease. The global economic slowdown, the overall disruption of global healthcare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 w:name="page8"/>
    <w:bookmarkEnd w:id="7"/>
    <w:p>
      <w:pPr>
        <w:ind w:right="40"/>
        <w:spacing w:after="0" w:line="277" w:lineRule="auto"/>
        <w:rPr>
          <w:sz w:val="20"/>
          <w:szCs w:val="20"/>
          <w:color w:val="auto"/>
        </w:rPr>
      </w:pPr>
      <w:r>
        <w:rPr>
          <w:rFonts w:ascii="Arial" w:cs="Arial" w:eastAsia="Arial" w:hAnsi="Arial"/>
          <w:sz w:val="18"/>
          <w:szCs w:val="18"/>
          <w:color w:val="auto"/>
        </w:rPr>
        <w:t>systems and the other risks and uncertainties associated with the pandemic could have a material adverse effect on our business, financial condition, results of operations and growth prospects.</w:t>
      </w:r>
    </w:p>
    <w:p>
      <w:pPr>
        <w:spacing w:after="0" w:line="49" w:lineRule="exact"/>
        <w:rPr>
          <w:sz w:val="20"/>
          <w:szCs w:val="20"/>
          <w:color w:val="auto"/>
        </w:rPr>
      </w:pPr>
    </w:p>
    <w:p>
      <w:pPr>
        <w:ind w:right="160" w:firstLine="509"/>
        <w:spacing w:after="0" w:line="280" w:lineRule="auto"/>
        <w:rPr>
          <w:sz w:val="20"/>
          <w:szCs w:val="20"/>
          <w:color w:val="auto"/>
        </w:rPr>
      </w:pPr>
      <w:r>
        <w:rPr>
          <w:rFonts w:ascii="Arial" w:cs="Arial" w:eastAsia="Arial" w:hAnsi="Arial"/>
          <w:sz w:val="16"/>
          <w:szCs w:val="16"/>
          <w:color w:val="auto"/>
        </w:rPr>
        <w:t>In addition,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 In addition, to the extent the ongoing COVID-19 pandemic adversely affects our business and results of operations, it may also have the effect of heightening many of the other risks and uncertainties discussed above.</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New Accounting Pronouncements</w:t>
      </w:r>
    </w:p>
    <w:p>
      <w:pPr>
        <w:spacing w:after="0" w:line="104"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License Agreements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Incyte Collaboration</w:t>
      </w:r>
    </w:p>
    <w:p>
      <w:pPr>
        <w:spacing w:after="0" w:line="108"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In September 2021, the Company entered into the Incyte License and Collaboration Agreement with Incyte covering the worldwide development and commercialization of SNDX-6352 (axatilimab) (the “Incyte License”) and the Company entered into a share purchase agreement with Incyte (the “Incyte Share Purchase Agreement,” and together with the Incyte License, the “Incyte Agreements”). Under the terms of the Incyte Agreements, Incyte will receive exclusive commercialization rights outside of the United States, subject to tiered royalty payment obligations. In the United States, Incyte and the Company will co-commercialize axatilimab, with the Company having the right to co-promote axatilimab, subject to the Company’s exercise of its co-promotion option. Incyte will be responsible for leading all aspects of commercialization of axatilimab in the United States. The Company and Incyte have agreed to co-develop axatilimab and to share development costs associated with the global and U.S. – specific clinical trials, with Incyte responsible for 55% of such costs and the Company responsible for 45% of such costs. Incyte is responsible for 100% of future development costs for trials that are specific to ex-U.S. countries. Each company will be responsible for funding any of its own independent development of activities. All development costs related to the collaboration will be subject to a joint development plan.</w:t>
      </w:r>
    </w:p>
    <w:p>
      <w:pPr>
        <w:spacing w:after="0" w:line="72" w:lineRule="exact"/>
        <w:rPr>
          <w:sz w:val="20"/>
          <w:szCs w:val="20"/>
          <w:color w:val="auto"/>
        </w:rPr>
      </w:pPr>
    </w:p>
    <w:p>
      <w:pPr>
        <w:jc w:val="both"/>
        <w:ind w:right="320" w:firstLine="509"/>
        <w:spacing w:after="0" w:line="256" w:lineRule="auto"/>
        <w:rPr>
          <w:sz w:val="20"/>
          <w:szCs w:val="20"/>
          <w:color w:val="auto"/>
        </w:rPr>
      </w:pPr>
      <w:r>
        <w:rPr>
          <w:rFonts w:ascii="Arial" w:cs="Arial" w:eastAsia="Arial" w:hAnsi="Arial"/>
          <w:sz w:val="18"/>
          <w:szCs w:val="18"/>
          <w:color w:val="auto"/>
        </w:rPr>
        <w:t>The Company is eligible to receive up to $220.0 million in future contingent development and regulatory milestones and up to $230.0 million in commercialization milestones. In addition, the Company is eligible to receive tiered royalties on potential net sales of the licensed product comprising axatilimab ranging from the low to mid double-digit percentages.</w:t>
      </w:r>
    </w:p>
    <w:p>
      <w:pPr>
        <w:spacing w:after="0" w:line="67"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December 2021, the Company received an upfront cash payment of $117.0 million and the Company issued 1,421,523 shares of common stock for an aggregate purchase price of $35.0 million, or $24.62 per share. Additionally, Incyte and the Company entered into a letter agreement which permitted Incyte to terminate the Incyte Agreements under circumstances under which the upfront payment of $117.0 million would be returned to Incyte and a cash settlement on the sale of the Company's common stock would be made to make the parties whole (the “Letter Agreement”). In connection with the closing of this transaction in December 2021, the Company determined that the cash settlement feature of the Letter Agreement represented an embedded derivative requiring bifurcation and separate accounting recognition at fair value. Accordingly, the Company recorded the common stock issued to Incyte at fair value of $24.8 million, $0.6 million as a derivative liability and $126.6 million as license revenue as of December 31, 2021. The Letter Agreement terminated in March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 w:name="page9"/>
    <w:bookmarkEnd w:id="8"/>
    <w:p>
      <w:pPr>
        <w:ind w:right="120" w:firstLine="449"/>
        <w:spacing w:after="0" w:line="278" w:lineRule="auto"/>
        <w:rPr>
          <w:sz w:val="20"/>
          <w:szCs w:val="20"/>
          <w:color w:val="auto"/>
        </w:rPr>
      </w:pPr>
      <w:r>
        <w:rPr>
          <w:rFonts w:ascii="Arial" w:cs="Arial" w:eastAsia="Arial" w:hAnsi="Arial"/>
          <w:sz w:val="17"/>
          <w:szCs w:val="17"/>
          <w:color w:val="auto"/>
        </w:rPr>
        <w:t>As of September 30, 2022, the Company has recorded $5.7 million as a collaboration receivable due from Incyte related to development costs under the Agreement. Additionally, the Company has recorded approximately $1.1 million as a collaboration payable, due to Incyte for development costs incurred by Incyte as of September 30, 2022. Both expense and cost offset are recorded as part of research and development expense.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Three Months Ended September 30,</w:t>
            </w:r>
          </w:p>
        </w:tc>
        <w:tc>
          <w:tcPr>
            <w:tcW w:w="240" w:type="dxa"/>
            <w:vAlign w:val="bottom"/>
          </w:tcPr>
          <w:p>
            <w:pPr>
              <w:spacing w:after="0"/>
              <w:rPr>
                <w:sz w:val="16"/>
                <w:szCs w:val="16"/>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jc w:val="center"/>
              <w:spacing w:after="0"/>
              <w:rPr>
                <w:sz w:val="20"/>
                <w:szCs w:val="20"/>
                <w:color w:val="auto"/>
              </w:rPr>
            </w:pPr>
            <w:r>
              <w:rPr>
                <w:rFonts w:ascii="Arial" w:cs="Arial" w:eastAsia="Arial" w:hAnsi="Arial"/>
                <w:sz w:val="11"/>
                <w:szCs w:val="11"/>
                <w:b w:val="1"/>
                <w:bCs w:val="1"/>
                <w:color w:val="auto"/>
                <w:w w:val="74"/>
              </w:rPr>
              <w:t>except</w:t>
            </w:r>
          </w:p>
        </w:tc>
        <w:tc>
          <w:tcPr>
            <w:tcW w:w="1400" w:type="dxa"/>
            <w:vAlign w:val="bottom"/>
            <w:gridSpan w:val="2"/>
          </w:tcPr>
          <w:p>
            <w:pPr>
              <w:jc w:val="right"/>
              <w:ind w:right="334"/>
              <w:spacing w:after="0" w:line="133" w:lineRule="exact"/>
              <w:rPr>
                <w:sz w:val="20"/>
                <w:szCs w:val="20"/>
                <w:color w:val="auto"/>
              </w:rPr>
            </w:pPr>
            <w:r>
              <w:rPr>
                <w:rFonts w:ascii="Arial" w:cs="Arial" w:eastAsia="Arial" w:hAnsi="Arial"/>
                <w:sz w:val="14"/>
                <w:szCs w:val="14"/>
                <w:b w:val="1"/>
                <w:bCs w:val="1"/>
                <w:color w:val="auto"/>
              </w:rPr>
              <w:t>share and per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(In thousands,</w:t>
            </w:r>
          </w:p>
        </w:tc>
        <w:tc>
          <w:tcPr>
            <w:tcW w:w="1620" w:type="dxa"/>
            <w:vAlign w:val="bottom"/>
            <w:gridSpan w:val="3"/>
          </w:tcPr>
          <w:p>
            <w:pPr>
              <w:jc w:val="right"/>
              <w:ind w:right="314"/>
              <w:spacing w:after="0" w:line="133" w:lineRule="exact"/>
              <w:rPr>
                <w:sz w:val="20"/>
                <w:szCs w:val="20"/>
                <w:color w:val="auto"/>
              </w:rPr>
            </w:pPr>
            <w:r>
              <w:rPr>
                <w:rFonts w:ascii="Arial" w:cs="Arial" w:eastAsia="Arial" w:hAnsi="Arial"/>
                <w:sz w:val="14"/>
                <w:szCs w:val="14"/>
                <w:b w:val="1"/>
                <w:bCs w:val="1"/>
                <w:color w:val="auto"/>
                <w:w w:val="85"/>
              </w:rPr>
              <w:t>except share and per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0"/>
              </w:rPr>
              <w:t>share data)</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share data)</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Numerator—basic and diluted:</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3"/>
              <w:spacing w:after="0"/>
              <w:rPr>
                <w:sz w:val="20"/>
                <w:szCs w:val="20"/>
                <w:color w:val="auto"/>
              </w:rPr>
            </w:pPr>
            <w:r>
              <w:rPr>
                <w:rFonts w:ascii="Arial" w:cs="Arial" w:eastAsia="Arial" w:hAnsi="Arial"/>
                <w:sz w:val="18"/>
                <w:szCs w:val="18"/>
                <w:color w:val="auto"/>
              </w:rPr>
              <w:t>(35,403 )</w:t>
            </w:r>
          </w:p>
        </w:tc>
        <w:tc>
          <w:tcPr>
            <w:tcW w:w="400" w:type="dxa"/>
            <w:vAlign w:val="bottom"/>
          </w:tcPr>
          <w:p>
            <w:pPr>
              <w:jc w:val="right"/>
              <w:ind w:right="21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(20,639 )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(110,144 )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(71,272 )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6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Net loss attributable to common</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shd w:val="clear" w:color="auto" w:fill="CFF0FC"/>
          </w:tcPr>
          <w:p>
            <w:pPr>
              <w:jc w:val="right"/>
              <w:ind w:right="143"/>
              <w:spacing w:after="0"/>
              <w:rPr>
                <w:sz w:val="20"/>
                <w:szCs w:val="20"/>
                <w:color w:val="auto"/>
              </w:rPr>
            </w:pPr>
            <w:r>
              <w:rPr>
                <w:rFonts w:ascii="Arial" w:cs="Arial" w:eastAsia="Arial" w:hAnsi="Arial"/>
                <w:sz w:val="18"/>
                <w:szCs w:val="18"/>
                <w:color w:val="auto"/>
              </w:rPr>
              <w:t>(35,403 )</w:t>
            </w:r>
          </w:p>
        </w:tc>
        <w:tc>
          <w:tcPr>
            <w:tcW w:w="400" w:type="dxa"/>
            <w:vAlign w:val="bottom"/>
            <w:vMerge w:val="restart"/>
            <w:shd w:val="clear" w:color="auto" w:fill="CFF0FC"/>
          </w:tcPr>
          <w:p>
            <w:pPr>
              <w:jc w:val="right"/>
              <w:ind w:right="215"/>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(20,639 )</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FF0FC"/>
          </w:tcPr>
          <w:p>
            <w:pPr>
              <w:jc w:val="right"/>
              <w:ind w:right="108"/>
              <w:spacing w:after="0"/>
              <w:rPr>
                <w:sz w:val="20"/>
                <w:szCs w:val="20"/>
                <w:color w:val="auto"/>
              </w:rPr>
            </w:pPr>
            <w:r>
              <w:rPr>
                <w:rFonts w:ascii="Arial" w:cs="Arial" w:eastAsia="Arial" w:hAnsi="Arial"/>
                <w:sz w:val="18"/>
                <w:szCs w:val="18"/>
                <w:color w:val="auto"/>
              </w:rPr>
              <w:t>(110,144 )</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(71,272 )</w:t>
            </w: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160"/>
              <w:spacing w:after="0" w:line="190" w:lineRule="exact"/>
              <w:rPr>
                <w:sz w:val="20"/>
                <w:szCs w:val="20"/>
                <w:color w:val="auto"/>
              </w:rPr>
            </w:pPr>
            <w:r>
              <w:rPr>
                <w:rFonts w:ascii="Arial" w:cs="Arial" w:eastAsia="Arial" w:hAnsi="Arial"/>
                <w:sz w:val="18"/>
                <w:szCs w:val="18"/>
                <w:color w:val="auto"/>
              </w:rPr>
              <w:t>stockholders—basic and diluted</w:t>
            </w:r>
          </w:p>
        </w:tc>
        <w:tc>
          <w:tcPr>
            <w:tcW w:w="260" w:type="dxa"/>
            <w:vAlign w:val="bottom"/>
            <w:vMerge w:val="continue"/>
            <w:shd w:val="clear" w:color="auto" w:fill="CFF0FC"/>
          </w:tcPr>
          <w:p>
            <w:pPr>
              <w:spacing w:after="0"/>
              <w:rPr>
                <w:sz w:val="18"/>
                <w:szCs w:val="18"/>
                <w:color w:val="auto"/>
              </w:rPr>
            </w:pPr>
          </w:p>
        </w:tc>
        <w:tc>
          <w:tcPr>
            <w:tcW w:w="1380" w:type="dxa"/>
            <w:vAlign w:val="bottom"/>
            <w:gridSpan w:val="2"/>
            <w:vMerge w:val="continue"/>
            <w:shd w:val="clear" w:color="auto" w:fill="CFF0FC"/>
          </w:tcPr>
          <w:p>
            <w:pPr>
              <w:spacing w:after="0"/>
              <w:rPr>
                <w:sz w:val="18"/>
                <w:szCs w:val="18"/>
                <w:color w:val="auto"/>
              </w:rPr>
            </w:pPr>
          </w:p>
        </w:tc>
        <w:tc>
          <w:tcPr>
            <w:tcW w:w="40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360" w:type="dxa"/>
            <w:vAlign w:val="bottom"/>
            <w:gridSpan w:val="2"/>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60" w:type="dxa"/>
            <w:vAlign w:val="bottom"/>
          </w:tcPr>
          <w:p>
            <w:pPr>
              <w:ind w:left="20"/>
              <w:spacing w:after="0" w:line="155" w:lineRule="exact"/>
              <w:rPr>
                <w:sz w:val="20"/>
                <w:szCs w:val="20"/>
                <w:color w:val="auto"/>
              </w:rPr>
            </w:pPr>
            <w:r>
              <w:rPr>
                <w:rFonts w:ascii="Arial" w:cs="Arial" w:eastAsia="Arial" w:hAnsi="Arial"/>
                <w:sz w:val="17"/>
                <w:szCs w:val="17"/>
                <w:color w:val="auto"/>
              </w:rPr>
              <w:t>Net loss per share attributable to common</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43"/>
              <w:spacing w:after="0"/>
              <w:rPr>
                <w:sz w:val="20"/>
                <w:szCs w:val="20"/>
                <w:color w:val="auto"/>
              </w:rPr>
            </w:pPr>
            <w:r>
              <w:rPr>
                <w:rFonts w:ascii="Arial" w:cs="Arial" w:eastAsia="Arial" w:hAnsi="Arial"/>
                <w:sz w:val="18"/>
                <w:szCs w:val="18"/>
                <w:color w:val="auto"/>
              </w:rPr>
              <w:t>(0.58 )</w:t>
            </w:r>
          </w:p>
        </w:tc>
        <w:tc>
          <w:tcPr>
            <w:tcW w:w="400" w:type="dxa"/>
            <w:vAlign w:val="bottom"/>
            <w:vMerge w:val="restart"/>
          </w:tcPr>
          <w:p>
            <w:pPr>
              <w:jc w:val="right"/>
              <w:ind w:right="215"/>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(0.40 )</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(1.84 )</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190"/>
        </w:trPr>
        <w:tc>
          <w:tcPr>
            <w:tcW w:w="4860" w:type="dxa"/>
            <w:vAlign w:val="bottom"/>
          </w:tcPr>
          <w:p>
            <w:pPr>
              <w:ind w:left="160"/>
              <w:spacing w:after="0" w:line="190" w:lineRule="exact"/>
              <w:rPr>
                <w:sz w:val="20"/>
                <w:szCs w:val="20"/>
                <w:color w:val="auto"/>
              </w:rPr>
            </w:pPr>
            <w:r>
              <w:rPr>
                <w:rFonts w:ascii="Arial" w:cs="Arial" w:eastAsia="Arial" w:hAnsi="Arial"/>
                <w:sz w:val="18"/>
                <w:szCs w:val="18"/>
                <w:color w:val="auto"/>
              </w:rPr>
              <w:t>stockholders—basic and diluted</w:t>
            </w:r>
          </w:p>
        </w:tc>
        <w:tc>
          <w:tcPr>
            <w:tcW w:w="26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Denominator—basic and diluted:</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5" w:lineRule="exact"/>
              <w:rPr>
                <w:sz w:val="20"/>
                <w:szCs w:val="20"/>
                <w:color w:val="auto"/>
              </w:rPr>
            </w:pPr>
            <w:r>
              <w:rPr>
                <w:rFonts w:ascii="Arial" w:cs="Arial" w:eastAsia="Arial" w:hAnsi="Arial"/>
                <w:sz w:val="18"/>
                <w:szCs w:val="18"/>
                <w:color w:val="auto"/>
              </w:rPr>
              <w:t>Weighted-average number of common shares</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160"/>
              <w:spacing w:after="0" w:line="189" w:lineRule="exact"/>
              <w:rPr>
                <w:sz w:val="20"/>
                <w:szCs w:val="20"/>
                <w:color w:val="auto"/>
              </w:rPr>
            </w:pPr>
            <w:r>
              <w:rPr>
                <w:rFonts w:ascii="Arial" w:cs="Arial" w:eastAsia="Arial" w:hAnsi="Arial"/>
                <w:sz w:val="18"/>
                <w:szCs w:val="18"/>
                <w:color w:val="auto"/>
              </w:rPr>
              <w:t>used to compute net loss per share attributable</w:t>
            </w:r>
          </w:p>
        </w:tc>
        <w:tc>
          <w:tcPr>
            <w:tcW w:w="2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60,670,294</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51,962,320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59,941,384</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51,690,173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60" w:type="dxa"/>
            <w:vAlign w:val="bottom"/>
          </w:tcPr>
          <w:p>
            <w:pPr>
              <w:ind w:left="160"/>
              <w:spacing w:after="0" w:line="190" w:lineRule="exact"/>
              <w:rPr>
                <w:sz w:val="20"/>
                <w:szCs w:val="20"/>
                <w:color w:val="auto"/>
              </w:rPr>
            </w:pPr>
            <w:r>
              <w:rPr>
                <w:rFonts w:ascii="Arial" w:cs="Arial" w:eastAsia="Arial" w:hAnsi="Arial"/>
                <w:sz w:val="18"/>
                <w:szCs w:val="18"/>
                <w:color w:val="auto"/>
              </w:rPr>
              <w:t>to common stockholders—basic and diluted</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-796290</wp:posOffset>
            </wp:positionV>
            <wp:extent cx="3180080" cy="282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80080" cy="282575"/>
                    </a:xfrm>
                    <a:prstGeom prst="rect">
                      <a:avLst/>
                    </a:prstGeom>
                    <a:noFill/>
                  </pic:spPr>
                </pic:pic>
              </a:graphicData>
            </a:graphic>
          </wp:anchor>
        </w:drawing>
      </w:r>
    </w:p>
    <w:p>
      <w:pPr>
        <w:spacing w:after="0" w:line="16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80" w:type="dxa"/>
            <w:vAlign w:val="bottom"/>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gridSpan w:val="2"/>
          </w:tcPr>
          <w:p>
            <w:pPr>
              <w:jc w:val="right"/>
              <w:ind w:right="7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7,386,063</w:t>
            </w:r>
          </w:p>
        </w:tc>
        <w:tc>
          <w:tcPr>
            <w:tcW w:w="240" w:type="dxa"/>
            <w:vAlign w:val="bottom"/>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7,340,654</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760" w:type="dxa"/>
            <w:vAlign w:val="bottom"/>
          </w:tcPr>
          <w:p>
            <w:pPr>
              <w:jc w:val="right"/>
              <w:spacing w:after="0"/>
              <w:rPr>
                <w:sz w:val="20"/>
                <w:szCs w:val="20"/>
                <w:color w:val="auto"/>
              </w:rPr>
            </w:pPr>
            <w:r>
              <w:rPr>
                <w:rFonts w:ascii="Arial" w:cs="Arial" w:eastAsia="Arial" w:hAnsi="Arial"/>
                <w:sz w:val="18"/>
                <w:szCs w:val="18"/>
                <w:color w:val="auto"/>
              </w:rPr>
              <w:t>17,135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21,063</w:t>
            </w:r>
          </w:p>
        </w:tc>
        <w:tc>
          <w:tcPr>
            <w:tcW w:w="100" w:type="dxa"/>
            <w:vAlign w:val="bottom"/>
          </w:tcPr>
          <w:p>
            <w:pPr>
              <w:spacing w:after="0"/>
              <w:rPr>
                <w:sz w:val="18"/>
                <w:szCs w:val="18"/>
                <w:color w:val="auto"/>
              </w:rPr>
            </w:pPr>
          </w:p>
        </w:tc>
      </w:tr>
      <w:tr>
        <w:trPr>
          <w:trHeight w:val="216"/>
        </w:trPr>
        <w:tc>
          <w:tcPr>
            <w:tcW w:w="8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Non-vested restricted stock units (RSUs)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226,038</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132,333</w:t>
            </w:r>
          </w:p>
        </w:tc>
        <w:tc>
          <w:tcPr>
            <w:tcW w:w="100" w:type="dxa"/>
            <w:vAlign w:val="bottom"/>
            <w:shd w:val="clear" w:color="auto" w:fill="CFF0FC"/>
          </w:tcPr>
          <w:p>
            <w:pPr>
              <w:spacing w:after="0"/>
              <w:rPr>
                <w:sz w:val="18"/>
                <w:szCs w:val="18"/>
                <w:color w:val="auto"/>
              </w:rPr>
            </w:pPr>
          </w:p>
        </w:tc>
      </w:tr>
    </w:tbl>
    <w:p>
      <w:pPr>
        <w:spacing w:after="0" w:line="94"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In January 2020, the Company sold 3,036,719 shares of common stock at $8.00 per share and pre-funded warrants to purchase 1,338,287 shares of common stock. In February 2021, 250,000 pre-funded warrants were exchanged for shares of common stock in a cash exercise and in November 2021, 475,784 pre-funded warrants were exchanged for shares of common stock in a cashless exercise. In September 2022, 2,832,165 pre-funded warrants were exchanged for 2,832,151 shares of common stock in a cashless exercise. As of September 30, 2022, 1,142,856 pre-funded warrants were issued and outstanding</w:t>
      </w:r>
      <w:r>
        <w:rPr>
          <w:rFonts w:ascii="Arial" w:cs="Arial" w:eastAsia="Arial" w:hAnsi="Arial"/>
          <w:sz w:val="21"/>
          <w:szCs w:val="2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08"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49"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and recorded $4.0 million as research and development expense. In February 2022, the Company achieved certain development and regulatory milestones and recorded $2.0 million as research and development expense.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08"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In 2016, the Company entered into a license agreement (the “UCB License Agreement”), as amended from time to time, with UCB Biopharma Sprl (“UCB”), under which UCB granted to the Company a worldwide, sublicenseable, exclusive license to UCB6352, which the Company refers to as axatilimab, an investigational new drug (“IND”) ready anti-CSF-1R monoclonal antibody.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74"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Since the start of the license agreement, the Company achieved certain development and regulatory milestones and has recorded $6.0 million as research and development expense. Additionally, in connection with its most recent amendment of the UCB License Agreement, in the second quarter of 2022 the Company paid UCB $5.8 million, which is recognized as a milestone expense.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In March 2007, the Company entered into a license agreement (the “Bayer Agreement”) with Bayer Schering Pharma AG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08"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267"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29" w:lineRule="exact"/>
        <w:rPr>
          <w:sz w:val="20"/>
          <w:szCs w:val="20"/>
          <w:color w:val="auto"/>
        </w:rPr>
      </w:pPr>
    </w:p>
    <w:p>
      <w:pPr>
        <w:jc w:val="both"/>
        <w:ind w:left="1020" w:right="360" w:hanging="484"/>
        <w:spacing w:after="0" w:line="245"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 w:name="page11"/>
    <w:bookmarkEnd w:id="10"/>
    <w:p>
      <w:pPr>
        <w:ind w:left="54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48"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rPr>
              <w:t>Fair Value Measurements Using</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59"/>
              <w:spacing w:after="0" w:line="160"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Prices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(unadjusted)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320" w:type="dxa"/>
            <w:vAlign w:val="bottom"/>
            <w:gridSpan w:val="3"/>
          </w:tcPr>
          <w:p>
            <w:pPr>
              <w:jc w:val="center"/>
              <w:ind w:right="597"/>
              <w:spacing w:after="0"/>
              <w:rPr>
                <w:sz w:val="20"/>
                <w:szCs w:val="20"/>
                <w:color w:val="auto"/>
              </w:rPr>
            </w:pPr>
            <w:r>
              <w:rPr>
                <w:rFonts w:ascii="Arial" w:cs="Arial" w:eastAsia="Arial" w:hAnsi="Arial"/>
                <w:sz w:val="14"/>
                <w:szCs w:val="14"/>
                <w:b w:val="1"/>
                <w:bCs w:val="1"/>
                <w:color w:val="auto"/>
                <w:w w:val="84"/>
              </w:rPr>
              <w:t>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20" w:type="dxa"/>
            <w:vAlign w:val="bottom"/>
            <w:shd w:val="clear" w:color="auto" w:fill="CFF0FC"/>
          </w:tcPr>
          <w:p>
            <w:pPr>
              <w:spacing w:after="0"/>
              <w:rPr>
                <w:sz w:val="17"/>
                <w:szCs w:val="17"/>
                <w:color w:val="auto"/>
              </w:rPr>
            </w:pPr>
          </w:p>
        </w:tc>
        <w:tc>
          <w:tcPr>
            <w:tcW w:w="5760" w:type="dxa"/>
            <w:vAlign w:val="bottom"/>
            <w:gridSpan w:val="3"/>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September 30, 2022</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426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9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7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71,377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61,380</w:t>
            </w:r>
          </w:p>
        </w:tc>
        <w:tc>
          <w:tcPr>
            <w:tcW w:w="400" w:type="dxa"/>
            <w:vAlign w:val="bottom"/>
            <w:gridSpan w:val="2"/>
            <w:shd w:val="clear" w:color="auto" w:fill="CFF0FC"/>
          </w:tcPr>
          <w:p>
            <w:pPr>
              <w:jc w:val="center"/>
              <w:ind w:left="13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266,461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266,461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76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337,838</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61,380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276,458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56"/>
        </w:trPr>
        <w:tc>
          <w:tcPr>
            <w:tcW w:w="5780" w:type="dxa"/>
            <w:vAlign w:val="bottom"/>
            <w:gridSpan w:val="4"/>
          </w:tcPr>
          <w:p>
            <w:pPr>
              <w:ind w:left="20"/>
              <w:spacing w:after="0" w:line="156" w:lineRule="exact"/>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78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221,964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96,816</w:t>
            </w:r>
          </w:p>
        </w:tc>
        <w:tc>
          <w:tcPr>
            <w:tcW w:w="400" w:type="dxa"/>
            <w:vAlign w:val="bottom"/>
            <w:gridSpan w:val="2"/>
          </w:tcPr>
          <w:p>
            <w:pPr>
              <w:jc w:val="center"/>
              <w:ind w:left="13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125,148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76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217,971</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217,971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6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439,935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96,816</w:t>
            </w:r>
          </w:p>
        </w:tc>
        <w:tc>
          <w:tcPr>
            <w:tcW w:w="400" w:type="dxa"/>
            <w:vAlign w:val="bottom"/>
            <w:gridSpan w:val="2"/>
          </w:tcPr>
          <w:p>
            <w:pPr>
              <w:jc w:val="center"/>
              <w:ind w:left="13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343,119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80" w:type="dxa"/>
            <w:vAlign w:val="bottom"/>
            <w:gridSpan w:val="4"/>
            <w:shd w:val="clear" w:color="auto" w:fill="CFF0FC"/>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ind w:left="180"/>
              <w:spacing w:after="0"/>
              <w:rPr>
                <w:sz w:val="20"/>
                <w:szCs w:val="20"/>
                <w:color w:val="auto"/>
              </w:rPr>
            </w:pPr>
            <w:r>
              <w:rPr>
                <w:rFonts w:ascii="Arial" w:cs="Arial" w:eastAsia="Arial" w:hAnsi="Arial"/>
                <w:sz w:val="18"/>
                <w:szCs w:val="18"/>
                <w:color w:val="auto"/>
              </w:rPr>
              <w:t>Derivative liability</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r>
      <w:tr>
        <w:trPr>
          <w:trHeight w:val="256"/>
        </w:trPr>
        <w:tc>
          <w:tcPr>
            <w:tcW w:w="20" w:type="dxa"/>
            <w:vAlign w:val="bottom"/>
            <w:tcBorders>
              <w:bottom w:val="single" w:sz="8" w:color="CFF0FC"/>
            </w:tcBorders>
            <w:shd w:val="clear" w:color="auto" w:fill="CFF0FC"/>
          </w:tcPr>
          <w:p>
            <w:pPr>
              <w:spacing w:after="0"/>
              <w:rPr>
                <w:sz w:val="22"/>
                <w:szCs w:val="22"/>
                <w:color w:val="auto"/>
              </w:rPr>
            </w:pPr>
          </w:p>
        </w:tc>
        <w:tc>
          <w:tcPr>
            <w:tcW w:w="5760" w:type="dxa"/>
            <w:vAlign w:val="bottom"/>
            <w:tcBorders>
              <w:bottom w:val="single" w:sz="8" w:color="CFF0FC"/>
            </w:tcBorders>
            <w:gridSpan w:val="3"/>
            <w:shd w:val="clear" w:color="auto" w:fill="CFF0FC"/>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-1182370</wp:posOffset>
            </wp:positionV>
            <wp:extent cx="278574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85745" cy="1631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-607695</wp:posOffset>
            </wp:positionV>
            <wp:extent cx="7683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-607695</wp:posOffset>
            </wp:positionV>
            <wp:extent cx="7747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-607695</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There have been no material impairments of our assets measured and carried at fair value during the period ended September 30, 2022 and 2021. In addition, there have been no changes in valuation techniques during the period ended September 30, 2022 and 2021. The fair value of Level 1 instruments classified as cash equivalents are valued using quoted market prices in active markets. The fair value of Level 2 instruments classified as cash equivalents and short – term investments was determined other than quoted prices in active markets, which are either directly or indirectly observable as of the reporting date and fair value is determined using models or other valuation methodologies. The fair value of the Level 3 instrument is determined using unobservable inputs and the Company utilized a Black Scholes valuation model as of December 9, 2021 (initial recognition) and December 31, 2021.</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fair value rollforward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Liability:</w:t>
            </w:r>
          </w:p>
        </w:tc>
        <w:tc>
          <w:tcPr>
            <w:tcW w:w="48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780" w:type="dxa"/>
            <w:vAlign w:val="bottom"/>
          </w:tcPr>
          <w:p>
            <w:pPr>
              <w:ind w:left="200"/>
              <w:spacing w:after="0"/>
              <w:rPr>
                <w:sz w:val="20"/>
                <w:szCs w:val="20"/>
                <w:color w:val="auto"/>
              </w:rPr>
            </w:pPr>
            <w:r>
              <w:rPr>
                <w:rFonts w:ascii="Arial" w:cs="Arial" w:eastAsia="Arial" w:hAnsi="Arial"/>
                <w:sz w:val="18"/>
                <w:szCs w:val="18"/>
                <w:color w:val="auto"/>
              </w:rPr>
              <w:t>Beginning Balance 12/31/21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r>
      <w:tr>
        <w:trPr>
          <w:trHeight w:val="216"/>
        </w:trPr>
        <w:tc>
          <w:tcPr>
            <w:tcW w:w="8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w:t>
            </w:r>
          </w:p>
        </w:tc>
        <w:tc>
          <w:tcPr>
            <w:tcW w:w="48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(187 )</w:t>
            </w:r>
          </w:p>
        </w:tc>
      </w:tr>
      <w:tr>
        <w:trPr>
          <w:trHeight w:val="210"/>
        </w:trPr>
        <w:tc>
          <w:tcPr>
            <w:tcW w:w="87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Ending Balance 9/30/22</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jc w:val="both"/>
        <w:ind w:right="160" w:firstLine="509"/>
        <w:spacing w:after="0" w:line="278" w:lineRule="auto"/>
        <w:rPr>
          <w:sz w:val="20"/>
          <w:szCs w:val="20"/>
          <w:color w:val="auto"/>
        </w:rPr>
      </w:pPr>
      <w:r>
        <w:rPr>
          <w:rFonts w:ascii="Arial" w:cs="Arial" w:eastAsia="Arial" w:hAnsi="Arial"/>
          <w:sz w:val="17"/>
          <w:szCs w:val="17"/>
          <w:color w:val="auto"/>
        </w:rPr>
        <w:t>The change in fair value of the Level 3 instrument was directly related to the expiration of the Letter Agreement in March 2022. At the time of the expiration of the Letter Agreement, Incyte no longer had the ability to terminate the contract, as such the probability of payment to Incyte was assessed to be zero. Accordingly, the Company released the remaining $187,000 liability related to the Letter Agreement as of March 31, 2022.</w:t>
      </w:r>
    </w:p>
    <w:p>
      <w:pPr>
        <w:spacing w:after="0" w:line="158" w:lineRule="exact"/>
        <w:rPr>
          <w:sz w:val="20"/>
          <w:szCs w:val="20"/>
          <w:color w:val="auto"/>
        </w:rPr>
      </w:pPr>
    </w:p>
    <w:p>
      <w:pPr>
        <w:jc w:val="both"/>
        <w:ind w:right="180" w:firstLine="509"/>
        <w:spacing w:after="0" w:line="241" w:lineRule="auto"/>
        <w:rPr>
          <w:sz w:val="20"/>
          <w:szCs w:val="20"/>
          <w:color w:val="auto"/>
        </w:rPr>
      </w:pPr>
      <w:r>
        <w:rPr>
          <w:rFonts w:ascii="Arial" w:cs="Arial" w:eastAsia="Arial" w:hAnsi="Arial"/>
          <w:sz w:val="18"/>
          <w:szCs w:val="18"/>
          <w:color w:val="auto"/>
        </w:rPr>
        <w:t>The short-term investments are classified as available-for-sale securities. As of September 30, 2022, the remaining contractual maturities of the available-for-sale securities were 1 to 12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nine months ended September 30, 2022 and 2021. As a result, the Company did not reclassify any amounts out of accumulated other comprehensive income for the same periods. The Company has a limited number of available-for-sale securities in insignificant loss positions as of September 30, 2022, which the Company does not intend to sell and has concluded it will not be required to sell before recovery of the amortized cost for the investment at maturity.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 w:name="page12"/>
    <w:bookmarkEnd w:id="11"/>
    <w:p>
      <w:pPr>
        <w:ind w:left="560"/>
        <w:spacing w:after="0"/>
        <w:rPr>
          <w:sz w:val="20"/>
          <w:szCs w:val="20"/>
          <w:color w:val="auto"/>
        </w:rPr>
      </w:pPr>
      <w:r>
        <w:rPr>
          <w:rFonts w:ascii="Arial" w:cs="Arial" w:eastAsia="Arial" w:hAnsi="Arial"/>
          <w:sz w:val="18"/>
          <w:szCs w:val="18"/>
          <w:color w:val="auto"/>
        </w:rPr>
        <w:t>The following table summarizes the available-for-sale securities: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ind w:left="660"/>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0" w:type="dxa"/>
            <w:vAlign w:val="bottom"/>
            <w:shd w:val="clear" w:color="auto" w:fill="CFF0FC"/>
          </w:tcPr>
          <w:p>
            <w:pPr>
              <w:spacing w:after="0"/>
              <w:rPr>
                <w:sz w:val="15"/>
                <w:szCs w:val="15"/>
                <w:color w:val="auto"/>
              </w:rPr>
            </w:pPr>
          </w:p>
        </w:tc>
        <w:tc>
          <w:tcPr>
            <w:tcW w:w="5640" w:type="dxa"/>
            <w:vAlign w:val="bottom"/>
            <w:gridSpan w:val="3"/>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September 30, 2022</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4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ind w:left="18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191,156</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(700 )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190,456</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6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US Treasury and federal bonds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(905 )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86,002</w:t>
            </w:r>
          </w:p>
        </w:tc>
        <w:tc>
          <w:tcPr>
            <w:tcW w:w="100" w:type="dxa"/>
            <w:vAlign w:val="bottom"/>
            <w:shd w:val="clear" w:color="auto" w:fill="CFF0FC"/>
          </w:tcPr>
          <w:p>
            <w:pPr>
              <w:spacing w:after="0"/>
              <w:rPr>
                <w:sz w:val="18"/>
                <w:szCs w:val="18"/>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278,063</w:t>
            </w:r>
          </w:p>
        </w:tc>
        <w:tc>
          <w:tcPr>
            <w:tcW w:w="28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(1,605 )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276,458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spacing w:after="0" w:line="156" w:lineRule="exact"/>
              <w:rPr>
                <w:sz w:val="20"/>
                <w:szCs w:val="20"/>
                <w:color w:val="auto"/>
              </w:rPr>
            </w:pPr>
            <w:r>
              <w:rPr>
                <w:rFonts w:ascii="Arial" w:cs="Arial" w:eastAsia="Arial" w:hAnsi="Arial"/>
                <w:sz w:val="18"/>
                <w:szCs w:val="18"/>
                <w:b w:val="1"/>
                <w:bCs w:val="1"/>
                <w:color w:val="auto"/>
                <w:w w:val="88"/>
              </w:rPr>
              <w:t>December 31, 2021</w:t>
            </w:r>
          </w:p>
        </w:tc>
        <w:tc>
          <w:tcPr>
            <w:tcW w:w="4180" w:type="dxa"/>
            <w:vAlign w:val="bottom"/>
            <w:tcBorders>
              <w:bottom w:val="single" w:sz="8" w:color="CFF0FC"/>
            </w:tcBorders>
            <w:gridSpan w:val="2"/>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ind w:left="180"/>
              <w:spacing w:after="0"/>
              <w:rPr>
                <w:sz w:val="20"/>
                <w:szCs w:val="20"/>
                <w:color w:val="auto"/>
              </w:rPr>
            </w:pPr>
            <w:r>
              <w:rPr>
                <w:rFonts w:ascii="Arial" w:cs="Arial" w:eastAsia="Arial" w:hAnsi="Arial"/>
                <w:sz w:val="18"/>
                <w:szCs w:val="18"/>
                <w:color w:val="auto"/>
              </w:rPr>
              <w:t>Commercial paper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306,715</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89"/>
              </w:rPr>
              <w:t>70</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306,768</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6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ind w:left="180"/>
              <w:spacing w:after="0"/>
              <w:rPr>
                <w:sz w:val="20"/>
                <w:szCs w:val="20"/>
                <w:color w:val="auto"/>
              </w:rPr>
            </w:pPr>
            <w:r>
              <w:rPr>
                <w:rFonts w:ascii="Arial" w:cs="Arial" w:eastAsia="Arial" w:hAnsi="Arial"/>
                <w:sz w:val="18"/>
                <w:szCs w:val="18"/>
                <w:color w:val="auto"/>
              </w:rPr>
              <w:t>US Treasury and federal bonds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18"/>
                <w:szCs w:val="18"/>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343,074</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89"/>
              </w:rPr>
              <w:t>70</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-890905</wp:posOffset>
            </wp:positionV>
            <wp:extent cx="7683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-890905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-890905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Prepaid Expenses and Other Current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vMerge w:val="restart"/>
          </w:tcPr>
          <w:p>
            <w:pPr>
              <w:ind w:left="20"/>
              <w:spacing w:after="0"/>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jc w:val="right"/>
              <w:ind w:right="451"/>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40" w:type="dxa"/>
            <w:vAlign w:val="bottom"/>
            <w:vMerge w:val="continue"/>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 on investments</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Prepaid subscription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conference, meeting costs</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6340" w:type="dxa"/>
            <w:vAlign w:val="bottom"/>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60" w:type="dxa"/>
            <w:vAlign w:val="bottom"/>
            <w:gridSpan w:val="3"/>
          </w:tcPr>
          <w:p>
            <w:pPr>
              <w:ind w:left="520"/>
              <w:spacing w:after="0"/>
              <w:rPr>
                <w:sz w:val="20"/>
                <w:szCs w:val="20"/>
                <w:color w:val="auto"/>
              </w:rPr>
            </w:pPr>
            <w:r>
              <w:rPr>
                <w:rFonts w:ascii="Arial" w:cs="Arial" w:eastAsia="Arial" w:hAnsi="Arial"/>
                <w:sz w:val="18"/>
                <w:szCs w:val="18"/>
                <w:color w:val="auto"/>
                <w:w w:val="91"/>
              </w:rPr>
              <w:t>Accrued expenses and other current liabilities consisted of the following (in thousands):</w:t>
            </w:r>
          </w:p>
        </w:tc>
        <w:tc>
          <w:tcPr>
            <w:tcW w:w="2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w w:val="94"/>
              </w:rPr>
              <w:t>December 31,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vMerge w:val="restart"/>
          </w:tcPr>
          <w:p>
            <w:pPr>
              <w:ind w:left="20"/>
              <w:spacing w:after="0"/>
              <w:rPr>
                <w:sz w:val="20"/>
                <w:szCs w:val="20"/>
                <w:color w:val="auto"/>
              </w:rPr>
            </w:pPr>
            <w:r>
              <w:rPr>
                <w:rFonts w:ascii="Arial" w:cs="Arial" w:eastAsia="Arial" w:hAnsi="Arial"/>
                <w:sz w:val="18"/>
                <w:szCs w:val="18"/>
                <w:color w:val="auto"/>
              </w:rPr>
              <w:t>Accrued clinical costs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3,998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13,213</w:t>
            </w:r>
          </w:p>
        </w:tc>
        <w:tc>
          <w:tcPr>
            <w:tcW w:w="18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14,465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-1422400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-1405255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08"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In January 2022, the number of shares of common stock available for issuance under the 2015 Omnibus Incentive Plan (“2015 Plan”) was increased by 2,198,134 shares due to the automatic annual provision to increase shares available under the 2015 Plan. As of September 30, 2022, the total number of shares of common stock available for issuance under the 2015 Plan was 1,460,079.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9"/>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76"/>
              </w:rPr>
              <w:t>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132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1,134</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w:t>
            </w:r>
          </w:p>
        </w:tc>
        <w:tc>
          <w:tcPr>
            <w:tcW w:w="7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3,130</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2,247</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w:t>
            </w:r>
          </w:p>
        </w:tc>
        <w:tc>
          <w:tcPr>
            <w:tcW w:w="100" w:type="dxa"/>
            <w:vAlign w:val="bottom"/>
          </w:tcPr>
          <w:p>
            <w:pPr>
              <w:spacing w:after="0"/>
              <w:rPr>
                <w:sz w:val="18"/>
                <w:szCs w:val="18"/>
                <w:color w:val="auto"/>
              </w:rPr>
            </w:pPr>
          </w:p>
        </w:tc>
      </w:tr>
      <w:tr>
        <w:trPr>
          <w:trHeight w:val="24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3,381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11,778</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-376555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-359410</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-376555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-359410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-376555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-359410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Compensation expense by type of award in the three and nine months ended September 30, 2022 and 2021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18"/>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w:t>
            </w:r>
          </w:p>
        </w:tc>
        <w:tc>
          <w:tcPr>
            <w:tcW w:w="13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2,730</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9,977</w:t>
            </w: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7,689</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8"/>
                <w:szCs w:val="18"/>
                <w:color w:val="auto"/>
              </w:rPr>
            </w:pPr>
          </w:p>
        </w:tc>
      </w:tr>
      <w:tr>
        <w:trPr>
          <w:trHeight w:val="216"/>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9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4,362</w:t>
            </w:r>
          </w:p>
        </w:tc>
        <w:tc>
          <w:tcPr>
            <w:tcW w:w="13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3,381</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11,778</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-835025</wp:posOffset>
            </wp:positionV>
            <wp:extent cx="4255770" cy="2527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55770" cy="25273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-170815</wp:posOffset>
            </wp:positionV>
            <wp:extent cx="7683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During the nine months ended September 30, 2022, the Company granted 2,282,050 stock options to certain executives, consultants and employees having service-based vesting conditions. The grant date fair value of the options granted in the nine months ended September 30, 2022, was $25.8 million, or $11.31 per share on a weighted-average basis and will be recognized as compensation expense over the requisite service period of two to four years.</w:t>
      </w:r>
    </w:p>
    <w:p>
      <w:pPr>
        <w:spacing w:after="0" w:line="53"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In 2019, the Company granted to certain employees 583,000 performance-based stock options (“2019 Performance Awards”), primarily related to the achievement of certain clinical and regulatory development milestones related to product candidates. Additionally, in 2022, the Company granted to certain employees 140,000 performance-based stock options (“2022 Performance Awards”), primarily related to the achievement of certain regulatory development milestones related to product candidates. Recognition of stock-based compensation expense associated with these performance-based stock options commences when the performance condition is probable of achievement, using management’s best estimates, which consider the inherent risk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uncertainty regarding the future outcomes of the milestones.</w:t>
      </w:r>
    </w:p>
    <w:p>
      <w:pPr>
        <w:spacing w:after="0" w:line="116"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In the fourth quarter of 2020 one of the performance milestones of the 2019 Performance Awards was achieved and of the associated 194,331 stock options, 64,777 stock options vested, and 388,669 options were cancelled. In 2021, 64,780 stock options vested. As of September 30, 2022, 56,999 options (net of cancellations) remain to vest. For the remaining milestones, the performance conditions were not met as of September 30, 2022. Therefore, no expense has been recognized related to these awards for the nine months ended September 30, 2022, and 7,778 options were canceled in 2022.</w:t>
      </w:r>
    </w:p>
    <w:p>
      <w:pPr>
        <w:spacing w:after="0" w:line="56" w:lineRule="exact"/>
        <w:rPr>
          <w:sz w:val="20"/>
          <w:szCs w:val="20"/>
          <w:color w:val="auto"/>
        </w:rPr>
      </w:pPr>
    </w:p>
    <w:p>
      <w:pPr>
        <w:jc w:val="both"/>
        <w:ind w:right="160" w:firstLine="509"/>
        <w:spacing w:after="0" w:line="270" w:lineRule="auto"/>
        <w:rPr>
          <w:sz w:val="20"/>
          <w:szCs w:val="20"/>
          <w:color w:val="auto"/>
        </w:rPr>
      </w:pPr>
      <w:r>
        <w:rPr>
          <w:rFonts w:ascii="Arial" w:cs="Arial" w:eastAsia="Arial" w:hAnsi="Arial"/>
          <w:sz w:val="17"/>
          <w:szCs w:val="17"/>
          <w:color w:val="auto"/>
        </w:rPr>
        <w:t>In the first quarter of 2022, management estimated one of the milestones, for the 2022 Performance Awards, was probable of achievement and, as such, the Company recorded approximately $346,000 of stock compensation expense for these awards for the nine months ended September 30, 2022. As of September 30, 2022, 140,000 stock options outstanding were unvested, and no options had been cancelled.</w:t>
      </w:r>
    </w:p>
    <w:p>
      <w:pPr>
        <w:spacing w:after="0" w:line="69"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During the nine months ended September 30, 2022, 1,167,295 options were exercised for cash proceeds of $10.1 million. During the nine months ended September 30, 2021, 414,809 options were exercised for cash proceeds of $3.3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ind w:right="600" w:firstLine="509"/>
        <w:spacing w:after="0" w:line="250" w:lineRule="auto"/>
        <w:rPr>
          <w:sz w:val="20"/>
          <w:szCs w:val="20"/>
          <w:color w:val="auto"/>
        </w:rPr>
      </w:pPr>
      <w:r>
        <w:rPr>
          <w:rFonts w:ascii="Arial" w:cs="Arial" w:eastAsia="Arial" w:hAnsi="Arial"/>
          <w:sz w:val="18"/>
          <w:szCs w:val="18"/>
          <w:color w:val="auto"/>
        </w:rPr>
        <w:t>RSUs awarded to Board of Directors or employees vest on either i) on the one – year anniversary date of the related grant or ii) 25% on each anniversary for 4 years. The following table summarizes our RSU activity:</w:t>
      </w:r>
    </w:p>
    <w:tbl>
      <w:tblPr>
        <w:tblLayout w:type="fixed"/>
        <w:tblInd w:w="0" w:type="dxa"/>
        <w:tblCellMar>
          <w:top w:w="0" w:type="dxa"/>
          <w:left w:w="0" w:type="dxa"/>
          <w:bottom w:w="0" w:type="dxa"/>
          <w:right w:w="0" w:type="dxa"/>
        </w:tblCellMar>
      </w:tblPr>
      <w:tr>
        <w:trPr>
          <w:trHeight w:val="141"/>
        </w:trPr>
        <w:tc>
          <w:tcPr>
            <w:tcW w:w="6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ind w:right="78"/>
              <w:spacing w:after="0" w:line="141"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58"/>
        </w:trPr>
        <w:tc>
          <w:tcPr>
            <w:tcW w:w="6780" w:type="dxa"/>
            <w:vAlign w:val="bottom"/>
          </w:tcPr>
          <w:p>
            <w:pPr>
              <w:spacing w:after="0"/>
              <w:rPr>
                <w:sz w:val="13"/>
                <w:szCs w:val="13"/>
                <w:color w:val="auto"/>
              </w:rPr>
            </w:pPr>
          </w:p>
        </w:tc>
        <w:tc>
          <w:tcPr>
            <w:tcW w:w="1640" w:type="dxa"/>
            <w:vAlign w:val="bottom"/>
          </w:tcPr>
          <w:p>
            <w:pPr>
              <w:jc w:val="center"/>
              <w:ind w:left="648"/>
              <w:spacing w:after="0" w:line="158" w:lineRule="exact"/>
              <w:rPr>
                <w:sz w:val="20"/>
                <w:szCs w:val="20"/>
                <w:color w:val="auto"/>
              </w:rPr>
            </w:pPr>
            <w:r>
              <w:rPr>
                <w:rFonts w:ascii="Arial" w:cs="Arial" w:eastAsia="Arial" w:hAnsi="Arial"/>
                <w:sz w:val="14"/>
                <w:szCs w:val="14"/>
                <w:b w:val="1"/>
                <w:bCs w:val="1"/>
                <w:color w:val="auto"/>
                <w:w w:val="97"/>
              </w:rPr>
              <w:t>Number of</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8"/>
              <w:spacing w:after="0" w:line="158"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r>
      <w:tr>
        <w:trPr>
          <w:trHeight w:val="189"/>
        </w:trPr>
        <w:tc>
          <w:tcPr>
            <w:tcW w:w="6780" w:type="dxa"/>
            <w:vAlign w:val="bottom"/>
          </w:tcPr>
          <w:p>
            <w:pPr>
              <w:spacing w:after="0"/>
              <w:rPr>
                <w:sz w:val="16"/>
                <w:szCs w:val="16"/>
                <w:color w:val="auto"/>
              </w:rPr>
            </w:pPr>
          </w:p>
        </w:tc>
        <w:tc>
          <w:tcPr>
            <w:tcW w:w="164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Pr>
          <w:p>
            <w:pPr>
              <w:spacing w:after="0"/>
              <w:rPr>
                <w:sz w:val="16"/>
                <w:szCs w:val="16"/>
                <w:color w:val="auto"/>
              </w:rPr>
            </w:pPr>
          </w:p>
        </w:tc>
      </w:tr>
      <w:tr>
        <w:trPr>
          <w:trHeight w:val="210"/>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Unvested—December 31, 2021</w:t>
            </w:r>
          </w:p>
        </w:tc>
        <w:tc>
          <w:tcPr>
            <w:tcW w:w="16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132,333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FF0FC"/>
          </w:tcPr>
          <w:p>
            <w:pPr>
              <w:spacing w:after="0"/>
              <w:rPr>
                <w:sz w:val="18"/>
                <w:szCs w:val="18"/>
                <w:color w:val="auto"/>
              </w:rPr>
            </w:pPr>
          </w:p>
        </w:tc>
      </w:tr>
      <w:tr>
        <w:trPr>
          <w:trHeight w:val="216"/>
        </w:trPr>
        <w:tc>
          <w:tcPr>
            <w:tcW w:w="8420" w:type="dxa"/>
            <w:vAlign w:val="bottom"/>
            <w:gridSpan w:val="2"/>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2"/>
                <w:szCs w:val="12"/>
                <w:color w:val="auto"/>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131,205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(37,500 )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FF0FC"/>
          </w:tcPr>
          <w:p>
            <w:pPr>
              <w:spacing w:after="0"/>
              <w:rPr>
                <w:sz w:val="18"/>
                <w:szCs w:val="18"/>
                <w:color w:val="auto"/>
              </w:rPr>
            </w:pPr>
          </w:p>
        </w:tc>
      </w:tr>
      <w:tr>
        <w:trPr>
          <w:trHeight w:val="210"/>
        </w:trPr>
        <w:tc>
          <w:tcPr>
            <w:tcW w:w="67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 xml:space="preserve">Unvested—September 30, 2022 </w:t>
            </w:r>
            <w:r>
              <w:rPr>
                <w:rFonts w:ascii="Arial" w:cs="Arial" w:eastAsia="Arial" w:hAnsi="Arial"/>
                <w:sz w:val="12"/>
                <w:szCs w:val="12"/>
                <w:color w:val="auto"/>
              </w:rPr>
              <w:t>(2)</w:t>
            </w:r>
          </w:p>
        </w:tc>
        <w:tc>
          <w:tcPr>
            <w:tcW w:w="16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226,038</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Borders>
              <w:top w:val="single" w:sz="8" w:color="CFF0FC"/>
            </w:tcBorders>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2" w:lineRule="exact"/>
        <w:rPr>
          <w:sz w:val="20"/>
          <w:szCs w:val="20"/>
          <w:color w:val="auto"/>
        </w:rPr>
      </w:pPr>
    </w:p>
    <w:p>
      <w:pPr>
        <w:ind w:firstLine="517"/>
        <w:spacing w:after="0" w:line="261" w:lineRule="auto"/>
        <w:tabs>
          <w:tab w:leader="none" w:pos="732" w:val="left"/>
        </w:tabs>
        <w:numPr>
          <w:ilvl w:val="0"/>
          <w:numId w:val="5"/>
        </w:numPr>
        <w:rPr>
          <w:rFonts w:ascii="Arial" w:cs="Arial" w:eastAsia="Arial" w:hAnsi="Arial"/>
          <w:sz w:val="15"/>
          <w:szCs w:val="15"/>
          <w:color w:val="auto"/>
        </w:rPr>
      </w:pPr>
      <w:r>
        <w:rPr>
          <w:rFonts w:ascii="Arial" w:cs="Arial" w:eastAsia="Arial" w:hAnsi="Arial"/>
          <w:sz w:val="18"/>
          <w:szCs w:val="18"/>
          <w:color w:val="auto"/>
        </w:rPr>
        <w:t>RSU’s granted in 2022 and 2021 had a weighted average grant date fair value of $15.79 and $21.19, respectively. The fair values of RSU’s vested in 2022 and 2021 totaled $656,000 and $60,000, respectively.</w:t>
      </w:r>
    </w:p>
    <w:p>
      <w:pPr>
        <w:spacing w:after="0" w:line="170" w:lineRule="exact"/>
        <w:rPr>
          <w:rFonts w:ascii="Arial" w:cs="Arial" w:eastAsia="Arial" w:hAnsi="Arial"/>
          <w:sz w:val="15"/>
          <w:szCs w:val="15"/>
          <w:color w:val="auto"/>
        </w:rPr>
      </w:pPr>
    </w:p>
    <w:p>
      <w:pPr>
        <w:ind w:right="740" w:firstLine="517"/>
        <w:spacing w:after="0" w:line="277" w:lineRule="auto"/>
        <w:tabs>
          <w:tab w:leader="none" w:pos="732" w:val="left"/>
        </w:tabs>
        <w:numPr>
          <w:ilvl w:val="0"/>
          <w:numId w:val="5"/>
        </w:numPr>
        <w:rPr>
          <w:rFonts w:ascii="Arial" w:cs="Arial" w:eastAsia="Arial" w:hAnsi="Arial"/>
          <w:sz w:val="15"/>
          <w:szCs w:val="15"/>
          <w:color w:val="auto"/>
        </w:rPr>
      </w:pPr>
      <w:r>
        <w:rPr>
          <w:rFonts w:ascii="Arial" w:cs="Arial" w:eastAsia="Arial" w:hAnsi="Arial"/>
          <w:sz w:val="18"/>
          <w:szCs w:val="18"/>
          <w:color w:val="auto"/>
        </w:rPr>
        <w:t>Unvested as of September 30, 2022, include 93,333 RSU's which were granted to members of the Board of Directors, which will not be considered issued and outstanding until either the separation from service, death, disability or a change in control.</w:t>
      </w:r>
    </w:p>
    <w:p>
      <w:pPr>
        <w:spacing w:after="0" w:line="157" w:lineRule="exact"/>
        <w:rPr>
          <w:sz w:val="20"/>
          <w:szCs w:val="20"/>
          <w:color w:val="auto"/>
        </w:rPr>
      </w:pPr>
    </w:p>
    <w:p>
      <w:pPr>
        <w:jc w:val="both"/>
        <w:ind w:right="360" w:firstLine="509"/>
        <w:spacing w:after="0" w:line="256" w:lineRule="auto"/>
        <w:rPr>
          <w:sz w:val="20"/>
          <w:szCs w:val="20"/>
          <w:color w:val="auto"/>
        </w:rPr>
      </w:pPr>
      <w:r>
        <w:rPr>
          <w:rFonts w:ascii="Arial" w:cs="Arial" w:eastAsia="Arial" w:hAnsi="Arial"/>
          <w:sz w:val="18"/>
          <w:szCs w:val="18"/>
          <w:color w:val="auto"/>
        </w:rPr>
        <w:t>As of September 30, 2022, there was $35.4 million of unrecognized compensation costs related to employee and non-employee unvested stock options and RSUs granted under the 2015 and 2007 Plans, which is expected to be recognized over a weighted-average remaining service period of 2.8 years. Stock compensation costs have not been capitalized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Loan Payable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ind w:right="320" w:firstLine="509"/>
        <w:spacing w:after="0" w:line="249" w:lineRule="auto"/>
        <w:rPr>
          <w:sz w:val="20"/>
          <w:szCs w:val="20"/>
          <w:color w:val="auto"/>
        </w:rPr>
      </w:pPr>
      <w:r>
        <w:rPr>
          <w:rFonts w:ascii="Arial" w:cs="Arial" w:eastAsia="Arial" w:hAnsi="Arial"/>
          <w:sz w:val="18"/>
          <w:szCs w:val="18"/>
          <w:color w:val="auto"/>
        </w:rPr>
        <w:t>In February 2020, the Company entered into a loan and security agreement (the “Loan Agreement”) with Hercules Capital, Inc. (“Hercules”). In December 2021, the Company entered into Amendment No. 1 to the Company’s Loan Agreement (the “First Amendment” and the Loan Agreement, as amended, the “Amended Loan Agreement”) with several banks and financial institutions or entities from time-to-time party thereto (collectively, the “Lender”) and Hercules, in its capacity as administrative agent for itself and the Lender. The Company terminated the Amended Loan Agreement in September 2022.</w:t>
      </w:r>
    </w:p>
    <w:p>
      <w:pPr>
        <w:spacing w:after="0" w:line="74"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 First Amendment provided for an aggregate maximum borrowing of up to $80.0 million, consisting of three tranches, including a term loan of up to $20.0 million ( the “Initial Advance”). Borrowings under the Amended Loan Agreement were collateralized by substantially all of the Company's and its subsidiaries personal property and other assets, other than its intellectual property.</w:t>
      </w:r>
    </w:p>
    <w:p>
      <w:pPr>
        <w:spacing w:after="0" w:line="67"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auto"/>
        </w:rPr>
        <w:t xml:space="preserve">The Company was obligated to make monthly interest-only payments through January 1, 2023. Borrowings under the Amended Loan Agreement bore interest at an annual interest rate from the greater of (y) 9.25% or (z) 6.00% plus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prime rate. After the Interest-Only Period (as defined in the Amended Loan Agreement), borrowings under the Amended Loan Agreement were repayable in equal monthly payments of principal and accrued interest until the maturity date of the loan. At the Company’s option, the Company could prepay all, but not less than all, of the outstanding borrowings, subject to a prepayment premium equal to (i) 2.0% of the principal amount outstanding if the prepayment occurs during the first year following the First Amendment, (ii) 1.5% of the principal amount outstanding if the prepayment occurs during the second year following the First Amendment, and</w:t>
      </w:r>
    </w:p>
    <w:p>
      <w:pPr>
        <w:spacing w:after="0" w:line="1" w:lineRule="exact"/>
        <w:rPr>
          <w:sz w:val="20"/>
          <w:szCs w:val="20"/>
          <w:color w:val="auto"/>
        </w:rPr>
      </w:pPr>
    </w:p>
    <w:p>
      <w:pPr>
        <w:ind w:right="20" w:firstLine="8"/>
        <w:spacing w:after="0" w:line="273"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1.0% of the principal amount outstanding at any time thereafter but prior to the maturity date. The Amended Loan Agreement also applied a 4.99% end of term charge to any future draws payable on the maturity date. The Company was accruing the final payment over the term of the debt.</w:t>
      </w:r>
    </w:p>
    <w:p>
      <w:pPr>
        <w:spacing w:after="0" w:line="162"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On September 23, 2022, the Company made a prepayment of $21.5 million to satisfy in full all of the Company's principal and interest obligations and related fees under the Amended Loan Agreement. The payoff amount paid by the Company in connection with the termination of the Amended Loan Agreement was pursuant to a payoff letter with Hercules and included payment of (a) $1.0 million as an end-of term fee and (b) $0.4 million as a pre-payment fee. Hercules released all security interests held on the assets of the Company and its subsidiaries. The Amended Loan Agreement was fully terminated as of September 23, 2022.</w:t>
      </w:r>
    </w:p>
    <w:p>
      <w:pPr>
        <w:spacing w:after="0" w:line="182" w:lineRule="exact"/>
        <w:rPr>
          <w:sz w:val="20"/>
          <w:szCs w:val="20"/>
          <w:color w:val="auto"/>
        </w:rPr>
      </w:pPr>
    </w:p>
    <w:p>
      <w:pPr>
        <w:ind w:right="260" w:firstLine="509"/>
        <w:spacing w:after="0" w:line="265" w:lineRule="auto"/>
        <w:rPr>
          <w:sz w:val="20"/>
          <w:szCs w:val="20"/>
          <w:color w:val="auto"/>
        </w:rPr>
      </w:pPr>
      <w:r>
        <w:rPr>
          <w:rFonts w:ascii="Arial" w:cs="Arial" w:eastAsia="Arial" w:hAnsi="Arial"/>
          <w:sz w:val="17"/>
          <w:szCs w:val="17"/>
          <w:color w:val="auto"/>
        </w:rPr>
        <w:t>During the nine months ended September 30, 2022 and 2021, the Company recognized $2.1 million, which included $0.4 million of pre-payment fee, and $1.9 million, respectively, of interest expense related to the Initial Advance pursuant to the Amended Loan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12.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nine months ended September 30,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260" w:type="dxa"/>
            <w:vAlign w:val="bottom"/>
            <w:gridSpan w:val="3"/>
            <w:vMerge w:val="restart"/>
          </w:tcPr>
          <w:p>
            <w:pPr>
              <w:jc w:val="center"/>
              <w:ind w:left="153"/>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20" w:type="dxa"/>
            <w:vAlign w:val="bottom"/>
          </w:tcPr>
          <w:p>
            <w:pPr>
              <w:spacing w:after="0"/>
              <w:rPr>
                <w:sz w:val="13"/>
                <w:szCs w:val="13"/>
                <w:color w:val="auto"/>
              </w:rPr>
            </w:pPr>
          </w:p>
        </w:tc>
        <w:tc>
          <w:tcPr>
            <w:tcW w:w="2260" w:type="dxa"/>
            <w:vAlign w:val="bottom"/>
            <w:gridSpan w:val="3"/>
          </w:tcPr>
          <w:p>
            <w:pPr>
              <w:jc w:val="center"/>
              <w:ind w:left="153"/>
              <w:spacing w:after="0" w:line="158" w:lineRule="exact"/>
              <w:rPr>
                <w:sz w:val="20"/>
                <w:szCs w:val="20"/>
                <w:color w:val="auto"/>
              </w:rPr>
            </w:pPr>
            <w:r>
              <w:rPr>
                <w:rFonts w:ascii="Arial" w:cs="Arial" w:eastAsia="Arial" w:hAnsi="Arial"/>
                <w:sz w:val="14"/>
                <w:szCs w:val="14"/>
                <w:b w:val="1"/>
                <w:bCs w:val="1"/>
                <w:color w:val="auto"/>
                <w:w w:val="90"/>
              </w:rPr>
              <w:t>$0.0001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32"/>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300" w:type="dxa"/>
            <w:vAlign w:val="bottom"/>
            <w:gridSpan w:val="3"/>
          </w:tcPr>
          <w:p>
            <w:pPr>
              <w:jc w:val="center"/>
              <w:ind w:right="13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180" w:type="dxa"/>
            <w:vAlign w:val="bottom"/>
            <w:gridSpan w:val="3"/>
          </w:tcPr>
          <w:p>
            <w:pPr>
              <w:jc w:val="right"/>
              <w:ind w:right="190"/>
              <w:spacing w:after="0" w:line="158" w:lineRule="exact"/>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26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3"/>
              </w:rPr>
              <w:t>Par Value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300" w:type="dxa"/>
            <w:vAlign w:val="bottom"/>
            <w:gridSpan w:val="3"/>
          </w:tcPr>
          <w:p>
            <w:pPr>
              <w:jc w:val="center"/>
              <w:ind w:right="110"/>
              <w:spacing w:after="0"/>
              <w:rPr>
                <w:sz w:val="20"/>
                <w:szCs w:val="20"/>
                <w:color w:val="auto"/>
              </w:rPr>
            </w:pPr>
            <w:r>
              <w:rPr>
                <w:rFonts w:ascii="Arial" w:cs="Arial" w:eastAsia="Arial" w:hAnsi="Arial"/>
                <w:sz w:val="14"/>
                <w:szCs w:val="14"/>
                <w:b w:val="1"/>
                <w:bCs w:val="1"/>
                <w:color w:val="auto"/>
                <w:w w:val="91"/>
              </w:rPr>
              <w:t>(Loss) / Income</w:t>
            </w:r>
          </w:p>
        </w:tc>
        <w:tc>
          <w:tcPr>
            <w:tcW w:w="200" w:type="dxa"/>
            <w:vAlign w:val="bottom"/>
          </w:tcPr>
          <w:p>
            <w:pPr>
              <w:spacing w:after="0"/>
              <w:rPr>
                <w:sz w:val="16"/>
                <w:szCs w:val="16"/>
                <w:color w:val="auto"/>
              </w:rPr>
            </w:pPr>
          </w:p>
        </w:tc>
        <w:tc>
          <w:tcPr>
            <w:tcW w:w="9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54,983,105</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952,019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(543,702 )</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Stock purchase under ESPP</w:t>
            </w:r>
          </w:p>
        </w:tc>
        <w:tc>
          <w:tcPr>
            <w:tcW w:w="1180" w:type="dxa"/>
            <w:vAlign w:val="bottom"/>
          </w:tcPr>
          <w:p>
            <w:pPr>
              <w:jc w:val="right"/>
              <w:spacing w:after="0"/>
              <w:rPr>
                <w:sz w:val="20"/>
                <w:szCs w:val="20"/>
                <w:color w:val="auto"/>
              </w:rPr>
            </w:pPr>
            <w:r>
              <w:rPr>
                <w:rFonts w:ascii="Arial" w:cs="Arial" w:eastAsia="Arial" w:hAnsi="Arial"/>
                <w:sz w:val="18"/>
                <w:szCs w:val="18"/>
                <w:color w:val="auto"/>
              </w:rPr>
              <w:t>18,946</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Unrealized gains on short-term investments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(685 )</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withholdings ESPP</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28,839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(37,169 )</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(37,169 )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Balance as of March 31, 2022</w:t>
            </w:r>
          </w:p>
        </w:tc>
        <w:tc>
          <w:tcPr>
            <w:tcW w:w="1180" w:type="dxa"/>
            <w:vAlign w:val="bottom"/>
          </w:tcPr>
          <w:p>
            <w:pPr>
              <w:jc w:val="right"/>
              <w:spacing w:after="0"/>
              <w:rPr>
                <w:sz w:val="20"/>
                <w:szCs w:val="20"/>
                <w:color w:val="auto"/>
              </w:rPr>
            </w:pPr>
            <w:r>
              <w:rPr>
                <w:rFonts w:ascii="Arial" w:cs="Arial" w:eastAsia="Arial" w:hAnsi="Arial"/>
                <w:sz w:val="18"/>
                <w:szCs w:val="18"/>
                <w:color w:val="auto"/>
              </w:rPr>
              <w:t>55,030,890</w:t>
            </w:r>
          </w:p>
        </w:tc>
        <w:tc>
          <w:tcPr>
            <w:tcW w:w="240" w:type="dxa"/>
            <w:vAlign w:val="bottom"/>
          </w:tcPr>
          <w:p>
            <w:pPr>
              <w:spacing w:after="0"/>
              <w:rPr>
                <w:sz w:val="18"/>
                <w:szCs w:val="18"/>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956,054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(640 )</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(580,871 )</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374,549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Proceeds from ATM sales</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1,111,111</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19,427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19,427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gains on short-term investments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(695 )</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(695 )</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Employee withholdings ESPP</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257,733</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(37,572 )</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(37,572 )</w:t>
            </w:r>
          </w:p>
        </w:tc>
        <w:tc>
          <w:tcPr>
            <w:tcW w:w="0" w:type="dxa"/>
            <w:vAlign w:val="bottom"/>
          </w:tcPr>
          <w:p>
            <w:pPr>
              <w:spacing w:after="0"/>
              <w:rPr>
                <w:sz w:val="1"/>
                <w:szCs w:val="1"/>
                <w:color w:val="auto"/>
              </w:rPr>
            </w:pPr>
          </w:p>
        </w:tc>
      </w:tr>
      <w:tr>
        <w:trPr>
          <w:trHeight w:val="24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June 30,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56,399,734</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981,712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(618,443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820" w:type="dxa"/>
            <w:vAlign w:val="bottom"/>
          </w:tcPr>
          <w:p>
            <w:pPr>
              <w:ind w:left="20"/>
              <w:spacing w:after="0" w:line="196" w:lineRule="exact"/>
              <w:rPr>
                <w:sz w:val="20"/>
                <w:szCs w:val="20"/>
                <w:color w:val="auto"/>
              </w:rPr>
            </w:pPr>
            <w:r>
              <w:rPr>
                <w:rFonts w:ascii="Arial" w:cs="Arial" w:eastAsia="Arial" w:hAnsi="Arial"/>
                <w:sz w:val="18"/>
                <w:szCs w:val="18"/>
                <w:color w:val="auto"/>
              </w:rPr>
              <w:t>Stock purchase under ESPP</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10,053</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Unrealized gains on short-term investments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(270 )</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prefunded warrants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2,832,151</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Employee withholdings ESPP</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880,723</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(35,403 )</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(35,403 )</w:t>
            </w:r>
          </w:p>
        </w:tc>
        <w:tc>
          <w:tcPr>
            <w:tcW w:w="0" w:type="dxa"/>
            <w:vAlign w:val="bottom"/>
          </w:tcPr>
          <w:p>
            <w:pPr>
              <w:spacing w:after="0"/>
              <w:rPr>
                <w:sz w:val="1"/>
                <w:szCs w:val="1"/>
                <w:color w:val="auto"/>
              </w:rPr>
            </w:pPr>
          </w:p>
        </w:tc>
      </w:tr>
      <w:tr>
        <w:trPr>
          <w:trHeight w:val="24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September 30, 2022</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60,122,661</w:t>
            </w:r>
          </w:p>
        </w:tc>
        <w:tc>
          <w:tcPr>
            <w:tcW w:w="2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993,547</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(653,846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338,102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3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-2647950</wp:posOffset>
            </wp:positionV>
            <wp:extent cx="7747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-2647950</wp:posOffset>
            </wp:positionV>
            <wp:extent cx="7683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-2647950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-2647950</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-2647950</wp:posOffset>
            </wp:positionV>
            <wp:extent cx="685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-1508125</wp:posOffset>
            </wp:positionV>
            <wp:extent cx="3960495"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60495" cy="16319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-376555</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-359410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-376555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-359410</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-376555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-359410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-376555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-359410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-376555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-359410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and nine months ended September 30,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100" w:type="dxa"/>
            <w:vAlign w:val="bottom"/>
            <w:gridSpan w:val="3"/>
            <w:vMerge w:val="restart"/>
          </w:tcPr>
          <w:p>
            <w:pPr>
              <w:jc w:val="right"/>
              <w:ind w:right="374"/>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2100" w:type="dxa"/>
            <w:vAlign w:val="bottom"/>
            <w:gridSpan w:val="3"/>
          </w:tcPr>
          <w:p>
            <w:pPr>
              <w:jc w:val="right"/>
              <w:ind w:right="614"/>
              <w:spacing w:after="0" w:line="158" w:lineRule="exact"/>
              <w:rPr>
                <w:sz w:val="20"/>
                <w:szCs w:val="20"/>
                <w:color w:val="auto"/>
              </w:rPr>
            </w:pPr>
            <w:r>
              <w:rPr>
                <w:rFonts w:ascii="Arial" w:cs="Arial" w:eastAsia="Arial" w:hAnsi="Arial"/>
                <w:sz w:val="14"/>
                <w:szCs w:val="14"/>
                <w:b w:val="1"/>
                <w:bCs w:val="1"/>
                <w:color w:val="auto"/>
              </w:rPr>
              <w:t>$0.0001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52"/>
              <w:spacing w:after="0" w:line="158"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1160" w:type="dxa"/>
            <w:vAlign w:val="bottom"/>
            <w:gridSpan w:val="3"/>
          </w:tcPr>
          <w:p>
            <w:pPr>
              <w:jc w:val="right"/>
              <w:ind w:right="190"/>
              <w:spacing w:after="0" w:line="158" w:lineRule="exact"/>
              <w:rPr>
                <w:sz w:val="20"/>
                <w:szCs w:val="20"/>
                <w:color w:val="auto"/>
              </w:rPr>
            </w:pPr>
            <w:r>
              <w:rPr>
                <w:rFonts w:ascii="Arial" w:cs="Arial" w:eastAsia="Arial" w:hAnsi="Arial"/>
                <w:sz w:val="14"/>
                <w:szCs w:val="14"/>
                <w:b w:val="1"/>
                <w:bCs w:val="1"/>
                <w:color w:val="auto"/>
                <w:w w:val="97"/>
              </w:rPr>
              <w:t>Accumulated</w:t>
            </w:r>
          </w:p>
        </w:tc>
        <w:tc>
          <w:tcPr>
            <w:tcW w:w="10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210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Income / (Loss)</w:t>
            </w:r>
          </w:p>
        </w:tc>
        <w:tc>
          <w:tcPr>
            <w:tcW w:w="180" w:type="dxa"/>
            <w:vAlign w:val="bottom"/>
          </w:tcPr>
          <w:p>
            <w:pPr>
              <w:spacing w:after="0"/>
              <w:rPr>
                <w:sz w:val="16"/>
                <w:szCs w:val="16"/>
                <w:color w:val="auto"/>
              </w:rPr>
            </w:pPr>
          </w:p>
        </w:tc>
        <w:tc>
          <w:tcPr>
            <w:tcW w:w="9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47,881,223</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4"/>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820,815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(568,628 )</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Stock purchase under ESPP</w:t>
            </w:r>
          </w:p>
        </w:tc>
        <w:tc>
          <w:tcPr>
            <w:tcW w:w="1060" w:type="dxa"/>
            <w:vAlign w:val="bottom"/>
          </w:tcPr>
          <w:p>
            <w:pPr>
              <w:jc w:val="right"/>
              <w:spacing w:after="0"/>
              <w:rPr>
                <w:sz w:val="20"/>
                <w:szCs w:val="20"/>
                <w:color w:val="auto"/>
              </w:rPr>
            </w:pPr>
            <w:r>
              <w:rPr>
                <w:rFonts w:ascii="Arial" w:cs="Arial" w:eastAsia="Arial" w:hAnsi="Arial"/>
                <w:sz w:val="18"/>
                <w:szCs w:val="18"/>
                <w:color w:val="auto"/>
              </w:rPr>
              <w:t>16,382</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Unrealized gains on short-term investments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Prefunded warrant exchange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Employee withholdings ESPP</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100,954</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(27,723 )</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(27,723 )</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March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48,248,559</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824,542</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(596,351</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line="196" w:lineRule="exact"/>
              <w:rPr>
                <w:sz w:val="20"/>
                <w:szCs w:val="20"/>
                <w:color w:val="auto"/>
              </w:rPr>
            </w:pPr>
            <w:r>
              <w:rPr>
                <w:rFonts w:ascii="Arial" w:cs="Arial" w:eastAsia="Arial" w:hAnsi="Arial"/>
                <w:sz w:val="18"/>
                <w:szCs w:val="18"/>
                <w:color w:val="auto"/>
              </w:rPr>
              <w:t>Stock-based compensation expense</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3,240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gains on short-term investments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Employee withholdings ESPP</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Proceeds from ATM Offering, net $200 offering</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277,629</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90,440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(22,910 )</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(22,910 )</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Balance as of June 30, 2021</w:t>
            </w:r>
          </w:p>
        </w:tc>
        <w:tc>
          <w:tcPr>
            <w:tcW w:w="1060" w:type="dxa"/>
            <w:vAlign w:val="bottom"/>
          </w:tcPr>
          <w:p>
            <w:pPr>
              <w:jc w:val="right"/>
              <w:spacing w:after="0"/>
              <w:rPr>
                <w:sz w:val="20"/>
                <w:szCs w:val="20"/>
                <w:color w:val="auto"/>
              </w:rPr>
            </w:pPr>
            <w:r>
              <w:rPr>
                <w:rFonts w:ascii="Arial" w:cs="Arial" w:eastAsia="Arial" w:hAnsi="Arial"/>
                <w:sz w:val="18"/>
                <w:szCs w:val="18"/>
                <w:color w:val="auto"/>
              </w:rPr>
              <w:t>48,616,628</w:t>
            </w:r>
          </w:p>
        </w:tc>
        <w:tc>
          <w:tcPr>
            <w:tcW w:w="240" w:type="dxa"/>
            <w:vAlign w:val="bottom"/>
          </w:tcPr>
          <w:p>
            <w:pPr>
              <w:spacing w:after="0"/>
              <w:rPr>
                <w:sz w:val="18"/>
                <w:szCs w:val="18"/>
                <w:color w:val="auto"/>
              </w:rPr>
            </w:pP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833,802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(619,261 )</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Unrealized gains on short-term investments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withholdings ESPP</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Stock purchase under ESPP</w:t>
            </w:r>
          </w:p>
        </w:tc>
        <w:tc>
          <w:tcPr>
            <w:tcW w:w="1060" w:type="dxa"/>
            <w:vAlign w:val="bottom"/>
          </w:tcPr>
          <w:p>
            <w:pPr>
              <w:jc w:val="right"/>
              <w:spacing w:after="0"/>
              <w:rPr>
                <w:sz w:val="20"/>
                <w:szCs w:val="20"/>
                <w:color w:val="auto"/>
              </w:rPr>
            </w:pPr>
            <w:r>
              <w:rPr>
                <w:rFonts w:ascii="Arial" w:cs="Arial" w:eastAsia="Arial" w:hAnsi="Arial"/>
                <w:sz w:val="18"/>
                <w:szCs w:val="18"/>
                <w:color w:val="auto"/>
              </w:rPr>
              <w:t>10,496</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223,415</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(20,639 )</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(20,639 )</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September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48,850,539</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838,888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(639,900</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-2133600</wp:posOffset>
            </wp:positionV>
            <wp:extent cx="401193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11930" cy="16256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-1165225</wp:posOffset>
            </wp:positionV>
            <wp:extent cx="76835"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-1165225</wp:posOffset>
            </wp:positionV>
            <wp:extent cx="7683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-1165225</wp:posOffset>
            </wp:positionV>
            <wp:extent cx="7747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-1165225</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-1165225</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In March 2021, the Company entered into a new sales agreement with Cowen and Company, LLC (“Cowen”) under which the Company may issue and sell shares of its common stock having aggregate sales proceeds of up to $75.0 million from time to time through Cowen, acting as agent, in a series of one or more ATM equity offerings (the “2021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the sale; and as a result, prices may vary. For the period ended September 30, 2022, the Company sold no additional shares of common stock under the 2021 ATM Program.</w:t>
      </w:r>
    </w:p>
    <w:p>
      <w:pPr>
        <w:spacing w:after="0" w:line="15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December 2021, in connection with the Incyte License and the Incyte Share Purchase Agreement, the Company issued 1,421,523 shares of common stock, with net proceeds of approximately $35.0 million. The Company recorded the equity issuance at a fair value of $24.8 million based on the market price of the stock on the date of issuance.</w:t>
      </w:r>
    </w:p>
    <w:p>
      <w:pPr>
        <w:spacing w:after="0" w:line="195"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2022</w:t>
            </w:r>
          </w:p>
        </w:tc>
        <w:tc>
          <w:tcPr>
            <w:tcW w:w="100" w:type="dxa"/>
            <w:vAlign w:val="bottom"/>
          </w:tcPr>
          <w:p>
            <w:pPr>
              <w:spacing w:after="0"/>
              <w:rPr>
                <w:sz w:val="20"/>
                <w:szCs w:val="20"/>
                <w:color w:val="auto"/>
              </w:rPr>
            </w:pPr>
          </w:p>
        </w:tc>
      </w:tr>
      <w:tr>
        <w:trPr>
          <w:trHeight w:val="20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issuable under pre-funded warrants</w:t>
            </w:r>
          </w:p>
        </w:tc>
        <w:tc>
          <w:tcPr>
            <w:tcW w:w="3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1,142,856</w:t>
            </w: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3180" w:type="dxa"/>
            <w:vAlign w:val="bottom"/>
          </w:tcPr>
          <w:p>
            <w:pPr>
              <w:jc w:val="right"/>
              <w:spacing w:after="0"/>
              <w:rPr>
                <w:sz w:val="20"/>
                <w:szCs w:val="20"/>
                <w:color w:val="auto"/>
              </w:rPr>
            </w:pPr>
            <w:r>
              <w:rPr>
                <w:rFonts w:ascii="Arial" w:cs="Arial" w:eastAsia="Arial" w:hAnsi="Arial"/>
                <w:sz w:val="18"/>
                <w:szCs w:val="18"/>
                <w:color w:val="auto"/>
              </w:rPr>
              <w:t>9,072,180</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Stock Purchase Plan</w:t>
            </w:r>
          </w:p>
        </w:tc>
        <w:tc>
          <w:tcPr>
            <w:tcW w:w="3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1,517,411</w:t>
            </w:r>
          </w:p>
        </w:tc>
        <w:tc>
          <w:tcPr>
            <w:tcW w:w="100" w:type="dxa"/>
            <w:vAlign w:val="bottom"/>
            <w:shd w:val="clear" w:color="auto" w:fill="CFF0FC"/>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08"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March 1, 2022.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0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are a clinical-stage biopharmaceutical company developing an innovative pipeline of cancer therapies. Our two lead product candidates are, SNDX-5613, or revumenib, and SNDX-6352, or axatilimab. We are developing revumenib, a small molecule inhibitor of the menin-mixed lineage leukemia 1 (MLL1) binding interaction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therapeutics to expand our pipeline.</w:t>
      </w:r>
    </w:p>
    <w:p>
      <w:pPr>
        <w:spacing w:after="0" w:line="79"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We continue to incur significant research and development and other expenses related to our ongoing operations. We have generated minimal license revenue, except for in 2021. Other than in 2021, we are not and have never been profitable and have incurred losses in each period since our inception in 2005. For the nine months ended September 30, 2022 and 2021, we reported a net loss of $110.1 million and $71.3 million, respectively. As of September 30, 2022, we had an accumulated deficit of $653.8 million, which included non-cash charges for stock-based compensation, preferred stock accretion and extinguishment charges. As of September 30, 2022, we had cash, cash equivalents and short-term investments of $337.8 million.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Revumenib</w:t>
      </w:r>
    </w:p>
    <w:p>
      <w:pPr>
        <w:spacing w:after="0" w:line="117" w:lineRule="exact"/>
        <w:rPr>
          <w:sz w:val="20"/>
          <w:szCs w:val="20"/>
          <w:color w:val="auto"/>
        </w:rPr>
      </w:pPr>
    </w:p>
    <w:p>
      <w:pPr>
        <w:ind w:left="760" w:right="20" w:hanging="378"/>
        <w:spacing w:after="0" w:line="24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November 3, 2022, we announced updated positive data from the Phase 1 portion of the ongoing AUGMENT-101 trial of revumenib in patients with R/R NPM1 mutant or MLLr (also referred to as KMT2Ar) acute leukemia which highlighted an improved 30% (18/60) CR/CRh rate and a median duration of CR/CRh response of 9.1 months. Additionally, of the 12 patients who achieved a complete response on revumenib treatment and then went on to receive a stem cell transplant, nine (75%) remained in remission as of the data cutoff date, with a median follow-up of 12.3 months. Three patients were treated with revumenib maintenance in the compassionate use setting following stem cell transplant or non-myeloablative stem cell boost, two of whom (67%) remained in remission for over one year. To date, there have been no discontinuations due to treatment-related adverse events. Data reported on November 3, 2022, will be featured in two oral sessions at the ASH Annual Meeting on Saturday, December 10, 2022.</w:t>
      </w:r>
    </w:p>
    <w:p>
      <w:pPr>
        <w:spacing w:after="0" w:line="78" w:lineRule="exact"/>
        <w:rPr>
          <w:rFonts w:ascii="Arial" w:cs="Arial" w:eastAsia="Arial" w:hAnsi="Arial"/>
          <w:sz w:val="18"/>
          <w:szCs w:val="18"/>
          <w:color w:val="auto"/>
        </w:rPr>
      </w:pPr>
    </w:p>
    <w:p>
      <w:pPr>
        <w:ind w:left="760" w:right="100" w:hanging="378"/>
        <w:spacing w:after="0" w:line="249"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data that we reported on November 3, 2022, revumenib was well-tolerated and no new safety signals were identified in the trial, including in patients who proceeded to stem cell transplant. The only dose limiting toxicity observed was asymptomatic Grade 3 QT prolongation. No ventricular arrythmias or other clinical sequelae related to QTc prolongation were reported. All cases of differentiation syndrome were Grade 2, and readily managed with standard therapies.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760" w:right="20"/>
        <w:spacing w:after="0" w:line="242" w:lineRule="auto"/>
        <w:rPr>
          <w:sz w:val="20"/>
          <w:szCs w:val="20"/>
          <w:color w:val="auto"/>
        </w:rPr>
      </w:pPr>
      <w:r>
        <w:rPr>
          <w:rFonts w:ascii="Arial" w:cs="Arial" w:eastAsia="Arial" w:hAnsi="Arial"/>
          <w:sz w:val="18"/>
          <w:szCs w:val="18"/>
          <w:color w:val="auto"/>
        </w:rPr>
        <w:t>The pivotal Phase 2 portion of AUGMENT-101 is ongoing, enrolling patients across each of three distinct trial populations: patients with NPM1 mutant acute myeloid leukemia (AML), patients with MLLr AML, and patients with MLLr acute lymphocytic leukemia (ALL). Based on discussions with the U.S. Food and Drug Administration, AUGMENT-101 may serve as the basis for regulatory filings in each of the three distinct populations. We expect completion of enrollment in the first trial to extend into the first quarter of 2023 and to report topline data from at least one of the trials starting in the third quarter of 2023. We continue to expect to submit our first NDA filing for revumenib by the end of 2023.</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760" w:right="140"/>
        <w:spacing w:after="0"/>
        <w:rPr>
          <w:sz w:val="20"/>
          <w:szCs w:val="20"/>
          <w:color w:val="auto"/>
        </w:rPr>
      </w:pPr>
      <w:r>
        <w:rPr>
          <w:rFonts w:ascii="Arial" w:cs="Arial" w:eastAsia="Arial" w:hAnsi="Arial"/>
          <w:sz w:val="18"/>
          <w:szCs w:val="18"/>
          <w:color w:val="auto"/>
        </w:rPr>
        <w:t>Two trials, BEAT-AML and AUGMENT-102, are ongoing and will assess the safety, tolerability, and preliminary anti-leukemic efficacy of revumenib, and establish an appropriate Phase 2 dose when used in combination with other approved agents. BEAT-AML is a front-line combination trial of revumenib with venetoclax and azacitidine being conducted as part of the Leukemia &amp; Lymphoma Society’s Beat AML® Master Clinical Trial. AUGMENT-102 is a trial assessing revumenib in combination with chemotherapy in patients with R/R mNPM1 or MLLr acute leukemias.</w:t>
      </w:r>
    </w:p>
    <w:p>
      <w:pPr>
        <w:spacing w:after="0" w:line="97" w:lineRule="exact"/>
        <w:rPr>
          <w:sz w:val="20"/>
          <w:szCs w:val="20"/>
          <w:color w:val="auto"/>
        </w:rPr>
      </w:pPr>
    </w:p>
    <w:p>
      <w:pPr>
        <w:ind w:left="760" w:right="40" w:hanging="378"/>
        <w:spacing w:after="0" w:line="276"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expect the Australasian Leukaemia and Lymphoma Group (ALLG) to initiate the INTERCEPT trial of revumenib as monotherapy in patients with AML who are minimal residual disease-positive following initial treatment, in the fourth quarter of 2022. The trial is a part of the INTERCEPT AML Master Clinical Trial, a collaborative clinical trial investigating novel therapies to target early relapse and clonal evolution as</w:t>
      </w:r>
    </w:p>
    <w:p>
      <w:pPr>
        <w:spacing w:after="0" w:line="1" w:lineRule="exact"/>
        <w:rPr>
          <w:sz w:val="20"/>
          <w:szCs w:val="20"/>
          <w:color w:val="auto"/>
        </w:rPr>
      </w:pPr>
    </w:p>
    <w:p>
      <w:pPr>
        <w:jc w:val="center"/>
        <w:ind w:right="240"/>
        <w:spacing w:after="0" w:line="245" w:lineRule="auto"/>
        <w:rPr>
          <w:sz w:val="20"/>
          <w:szCs w:val="20"/>
          <w:color w:val="auto"/>
        </w:rPr>
      </w:pPr>
      <w:r>
        <w:rPr>
          <w:rFonts w:ascii="Arial" w:cs="Arial" w:eastAsia="Arial" w:hAnsi="Arial"/>
          <w:sz w:val="18"/>
          <w:szCs w:val="18"/>
          <w:color w:val="auto"/>
        </w:rPr>
        <w:t>pre-emptive therapy in AML. Revumenib is the first menin inhibitor to be included in the INTERCEPT AML Master Clinical Trial.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ind w:left="38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760" w:right="620"/>
        <w:spacing w:after="0" w:line="258" w:lineRule="auto"/>
        <w:rPr>
          <w:sz w:val="20"/>
          <w:szCs w:val="20"/>
          <w:color w:val="auto"/>
        </w:rPr>
      </w:pPr>
      <w:r>
        <w:rPr>
          <w:rFonts w:ascii="Arial" w:cs="Arial" w:eastAsia="Arial" w:hAnsi="Arial"/>
          <w:sz w:val="18"/>
          <w:szCs w:val="18"/>
          <w:color w:val="auto"/>
        </w:rPr>
        <w:t>We remain on track to initiate a proof-of-concept clinical trial of revumenib in patients with unresectable metastatic microsatellite stable colorectal cancer in the fourth quarter of 2022.</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w:t>
      </w:r>
    </w:p>
    <w:p>
      <w:pPr>
        <w:spacing w:after="0" w:line="117" w:lineRule="exact"/>
        <w:rPr>
          <w:sz w:val="20"/>
          <w:szCs w:val="20"/>
          <w:color w:val="auto"/>
        </w:rPr>
      </w:pPr>
    </w:p>
    <w:p>
      <w:pPr>
        <w:ind w:left="760" w:hanging="378"/>
        <w:spacing w:after="0" w:line="245"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November 3, 2022, we and our partner, Incyte, announced completion of enrollment in the pivotal AGAVE-201 trial evaluating axatilimab in patients with cGVHD following two or more prior lines of therapy. The trial is evaluating the safety and efficacy of three dosing regimens of axatilimab. The primary endpoint will assess objective response rate based on the 2014 NIH consensus criteria for cGVHD, with key secondary endpoints including duration of response and improvement in modified Lee Symptom Scale score. We expect to report topline data in mid-2023, with the expectation for a BLA filing later in 2023.</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760"/>
        <w:spacing w:after="0" w:line="292" w:lineRule="auto"/>
        <w:rPr>
          <w:sz w:val="20"/>
          <w:szCs w:val="20"/>
          <w:color w:val="auto"/>
        </w:rPr>
      </w:pPr>
      <w:r>
        <w:rPr>
          <w:rFonts w:ascii="Arial" w:cs="Arial" w:eastAsia="Arial" w:hAnsi="Arial"/>
          <w:sz w:val="16"/>
          <w:szCs w:val="16"/>
          <w:color w:val="auto"/>
        </w:rPr>
        <w:t>We plan to initiate a Phase 2b trial to assess the efficacy, safety and tolerability of axatilimab in patients with idiopathic pulmonary fibrosis (IPF) in the fourth quarter of 2022. This 52-week, randomized, double-blind and placebo-controlled trial is expected to enroll approximately 170 patients. The primary endpoint will assess the change from baseline in forced vital capacity, which is the current registrational endpoint in IPF.</w:t>
      </w:r>
    </w:p>
    <w:p>
      <w:pPr>
        <w:spacing w:after="0" w:line="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760" w:right="40"/>
        <w:spacing w:after="0" w:line="243" w:lineRule="auto"/>
        <w:rPr>
          <w:sz w:val="20"/>
          <w:szCs w:val="20"/>
          <w:color w:val="auto"/>
        </w:rPr>
      </w:pPr>
      <w:r>
        <w:rPr>
          <w:rFonts w:ascii="Arial" w:cs="Arial" w:eastAsia="Arial" w:hAnsi="Arial"/>
          <w:sz w:val="18"/>
          <w:szCs w:val="18"/>
          <w:color w:val="auto"/>
        </w:rPr>
        <w:t>We are working with our partner, Incyte, to initiate a trial testing axatilimab in combination with ruxolitinib in steroid naive cGVHD. The Phase 1 trial is in preparation and is expected to begin in the first quarter of 2023.</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Other Trend Updates</w:t>
      </w:r>
    </w:p>
    <w:p>
      <w:pPr>
        <w:spacing w:after="0" w:line="121" w:lineRule="exact"/>
        <w:rPr>
          <w:sz w:val="20"/>
          <w:szCs w:val="20"/>
          <w:color w:val="auto"/>
        </w:rPr>
      </w:pPr>
    </w:p>
    <w:p>
      <w:pPr>
        <w:ind w:right="180" w:firstLine="509"/>
        <w:spacing w:after="0" w:line="260" w:lineRule="auto"/>
        <w:rPr>
          <w:sz w:val="20"/>
          <w:szCs w:val="20"/>
          <w:color w:val="auto"/>
        </w:rPr>
      </w:pPr>
      <w:r>
        <w:rPr>
          <w:rFonts w:ascii="Arial" w:cs="Arial" w:eastAsia="Arial" w:hAnsi="Arial"/>
          <w:sz w:val="17"/>
          <w:szCs w:val="17"/>
          <w:color w:val="auto"/>
        </w:rPr>
        <w:t>We continue to address and mitigate the impact of the ongoing COVID-19 pandemic on our employees and our business. While we are not experiencing financial impacts at this time, given the changes in global macroeconomic conditions, the overall disruption of global healthcare systems, potential limitations to the efficacy of vaccines for COVID-19, the evolution of multiple variants of the virus and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We have reopened our offices to allow employees to return to the office, while also supporting distributed working options.</w:t>
      </w:r>
    </w:p>
    <w:p>
      <w:pPr>
        <w:spacing w:after="0" w:line="79"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We continue to work closely with our third-party manufacturers, distributors and other partners to manage our supply chain activities and mitigate potential disruptions to our product supplies as a result of the ongoing COVID-19 pandemic. We currently expect to have adequate supplies of revumenib and axatilimab. If the COVID-19 pandemic continues to persist and if it impacts essential distribution systems such as FedEx and postal delivery or if it results in facility closures for cleaning and/or insufficient staff, we could experience disruptions to our supply chain and operations, and associated delays in the manufacturing and supply of our products, and to our clinical trial operations.</w:t>
      </w:r>
    </w:p>
    <w:p>
      <w:pPr>
        <w:spacing w:after="0" w:line="6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We continue to take measures to implement remote and virtual approaches, including remote patient monitoring where possible, to maintain patient safety and trial continuity and to preserve study integrity. We have, and may continue to experience, disruptions and/or delays in our ability to initiate trial sites and enroll and assess patients. As the COVID-19 pandemic continues, we anticipate an ongoing, though minimal, impact on our ability to maintain patient enrollment in our clinical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we could experience ongoing disruptions to our clinical development timelines, which would adversely affect our business, financial condition, results of operations and growth prospects.</w:t>
      </w:r>
    </w:p>
    <w:p>
      <w:pPr>
        <w:spacing w:after="0" w:line="77"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Additionally, the recent trends towards rising inflation may also materially adversely affect our business and corresponding financial position and cash flows. Inflationary factors, such as increases in the cost of our clinical trial materials and supplies, interest rates and overhead costs may adversely affect our operating results. Rising interest and inflation rates also present a recent challenge impacting the U.S. economy and could make it more difficult for us to obtain traditional financing on acceptable terms, if at all, in the future. Although we do not believe that inflation has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and the ongoing conflict between Russia and Ukraine, and employee availability and wage increases, which may result in additional stress on the Company's working capital resources.</w:t>
      </w: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To date, we have not generated any product revenues. Our ability to generate revenue and become profitable depends upon our ability to obtain marketing approval of and successfully commercialize our product candidates. Our revenue for the three and nine months ended September 30, 2021, had been solely derived from our license, development and commercialization agreement with Kyowa Kirin Co., Ltd., or KKC. In September 2021, KKC informed us that they discontinued the entinostat program and cancelled the license to develop and commercialize entinostat.</w:t>
      </w:r>
    </w:p>
    <w:p>
      <w:pPr>
        <w:spacing w:after="0" w:line="42" w:lineRule="exact"/>
        <w:rPr>
          <w:sz w:val="20"/>
          <w:szCs w:val="20"/>
          <w:color w:val="auto"/>
        </w:rPr>
      </w:pPr>
    </w:p>
    <w:p>
      <w:pPr>
        <w:ind w:right="180" w:firstLine="509"/>
        <w:spacing w:after="0" w:line="290" w:lineRule="auto"/>
        <w:rPr>
          <w:sz w:val="20"/>
          <w:szCs w:val="20"/>
          <w:color w:val="auto"/>
        </w:rPr>
      </w:pPr>
      <w:r>
        <w:rPr>
          <w:rFonts w:ascii="Arial" w:cs="Arial" w:eastAsia="Arial" w:hAnsi="Arial"/>
          <w:sz w:val="16"/>
          <w:szCs w:val="16"/>
          <w:color w:val="auto"/>
        </w:rPr>
        <w:t>In September 2021, the Company entered into the Incyte License Agreements covering the worldwide development and commercialization of SNDX-6352 (axatilimab). We granted Incyte an exclusive license to develop and commercialize axatilimab in the United States and the rest of the world. In 2021, we received $152.0 million in total consideration, of which $126.6 million was allocated to the license and recognized as license revenue as of December 31, 2021. For the three and nine months ended September 30, 2022, no additional revenue has been recognized under the Incyte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3" w:lineRule="exact"/>
        <w:rPr>
          <w:sz w:val="20"/>
          <w:szCs w:val="20"/>
          <w:color w:val="auto"/>
        </w:rPr>
      </w:pPr>
    </w:p>
    <w:p>
      <w:pPr>
        <w:ind w:left="1020" w:right="100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48"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12"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3" w:lineRule="exact"/>
        <w:rPr>
          <w:sz w:val="20"/>
          <w:szCs w:val="20"/>
          <w:color w:val="auto"/>
        </w:rPr>
      </w:pPr>
    </w:p>
    <w:p>
      <w:pPr>
        <w:jc w:val="both"/>
        <w:ind w:right="60" w:firstLine="509"/>
        <w:spacing w:after="0" w:line="267" w:lineRule="auto"/>
        <w:rPr>
          <w:sz w:val="20"/>
          <w:szCs w:val="20"/>
          <w:color w:val="auto"/>
        </w:rPr>
      </w:pPr>
      <w:r>
        <w:rPr>
          <w:rFonts w:ascii="Arial" w:cs="Arial" w:eastAsia="Arial" w:hAnsi="Arial"/>
          <w:sz w:val="17"/>
          <w:szCs w:val="17"/>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60"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67"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9" w:name="page20"/>
    <w:bookmarkEnd w:id="19"/>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operational and capital leases.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income earned on our cash, cash equivalents and short-term investment balances.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04"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Other (expense) income includes income recorded for the change in fair value of derivative liability established based on the terms of the Incyte License and Collaboration Agreement and Share Repurchase Agreement, or the Incyte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04"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3 Summary of Significant Accounting Policies</w:t>
      </w:r>
      <w:r>
        <w:rPr>
          <w:rFonts w:ascii="Arial" w:cs="Arial" w:eastAsia="Arial" w:hAnsi="Arial"/>
          <w:sz w:val="18"/>
          <w:szCs w:val="18"/>
          <w:color w:val="auto"/>
        </w:rPr>
        <w:t>, to our condensed consolidated financial statements included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64" w:lineRule="exact"/>
        <w:rPr>
          <w:sz w:val="20"/>
          <w:szCs w:val="20"/>
          <w:color w:val="auto"/>
        </w:rPr>
      </w:pPr>
    </w:p>
    <w:p>
      <w:pPr>
        <w:ind w:right="360" w:firstLine="509"/>
        <w:spacing w:after="0" w:line="251" w:lineRule="auto"/>
        <w:rPr>
          <w:sz w:val="20"/>
          <w:szCs w:val="20"/>
          <w:color w:val="auto"/>
        </w:rPr>
      </w:pPr>
      <w:r>
        <w:rPr>
          <w:rFonts w:ascii="Arial" w:cs="Arial" w:eastAsia="Arial" w:hAnsi="Arial"/>
          <w:sz w:val="18"/>
          <w:szCs w:val="18"/>
          <w:color w:val="auto"/>
        </w:rPr>
        <w:t>There have been no material changes to our critical accounting estimates described in the “Management’s Discussion and Analysis of Financial Condition and Results of Operations” contained in our Annual Report on Form 10-K.</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tcPr>
          <w:p>
            <w:pPr>
              <w:jc w:val="right"/>
              <w:ind w:right="499"/>
              <w:spacing w:after="0"/>
              <w:rPr>
                <w:sz w:val="20"/>
                <w:szCs w:val="20"/>
                <w:color w:val="auto"/>
              </w:rPr>
            </w:pPr>
            <w:r>
              <w:rPr>
                <w:rFonts w:ascii="Arial" w:cs="Arial" w:eastAsia="Arial" w:hAnsi="Arial"/>
                <w:sz w:val="14"/>
                <w:szCs w:val="14"/>
                <w:b w:val="1"/>
                <w:bCs w:val="1"/>
                <w:color w:val="auto"/>
                <w:w w:val="97"/>
              </w:rPr>
              <w:t>Three Months Ended September 30,</w:t>
            </w:r>
          </w:p>
        </w:tc>
        <w:tc>
          <w:tcPr>
            <w:tcW w:w="460" w:type="dxa"/>
            <w:vAlign w:val="bottom"/>
          </w:tcPr>
          <w:p>
            <w:pPr>
              <w:spacing w:after="0"/>
              <w:rPr>
                <w:sz w:val="16"/>
                <w:szCs w:val="16"/>
                <w:color w:val="auto"/>
              </w:rPr>
            </w:pPr>
          </w:p>
        </w:tc>
        <w:tc>
          <w:tcPr>
            <w:tcW w:w="1620" w:type="dxa"/>
            <w:vAlign w:val="bottom"/>
            <w:gridSpan w:val="3"/>
          </w:tcPr>
          <w:p>
            <w:pPr>
              <w:ind w:left="380"/>
              <w:spacing w:after="0"/>
              <w:rPr>
                <w:sz w:val="20"/>
                <w:szCs w:val="20"/>
                <w:color w:val="auto"/>
              </w:rPr>
            </w:pPr>
            <w:r>
              <w:rPr>
                <w:rFonts w:ascii="Arial" w:cs="Arial" w:eastAsia="Arial" w:hAnsi="Arial"/>
                <w:sz w:val="14"/>
                <w:szCs w:val="14"/>
                <w:b w:val="1"/>
                <w:bCs w:val="1"/>
                <w:color w:val="auto"/>
                <w:w w:val="92"/>
              </w:rPr>
              <w:t>Increase (Decrease)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74"/>
              </w:rPr>
              <w:t>thousands)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00" w:type="dxa"/>
            <w:vAlign w:val="bottom"/>
          </w:tcPr>
          <w:p>
            <w:pPr>
              <w:ind w:left="380"/>
              <w:spacing w:after="0"/>
              <w:rPr>
                <w:sz w:val="20"/>
                <w:szCs w:val="20"/>
                <w:color w:val="auto"/>
              </w:rPr>
            </w:pPr>
            <w:r>
              <w:rPr>
                <w:rFonts w:ascii="Arial" w:cs="Arial" w:eastAsia="Arial" w:hAnsi="Arial"/>
                <w:sz w:val="18"/>
                <w:szCs w:val="18"/>
                <w:color w:val="auto"/>
              </w:rPr>
              <w:t>License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12,375</w:t>
            </w:r>
          </w:p>
        </w:tc>
        <w:tc>
          <w:tcPr>
            <w:tcW w:w="240" w:type="dxa"/>
            <w:vAlign w:val="bottom"/>
          </w:tcPr>
          <w:p>
            <w:pPr>
              <w:spacing w:after="0"/>
              <w:rPr>
                <w:sz w:val="18"/>
                <w:szCs w:val="18"/>
                <w:color w:val="auto"/>
              </w:rPr>
            </w:pPr>
          </w:p>
        </w:tc>
        <w:tc>
          <w:tcPr>
            <w:tcW w:w="460" w:type="dxa"/>
            <w:vAlign w:val="bottom"/>
          </w:tcPr>
          <w:p>
            <w:pPr>
              <w:jc w:val="center"/>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(12,375 )</w:t>
            </w:r>
          </w:p>
        </w:tc>
        <w:tc>
          <w:tcPr>
            <w:tcW w:w="6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10"/>
        </w:trPr>
        <w:tc>
          <w:tcPr>
            <w:tcW w:w="51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12,375</w:t>
            </w: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5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0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26,901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25,606</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5 %</w:t>
            </w:r>
          </w:p>
        </w:tc>
      </w:tr>
      <w:tr>
        <w:trPr>
          <w:trHeight w:val="216"/>
        </w:trPr>
        <w:tc>
          <w:tcPr>
            <w:tcW w:w="51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21 %</w:t>
            </w:r>
          </w:p>
        </w:tc>
      </w:tr>
      <w:tr>
        <w:trPr>
          <w:trHeight w:val="209"/>
        </w:trPr>
        <w:tc>
          <w:tcPr>
            <w:tcW w:w="51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35,141</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32,407</w:t>
            </w: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20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51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(35,141 )</w:t>
            </w:r>
          </w:p>
        </w:tc>
        <w:tc>
          <w:tcPr>
            <w:tcW w:w="300" w:type="dxa"/>
            <w:vAlign w:val="bottom"/>
          </w:tcPr>
          <w:p>
            <w:pPr>
              <w:spacing w:after="0"/>
              <w:rPr>
                <w:sz w:val="18"/>
                <w:szCs w:val="18"/>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8"/>
                <w:szCs w:val="18"/>
                <w:color w:val="auto"/>
              </w:rPr>
              <w:t>(20,032 )</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15,109</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color w:val="auto"/>
                <w:highlight w:val="white"/>
              </w:rPr>
              <w:t>%</w:t>
            </w: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(1,748 )</w:t>
            </w:r>
          </w:p>
        </w:tc>
        <w:tc>
          <w:tcPr>
            <w:tcW w:w="300" w:type="dxa"/>
            <w:vAlign w:val="bottom"/>
          </w:tcPr>
          <w:p>
            <w:pPr>
              <w:spacing w:after="0"/>
              <w:rPr>
                <w:sz w:val="18"/>
                <w:szCs w:val="18"/>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8"/>
                <w:szCs w:val="18"/>
                <w:color w:val="auto"/>
              </w:rPr>
              <w:t>(649 )</w:t>
            </w:r>
          </w:p>
        </w:tc>
        <w:tc>
          <w:tcPr>
            <w:tcW w:w="46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(1,099 )</w:t>
            </w:r>
          </w:p>
        </w:tc>
        <w:tc>
          <w:tcPr>
            <w:tcW w:w="6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169 %</w:t>
            </w:r>
          </w:p>
        </w:tc>
      </w:tr>
      <w:tr>
        <w:trPr>
          <w:trHeight w:val="216"/>
        </w:trPr>
        <w:tc>
          <w:tcPr>
            <w:tcW w:w="51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2046 %</w:t>
            </w:r>
          </w:p>
        </w:tc>
      </w:tr>
      <w:tr>
        <w:trPr>
          <w:trHeight w:val="216"/>
        </w:trPr>
        <w:tc>
          <w:tcPr>
            <w:tcW w:w="510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8"/>
                <w:szCs w:val="18"/>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(295 )</w:t>
            </w:r>
          </w:p>
        </w:tc>
        <w:tc>
          <w:tcPr>
            <w:tcW w:w="300" w:type="dxa"/>
            <w:vAlign w:val="bottom"/>
          </w:tcPr>
          <w:p>
            <w:pPr>
              <w:spacing w:after="0"/>
              <w:rPr>
                <w:sz w:val="18"/>
                <w:szCs w:val="18"/>
                <w:color w:val="auto"/>
              </w:rPr>
            </w:pPr>
          </w:p>
        </w:tc>
        <w:tc>
          <w:tcPr>
            <w:tcW w:w="1240" w:type="dxa"/>
            <w:vAlign w:val="bottom"/>
            <w:gridSpan w:val="2"/>
          </w:tcPr>
          <w:p>
            <w:pPr>
              <w:jc w:val="right"/>
              <w:ind w:right="79"/>
              <w:spacing w:after="0"/>
              <w:rPr>
                <w:sz w:val="20"/>
                <w:szCs w:val="20"/>
                <w:color w:val="auto"/>
              </w:rPr>
            </w:pPr>
            <w:r>
              <w:rPr>
                <w:rFonts w:ascii="Arial" w:cs="Arial" w:eastAsia="Arial" w:hAnsi="Arial"/>
                <w:sz w:val="18"/>
                <w:szCs w:val="18"/>
                <w:color w:val="auto"/>
              </w:rPr>
              <w:t>(41 )</w:t>
            </w:r>
          </w:p>
        </w:tc>
        <w:tc>
          <w:tcPr>
            <w:tcW w:w="46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(254 )</w:t>
            </w:r>
          </w:p>
        </w:tc>
        <w:tc>
          <w:tcPr>
            <w:tcW w:w="6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620 %</w:t>
            </w:r>
          </w:p>
        </w:tc>
      </w:tr>
      <w:tr>
        <w:trPr>
          <w:trHeight w:val="209"/>
        </w:trPr>
        <w:tc>
          <w:tcPr>
            <w:tcW w:w="510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Pr>
          <w:p>
            <w:pPr>
              <w:jc w:val="right"/>
              <w:ind w:right="7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5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(35,403 )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9"/>
              <w:spacing w:after="0"/>
              <w:rPr>
                <w:sz w:val="20"/>
                <w:szCs w:val="20"/>
                <w:color w:val="auto"/>
              </w:rPr>
            </w:pPr>
            <w:r>
              <w:rPr>
                <w:rFonts w:ascii="Arial" w:cs="Arial" w:eastAsia="Arial" w:hAnsi="Arial"/>
                <w:sz w:val="18"/>
                <w:szCs w:val="18"/>
                <w:color w:val="auto"/>
              </w:rPr>
              <w:t>(20,639 )</w:t>
            </w:r>
          </w:p>
        </w:tc>
        <w:tc>
          <w:tcPr>
            <w:tcW w:w="460" w:type="dxa"/>
            <w:vAlign w:val="bottom"/>
          </w:tcPr>
          <w:p>
            <w:pPr>
              <w:jc w:val="center"/>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14,764</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color w:val="auto"/>
                <w:highlight w:val="white"/>
              </w:rPr>
              <w:t>%</w:t>
            </w: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419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2825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08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0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For the three months ended September 30, 2022, we recognized no revenue under our current agreements, which are not revenue generating. For the three months ended September 30, 2021, we recognized revenue of $12.4 million, derived from the KKC license agreement which was terminated during the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color w:val="auto"/>
        </w:rPr>
        <w:t>For the three months ended September 30, 2022, our total research and development expenses increased approximately $1.3 million, or 5%, to $26.9 million from $25.6 million for the comparable quarter in the prior year. The increase in research and development expenses was primarily due to increased employee related expenses of $2.8 million and increased professional fees of $0.5 million, partially offset by decreased clinical and manufacturing activities of $2.0 million. Decreased clinical and manufacturing expenses were primarily due to decreased manufacturing activities for revumenib of $1.6 million, decreased milestones expenses of $2.3 million, decreased clinical activities for entinostat of $0.3 million and increased collaboration cost reimbursement of $4.6 million, partially offset by increased clinical activities for revumenib of $0.9 million, increased clinical activities for axatilimab of $3.9 million, and increased manufacturing activities for axatilimab of $2.0 million. Employee related activities increased due to increased headcount expenses of $2.1 million and increased stock compensation of $0.7 million. We expect research and development expenses to fluctuate from quarter to quarter depending on the timing of clinical trial activities, clinical manufacturing and other development activities.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0"/>
              </w:rPr>
              <w:t>Increase (Decrease)</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74"/>
              </w:rPr>
              <w:t>thousands)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External research and development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18,898</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20,658</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(1,760 )</w:t>
            </w:r>
          </w:p>
        </w:tc>
        <w:tc>
          <w:tcPr>
            <w:tcW w:w="5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Internal research and development expenses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3,055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09"/>
        </w:trPr>
        <w:tc>
          <w:tcPr>
            <w:tcW w:w="538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26,901</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25,606</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For the three months ended September 30, 2022, our total general and administrative expenses increased $1.4 million, or 21%, to $8.2 million from $6.8 million for the comparable period in the prior year. The increase in general and administrative expenses was primarily due to increased employee related expenses of $1.4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04" w:lineRule="exact"/>
        <w:rPr>
          <w:sz w:val="20"/>
          <w:szCs w:val="20"/>
          <w:color w:val="auto"/>
        </w:rPr>
      </w:pPr>
    </w:p>
    <w:p>
      <w:pPr>
        <w:ind w:right="140" w:firstLine="509"/>
        <w:spacing w:after="0" w:line="266" w:lineRule="auto"/>
        <w:rPr>
          <w:sz w:val="20"/>
          <w:szCs w:val="20"/>
          <w:color w:val="auto"/>
        </w:rPr>
      </w:pPr>
      <w:r>
        <w:rPr>
          <w:rFonts w:ascii="Arial" w:cs="Arial" w:eastAsia="Arial" w:hAnsi="Arial"/>
          <w:sz w:val="17"/>
          <w:szCs w:val="17"/>
          <w:color w:val="auto"/>
        </w:rPr>
        <w:t>For the three months ended September 30, 2022, interest income increased $1.7 million to $1.8 million from $0.1 million for the comparable period in the prior year primarily due to increased interest rates and increased average balance on cash equivalents and short-term investments.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34" w:right="279" w:bottom="1440" w:gutter="0" w:footer="0" w:header="0"/>
        </w:sectPr>
      </w:pPr>
    </w:p>
    <w:bookmarkStart w:id="21" w:name="page22"/>
    <w:bookmarkEnd w:id="21"/>
    <w:p>
      <w:pPr>
        <w:ind w:right="100" w:firstLine="509"/>
        <w:spacing w:after="0" w:line="277" w:lineRule="auto"/>
        <w:rPr>
          <w:sz w:val="20"/>
          <w:szCs w:val="20"/>
          <w:color w:val="auto"/>
        </w:rPr>
      </w:pPr>
      <w:r>
        <w:rPr>
          <w:rFonts w:ascii="Arial" w:cs="Arial" w:eastAsia="Arial" w:hAnsi="Arial"/>
          <w:sz w:val="18"/>
          <w:szCs w:val="18"/>
          <w:color w:val="auto"/>
        </w:rPr>
        <w:t>For the three months ended September 30, 2022, interest expense increased $1.1 million to $1.7 million from $0.6 million for the comparable period in the prior year primarily due to the interest expense related to the Amended Loan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gridSpan w:val="5"/>
          </w:tcPr>
          <w:p>
            <w:pPr>
              <w:jc w:val="right"/>
              <w:ind w:right="679"/>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Pr>
          <w:p>
            <w:pPr>
              <w:spacing w:after="0"/>
              <w:rPr>
                <w:sz w:val="16"/>
                <w:szCs w:val="16"/>
                <w:color w:val="auto"/>
              </w:rPr>
            </w:pPr>
          </w:p>
        </w:tc>
        <w:tc>
          <w:tcPr>
            <w:tcW w:w="1740" w:type="dxa"/>
            <w:vAlign w:val="bottom"/>
            <w:gridSpan w:val="3"/>
          </w:tcPr>
          <w:p>
            <w:pPr>
              <w:ind w:left="480"/>
              <w:spacing w:after="0"/>
              <w:rPr>
                <w:sz w:val="20"/>
                <w:szCs w:val="20"/>
                <w:color w:val="auto"/>
              </w:rPr>
            </w:pPr>
            <w:r>
              <w:rPr>
                <w:rFonts w:ascii="Arial" w:cs="Arial" w:eastAsia="Arial" w:hAnsi="Arial"/>
                <w:sz w:val="14"/>
                <w:szCs w:val="14"/>
                <w:b w:val="1"/>
                <w:bCs w:val="1"/>
                <w:color w:val="auto"/>
                <w:w w:val="93"/>
              </w:rPr>
              <w:t>Increase (Decrease)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3"/>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71"/>
              </w:rPr>
              <w:t>thousands)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License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13,133</w:t>
            </w:r>
          </w:p>
        </w:tc>
        <w:tc>
          <w:tcPr>
            <w:tcW w:w="2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(13,133 )</w:t>
            </w: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13,133</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(13,133</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86,658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64,348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22,310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35 %</w:t>
            </w: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23,066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18,314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26 %</w:t>
            </w: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109,724</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82,662</w:t>
            </w: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27,062</w:t>
            </w: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(109,724 )</w:t>
            </w:r>
          </w:p>
        </w:tc>
        <w:tc>
          <w:tcPr>
            <w:tcW w:w="340" w:type="dxa"/>
            <w:vAlign w:val="bottom"/>
          </w:tcPr>
          <w:p>
            <w:pPr>
              <w:spacing w:after="0"/>
              <w:rPr>
                <w:sz w:val="18"/>
                <w:szCs w:val="18"/>
                <w:color w:val="auto"/>
              </w:rPr>
            </w:pPr>
          </w:p>
        </w:tc>
        <w:tc>
          <w:tcPr>
            <w:tcW w:w="1340" w:type="dxa"/>
            <w:vAlign w:val="bottom"/>
            <w:gridSpan w:val="2"/>
          </w:tcPr>
          <w:p>
            <w:pPr>
              <w:jc w:val="right"/>
              <w:ind w:right="99"/>
              <w:spacing w:after="0"/>
              <w:rPr>
                <w:sz w:val="20"/>
                <w:szCs w:val="20"/>
                <w:color w:val="auto"/>
              </w:rPr>
            </w:pPr>
            <w:r>
              <w:rPr>
                <w:rFonts w:ascii="Arial" w:cs="Arial" w:eastAsia="Arial" w:hAnsi="Arial"/>
                <w:sz w:val="18"/>
                <w:szCs w:val="18"/>
                <w:color w:val="auto"/>
              </w:rPr>
              <w:t>(69,529 )</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40,195</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color w:val="auto"/>
                <w:highlight w:val="white"/>
              </w:rPr>
              <w:t>%</w:t>
            </w:r>
          </w:p>
        </w:tc>
      </w:tr>
      <w:tr>
        <w:trPr>
          <w:trHeight w:val="21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(3,094 )</w:t>
            </w:r>
          </w:p>
        </w:tc>
        <w:tc>
          <w:tcPr>
            <w:tcW w:w="340" w:type="dxa"/>
            <w:vAlign w:val="bottom"/>
          </w:tcPr>
          <w:p>
            <w:pPr>
              <w:spacing w:after="0"/>
              <w:rPr>
                <w:sz w:val="18"/>
                <w:szCs w:val="18"/>
                <w:color w:val="auto"/>
              </w:rPr>
            </w:pPr>
          </w:p>
        </w:tc>
        <w:tc>
          <w:tcPr>
            <w:tcW w:w="1340" w:type="dxa"/>
            <w:vAlign w:val="bottom"/>
            <w:gridSpan w:val="2"/>
          </w:tcPr>
          <w:p>
            <w:pPr>
              <w:jc w:val="right"/>
              <w:ind w:right="99"/>
              <w:spacing w:after="0"/>
              <w:rPr>
                <w:sz w:val="20"/>
                <w:szCs w:val="20"/>
                <w:color w:val="auto"/>
              </w:rPr>
            </w:pPr>
            <w:r>
              <w:rPr>
                <w:rFonts w:ascii="Arial" w:cs="Arial" w:eastAsia="Arial" w:hAnsi="Arial"/>
                <w:sz w:val="18"/>
                <w:szCs w:val="18"/>
                <w:color w:val="auto"/>
              </w:rPr>
              <w:t>(1,906 )</w:t>
            </w:r>
          </w:p>
        </w:tc>
        <w:tc>
          <w:tcPr>
            <w:tcW w:w="4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(1,188 )</w:t>
            </w: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62 %</w:t>
            </w: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824 %</w:t>
            </w:r>
          </w:p>
        </w:tc>
      </w:tr>
      <w:tr>
        <w:trPr>
          <w:trHeight w:val="216"/>
        </w:trPr>
        <w:tc>
          <w:tcPr>
            <w:tcW w:w="462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(210 )</w:t>
            </w:r>
          </w:p>
        </w:tc>
        <w:tc>
          <w:tcPr>
            <w:tcW w:w="340" w:type="dxa"/>
            <w:vAlign w:val="bottom"/>
          </w:tcPr>
          <w:p>
            <w:pPr>
              <w:spacing w:after="0"/>
              <w:rPr>
                <w:sz w:val="18"/>
                <w:szCs w:val="18"/>
                <w:color w:val="auto"/>
              </w:rPr>
            </w:pPr>
          </w:p>
        </w:tc>
        <w:tc>
          <w:tcPr>
            <w:tcW w:w="1340" w:type="dxa"/>
            <w:vAlign w:val="bottom"/>
            <w:gridSpan w:val="2"/>
          </w:tcPr>
          <w:p>
            <w:pPr>
              <w:jc w:val="right"/>
              <w:ind w:right="99"/>
              <w:spacing w:after="0"/>
              <w:rPr>
                <w:sz w:val="20"/>
                <w:szCs w:val="20"/>
                <w:color w:val="auto"/>
              </w:rPr>
            </w:pPr>
            <w:r>
              <w:rPr>
                <w:rFonts w:ascii="Arial" w:cs="Arial" w:eastAsia="Arial" w:hAnsi="Arial"/>
                <w:sz w:val="18"/>
                <w:szCs w:val="18"/>
                <w:color w:val="auto"/>
              </w:rPr>
              <w:t>(149 )</w:t>
            </w:r>
          </w:p>
        </w:tc>
        <w:tc>
          <w:tcPr>
            <w:tcW w:w="48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(61 )</w:t>
            </w: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41 %</w:t>
            </w: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26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9"/>
        </w:trPr>
        <w:tc>
          <w:tcPr>
            <w:tcW w:w="4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1"/>
              <w:spacing w:after="0"/>
              <w:rPr>
                <w:sz w:val="20"/>
                <w:szCs w:val="20"/>
                <w:color w:val="auto"/>
              </w:rPr>
            </w:pPr>
            <w:r>
              <w:rPr>
                <w:rFonts w:ascii="Arial" w:cs="Arial" w:eastAsia="Arial" w:hAnsi="Arial"/>
                <w:sz w:val="18"/>
                <w:szCs w:val="18"/>
                <w:color w:val="auto"/>
              </w:rPr>
              <w:t>(110,144 )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99"/>
              <w:spacing w:after="0"/>
              <w:rPr>
                <w:sz w:val="20"/>
                <w:szCs w:val="20"/>
                <w:color w:val="auto"/>
              </w:rPr>
            </w:pPr>
            <w:r>
              <w:rPr>
                <w:rFonts w:ascii="Arial" w:cs="Arial" w:eastAsia="Arial" w:hAnsi="Arial"/>
                <w:sz w:val="18"/>
                <w:szCs w:val="18"/>
                <w:color w:val="auto"/>
              </w:rPr>
              <w:t>(71,272 )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38,872</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color w:val="auto"/>
                <w:highlight w:val="white"/>
              </w:rPr>
              <w:t>%</w:t>
            </w: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420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2832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308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04"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For the nine months ended September 30, 2022, we recognized no revenue under our current agreements, which are not revenue generating. For the nine months ended September 30, 2021, we recognized revenue of $13.1 million, derived from the KKC license agreement which was terminated during the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4" w:lineRule="exact"/>
        <w:rPr>
          <w:sz w:val="20"/>
          <w:szCs w:val="20"/>
          <w:color w:val="auto"/>
        </w:rPr>
      </w:pPr>
    </w:p>
    <w:p>
      <w:pPr>
        <w:ind w:right="60" w:firstLine="509"/>
        <w:spacing w:after="0" w:line="277" w:lineRule="auto"/>
        <w:rPr>
          <w:sz w:val="20"/>
          <w:szCs w:val="20"/>
          <w:color w:val="auto"/>
        </w:rPr>
      </w:pPr>
      <w:r>
        <w:rPr>
          <w:rFonts w:ascii="Arial" w:cs="Arial" w:eastAsia="Arial" w:hAnsi="Arial"/>
          <w:sz w:val="16"/>
          <w:szCs w:val="16"/>
          <w:color w:val="auto"/>
        </w:rPr>
        <w:t>For the nine months ended September 30, 2022, our total research and development expenses increased $22.3 million, or 35%, to $86.7 million from $64.3 million for the comparable period in the prior year. The increase in research and development expenses was primarily due to increased clinical and manufacturing activities of $14.3 million, increased employee related expenses of $6.5 million, and increased professional fees of $1.5 million. Increased clinical and manufacturing activities were primarily due to increased clinical activities for revumenib of $8.5 million, for axatilimab of $10.5 million, for manufacturing activities related to axatilimab of $10.7 million, and increased milestone expense in connection with the axatilimab program of $3.5 million, partially offset by decreased clinical activities for entinostat of $0.9 million and by collaboration cost reimbursement of $18.0 million. Employee related expenses primarily increased due to increased headcount and stock compensation. We expect research and development expenses to fluctuate from period to period depending on the timing of clinical trial activities, clinical manufacturing, and other development activities.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4"/>
                <w:szCs w:val="14"/>
                <w:b w:val="1"/>
                <w:bCs w:val="1"/>
                <w:color w:val="auto"/>
                <w:w w:val="97"/>
              </w:rPr>
              <w:t>Nine Months Ended September 30,</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9"/>
              </w:rPr>
              <w:t>Increase (Decrease)</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69"/>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74"/>
              </w:rPr>
              <w:t>thousands)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External research and development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66,344</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50,327</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16,017</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Internal research and development expenses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20,314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14,021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86,658</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64,348</w:t>
            </w: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22,310</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120" w:firstLine="509"/>
        <w:spacing w:after="0" w:line="251" w:lineRule="auto"/>
        <w:rPr>
          <w:sz w:val="20"/>
          <w:szCs w:val="20"/>
          <w:color w:val="auto"/>
        </w:rPr>
      </w:pPr>
      <w:r>
        <w:rPr>
          <w:rFonts w:ascii="Arial" w:cs="Arial" w:eastAsia="Arial" w:hAnsi="Arial"/>
          <w:sz w:val="18"/>
          <w:szCs w:val="18"/>
          <w:color w:val="auto"/>
        </w:rPr>
        <w:t>For the nine months ended September 30, 2022, our total general and administrative expenses increased $4.8 million, or 26%, to $23.1 million from $18.3 million for the comparable period in the prior year. The increase in general and administrative expenses was</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6" w:right="27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primarily due to increased employee related expenses of $4.0 million, increased professional fees of $0.5 million, and increased insurance related expense of $0.3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04"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For the nine months ended September 30, 2022, interest income increased $2.6 million to $2.9 million from $0.3 million the comparable period in the prior year primarily due to interest rates and increased average balance on cash equivalents and short-term investments.</w:t>
      </w:r>
    </w:p>
    <w:p>
      <w:pPr>
        <w:spacing w:after="0" w:line="2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For the nine months ended September 30, 2022, interest expense increased $1.2 million to $3.1 million from $1.9 million the comparable period in the prior year primarily due to the interest expense related to the payoff of the Amended Loan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As of September 30, 2022, we had cash, cash equivalents and short-term investments totaling $337.8 million. Our operations have been primarily financed by net proceeds from public stock offerings, and revenue from our license agreements. We believe that our present cash, cash equivalents and short-term investments as of September 30, 2022,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jc w:val="both"/>
        <w:ind w:right="280" w:firstLine="509"/>
        <w:spacing w:after="0" w:line="294" w:lineRule="auto"/>
        <w:rPr>
          <w:sz w:val="20"/>
          <w:szCs w:val="20"/>
          <w:color w:val="auto"/>
        </w:rPr>
      </w:pPr>
      <w:r>
        <w:rPr>
          <w:rFonts w:ascii="Arial" w:cs="Arial" w:eastAsia="Arial" w:hAnsi="Arial"/>
          <w:sz w:val="16"/>
          <w:szCs w:val="16"/>
          <w:color w:val="auto"/>
        </w:rPr>
        <w:t>In December 2021, the Company entered into Amendment No. 1 to the Company’s loan and security agreement (the “First Amendment” and the Loan Agreement, as amended, the “Amended Loan Agreement”) with several banks and financial institutions or entities from time-to-time party thereto (collectively, the “Lender”) and Hercules Capital, Inc, in its capacity as administrative agent for itself and the Lender (in such capacity, the “Agent”).</w:t>
      </w:r>
    </w:p>
    <w:p>
      <w:pPr>
        <w:spacing w:after="0" w:line="53"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The Amended Loan Agreement provided for an aggregate maximum borrowing of up to $80.0 million, consisting of (i) a term loan of up to $20 million (the “Initial Advance”), (ii) second tranche of up to $30.0 million with $15.0 million being available at the Company’s option through April 30, 2022 and the remaining $15.0 million being available at the Company’s option through November 30, 2022, which availability period would be extended to April 30, 2023 if the first $15.0 million was drawn prior to April 30, 2022, and (iii) third tranche of up to $30.0 million which was available, subject to the Agent’s investment committee approval, through the Interest-Only Period (as defined in the Amended Loan Agreement).</w:t>
      </w:r>
    </w:p>
    <w:p>
      <w:pPr>
        <w:spacing w:after="0" w:line="63"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 xml:space="preserve">On September 23, 2022, the Company made a prepayment of $21.5 million to satisfy in full all of the Company's principal and interest obligations and related fees under the Amended Loan Agreement. For additional information, see </w:t>
      </w:r>
      <w:r>
        <w:rPr>
          <w:rFonts w:ascii="Arial" w:cs="Arial" w:eastAsia="Arial" w:hAnsi="Arial"/>
          <w:sz w:val="18"/>
          <w:szCs w:val="18"/>
          <w:i w:val="1"/>
          <w:iCs w:val="1"/>
          <w:color w:val="auto"/>
        </w:rPr>
        <w:t>Note 11 Loan Payable</w:t>
      </w:r>
      <w:r>
        <w:rPr>
          <w:rFonts w:ascii="Arial" w:cs="Arial" w:eastAsia="Arial" w:hAnsi="Arial"/>
          <w:sz w:val="18"/>
          <w:szCs w:val="18"/>
          <w:color w:val="auto"/>
        </w:rPr>
        <w:t xml:space="preserve"> to our condensed consolidated financial statements included elsewhere in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04"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auto"/>
        </w:rPr>
        <w:t>In March 2021, we entered into a new sales agreement with Cowen, under which we may issue and sell shares of our common stock having aggregate sales proceeds of up to $75.0 million from time to time through Cowen, acting as agent, in a series of one or more ATM equity offerings (the “2021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Our common stock will be sold at prevailing market prices at the time of the sale; and as a result, prices may vary. For the three months ended September 30, 2022, we did not sell any shares of common stock under the 2021 ATM Program. As of November 2, 2022, the Company had $49.7 million available under the 2021 ATM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60" w:firstLine="509"/>
        <w:spacing w:after="0" w:line="273" w:lineRule="auto"/>
        <w:rPr>
          <w:sz w:val="20"/>
          <w:szCs w:val="20"/>
          <w:color w:val="auto"/>
        </w:rPr>
      </w:pPr>
      <w:r>
        <w:rPr>
          <w:rFonts w:ascii="Arial" w:cs="Arial" w:eastAsia="Arial" w:hAnsi="Arial"/>
          <w:sz w:val="16"/>
          <w:szCs w:val="16"/>
          <w:color w:val="auto"/>
        </w:rPr>
        <w:t>We believe that our available cash, cash equivalents and short-term investments and continued access to our term loan are sufficient to fund existing and planned cash requirements for the next 12 months.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ind w:right="280" w:firstLine="509"/>
        <w:spacing w:after="0" w:line="256"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67"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2" w:lineRule="exact"/>
        <w:rPr>
          <w:rFonts w:ascii="Arial" w:cs="Arial" w:eastAsia="Arial" w:hAnsi="Arial"/>
          <w:sz w:val="18"/>
          <w:szCs w:val="18"/>
          <w:color w:val="auto"/>
        </w:rPr>
      </w:pPr>
    </w:p>
    <w:p>
      <w:pPr>
        <w:jc w:val="both"/>
        <w:ind w:left="1020" w:right="260" w:hanging="503"/>
        <w:spacing w:after="0" w:line="25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03"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15"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03" w:lineRule="exact"/>
        <w:rPr>
          <w:rFonts w:ascii="Arial" w:cs="Arial" w:eastAsia="Arial" w:hAnsi="Arial"/>
          <w:sz w:val="18"/>
          <w:szCs w:val="18"/>
          <w:color w:val="auto"/>
        </w:rPr>
      </w:pPr>
    </w:p>
    <w:p>
      <w:pPr>
        <w:ind w:left="1020" w:right="200" w:hanging="503"/>
        <w:spacing w:after="0" w:line="308"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24" w:lineRule="exact"/>
        <w:rPr>
          <w:rFonts w:ascii="Arial" w:cs="Arial" w:eastAsia="Arial" w:hAnsi="Arial"/>
          <w:sz w:val="17"/>
          <w:szCs w:val="17"/>
          <w:color w:val="auto"/>
        </w:rPr>
      </w:pPr>
    </w:p>
    <w:p>
      <w:pPr>
        <w:ind w:left="1020" w:right="600" w:hanging="503"/>
        <w:spacing w:after="0" w:line="25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66"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disruptions to our supply chain and operations, and associated delays in the manufacturing and supply of our products, which would adversely impact our ability to continue our clinical trial operations.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7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50" w:lineRule="exact"/>
        <w:rPr>
          <w:sz w:val="20"/>
          <w:szCs w:val="20"/>
          <w:color w:val="auto"/>
        </w:rPr>
      </w:pPr>
    </w:p>
    <w:p>
      <w:pPr>
        <w:ind w:right="340" w:firstLine="509"/>
        <w:spacing w:after="0" w:line="291" w:lineRule="auto"/>
        <w:rPr>
          <w:sz w:val="20"/>
          <w:szCs w:val="20"/>
          <w:color w:val="auto"/>
        </w:rPr>
      </w:pPr>
      <w:r>
        <w:rPr>
          <w:rFonts w:ascii="Arial" w:cs="Arial" w:eastAsia="Arial" w:hAnsi="Arial"/>
          <w:sz w:val="17"/>
          <w:szCs w:val="17"/>
          <w:color w:val="auto"/>
        </w:rPr>
        <w:t>Our material contractual obligations and commitments as of September 30, 2022, primarily relate to our maturities of operating leases for office space and equipment and capital leases for office equipment. As of September 30, 2022, we have $0.6 million payable within 12 months.</w:t>
      </w:r>
    </w:p>
    <w:p>
      <w:pPr>
        <w:spacing w:after="0" w:line="160"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4" w:name="page25"/>
    <w:bookmarkEnd w:id="24"/>
    <w:p>
      <w:pPr>
        <w:ind w:right="80" w:firstLine="509"/>
        <w:spacing w:after="0" w:line="276" w:lineRule="auto"/>
        <w:rPr>
          <w:sz w:val="20"/>
          <w:szCs w:val="20"/>
          <w:color w:val="auto"/>
        </w:rPr>
      </w:pPr>
      <w:r>
        <w:rPr>
          <w:rFonts w:ascii="Arial" w:cs="Arial" w:eastAsia="Arial" w:hAnsi="Arial"/>
          <w:sz w:val="16"/>
          <w:szCs w:val="16"/>
          <w:color w:val="auto"/>
        </w:rPr>
        <w:t>We have incurred losses and cumulative negative cash flows from operations since our inception, excluding the year ended December 31, 2021. As of September 30, 2022, we had an accumulated deficit of $653.8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4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5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rPr>
              <w:t>(In</w:t>
            </w:r>
          </w:p>
        </w:tc>
        <w:tc>
          <w:tcPr>
            <w:tcW w:w="132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auto"/>
                <w:w w:val="76"/>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w w:val="87"/>
              </w:rPr>
              <w:t>(110,781 )</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(71,578 )</w:t>
            </w: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Pr>
          <w:p>
            <w:pPr>
              <w:spacing w:after="0"/>
              <w:rPr>
                <w:sz w:val="18"/>
                <w:szCs w:val="18"/>
                <w:color w:val="auto"/>
              </w:rPr>
            </w:pPr>
          </w:p>
        </w:tc>
        <w:tc>
          <w:tcPr>
            <w:tcW w:w="980" w:type="dxa"/>
            <w:vAlign w:val="bottom"/>
            <w:gridSpan w:val="2"/>
          </w:tcPr>
          <w:p>
            <w:pPr>
              <w:jc w:val="right"/>
              <w:ind w:right="168"/>
              <w:spacing w:after="0"/>
              <w:rPr>
                <w:sz w:val="20"/>
                <w:szCs w:val="20"/>
                <w:color w:val="auto"/>
              </w:rPr>
            </w:pPr>
            <w:r>
              <w:rPr>
                <w:rFonts w:ascii="Arial" w:cs="Arial" w:eastAsia="Arial" w:hAnsi="Arial"/>
                <w:sz w:val="18"/>
                <w:szCs w:val="18"/>
                <w:color w:val="auto"/>
                <w:w w:val="99"/>
              </w:rPr>
              <w:t>(48,559 )</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19,083</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8,752</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8"/>
              <w:spacing w:after="0"/>
              <w:rPr>
                <w:sz w:val="20"/>
                <w:szCs w:val="20"/>
                <w:color w:val="auto"/>
              </w:rPr>
            </w:pPr>
            <w:r>
              <w:rPr>
                <w:rFonts w:ascii="Arial" w:cs="Arial" w:eastAsia="Arial" w:hAnsi="Arial"/>
                <w:sz w:val="18"/>
                <w:szCs w:val="18"/>
                <w:color w:val="auto"/>
                <w:w w:val="87"/>
              </w:rPr>
              <w:t>(150,588 )</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(43,810 )</w:t>
            </w:r>
          </w:p>
        </w:tc>
      </w:tr>
      <w:tr>
        <w:trPr>
          <w:trHeight w:val="20"/>
        </w:trPr>
        <w:tc>
          <w:tcPr>
            <w:tcW w:w="7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used in operating activities for nine months ended September 30, 2022, was $110.8 million and primarily consisted of our net loss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$110.1 million adjusted for non-cash items, including stock-based compensation of $11.8 million, a net decrease in operating assets and liabilities of $12.3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million, an investment accretion of $1.4 million, a non-cash operating lease expense of $0.3 million and non-cash interest expense associated with the term</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loan of $1.1 million. The increase in net loss was primarily due to increased clinical trial activities and CMC expenses. The net decrease in operating assets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and liabilities primarily consisted of increased accounts payable of $1.4 million, increased prepayments and deposits of $7.7 million, increased other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receivables of $4.5 million, partially offset by decreased accrued expenses and other liabilities of $1.5 million</w:t>
      </w:r>
      <w:r>
        <w:rPr>
          <w:rFonts w:ascii="Arial" w:cs="Arial" w:eastAsia="Arial" w:hAnsi="Arial"/>
          <w:sz w:val="18"/>
          <w:szCs w:val="18"/>
          <w:color w:val="FF0000"/>
        </w:rPr>
        <w:t>.</w:t>
      </w:r>
    </w:p>
    <w:p>
      <w:pPr>
        <w:spacing w:after="0" w:line="10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Net cash used in operating activities for the nine months ended September 30, 2021, was $71.6 million and primarily consisted of our net loss of $71.3 million adjusted for non-cash items, including stock-based compensation of $9.4 million, a net decrease in operating assets and liabilities of $10.9 million, an investment accretion of $0.5 million, a non-cash operating lease expense of $0.3 million and non-cash interest expense associated with the term loan of $0.4 million. The increase in net loss was primarily due to increased pre-clinical trial activities and CMC expenses partially offset by decreased pre-commercialization activities. The net decrease in operating assets and liabilities primarily consisted of increased accounts payable of $1.6 million, increased prepayments and deposits of $1.5 million, increased accrued expenses and other liabilities of $2.1 million and decreased deferred revenue of $13.1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104"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Net cash used in investing activities for the nine months ended September 30, 2022, was $48.6 million and was primarily due to the purchase of $244.5 million of available-for-sale securities partially offset by the $195.7 million of proceeds from the maturities of available-for-sale securities and by the $0.2 million of proceeds from sale of equipment.</w:t>
      </w:r>
    </w:p>
    <w:p>
      <w:pPr>
        <w:spacing w:after="0" w:line="67" w:lineRule="exact"/>
        <w:rPr>
          <w:sz w:val="20"/>
          <w:szCs w:val="20"/>
          <w:color w:val="auto"/>
        </w:rPr>
      </w:pPr>
    </w:p>
    <w:p>
      <w:pPr>
        <w:ind w:right="20" w:firstLine="509"/>
        <w:spacing w:after="0" w:line="282" w:lineRule="auto"/>
        <w:rPr>
          <w:sz w:val="20"/>
          <w:szCs w:val="20"/>
          <w:color w:val="auto"/>
        </w:rPr>
      </w:pPr>
      <w:r>
        <w:rPr>
          <w:rFonts w:ascii="Arial" w:cs="Arial" w:eastAsia="Arial" w:hAnsi="Arial"/>
          <w:sz w:val="16"/>
          <w:szCs w:val="16"/>
          <w:color w:val="auto"/>
        </w:rPr>
        <w:t>Net cash provided by investing activities for the nine months ended September 30, 2021, was $19.1 million and was primarily due to the purchase of $189.5 million of available-for-sale securities partially offset by the $208.6 million of proceeds from the maturities of available-for-sale securities.</w:t>
      </w: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Net cash provided by financing activities for the nine months ended September 30, 2022, of $8.8 million was primarily due to proceeds from sales under the 2021 ATM Program, net of discounts and commissions of $19.4 million, proceeds from the exercise of stock options of $10.1 million and employee participation in our Employee Stock Purchase Plan of $0.3 million, partially offset by payment on term loan of $21.0 million.</w:t>
      </w:r>
    </w:p>
    <w:p>
      <w:pPr>
        <w:spacing w:after="0" w:line="69"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Net cash provided by financing activities for the nine months ended September 30, 2021, of $8.7 million was primarily due to proceeds from sales under the 2021 ATM Program, net of discounts and commissions of $5.1 million, proceeds from the exercise of stock options of $3.3 million, employee participation in our Employee Stock Purchase Plan of $0.2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September 30, 2022 we had cash and cash equivalents of $71.4 million, consisting of overnight investments, interest-bearing money market funds, commercial papers and short-term corporate bonds, and short-term investments of $266.5 million, consisting of commercial paper, and highly rated corporate bonds.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173" w:lineRule="exact"/>
        <w:rPr>
          <w:sz w:val="20"/>
          <w:szCs w:val="20"/>
          <w:color w:val="auto"/>
        </w:rPr>
      </w:pPr>
    </w:p>
    <w:p>
      <w:pPr>
        <w:jc w:val="both"/>
        <w:ind w:right="220" w:firstLine="509"/>
        <w:spacing w:after="0" w:line="270" w:lineRule="auto"/>
        <w:rPr>
          <w:sz w:val="20"/>
          <w:szCs w:val="20"/>
          <w:color w:val="auto"/>
        </w:rPr>
      </w:pPr>
      <w:r>
        <w:rPr>
          <w:rFonts w:ascii="Arial" w:cs="Arial" w:eastAsia="Arial" w:hAnsi="Arial"/>
          <w:sz w:val="17"/>
          <w:szCs w:val="17"/>
          <w:color w:val="auto"/>
        </w:rPr>
        <w:t xml:space="preserve">On September 23, 2022, the Company made a prepayment to satisfy in full all of the Company's principal and interest obligations and related fees under that certain Loan and Security Agreement, dated February 7, 2020, as amended (as amended, the "Loan Agreement"). For additional information, see </w:t>
      </w:r>
      <w:r>
        <w:rPr>
          <w:rFonts w:ascii="Arial" w:cs="Arial" w:eastAsia="Arial" w:hAnsi="Arial"/>
          <w:sz w:val="17"/>
          <w:szCs w:val="17"/>
          <w:i w:val="1"/>
          <w:iCs w:val="1"/>
          <w:color w:val="auto"/>
        </w:rPr>
        <w:t>Note 11 Loan Payable</w:t>
      </w:r>
      <w:r>
        <w:rPr>
          <w:rFonts w:ascii="Arial" w:cs="Arial" w:eastAsia="Arial" w:hAnsi="Arial"/>
          <w:sz w:val="17"/>
          <w:szCs w:val="17"/>
          <w:color w:val="auto"/>
        </w:rPr>
        <w:t xml:space="preserve"> to our condensed consolidated financial statements elsewhere in this report.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 and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104" w:lineRule="exact"/>
        <w:rPr>
          <w:sz w:val="20"/>
          <w:szCs w:val="20"/>
          <w:color w:val="auto"/>
        </w:rPr>
      </w:pPr>
    </w:p>
    <w:p>
      <w:pPr>
        <w:ind w:firstLine="509"/>
        <w:spacing w:after="0" w:line="282"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ind w:right="160"/>
        <w:spacing w:after="0"/>
        <w:rPr>
          <w:sz w:val="20"/>
          <w:szCs w:val="20"/>
          <w:color w:val="auto"/>
        </w:rPr>
      </w:pPr>
      <w:r>
        <w:rPr>
          <w:rFonts w:ascii="Arial" w:cs="Arial" w:eastAsia="Arial" w:hAnsi="Arial"/>
          <w:sz w:val="18"/>
          <w:szCs w:val="18"/>
          <w:color w:val="auto"/>
        </w:rPr>
        <w:t>15d-15(e) under the Securities Exchange Act of 1934, as amended), as of September 30, 2022. Based upon that evaluation, our principal executive officer and principal financial officer concluded that, as of the end of the period covered by this report, our disclosure controls and procedures are effective in ensuring that:</w:t>
      </w:r>
    </w:p>
    <w:p>
      <w:pPr>
        <w:spacing w:after="0" w:line="94" w:lineRule="exact"/>
        <w:rPr>
          <w:sz w:val="20"/>
          <w:szCs w:val="20"/>
          <w:color w:val="auto"/>
        </w:rPr>
      </w:pPr>
    </w:p>
    <w:p>
      <w:pPr>
        <w:ind w:left="900" w:right="560" w:hanging="383"/>
        <w:spacing w:after="0" w:line="32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required to be disclosed by us in the reports we file or submit under the Securities Exchange Act is recorded, processed, summarized and reported within the time periods specified in the U.S. Securities and Exchange Commission’s rules and forms; and</w:t>
      </w:r>
    </w:p>
    <w:p>
      <w:pPr>
        <w:spacing w:after="0" w:line="16" w:lineRule="exact"/>
        <w:rPr>
          <w:rFonts w:ascii="Arial" w:cs="Arial" w:eastAsia="Arial" w:hAnsi="Arial"/>
          <w:sz w:val="16"/>
          <w:szCs w:val="16"/>
          <w:color w:val="auto"/>
        </w:rPr>
      </w:pPr>
    </w:p>
    <w:p>
      <w:pPr>
        <w:ind w:left="900" w:right="100" w:hanging="383"/>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is accumulated and communicated to our management, including our principal executive officer and principal financial officer as appropriate to allow timely decisions regarding required disclosure.</w:t>
      </w:r>
    </w:p>
    <w:p>
      <w:pPr>
        <w:spacing w:after="0" w:line="49" w:lineRule="exact"/>
        <w:rPr>
          <w:sz w:val="20"/>
          <w:szCs w:val="20"/>
          <w:color w:val="auto"/>
        </w:rPr>
      </w:pPr>
    </w:p>
    <w:p>
      <w:pPr>
        <w:ind w:right="260" w:firstLine="509"/>
        <w:spacing w:after="0" w:line="278" w:lineRule="auto"/>
        <w:rPr>
          <w:sz w:val="20"/>
          <w:szCs w:val="20"/>
          <w:color w:val="auto"/>
        </w:rPr>
      </w:pPr>
      <w:r>
        <w:rPr>
          <w:rFonts w:ascii="Arial" w:cs="Arial" w:eastAsia="Arial" w:hAnsi="Arial"/>
          <w:sz w:val="17"/>
          <w:szCs w:val="17"/>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judgement in evaluating the cost- benefit relationship of possible 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160" w:firstLine="509"/>
        <w:spacing w:after="0" w:line="250"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2022, that have materially affected, or are reasonably likely to materially affect, our internal control over financial reporting.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September 30, 2022, we were not party to any material legal or arbitration proceedings. No governmental proceedings are pending or, to our knowledge, contemplated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Selected Risks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business is subject to numerous risks and uncertainties, of which you should be aware before making a decision to invest in our securities.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include, among others, the following:</w:t>
      </w:r>
    </w:p>
    <w:p>
      <w:pPr>
        <w:spacing w:after="0" w:line="101"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health threats could have an adverse effect on our clinical trials, operations and financial results.</w:t>
      </w:r>
    </w:p>
    <w:p>
      <w:pPr>
        <w:spacing w:after="0" w:line="103" w:lineRule="exact"/>
        <w:rPr>
          <w:rFonts w:ascii="Arial" w:cs="Arial" w:eastAsia="Arial" w:hAnsi="Arial"/>
          <w:sz w:val="18"/>
          <w:szCs w:val="18"/>
          <w:color w:val="auto"/>
        </w:rPr>
      </w:pPr>
    </w:p>
    <w:p>
      <w:pPr>
        <w:ind w:left="1020" w:right="12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76"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Revumenib, formerly SNDX-5613, has undergone limited clinical testing and we may fail to show that it is well tolerated and provides sufficient clinical benefit for patients.</w:t>
      </w:r>
    </w:p>
    <w:p>
      <w:pPr>
        <w:spacing w:after="0" w:line="48"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Axatilimab has undergone limited clinical testing and we may fail to show that it is well tolerated and provides a sufficient clinical benefit for patients.</w:t>
      </w:r>
    </w:p>
    <w:p>
      <w:pPr>
        <w:spacing w:after="0" w:line="62" w:lineRule="exact"/>
        <w:rPr>
          <w:rFonts w:ascii="Arial" w:cs="Arial" w:eastAsia="Arial" w:hAnsi="Arial"/>
          <w:sz w:val="18"/>
          <w:szCs w:val="18"/>
          <w:color w:val="auto"/>
        </w:rPr>
      </w:pPr>
    </w:p>
    <w:p>
      <w:pPr>
        <w:ind w:left="1020" w:right="80" w:hanging="503"/>
        <w:spacing w:after="0" w:line="30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4" w:lineRule="exact"/>
        <w:rPr>
          <w:rFonts w:ascii="Arial" w:cs="Arial" w:eastAsia="Arial" w:hAnsi="Arial"/>
          <w:sz w:val="17"/>
          <w:szCs w:val="17"/>
          <w:color w:val="auto"/>
        </w:rPr>
      </w:pPr>
    </w:p>
    <w:p>
      <w:pPr>
        <w:ind w:left="1020" w:right="5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Incyte may fail to perform its obligations as expected under the collaboration or may deprioritize its investment to further develop and commercialize axatilimab.</w:t>
      </w:r>
    </w:p>
    <w:p>
      <w:pPr>
        <w:spacing w:after="0" w:line="76"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or our collaborators are unable to enroll patients in clinical trials, these clinical trials may not be completed on a timely basis or at all.</w:t>
      </w:r>
    </w:p>
    <w:p>
      <w:pPr>
        <w:spacing w:after="0" w:line="62"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48"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healthcare payors and others in the medical community to be commercially successful.</w:t>
      </w:r>
    </w:p>
    <w:p>
      <w:pPr>
        <w:spacing w:after="0" w:line="76" w:lineRule="exact"/>
        <w:rPr>
          <w:rFonts w:ascii="Arial" w:cs="Arial" w:eastAsia="Arial" w:hAnsi="Arial"/>
          <w:sz w:val="18"/>
          <w:szCs w:val="18"/>
          <w:color w:val="auto"/>
        </w:rPr>
      </w:pPr>
    </w:p>
    <w:p>
      <w:pPr>
        <w:ind w:left="1020" w:right="20" w:hanging="503"/>
        <w:spacing w:after="0" w:line="270"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rely on third-party suppliers as well as Incyte to manufacture and distribute our clinical drug supplies for our product candidates, we intend to rely on these parties for commercial manufacturing and distribution of our product candidates and we expect to rely on these parties for manufacturing and distribution of preclinical, clinical and commercial supplies of any future product candidates.</w:t>
      </w:r>
    </w:p>
    <w:p>
      <w:pPr>
        <w:spacing w:after="0" w:line="69" w:lineRule="exact"/>
        <w:rPr>
          <w:rFonts w:ascii="Arial" w:cs="Arial" w:eastAsia="Arial" w:hAnsi="Arial"/>
          <w:sz w:val="17"/>
          <w:szCs w:val="17"/>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7" w:name="page28"/>
    <w:bookmarkEnd w:id="27"/>
    <w:p>
      <w:pPr>
        <w:ind w:left="1020" w:hanging="503"/>
        <w:spacing w:after="0" w:line="34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2" w:lineRule="exact"/>
        <w:rPr>
          <w:rFonts w:ascii="Arial" w:cs="Arial" w:eastAsia="Arial" w:hAnsi="Arial"/>
          <w:sz w:val="16"/>
          <w:szCs w:val="16"/>
          <w:color w:val="auto"/>
        </w:rPr>
      </w:pPr>
    </w:p>
    <w:p>
      <w:pPr>
        <w:ind w:left="1020" w:right="4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incurred net losses since our inception, except 2021, and anticipate that we will continue to incur net losses for the foreseeable future.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103" w:lineRule="exact"/>
        <w:rPr>
          <w:rFonts w:ascii="Arial" w:cs="Arial" w:eastAsia="Arial" w:hAnsi="Arial"/>
          <w:sz w:val="18"/>
          <w:szCs w:val="18"/>
          <w:color w:val="auto"/>
        </w:rPr>
      </w:pPr>
    </w:p>
    <w:p>
      <w:pPr>
        <w:ind w:left="1020" w:right="120" w:hanging="503"/>
        <w:spacing w:after="0" w:line="25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stockholders could lose all or part of their investment.</w:t>
      </w:r>
    </w:p>
    <w:p>
      <w:pPr>
        <w:spacing w:after="0" w:line="117"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health threats could have an adverse effect on our clinical trials, operations and financial results.</w:t>
      </w:r>
    </w:p>
    <w:p>
      <w:pPr>
        <w:spacing w:after="0" w:line="104" w:lineRule="exact"/>
        <w:rPr>
          <w:sz w:val="20"/>
          <w:szCs w:val="20"/>
          <w:color w:val="auto"/>
        </w:rPr>
      </w:pPr>
    </w:p>
    <w:p>
      <w:pPr>
        <w:ind w:right="220" w:firstLine="509"/>
        <w:spacing w:after="0" w:line="263" w:lineRule="auto"/>
        <w:rPr>
          <w:sz w:val="20"/>
          <w:szCs w:val="20"/>
          <w:color w:val="auto"/>
        </w:rPr>
      </w:pPr>
      <w:r>
        <w:rPr>
          <w:rFonts w:ascii="Arial" w:cs="Arial" w:eastAsia="Arial" w:hAnsi="Arial"/>
          <w:sz w:val="17"/>
          <w:szCs w:val="17"/>
          <w:color w:val="auto"/>
        </w:rPr>
        <w:t>We face various risks related to epidemics, pandemics, and other outbreaks, including the ongoing COVID-19 pandemic, including newly discovered strains of the virus, which could adversely affect our ongoing or planned business operations. In particular, the ongoing COVID-19 pandemic has resulted in quarantines, restrictions on travel and other business and economic disruptions. We cannot presently predict the scope and severity of any future business shutdowns or disruptions, but if we or any of the third parties with whom we engage, including the partners and other third parties with whom we conduct business, were to experience shutdowns or other business disruptions, our ability to conduct our business in the manner and on the timelines presently planned could be materially and adversely impacted.</w:t>
      </w:r>
    </w:p>
    <w:p>
      <w:pPr>
        <w:spacing w:after="0" w:line="65"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The ongoing COVID-19 pandemic could continue to disrupt supply chain and operations, including associated delays in the manufacturing and supply of our products, which may affect our operations, including the conduct of clinical studies, or the ability of regulatory bodies to grant approvals or supervise our candidates and products, may further divert the attention and efforts of the medical community to coping with the COVID-19 and disrupt the marketplace in which we operate and may have a material adverse effects on our operations. COVID-19 may also affect our employees and employees and operations at suppliers that may result in delays or disruptions in supply. Even after the COVID-19 pandemic has subsided, we may continue to experience an adverse impact to our business as a result of COVID-19’s global economic impact, including any recession that has occurred or may occur in the future and the uncertainty of the timing of the broader economic recovery to pre-pandemic levels.</w:t>
      </w:r>
    </w:p>
    <w:p>
      <w:pPr>
        <w:spacing w:after="0" w:line="17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76" w:lineRule="exact"/>
        <w:rPr>
          <w:sz w:val="20"/>
          <w:szCs w:val="20"/>
          <w:color w:val="auto"/>
        </w:rPr>
      </w:pPr>
    </w:p>
    <w:p>
      <w:pPr>
        <w:ind w:right="560" w:firstLine="578"/>
        <w:spacing w:after="0" w:line="294" w:lineRule="auto"/>
        <w:rPr>
          <w:sz w:val="20"/>
          <w:szCs w:val="20"/>
          <w:color w:val="auto"/>
        </w:rPr>
      </w:pPr>
      <w:r>
        <w:rPr>
          <w:rFonts w:ascii="Arial" w:cs="Arial" w:eastAsia="Arial" w:hAnsi="Arial"/>
          <w:sz w:val="16"/>
          <w:szCs w:val="16"/>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53" w:lineRule="exact"/>
        <w:rPr>
          <w:sz w:val="20"/>
          <w:szCs w:val="20"/>
          <w:color w:val="auto"/>
        </w:rPr>
      </w:pPr>
    </w:p>
    <w:p>
      <w:pPr>
        <w:ind w:left="1020" w:right="1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 on various aspects and stages of the clinical development process, including the impact to expected site initiation, enrollment and participation in our clinical trials;</w:t>
      </w:r>
    </w:p>
    <w:p>
      <w:pPr>
        <w:spacing w:after="0" w:line="62" w:lineRule="exact"/>
        <w:rPr>
          <w:rFonts w:ascii="Arial" w:cs="Arial" w:eastAsia="Arial" w:hAnsi="Arial"/>
          <w:sz w:val="18"/>
          <w:szCs w:val="18"/>
          <w:color w:val="auto"/>
        </w:rPr>
      </w:pPr>
    </w:p>
    <w:p>
      <w:pPr>
        <w:jc w:val="both"/>
        <w:ind w:left="1020" w:right="20" w:hanging="503"/>
        <w:spacing w:after="0" w:line="342"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2" w:lineRule="exact"/>
        <w:rPr>
          <w:rFonts w:ascii="Arial" w:cs="Arial" w:eastAsia="Arial" w:hAnsi="Arial"/>
          <w:sz w:val="16"/>
          <w:szCs w:val="16"/>
          <w:color w:val="auto"/>
        </w:rPr>
      </w:pPr>
    </w:p>
    <w:p>
      <w:pPr>
        <w:ind w:left="1020" w:right="14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completion of one or more of the pivotal Phase 2 cohorts of the AUGMENT-101 trial of revumenib in patients with relapsed/refractory, or r/r, acute leukemias;</w:t>
      </w:r>
    </w:p>
    <w:p>
      <w:pPr>
        <w:spacing w:after="0" w:line="76" w:lineRule="exact"/>
        <w:rPr>
          <w:rFonts w:ascii="Arial" w:cs="Arial" w:eastAsia="Arial" w:hAnsi="Arial"/>
          <w:sz w:val="18"/>
          <w:szCs w:val="18"/>
          <w:color w:val="auto"/>
        </w:rPr>
      </w:pPr>
    </w:p>
    <w:p>
      <w:pPr>
        <w:ind w:left="1020" w:right="20" w:hanging="503"/>
        <w:spacing w:after="0" w:line="24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AUGMENT-102 trial of revumenib in combination with chemotherapy in patients with R/R mutant nucleophosmin, NPM1, or mixed lineage leukemia rearranged, MLLr, acute leukemias;</w:t>
      </w: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left="1020" w:hanging="503"/>
        <w:spacing w:after="0" w:line="23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combination trial of revumenib as part of the Leukemia &amp; Lymphoma Society’s Beat® AML Master Trial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as a monotherapy as part of the Australian Leukemia and Lymphoma Group (ALLG) INTERCEPT Master Clinical Trial, each of which is not a Company sponsored trial;</w:t>
      </w:r>
    </w:p>
    <w:p>
      <w:pPr>
        <w:spacing w:after="0" w:line="80"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timely completion of the pivotal Phase 2 trial, AGAVE-201, of axatilimab in patients with chronic Graft Versus Host Disease, or cGVHD;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2 trial of axatilimab in idiopathic pulmonary fibrosis;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trial of revumenib in patients with unresectable metastatic microsatellite stable colorectal cancer;</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revumenib and axatilimab;</w:t>
      </w:r>
    </w:p>
    <w:p>
      <w:pPr>
        <w:spacing w:after="0" w:line="103"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 or geopolitical tensions, such as the Russia-Ukraine war;</w:t>
      </w:r>
    </w:p>
    <w:p>
      <w:pPr>
        <w:spacing w:after="0" w:line="87"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 prior to receiving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17"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use of our product candidates to treat various cancers and fibrotic diseases;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7"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collaboration partner and of third-party contract manufacturers to produce trial supplies and to develop, validate and maintain a commercially viable manufacturing process that is compliant with cGMP;</w:t>
      </w:r>
    </w:p>
    <w:p>
      <w:pPr>
        <w:spacing w:after="0" w:line="48"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with respect to our product candidates.</w:t>
      </w:r>
    </w:p>
    <w:p>
      <w:pPr>
        <w:spacing w:after="0" w:line="117" w:lineRule="exact"/>
        <w:rPr>
          <w:sz w:val="20"/>
          <w:szCs w:val="20"/>
          <w:color w:val="auto"/>
        </w:rPr>
      </w:pPr>
    </w:p>
    <w:p>
      <w:pPr>
        <w:ind w:right="20" w:firstLine="578"/>
        <w:spacing w:after="0" w:line="261"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Revumenib, formerly SNDX-5613, has undergone limited clinical testing and we may fail to show that the drug is well tolerated and provides sufficient clinical benefit for patients</w:t>
      </w:r>
      <w:r>
        <w:rPr>
          <w:rFonts w:ascii="Arial" w:cs="Arial" w:eastAsia="Arial" w:hAnsi="Arial"/>
          <w:sz w:val="18"/>
          <w:szCs w:val="18"/>
          <w:i w:val="1"/>
          <w:iCs w:val="1"/>
          <w:color w:val="auto"/>
        </w:rPr>
        <w:t>.</w:t>
      </w:r>
    </w:p>
    <w:p>
      <w:pPr>
        <w:spacing w:after="0" w:line="49" w:lineRule="exact"/>
        <w:rPr>
          <w:sz w:val="20"/>
          <w:szCs w:val="20"/>
          <w:color w:val="auto"/>
        </w:rPr>
      </w:pPr>
    </w:p>
    <w:p>
      <w:pPr>
        <w:ind w:right="40" w:firstLine="584"/>
        <w:spacing w:after="0" w:line="271" w:lineRule="auto"/>
        <w:rPr>
          <w:sz w:val="20"/>
          <w:szCs w:val="20"/>
          <w:color w:val="auto"/>
        </w:rPr>
      </w:pPr>
      <w:r>
        <w:rPr>
          <w:rFonts w:ascii="Arial" w:cs="Arial" w:eastAsia="Arial" w:hAnsi="Arial"/>
          <w:sz w:val="16"/>
          <w:szCs w:val="16"/>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NPM1 mutant AML the interaction with menin occurs via the wild type MLL1 protein, and in MLLr acute leukemias, the interaction occurs via a mutant form of MLL1, a 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 such as revumenib, which bind to, and block the interaction of menin with either MLLr or MLL1, have demonstrated deep and durable single agent treatment effects in multiple leukemic xenograft models harboring MLL fusions or NPM1 mutations. Our strategy for developing revumenib is to conduct a Phase 1/2 clinical trial in r/r patients with MLLr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patients with r/r MLLr acute lymphoblastic leukemia, or ALL,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r/r MLLr acute myeloid leukemia, or AML, and r/r NPM1 mutant AML. While we believe that we have established sufficient efficacy to warrant continued development in these indications, we have not yet sufficiently demonstrated a favorable risk-benefit of revumenib in patients.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 has undergone limited clinical testing and we may fail to show that it is well tolerated and provides a clinical benefit for patients.</w:t>
      </w:r>
    </w:p>
    <w:p>
      <w:pPr>
        <w:spacing w:after="0" w:line="127" w:lineRule="exact"/>
        <w:rPr>
          <w:sz w:val="20"/>
          <w:szCs w:val="20"/>
          <w:color w:val="auto"/>
        </w:rPr>
      </w:pPr>
    </w:p>
    <w:p>
      <w:pPr>
        <w:ind w:right="40" w:firstLine="584"/>
        <w:spacing w:after="0" w:line="258" w:lineRule="auto"/>
        <w:rPr>
          <w:sz w:val="20"/>
          <w:szCs w:val="20"/>
          <w:color w:val="auto"/>
        </w:rPr>
      </w:pPr>
      <w:r>
        <w:rPr>
          <w:rFonts w:ascii="Arial" w:cs="Arial" w:eastAsia="Arial" w:hAnsi="Arial"/>
          <w:sz w:val="17"/>
          <w:szCs w:val="17"/>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Following our end of Phase 1 meeting with the FDA, we have aligned on a regulatory path for axatilimab for the treatment of cGVHD and commenced a pivotal Phase 2 clinical trial, AGAVE-201, to assess the safety and efficacy of different doses and schedules of axatilimab for the treatment of patients with cGVHD. While we believe that we have established sufficient efficacy to warrant continued development in this indication, we have not yet sufficiently demonstrated a favorable risk-benefit of axatilimab in patients.</w:t>
      </w:r>
    </w:p>
    <w:p>
      <w:pPr>
        <w:spacing w:after="0" w:line="18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5" w:lineRule="exact"/>
        <w:rPr>
          <w:sz w:val="20"/>
          <w:szCs w:val="20"/>
          <w:color w:val="auto"/>
        </w:rPr>
      </w:pPr>
    </w:p>
    <w:p>
      <w:pPr>
        <w:ind w:firstLine="578"/>
        <w:spacing w:after="0" w:line="260" w:lineRule="auto"/>
        <w:rPr>
          <w:sz w:val="20"/>
          <w:szCs w:val="20"/>
          <w:color w:val="auto"/>
        </w:rPr>
      </w:pPr>
      <w:r>
        <w:rPr>
          <w:rFonts w:ascii="Arial" w:cs="Arial" w:eastAsia="Arial" w:hAnsi="Arial"/>
          <w:sz w:val="17"/>
          <w:szCs w:val="17"/>
          <w:color w:val="auto"/>
        </w:rPr>
        <w:t>From time to time, we may publish interim top-line or preliminary data from our clinical trials. For example, in April and December 2021 and in November 2022, we announced interim data from our Phase 1/2 clinical trial of revumenib.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7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63" w:lineRule="exact"/>
        <w:rPr>
          <w:sz w:val="20"/>
          <w:szCs w:val="20"/>
          <w:color w:val="auto"/>
        </w:rPr>
      </w:pPr>
    </w:p>
    <w:p>
      <w:pPr>
        <w:ind w:firstLine="578"/>
        <w:spacing w:after="0" w:line="244" w:lineRule="auto"/>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77"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b w:val="1"/>
          <w:bCs w:val="1"/>
          <w:i w:val="1"/>
          <w:iCs w:val="1"/>
          <w:color w:val="auto"/>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are subject to numerous risks related to the Incyte Agreement to collaborate on the development and commercialization of axatilimab.</w:t>
      </w:r>
    </w:p>
    <w:p>
      <w:pPr>
        <w:spacing w:after="0" w:line="129" w:lineRule="exact"/>
        <w:rPr>
          <w:sz w:val="20"/>
          <w:szCs w:val="20"/>
          <w:color w:val="auto"/>
        </w:rPr>
      </w:pPr>
    </w:p>
    <w:p>
      <w:pPr>
        <w:ind w:right="320" w:firstLine="578"/>
        <w:spacing w:after="0" w:line="271" w:lineRule="auto"/>
        <w:rPr>
          <w:sz w:val="20"/>
          <w:szCs w:val="20"/>
          <w:color w:val="auto"/>
        </w:rPr>
      </w:pPr>
      <w:r>
        <w:rPr>
          <w:rFonts w:ascii="Arial" w:cs="Arial" w:eastAsia="Arial" w:hAnsi="Arial"/>
          <w:sz w:val="16"/>
          <w:szCs w:val="16"/>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ind w:left="1040" w:right="1020" w:hanging="377"/>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48" w:lineRule="exact"/>
        <w:rPr>
          <w:rFonts w:ascii="Arial" w:cs="Arial" w:eastAsia="Arial" w:hAnsi="Arial"/>
          <w:sz w:val="18"/>
          <w:szCs w:val="18"/>
          <w:color w:val="auto"/>
        </w:rPr>
      </w:pPr>
    </w:p>
    <w:p>
      <w:pPr>
        <w:ind w:left="1040" w:right="280" w:hanging="377"/>
        <w:spacing w:after="0" w:line="261"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Incyte may change the focus of its development and commercialization efforts or prioritize other programs more highly and, accordingly, reduce the efforts and resources allocated to axatilimab</w:t>
      </w:r>
    </w:p>
    <w:p>
      <w:pPr>
        <w:spacing w:after="0" w:line="76" w:lineRule="exact"/>
        <w:rPr>
          <w:rFonts w:ascii="Arial" w:cs="Arial" w:eastAsia="Arial" w:hAnsi="Arial"/>
          <w:sz w:val="18"/>
          <w:szCs w:val="18"/>
          <w:color w:val="auto"/>
        </w:rPr>
      </w:pPr>
    </w:p>
    <w:p>
      <w:pPr>
        <w:ind w:left="1040" w:right="20" w:hanging="377"/>
        <w:spacing w:after="0" w:line="261"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Incyte may, within its commercially reasonable discretion, choose not to develop and commercialize axatilimab in all relevant markets or for one or more indications, if at all; and</w:t>
      </w:r>
    </w:p>
    <w:p>
      <w:pPr>
        <w:spacing w:after="0" w:line="62" w:lineRule="exact"/>
        <w:rPr>
          <w:rFonts w:ascii="Arial" w:cs="Arial" w:eastAsia="Arial" w:hAnsi="Arial"/>
          <w:sz w:val="18"/>
          <w:szCs w:val="18"/>
          <w:color w:val="auto"/>
        </w:rPr>
      </w:pPr>
    </w:p>
    <w:p>
      <w:pPr>
        <w:ind w:left="1040" w:right="360" w:hanging="377"/>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4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cannot ensure that the potential strategic benefits and opportunities expected from this collaboration with be realized on our anticipated timeline or at all.</w:t>
      </w:r>
    </w:p>
    <w:p>
      <w:pPr>
        <w:spacing w:after="0" w:line="171" w:lineRule="exact"/>
        <w:rPr>
          <w:sz w:val="20"/>
          <w:szCs w:val="20"/>
          <w:color w:val="auto"/>
        </w:rPr>
      </w:pPr>
    </w:p>
    <w:p>
      <w:pPr>
        <w:jc w:val="center"/>
        <w:ind w:right="840"/>
        <w:spacing w:after="0" w:line="413" w:lineRule="auto"/>
        <w:rPr>
          <w:sz w:val="20"/>
          <w:szCs w:val="20"/>
          <w:color w:val="auto"/>
        </w:rPr>
      </w:pPr>
      <w:r>
        <w:rPr>
          <w:rFonts w:ascii="Arial" w:cs="Arial" w:eastAsia="Arial" w:hAnsi="Arial"/>
          <w:sz w:val="16"/>
          <w:szCs w:val="16"/>
          <w:b w:val="1"/>
          <w:bCs w:val="1"/>
          <w:i w:val="1"/>
          <w:iCs w:val="1"/>
          <w:color w:val="auto"/>
        </w:rPr>
        <w:t xml:space="preserve">If we or our collaborators are unable to enroll patients in clinical trials, these clinical trials may not be completed on a timely basis or at all. </w:t>
      </w:r>
      <w:r>
        <w:rPr>
          <w:rFonts w:ascii="Arial" w:cs="Arial" w:eastAsia="Arial" w:hAnsi="Arial"/>
          <w:sz w:val="16"/>
          <w:szCs w:val="16"/>
          <w:color w:val="auto"/>
        </w:rPr>
        <w:t>The timely completion of clinical trials largely depends on patient enrollment. Many factors affect patient enrollment, including:</w:t>
      </w:r>
    </w:p>
    <w:p>
      <w:pPr>
        <w:spacing w:after="0" w:line="1"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public health epidemics, such as the COVID-19 pandemic, or geopolitical tensions, such as the Russia- Ukraine war;</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any orphan indications, we are pursuing;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23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04"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03" w:lineRule="exact"/>
        <w:rPr>
          <w:rFonts w:ascii="Arial" w:cs="Arial" w:eastAsia="Arial" w:hAnsi="Arial"/>
          <w:sz w:val="18"/>
          <w:szCs w:val="18"/>
          <w:color w:val="auto"/>
        </w:rPr>
      </w:pPr>
    </w:p>
    <w:p>
      <w:pPr>
        <w:ind w:left="1020" w:right="10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48"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76"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strategic collaborators may not commit adequate resources to the marketing, sales and distribution of our product candidates, limiting our</w:t>
      </w:r>
    </w:p>
    <w:p>
      <w:pPr>
        <w:spacing w:after="0" w:line="4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potential revenues from these products;</w:t>
      </w: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1" w:name="page32"/>
    <w:bookmarkEnd w:id="31"/>
    <w:p>
      <w:pPr>
        <w:ind w:left="1020" w:right="20" w:hanging="503"/>
        <w:spacing w:after="0" w:line="25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20" w:right="104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48"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04" w:lineRule="exact"/>
        <w:rPr>
          <w:sz w:val="20"/>
          <w:szCs w:val="20"/>
          <w:color w:val="auto"/>
        </w:rPr>
      </w:pPr>
    </w:p>
    <w:p>
      <w:pPr>
        <w:ind w:right="20" w:firstLine="578"/>
        <w:spacing w:after="0" w:line="246" w:lineRule="auto"/>
        <w:rPr>
          <w:sz w:val="20"/>
          <w:szCs w:val="20"/>
          <w:color w:val="auto"/>
        </w:rPr>
      </w:pPr>
      <w:r>
        <w:rPr>
          <w:rFonts w:ascii="Arial" w:cs="Arial" w:eastAsia="Arial" w:hAnsi="Arial"/>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49" w:lineRule="exact"/>
        <w:rPr>
          <w:sz w:val="20"/>
          <w:szCs w:val="20"/>
          <w:color w:val="auto"/>
        </w:rPr>
      </w:pPr>
    </w:p>
    <w:p>
      <w:pPr>
        <w:ind w:firstLine="578"/>
        <w:spacing w:after="0" w:line="275" w:lineRule="auto"/>
        <w:rPr>
          <w:sz w:val="20"/>
          <w:szCs w:val="20"/>
          <w:color w:val="auto"/>
        </w:rPr>
      </w:pPr>
      <w:r>
        <w:rPr>
          <w:rFonts w:ascii="Arial" w:cs="Arial" w:eastAsia="Arial" w:hAnsi="Arial"/>
          <w:sz w:val="16"/>
          <w:szCs w:val="16"/>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GMP, current Good Laboratory Practices, or GLP, and current Good Clinical Practices, or GCP,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57" w:lineRule="exact"/>
        <w:rPr>
          <w:sz w:val="20"/>
          <w:szCs w:val="20"/>
          <w:color w:val="auto"/>
        </w:rPr>
      </w:pPr>
    </w:p>
    <w:p>
      <w:pPr>
        <w:ind w:right="60" w:firstLine="578"/>
        <w:spacing w:after="0" w:line="288" w:lineRule="auto"/>
        <w:rPr>
          <w:sz w:val="20"/>
          <w:szCs w:val="20"/>
          <w:color w:val="auto"/>
        </w:rPr>
      </w:pPr>
      <w:r>
        <w:rPr>
          <w:rFonts w:ascii="Arial" w:cs="Arial" w:eastAsia="Arial" w:hAnsi="Arial"/>
          <w:sz w:val="16"/>
          <w:szCs w:val="16"/>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In addition, our product candidates could fail to receive regulatory approval from the FDA or foreign regulatory authorities for other reasons, including but not limited to:</w:t>
      </w:r>
    </w:p>
    <w:p>
      <w:pPr>
        <w:spacing w:after="0" w:line="44"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demonstrate that our product candidates are effective for their proposed indication and have an acceptable safety profile;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disagreement with the design, size, conduct or implementation of our or our collaborators’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insufficiency of data collected from trials of our product candidates to support the submission and filing of an NDA, BLA or other</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submission or to obtain regulatory approval;</w:t>
      </w: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left="1020" w:right="34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product supplies or preclinical or clinical testing;</w:t>
      </w:r>
    </w:p>
    <w:p>
      <w:pPr>
        <w:spacing w:after="0" w:line="48"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04" w:lineRule="exact"/>
        <w:rPr>
          <w:sz w:val="20"/>
          <w:szCs w:val="20"/>
          <w:color w:val="auto"/>
        </w:rPr>
      </w:pPr>
    </w:p>
    <w:p>
      <w:pPr>
        <w:ind w:firstLine="578"/>
        <w:spacing w:after="0" w:line="259"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17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49" w:lineRule="exact"/>
        <w:rPr>
          <w:sz w:val="20"/>
          <w:szCs w:val="20"/>
          <w:color w:val="auto"/>
        </w:rPr>
      </w:pPr>
    </w:p>
    <w:p>
      <w:pPr>
        <w:ind w:right="120" w:firstLine="578"/>
        <w:spacing w:after="0" w:line="290"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42"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willingness or ability to pay adequate rebates to payors or pharmacy benefit managers;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04" w:lineRule="exact"/>
        <w:rPr>
          <w:sz w:val="20"/>
          <w:szCs w:val="20"/>
          <w:color w:val="auto"/>
        </w:rPr>
      </w:pPr>
    </w:p>
    <w:p>
      <w:pPr>
        <w:ind w:right="120" w:firstLine="578"/>
        <w:spacing w:after="0" w:line="261"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84"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b w:val="1"/>
          <w:bCs w:val="1"/>
          <w:i w:val="1"/>
          <w:iCs w:val="1"/>
          <w:color w:val="auto"/>
        </w:rPr>
        <w:t>We rely on third-party suppliers as well as Incyte to manufacture and distribute our clinical drug supplies for our product candidates, we intend to rely on these parties for commercial manufacturing and distribution of our product candidates and we expect to rely on third parties for manufacturing and distribution of preclinical, clinical and commercial supplies of any future product candidates.</w:t>
      </w:r>
    </w:p>
    <w:p>
      <w:pPr>
        <w:spacing w:after="0" w:line="69" w:lineRule="exact"/>
        <w:rPr>
          <w:sz w:val="20"/>
          <w:szCs w:val="20"/>
          <w:color w:val="auto"/>
        </w:rPr>
      </w:pPr>
    </w:p>
    <w:p>
      <w:pPr>
        <w:ind w:right="80" w:firstLine="578"/>
        <w:spacing w:after="0" w:line="255" w:lineRule="auto"/>
        <w:rPr>
          <w:sz w:val="20"/>
          <w:szCs w:val="20"/>
          <w:color w:val="auto"/>
        </w:rPr>
      </w:pPr>
      <w:r>
        <w:rPr>
          <w:rFonts w:ascii="Arial" w:cs="Arial" w:eastAsia="Arial" w:hAnsi="Arial"/>
          <w:sz w:val="17"/>
          <w:szCs w:val="17"/>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additional, public health epidemics, such as the COVID-19 pandemic, may impact the ability of our existing or future manufacturers to perform their obligations to us.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40" w:firstLine="578"/>
        <w:spacing w:after="0" w:line="275" w:lineRule="auto"/>
        <w:rPr>
          <w:sz w:val="20"/>
          <w:szCs w:val="20"/>
          <w:color w:val="auto"/>
        </w:rPr>
      </w:pPr>
      <w:r>
        <w:rPr>
          <w:rFonts w:ascii="Arial" w:cs="Arial" w:eastAsia="Arial" w:hAnsi="Arial"/>
          <w:sz w:val="16"/>
          <w:szCs w:val="16"/>
          <w:color w:val="auto"/>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04" w:lineRule="exact"/>
        <w:rPr>
          <w:sz w:val="20"/>
          <w:szCs w:val="20"/>
          <w:color w:val="auto"/>
        </w:rPr>
      </w:pPr>
    </w:p>
    <w:p>
      <w:pPr>
        <w:ind w:right="40" w:firstLine="578"/>
        <w:spacing w:after="0" w:line="244" w:lineRule="auto"/>
        <w:rPr>
          <w:sz w:val="20"/>
          <w:szCs w:val="20"/>
          <w:color w:val="auto"/>
        </w:rPr>
      </w:pPr>
      <w:r>
        <w:rPr>
          <w:rFonts w:ascii="Arial" w:cs="Arial" w:eastAsia="Arial" w:hAnsi="Arial"/>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79" w:lineRule="exact"/>
        <w:rPr>
          <w:sz w:val="20"/>
          <w:szCs w:val="20"/>
          <w:color w:val="auto"/>
        </w:rPr>
      </w:pPr>
    </w:p>
    <w:p>
      <w:pPr>
        <w:ind w:firstLine="578"/>
        <w:spacing w:after="0" w:line="246"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7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04"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49" w:lineRule="exact"/>
        <w:rPr>
          <w:sz w:val="20"/>
          <w:szCs w:val="20"/>
          <w:color w:val="auto"/>
        </w:rPr>
      </w:pPr>
    </w:p>
    <w:p>
      <w:pPr>
        <w:ind w:right="40" w:firstLine="578"/>
        <w:spacing w:after="0" w:line="258"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is heavily scrutinized by the FDA’s Office of Prescription Drug Promotion,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80" w:lineRule="exact"/>
        <w:rPr>
          <w:sz w:val="20"/>
          <w:szCs w:val="20"/>
          <w:color w:val="auto"/>
        </w:rPr>
      </w:pPr>
    </w:p>
    <w:p>
      <w:pPr>
        <w:ind w:right="140" w:firstLine="578"/>
        <w:spacing w:after="0" w:line="244"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administrative, civil and criminal penalties, damages, monetary</w:t>
      </w: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right="20"/>
        <w:spacing w:after="0" w:line="275" w:lineRule="auto"/>
        <w:rPr>
          <w:sz w:val="20"/>
          <w:szCs w:val="20"/>
          <w:color w:val="auto"/>
        </w:rPr>
      </w:pPr>
      <w:r>
        <w:rPr>
          <w:rFonts w:ascii="Arial" w:cs="Arial" w:eastAsia="Arial" w:hAnsi="Arial"/>
          <w:sz w:val="16"/>
          <w:szCs w:val="16"/>
          <w:color w:val="auto"/>
        </w:rPr>
        <w:t>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9"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sz w:val="20"/>
          <w:szCs w:val="20"/>
          <w:color w:val="auto"/>
        </w:rPr>
      </w:pPr>
    </w:p>
    <w:p>
      <w:pPr>
        <w:ind w:firstLine="578"/>
        <w:spacing w:after="0" w:line="246"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77"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49"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020" w:right="620" w:hanging="503"/>
        <w:spacing w:after="0" w:line="25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66"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120" w:firstLine="57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3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76" w:lineRule="exact"/>
        <w:rPr>
          <w:sz w:val="20"/>
          <w:szCs w:val="20"/>
          <w:color w:val="auto"/>
        </w:rPr>
      </w:pPr>
    </w:p>
    <w:p>
      <w:pPr>
        <w:ind w:right="20" w:firstLine="578"/>
        <w:spacing w:after="0" w:line="254"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right="460"/>
        <w:spacing w:after="0" w:line="249" w:lineRule="auto"/>
        <w:rPr>
          <w:sz w:val="20"/>
          <w:szCs w:val="20"/>
          <w:color w:val="auto"/>
        </w:rPr>
      </w:pPr>
      <w:r>
        <w:rPr>
          <w:rFonts w:ascii="Arial" w:cs="Arial" w:eastAsia="Arial" w:hAnsi="Arial"/>
          <w:sz w:val="18"/>
          <w:szCs w:val="18"/>
          <w:color w:val="auto"/>
        </w:rPr>
        <w:t>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8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76" w:lineRule="exact"/>
        <w:rPr>
          <w:sz w:val="20"/>
          <w:szCs w:val="20"/>
          <w:color w:val="auto"/>
        </w:rPr>
      </w:pPr>
    </w:p>
    <w:p>
      <w:pPr>
        <w:ind w:right="40" w:firstLine="578"/>
        <w:spacing w:after="0" w:line="265" w:lineRule="auto"/>
        <w:rPr>
          <w:sz w:val="20"/>
          <w:szCs w:val="20"/>
          <w:color w:val="auto"/>
        </w:rPr>
      </w:pPr>
      <w:r>
        <w:rPr>
          <w:rFonts w:ascii="Arial" w:cs="Arial" w:eastAsia="Arial" w:hAnsi="Arial"/>
          <w:sz w:val="16"/>
          <w:szCs w:val="16"/>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five years, the FDA has approved three drugs, ibrutinib (</w:t>
      </w:r>
      <w:r>
        <w:rPr>
          <w:rFonts w:ascii="Arial" w:cs="Arial" w:eastAsia="Arial" w:hAnsi="Arial"/>
          <w:sz w:val="16"/>
          <w:szCs w:val="16"/>
          <w:i w:val="1"/>
          <w:iCs w:val="1"/>
          <w:color w:val="auto"/>
        </w:rPr>
        <w:t>Imbruvica</w:t>
      </w:r>
      <w:r>
        <w:rPr>
          <w:rFonts w:ascii="Arial" w:cs="Arial" w:eastAsia="Arial" w:hAnsi="Arial"/>
          <w:sz w:val="21"/>
          <w:szCs w:val="21"/>
          <w:i w:val="1"/>
          <w:iCs w:val="1"/>
          <w:color w:val="auto"/>
          <w:vertAlign w:val="superscript"/>
        </w:rPr>
        <w:t>®</w:t>
      </w:r>
      <w:r>
        <w:rPr>
          <w:rFonts w:ascii="Arial" w:cs="Arial" w:eastAsia="Arial" w:hAnsi="Arial"/>
          <w:sz w:val="16"/>
          <w:szCs w:val="16"/>
          <w:color w:val="auto"/>
        </w:rPr>
        <w:t>), belomosidil (</w:t>
      </w:r>
      <w:r>
        <w:rPr>
          <w:rFonts w:ascii="Arial" w:cs="Arial" w:eastAsia="Arial" w:hAnsi="Arial"/>
          <w:sz w:val="16"/>
          <w:szCs w:val="16"/>
          <w:i w:val="1"/>
          <w:iCs w:val="1"/>
          <w:color w:val="auto"/>
        </w:rPr>
        <w:t>Rezurock</w:t>
      </w:r>
      <w:r>
        <w:rPr>
          <w:rFonts w:ascii="Arial" w:cs="Arial" w:eastAsia="Arial" w:hAnsi="Arial"/>
          <w:sz w:val="21"/>
          <w:szCs w:val="21"/>
          <w:color w:val="auto"/>
          <w:vertAlign w:val="superscript"/>
        </w:rPr>
        <w:t>®</w:t>
      </w:r>
      <w:r>
        <w:rPr>
          <w:rFonts w:ascii="Arial" w:cs="Arial" w:eastAsia="Arial" w:hAnsi="Arial"/>
          <w:sz w:val="16"/>
          <w:szCs w:val="16"/>
          <w:color w:val="auto"/>
        </w:rPr>
        <w:t>) and ruxolitinib (</w:t>
      </w:r>
      <w:r>
        <w:rPr>
          <w:rFonts w:ascii="Arial" w:cs="Arial" w:eastAsia="Arial" w:hAnsi="Arial"/>
          <w:sz w:val="16"/>
          <w:szCs w:val="16"/>
          <w:i w:val="1"/>
          <w:iCs w:val="1"/>
          <w:color w:val="auto"/>
        </w:rPr>
        <w:t>Jakafi</w:t>
      </w:r>
      <w:r>
        <w:rPr>
          <w:rFonts w:ascii="Arial" w:cs="Arial" w:eastAsia="Arial" w:hAnsi="Arial"/>
          <w:sz w:val="21"/>
          <w:szCs w:val="21"/>
          <w:color w:val="auto"/>
          <w:vertAlign w:val="superscript"/>
        </w:rPr>
        <w:t>®</w:t>
      </w:r>
      <w:r>
        <w:rPr>
          <w:rFonts w:ascii="Arial" w:cs="Arial" w:eastAsia="Arial" w:hAnsi="Arial"/>
          <w:sz w:val="16"/>
          <w:szCs w:val="16"/>
          <w:color w:val="auto"/>
        </w:rPr>
        <w:t>), for use in patients with cGVHD after failure of one or more lines of systemic therapy. All three of these drugs may compete with axatilimab in patients diagnosed with cGVHD.</w:t>
      </w:r>
    </w:p>
    <w:p>
      <w:pPr>
        <w:spacing w:after="0" w:line="69" w:lineRule="exact"/>
        <w:rPr>
          <w:sz w:val="20"/>
          <w:szCs w:val="20"/>
          <w:color w:val="auto"/>
        </w:rPr>
      </w:pPr>
    </w:p>
    <w:p>
      <w:pPr>
        <w:ind w:right="100" w:firstLine="578"/>
        <w:spacing w:after="0" w:line="249" w:lineRule="auto"/>
        <w:rPr>
          <w:sz w:val="20"/>
          <w:szCs w:val="20"/>
          <w:color w:val="auto"/>
        </w:rPr>
      </w:pPr>
      <w:r>
        <w:rPr>
          <w:rFonts w:ascii="Arial" w:cs="Arial" w:eastAsia="Arial" w:hAnsi="Arial"/>
          <w:sz w:val="18"/>
          <w:szCs w:val="18"/>
          <w:color w:val="auto"/>
        </w:rPr>
        <w:t>Revumenib is being developed for the treatment of r/r adult and pediatric patients with MLLr ALL, MLLr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MLLr ALL, MLLr AML and/or NPM1 mutant AML.</w:t>
      </w:r>
    </w:p>
    <w:p>
      <w:pPr>
        <w:spacing w:after="0" w:line="73" w:lineRule="exact"/>
        <w:rPr>
          <w:sz w:val="20"/>
          <w:szCs w:val="20"/>
          <w:color w:val="auto"/>
        </w:rPr>
      </w:pPr>
    </w:p>
    <w:p>
      <w:pPr>
        <w:ind w:right="140" w:firstLine="578"/>
        <w:spacing w:after="0" w:line="280"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20" w:right="48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 relative to marketed products and product candidates in development by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negotiate preferential formulary status for our product candidates.</w:t>
      </w:r>
    </w:p>
    <w:p>
      <w:pPr>
        <w:spacing w:after="0" w:line="104" w:lineRule="exact"/>
        <w:rPr>
          <w:sz w:val="20"/>
          <w:szCs w:val="20"/>
          <w:color w:val="auto"/>
        </w:rPr>
      </w:pPr>
    </w:p>
    <w:p>
      <w:pPr>
        <w:jc w:val="both"/>
        <w:ind w:right="140" w:firstLine="578"/>
        <w:spacing w:after="0" w:line="249" w:lineRule="auto"/>
        <w:rPr>
          <w:sz w:val="20"/>
          <w:szCs w:val="20"/>
          <w:color w:val="auto"/>
        </w:rPr>
      </w:pPr>
      <w:r>
        <w:rPr>
          <w:rFonts w:ascii="Arial" w:cs="Arial" w:eastAsia="Arial" w:hAnsi="Arial"/>
          <w:sz w:val="18"/>
          <w:szCs w:val="18"/>
          <w:color w:val="auto"/>
        </w:rPr>
        <w:t>Even if we obtain regulatory approval of our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94" w:lineRule="exact"/>
        <w:rPr>
          <w:sz w:val="20"/>
          <w:szCs w:val="20"/>
          <w:color w:val="auto"/>
        </w:rPr>
      </w:pPr>
    </w:p>
    <w:p>
      <w:pPr>
        <w:jc w:val="both"/>
        <w:ind w:right="120"/>
        <w:spacing w:after="0" w:line="261" w:lineRule="auto"/>
        <w:rPr>
          <w:sz w:val="20"/>
          <w:szCs w:val="20"/>
          <w:color w:val="auto"/>
        </w:rPr>
      </w:pPr>
      <w:r>
        <w:rPr>
          <w:rFonts w:ascii="Arial" w:cs="Arial" w:eastAsia="Arial" w:hAnsi="Arial"/>
          <w:sz w:val="18"/>
          <w:szCs w:val="18"/>
          <w:b w:val="1"/>
          <w:bCs w:val="1"/>
          <w:i w:val="1"/>
          <w:iCs w:val="1"/>
          <w:color w:val="auto"/>
        </w:rPr>
        <w:t>The actions of Eddingpharm Investment Company Limited, or Eddingpharm, and any other current or future sublicensees could adversely affect our business.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currently exclusively sublicense entinostat to Eddingpharm for development and commercialization in China and select Asian countries. In December 2021, Eddingpharm announced that the results of its multi-center, randomized, double-blinded, placebo-controlled Phase III registration trial showed that entinostat plus exemestane improved progression free survival, overall response rate and disease control rate, compared with placebo plus exemestane in patients with advanced HR positive, HER2 negative breast cancer who had progressed after previous endocrine therapy. Nonetheless, it is possible that any future clinical trials conducted by Eddingpharm, including the forthcoming overall survival data in its ongoing Phase III registration trial, and trials by other current or future sublicensees in their respective jurisdictions could have negative results.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17" w:lineRule="exact"/>
        <w:rPr>
          <w:sz w:val="20"/>
          <w:szCs w:val="20"/>
          <w:color w:val="auto"/>
        </w:rPr>
      </w:pPr>
    </w:p>
    <w:p>
      <w:pPr>
        <w:ind w:right="80" w:firstLine="578"/>
        <w:spacing w:after="0" w:line="260" w:lineRule="auto"/>
        <w:rPr>
          <w:sz w:val="20"/>
          <w:szCs w:val="20"/>
          <w:color w:val="auto"/>
        </w:rPr>
      </w:pPr>
      <w:r>
        <w:rPr>
          <w:rFonts w:ascii="Arial" w:cs="Arial" w:eastAsia="Arial" w:hAnsi="Arial"/>
          <w:sz w:val="17"/>
          <w:szCs w:val="17"/>
          <w:color w:val="auto"/>
        </w:rPr>
        <w:t>Our commercial success also depends upon our ability to develop, manufacture, market and sell axatilimab. We have a worldwide, sublicenseable,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8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3" w:lineRule="exact"/>
        <w:rPr>
          <w:sz w:val="20"/>
          <w:szCs w:val="20"/>
          <w:color w:val="auto"/>
        </w:rPr>
      </w:pPr>
    </w:p>
    <w:p>
      <w:pPr>
        <w:ind w:firstLine="578"/>
        <w:spacing w:after="0" w:line="273"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firstLine="578"/>
        <w:spacing w:after="0" w:line="260" w:lineRule="auto"/>
        <w:rPr>
          <w:sz w:val="20"/>
          <w:szCs w:val="20"/>
          <w:color w:val="auto"/>
        </w:rPr>
      </w:pPr>
      <w:r>
        <w:rPr>
          <w:rFonts w:ascii="Arial" w:cs="Arial" w:eastAsia="Arial" w:hAnsi="Arial"/>
          <w:sz w:val="17"/>
          <w:szCs w:val="17"/>
          <w:color w:val="auto"/>
        </w:rPr>
        <w:t>To succeed, 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w:t>
      </w:r>
    </w:p>
    <w:p>
      <w:pPr>
        <w:spacing w:after="0" w:line="79" w:lineRule="exact"/>
        <w:rPr>
          <w:sz w:val="20"/>
          <w:szCs w:val="20"/>
          <w:color w:val="auto"/>
        </w:rPr>
      </w:pPr>
    </w:p>
    <w:p>
      <w:pPr>
        <w:ind w:right="60" w:firstLine="578"/>
        <w:spacing w:after="0" w:line="290"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76" w:lineRule="exact"/>
        <w:rPr>
          <w:sz w:val="20"/>
          <w:szCs w:val="20"/>
          <w:color w:val="auto"/>
        </w:rPr>
      </w:pPr>
    </w:p>
    <w:p>
      <w:pPr>
        <w:ind w:right="100" w:firstLine="578"/>
        <w:spacing w:after="0" w:line="270" w:lineRule="auto"/>
        <w:rPr>
          <w:sz w:val="20"/>
          <w:szCs w:val="20"/>
          <w:color w:val="auto"/>
        </w:rPr>
      </w:pPr>
      <w:r>
        <w:rPr>
          <w:rFonts w:ascii="Arial" w:cs="Arial" w:eastAsia="Arial" w:hAnsi="Arial"/>
          <w:sz w:val="16"/>
          <w:szCs w:val="16"/>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37" w:name="page38"/>
    <w:bookmarkEnd w:id="37"/>
    <w:p>
      <w:pPr>
        <w:ind w:right="280" w:firstLine="578"/>
        <w:spacing w:after="0" w:line="256"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67" w:lineRule="exact"/>
        <w:rPr>
          <w:sz w:val="20"/>
          <w:szCs w:val="20"/>
          <w:color w:val="auto"/>
        </w:rPr>
      </w:pPr>
    </w:p>
    <w:p>
      <w:pPr>
        <w:ind w:right="60" w:firstLine="578"/>
        <w:spacing w:after="0" w:line="259" w:lineRule="auto"/>
        <w:rPr>
          <w:sz w:val="20"/>
          <w:szCs w:val="20"/>
          <w:color w:val="auto"/>
        </w:rPr>
      </w:pPr>
      <w:r>
        <w:rPr>
          <w:rFonts w:ascii="Arial" w:cs="Arial" w:eastAsia="Arial" w:hAnsi="Arial"/>
          <w:sz w:val="17"/>
          <w:szCs w:val="17"/>
          <w:color w:val="auto"/>
        </w:rPr>
        <w:t>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81" w:lineRule="exact"/>
        <w:rPr>
          <w:sz w:val="20"/>
          <w:szCs w:val="20"/>
          <w:color w:val="auto"/>
        </w:rPr>
      </w:pPr>
    </w:p>
    <w:p>
      <w:pPr>
        <w:ind w:right="40" w:firstLine="578"/>
        <w:spacing w:after="0" w:line="261" w:lineRule="auto"/>
        <w:rPr>
          <w:sz w:val="20"/>
          <w:szCs w:val="20"/>
          <w:color w:val="auto"/>
        </w:rPr>
      </w:pPr>
      <w:r>
        <w:rPr>
          <w:rFonts w:ascii="Arial" w:cs="Arial" w:eastAsia="Arial" w:hAnsi="Arial"/>
          <w:sz w:val="17"/>
          <w:szCs w:val="17"/>
          <w:color w:val="auto"/>
        </w:rPr>
        <w:t>Private payors often follow decisions by the Centers for Medicare &amp; Medicaid Services,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64" w:lineRule="exact"/>
        <w:rPr>
          <w:sz w:val="20"/>
          <w:szCs w:val="20"/>
          <w:color w:val="auto"/>
        </w:rPr>
      </w:pPr>
    </w:p>
    <w:p>
      <w:pPr>
        <w:ind w:right="20" w:firstLine="578"/>
        <w:spacing w:after="0" w:line="259" w:lineRule="auto"/>
        <w:rPr>
          <w:sz w:val="20"/>
          <w:szCs w:val="20"/>
          <w:color w:val="auto"/>
        </w:rPr>
      </w:pPr>
      <w:r>
        <w:rPr>
          <w:rFonts w:ascii="Arial" w:cs="Arial" w:eastAsia="Arial" w:hAnsi="Arial"/>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67" w:lineRule="exact"/>
        <w:rPr>
          <w:sz w:val="20"/>
          <w:szCs w:val="20"/>
          <w:color w:val="auto"/>
        </w:rPr>
      </w:pPr>
    </w:p>
    <w:p>
      <w:pPr>
        <w:ind w:right="200" w:firstLine="578"/>
        <w:spacing w:after="0" w:line="24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38" w:lineRule="exact"/>
        <w:rPr>
          <w:sz w:val="20"/>
          <w:szCs w:val="20"/>
          <w:color w:val="auto"/>
        </w:rPr>
      </w:pPr>
    </w:p>
    <w:p>
      <w:pPr>
        <w:ind w:firstLine="578"/>
        <w:spacing w:after="0" w:line="271"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Moreover, prior to the U.S. Supreme Court ruling, January 28, 2021, President Biden issued an executive order that initiated a special enrollment period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On August 16, 2022, President Biden signed the Inflation Reduction Act of 2022 (the "IRA") into law, which among other things, extends enhanced subsidies for individuals purchasing health insurance coverage in PPACA marketplaces through plan year 2025. The IRA also eliminates the "donut hole" under the Medicare Part D program beginning in 2025 by significantly lowering the beneficiary maximum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ind w:right="220"/>
        <w:spacing w:after="0" w:line="256" w:lineRule="auto"/>
        <w:rPr>
          <w:sz w:val="20"/>
          <w:szCs w:val="20"/>
          <w:color w:val="auto"/>
        </w:rPr>
      </w:pPr>
      <w:r>
        <w:rPr>
          <w:rFonts w:ascii="Arial" w:cs="Arial" w:eastAsia="Arial" w:hAnsi="Arial"/>
          <w:sz w:val="18"/>
          <w:szCs w:val="18"/>
          <w:color w:val="auto"/>
        </w:rPr>
        <w:t>out-of-pocket costs through a newly established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67" w:lineRule="exact"/>
        <w:rPr>
          <w:sz w:val="20"/>
          <w:szCs w:val="20"/>
          <w:color w:val="auto"/>
        </w:rPr>
      </w:pPr>
    </w:p>
    <w:p>
      <w:pPr>
        <w:ind w:firstLine="578"/>
        <w:spacing w:after="0" w:line="258"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legislation’s automatic reduction to several government programs. This included aggregate reductions to Medicare payments to providers of up to 2% per fiscal year, effective as of 2013. Further legislation has extended the 2% reduction until 2031 with the exception of a temporary suspension from May 1, 2020 through March 31, 2022 due to the COVID-19 pandemic, unless additional congressional action is taken. Under current legislation, the actual reduction in Medicare payments will vary from 1% in 2022 to up to 4% in the final fiscal year of this sequester.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72" w:lineRule="exact"/>
        <w:rPr>
          <w:sz w:val="20"/>
          <w:szCs w:val="20"/>
          <w:color w:val="auto"/>
        </w:rPr>
      </w:pPr>
    </w:p>
    <w:p>
      <w:pPr>
        <w:ind w:right="60" w:firstLine="578"/>
        <w:spacing w:after="0" w:line="272"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sought to implement several of the administration’s proposals. As a result, the FDA released a final rule and guidance in September 2020, providing pathways for states to build and submit importation plans for drugs from Canada. Further, on November 20, 2020, the U.S. Department of Health &amp; Human Services,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the CMS issued an interim final rule implementing the Trump administration’s Most Favored Nation, or MFN, executive order, which would tie Medicare Part B payments for certain physician-administered drugs to the lowest price paid in other economically advanced countries. On December 27, 2021, CMS issued a final rule that rescinded the interim final rule implementing the Trump administration’s Most Favored Nation executive order. In July 2021, the Biden administration released an executive order, “Promoting Competition in the American Economy,” with multiple provisions aimed at prescription drugs. In response to President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the IRA, among other things, (1) directs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is likely to have a significant impact on the pharmaceutical industry. Congress is also considering additional health reform measures.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76" w:lineRule="exact"/>
        <w:rPr>
          <w:sz w:val="20"/>
          <w:szCs w:val="20"/>
          <w:color w:val="auto"/>
        </w:rPr>
      </w:pPr>
    </w:p>
    <w:p>
      <w:pPr>
        <w:ind w:right="380" w:firstLine="578"/>
        <w:spacing w:after="0" w:line="243" w:lineRule="auto"/>
        <w:rPr>
          <w:sz w:val="20"/>
          <w:szCs w:val="20"/>
          <w:color w:val="auto"/>
        </w:rPr>
      </w:pPr>
      <w:r>
        <w:rPr>
          <w:rFonts w:ascii="Arial" w:cs="Arial" w:eastAsia="Arial" w:hAnsi="Arial"/>
          <w:sz w:val="18"/>
          <w:szCs w:val="18"/>
          <w:color w:val="auto"/>
        </w:rPr>
        <w:t>We cannot predict the likelihood, nature or extent of government regulations that may arise from future legislation, administrative or executive action. We expect that the Affordable Care Act, the IRA,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the process of building our sales, marketing and distribution infrastructure.</w:t>
      </w:r>
    </w:p>
    <w:p>
      <w:pPr>
        <w:spacing w:after="0" w:line="104" w:lineRule="exact"/>
        <w:rPr>
          <w:sz w:val="20"/>
          <w:szCs w:val="20"/>
          <w:color w:val="auto"/>
        </w:rPr>
      </w:pPr>
    </w:p>
    <w:p>
      <w:pPr>
        <w:ind w:right="280" w:firstLine="578"/>
        <w:spacing w:after="0" w:line="246" w:lineRule="auto"/>
        <w:rPr>
          <w:sz w:val="20"/>
          <w:szCs w:val="20"/>
          <w:color w:val="auto"/>
        </w:rPr>
      </w:pPr>
      <w:r>
        <w:rPr>
          <w:rFonts w:ascii="Arial" w:cs="Arial" w:eastAsia="Arial" w:hAnsi="Arial"/>
          <w:sz w:val="18"/>
          <w:szCs w:val="18"/>
          <w:color w:val="auto"/>
        </w:rPr>
        <w:t>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marketing capabilities, we must invest significant amounts 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right="200"/>
        <w:spacing w:after="0" w:line="277" w:lineRule="auto"/>
        <w:rPr>
          <w:sz w:val="20"/>
          <w:szCs w:val="20"/>
          <w:color w:val="auto"/>
        </w:rPr>
      </w:pPr>
      <w:r>
        <w:rPr>
          <w:rFonts w:ascii="Arial" w:cs="Arial" w:eastAsia="Arial" w:hAnsi="Arial"/>
          <w:sz w:val="18"/>
          <w:szCs w:val="18"/>
          <w:color w:val="auto"/>
        </w:rPr>
        <w:t>financial and management resources in the future. For drugs where we decide to perform sales, marketing and distribution functions ourselves, we could face a number of challenges, including that:</w:t>
      </w:r>
    </w:p>
    <w:p>
      <w:pPr>
        <w:spacing w:after="0" w:line="49"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organization;</w:t>
      </w:r>
    </w:p>
    <w:p>
      <w:pPr>
        <w:spacing w:after="0" w:line="103"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03" w:lineRule="exact"/>
        <w:rPr>
          <w:rFonts w:ascii="Arial" w:cs="Arial" w:eastAsia="Arial" w:hAnsi="Arial"/>
          <w:sz w:val="18"/>
          <w:szCs w:val="18"/>
          <w:color w:val="auto"/>
        </w:rPr>
      </w:pPr>
    </w:p>
    <w:p>
      <w:pPr>
        <w:ind w:left="1020" w:right="60" w:hanging="503"/>
        <w:spacing w:after="0" w:line="25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67" w:lineRule="exact"/>
        <w:rPr>
          <w:sz w:val="20"/>
          <w:szCs w:val="20"/>
          <w:color w:val="auto"/>
        </w:rPr>
      </w:pPr>
    </w:p>
    <w:p>
      <w:pPr>
        <w:ind w:right="160" w:firstLine="578"/>
        <w:spacing w:after="0" w:line="24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40" w:lineRule="exact"/>
        <w:rPr>
          <w:sz w:val="20"/>
          <w:szCs w:val="20"/>
          <w:color w:val="auto"/>
        </w:rPr>
      </w:pPr>
    </w:p>
    <w:p>
      <w:pPr>
        <w:ind w:right="140" w:firstLine="578"/>
        <w:spacing w:after="0" w:line="245"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78"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ind w:firstLine="578"/>
        <w:spacing w:after="0" w:line="243"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20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42" w:lineRule="exact"/>
        <w:rPr>
          <w:sz w:val="20"/>
          <w:szCs w:val="20"/>
          <w:color w:val="auto"/>
        </w:rPr>
      </w:pPr>
    </w:p>
    <w:p>
      <w:pPr>
        <w:ind w:right="20" w:firstLine="578"/>
        <w:spacing w:after="0" w:line="255" w:lineRule="auto"/>
        <w:rPr>
          <w:sz w:val="20"/>
          <w:szCs w:val="20"/>
          <w:color w:val="auto"/>
        </w:rPr>
      </w:pPr>
      <w:r>
        <w:rPr>
          <w:rFonts w:ascii="Arial" w:cs="Arial" w:eastAsia="Arial" w:hAnsi="Arial"/>
          <w:sz w:val="17"/>
          <w:szCs w:val="17"/>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40" w:name="page41"/>
    <w:bookmarkEnd w:id="40"/>
    <w:p>
      <w:pPr>
        <w:ind w:left="1020" w:right="160" w:hanging="503"/>
        <w:spacing w:after="0" w:line="26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71" w:lineRule="exact"/>
        <w:rPr>
          <w:rFonts w:ascii="Arial" w:cs="Arial" w:eastAsia="Arial" w:hAnsi="Arial"/>
          <w:sz w:val="17"/>
          <w:szCs w:val="17"/>
          <w:color w:val="auto"/>
        </w:rPr>
      </w:pPr>
    </w:p>
    <w:p>
      <w:pPr>
        <w:ind w:left="1020" w:right="60" w:hanging="503"/>
        <w:spacing w:after="0" w:line="249"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2" w:lineRule="exact"/>
        <w:rPr>
          <w:rFonts w:ascii="Arial" w:cs="Arial" w:eastAsia="Arial" w:hAnsi="Arial"/>
          <w:sz w:val="18"/>
          <w:szCs w:val="18"/>
          <w:color w:val="auto"/>
        </w:rPr>
      </w:pPr>
    </w:p>
    <w:p>
      <w:pPr>
        <w:ind w:left="1020" w:right="80" w:hanging="503"/>
        <w:spacing w:after="0" w:line="24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79" w:lineRule="exact"/>
        <w:rPr>
          <w:rFonts w:ascii="Arial" w:cs="Arial" w:eastAsia="Arial" w:hAnsi="Arial"/>
          <w:sz w:val="18"/>
          <w:szCs w:val="18"/>
          <w:color w:val="auto"/>
        </w:rPr>
      </w:pPr>
    </w:p>
    <w:p>
      <w:pPr>
        <w:ind w:left="1020" w:right="60" w:hanging="503"/>
        <w:spacing w:after="0" w:line="24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91" w:lineRule="exact"/>
        <w:rPr>
          <w:rFonts w:ascii="Arial" w:cs="Arial" w:eastAsia="Arial" w:hAnsi="Arial"/>
          <w:sz w:val="18"/>
          <w:szCs w:val="18"/>
          <w:color w:val="auto"/>
        </w:rPr>
      </w:pPr>
    </w:p>
    <w:p>
      <w:pPr>
        <w:ind w:left="1020" w:right="60" w:hanging="503"/>
        <w:spacing w:after="0" w:line="260"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65" w:lineRule="exact"/>
        <w:rPr>
          <w:rFonts w:ascii="Arial" w:cs="Arial" w:eastAsia="Arial" w:hAnsi="Arial"/>
          <w:sz w:val="17"/>
          <w:szCs w:val="17"/>
          <w:color w:val="auto"/>
        </w:rPr>
      </w:pPr>
    </w:p>
    <w:p>
      <w:pPr>
        <w:ind w:left="1020" w:hanging="503"/>
        <w:spacing w:after="0" w:line="258"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70" w:lineRule="exact"/>
        <w:rPr>
          <w:sz w:val="20"/>
          <w:szCs w:val="20"/>
          <w:color w:val="auto"/>
        </w:rPr>
      </w:pPr>
    </w:p>
    <w:p>
      <w:pPr>
        <w:ind w:right="60" w:firstLine="578"/>
        <w:spacing w:after="0" w:line="272"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ind w:right="4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49" w:lineRule="exact"/>
        <w:rPr>
          <w:sz w:val="20"/>
          <w:szCs w:val="20"/>
          <w:color w:val="auto"/>
        </w:rPr>
      </w:pPr>
    </w:p>
    <w:p>
      <w:pPr>
        <w:ind w:firstLine="578"/>
        <w:spacing w:after="0" w:line="256"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ongoing COVID-19 pandemic, we have enabled substantially all of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73" w:lineRule="exact"/>
        <w:rPr>
          <w:sz w:val="20"/>
          <w:szCs w:val="20"/>
          <w:color w:val="auto"/>
        </w:rPr>
      </w:pPr>
    </w:p>
    <w:p>
      <w:pPr>
        <w:ind w:right="180" w:firstLine="578"/>
        <w:spacing w:after="0" w:line="244"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79"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our inception, except 2021, and anticipate that we will continue to incur net losses for the foreseeable future.</w:t>
      </w:r>
    </w:p>
    <w:p>
      <w:pPr>
        <w:spacing w:after="0" w:line="140" w:lineRule="exact"/>
        <w:rPr>
          <w:sz w:val="20"/>
          <w:szCs w:val="20"/>
          <w:color w:val="auto"/>
        </w:rPr>
      </w:pPr>
    </w:p>
    <w:p>
      <w:pPr>
        <w:ind w:right="20" w:firstLine="578"/>
        <w:spacing w:after="0" w:line="24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ind w:right="20"/>
        <w:spacing w:after="0" w:line="278" w:lineRule="auto"/>
        <w:rPr>
          <w:sz w:val="20"/>
          <w:szCs w:val="20"/>
          <w:color w:val="auto"/>
        </w:rPr>
      </w:pPr>
      <w:r>
        <w:rPr>
          <w:rFonts w:ascii="Arial" w:cs="Arial" w:eastAsia="Arial" w:hAnsi="Arial"/>
          <w:sz w:val="17"/>
          <w:szCs w:val="17"/>
          <w:color w:val="auto"/>
        </w:rPr>
        <w:t>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50" w:lineRule="exact"/>
        <w:rPr>
          <w:sz w:val="20"/>
          <w:szCs w:val="20"/>
          <w:color w:val="auto"/>
        </w:rPr>
      </w:pPr>
    </w:p>
    <w:p>
      <w:pPr>
        <w:ind w:right="20" w:firstLine="509"/>
        <w:spacing w:after="0" w:line="261" w:lineRule="auto"/>
        <w:rPr>
          <w:sz w:val="20"/>
          <w:szCs w:val="20"/>
          <w:color w:val="auto"/>
        </w:rPr>
      </w:pPr>
      <w:r>
        <w:rPr>
          <w:rFonts w:ascii="Arial" w:cs="Arial" w:eastAsia="Arial" w:hAnsi="Arial"/>
          <w:sz w:val="17"/>
          <w:szCs w:val="17"/>
          <w:color w:val="auto"/>
        </w:rPr>
        <w:t>For the quarter ended September 30, 2022, we reported a net loss attributable to stockholders of $110.1 million. As of September 30, 2022, we had an accumulated deficit of $653.8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revenues, if any. Our prior losses and expected future losses have had and will continue to have an adverse effect on our stockholders’ equity and working capital.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jc w:val="both"/>
        <w:ind w:right="60" w:firstLine="578"/>
        <w:spacing w:after="0" w:line="248"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87"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03"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04" w:lineRule="exact"/>
        <w:rPr>
          <w:sz w:val="20"/>
          <w:szCs w:val="20"/>
          <w:color w:val="auto"/>
        </w:rPr>
      </w:pPr>
    </w:p>
    <w:p>
      <w:pPr>
        <w:ind w:right="120" w:firstLine="578"/>
        <w:spacing w:after="0" w:line="263" w:lineRule="auto"/>
        <w:rPr>
          <w:sz w:val="20"/>
          <w:szCs w:val="20"/>
          <w:color w:val="auto"/>
        </w:rPr>
      </w:pPr>
      <w:r>
        <w:rPr>
          <w:rFonts w:ascii="Arial" w:cs="Arial" w:eastAsia="Arial" w:hAnsi="Arial"/>
          <w:sz w:val="17"/>
          <w:szCs w:val="17"/>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63" w:lineRule="exact"/>
        <w:rPr>
          <w:sz w:val="20"/>
          <w:szCs w:val="20"/>
          <w:color w:val="auto"/>
        </w:rPr>
      </w:pPr>
    </w:p>
    <w:p>
      <w:pPr>
        <w:ind w:right="60" w:firstLine="584"/>
        <w:spacing w:after="0" w:line="24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94"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87" w:lineRule="exact"/>
        <w:rPr>
          <w:sz w:val="20"/>
          <w:szCs w:val="20"/>
          <w:color w:val="auto"/>
        </w:rPr>
      </w:pPr>
    </w:p>
    <w:p>
      <w:pPr>
        <w:ind w:right="20" w:firstLine="578"/>
        <w:spacing w:after="0" w:line="279"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COVID-19’s global economic impact, including any recessions that has occurred or may occur in the future. In addition, we may discover that we need to conduct additional activities that exceed our current budget to achieve appropriate rates of patient enrollment, which would increase our development costs.</w:t>
      </w:r>
    </w:p>
    <w:p>
      <w:pPr>
        <w:spacing w:after="0" w:line="53" w:lineRule="exact"/>
        <w:rPr>
          <w:sz w:val="20"/>
          <w:szCs w:val="20"/>
          <w:color w:val="auto"/>
        </w:rPr>
      </w:pPr>
    </w:p>
    <w:p>
      <w:pPr>
        <w:ind w:right="160" w:firstLine="578"/>
        <w:spacing w:after="0" w:line="251"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43" w:name="page44"/>
    <w:bookmarkEnd w:id="43"/>
    <w:p>
      <w:pPr>
        <w:ind w:right="40"/>
        <w:spacing w:after="0" w:line="268" w:lineRule="auto"/>
        <w:rPr>
          <w:sz w:val="20"/>
          <w:szCs w:val="20"/>
          <w:color w:val="auto"/>
        </w:rPr>
      </w:pPr>
      <w:r>
        <w:rPr>
          <w:rFonts w:ascii="Arial" w:cs="Arial" w:eastAsia="Arial" w:hAnsi="Arial"/>
          <w:sz w:val="17"/>
          <w:szCs w:val="17"/>
          <w:color w:val="auto"/>
        </w:rPr>
        <w:t>divert our management from our day-to-day activities, which may adversely affect our ability to develop and commercialize our product candidates. The ongoing COVID-19 pandemic has already resulted in a significant disruption of global financial markets. If a disruption persists and deepens,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72"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03"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49" w:lineRule="exact"/>
        <w:rPr>
          <w:sz w:val="20"/>
          <w:szCs w:val="20"/>
          <w:color w:val="auto"/>
        </w:rPr>
      </w:pPr>
    </w:p>
    <w:p>
      <w:pPr>
        <w:ind w:right="120" w:firstLine="578"/>
        <w:spacing w:after="0" w:line="291"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76" w:lineRule="exact"/>
        <w:rPr>
          <w:rFonts w:ascii="Arial" w:cs="Arial" w:eastAsia="Arial" w:hAnsi="Arial"/>
          <w:sz w:val="18"/>
          <w:szCs w:val="18"/>
          <w:color w:val="auto"/>
        </w:rPr>
      </w:pPr>
    </w:p>
    <w:p>
      <w:pPr>
        <w:jc w:val="both"/>
        <w:ind w:left="1020" w:right="280" w:hanging="503"/>
        <w:spacing w:after="0" w:line="248"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76"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need to acquire and implement additional internal systems and infrastructure, including compliance and financial and reporting systems, as we grow our company; and</w:t>
      </w:r>
    </w:p>
    <w:p>
      <w:pPr>
        <w:spacing w:after="0" w:line="48" w:lineRule="exact"/>
        <w:rPr>
          <w:rFonts w:ascii="Arial" w:cs="Arial" w:eastAsia="Arial" w:hAnsi="Arial"/>
          <w:sz w:val="18"/>
          <w:szCs w:val="18"/>
          <w:color w:val="auto"/>
        </w:rPr>
      </w:pPr>
    </w:p>
    <w:p>
      <w:pPr>
        <w:ind w:left="1020" w:right="80" w:hanging="503"/>
        <w:spacing w:after="0" w:line="291"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business interruptions resulting from pandemics and public health emergencies, including those related to the ongoing COVID-19 pandemic, geopolitical actions, including war and terrorism or natural disasters including earthquakes, typhoons, floods and fires.</w:t>
      </w:r>
    </w:p>
    <w:p>
      <w:pPr>
        <w:spacing w:after="0" w:line="52" w:lineRule="exact"/>
        <w:rPr>
          <w:sz w:val="20"/>
          <w:szCs w:val="20"/>
          <w:color w:val="auto"/>
        </w:rPr>
      </w:pPr>
    </w:p>
    <w:p>
      <w:pPr>
        <w:ind w:right="100" w:firstLine="578"/>
        <w:spacing w:after="0" w:line="261"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Inflation Reduction Act of 2022, or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right="20"/>
        <w:spacing w:after="0" w:line="249" w:lineRule="auto"/>
        <w:rPr>
          <w:sz w:val="20"/>
          <w:szCs w:val="20"/>
          <w:color w:val="auto"/>
        </w:rPr>
      </w:pPr>
      <w:r>
        <w:rPr>
          <w:rFonts w:ascii="Arial" w:cs="Arial" w:eastAsia="Arial" w:hAnsi="Arial"/>
          <w:sz w:val="18"/>
          <w:szCs w:val="18"/>
          <w:color w:val="auto"/>
        </w:rPr>
        <w:t>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78"/>
        <w:spacing w:after="0" w:line="245"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78" w:lineRule="exact"/>
        <w:rPr>
          <w:sz w:val="20"/>
          <w:szCs w:val="20"/>
          <w:color w:val="auto"/>
        </w:rPr>
      </w:pPr>
    </w:p>
    <w:p>
      <w:pPr>
        <w:ind w:firstLine="578"/>
        <w:spacing w:after="0" w:line="26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65" w:lineRule="exact"/>
        <w:rPr>
          <w:sz w:val="20"/>
          <w:szCs w:val="20"/>
          <w:color w:val="auto"/>
        </w:rPr>
      </w:pPr>
    </w:p>
    <w:p>
      <w:pPr>
        <w:ind w:firstLine="578"/>
        <w:spacing w:after="0" w:line="255"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ind w:right="640"/>
        <w:spacing w:after="0" w:line="342" w:lineRule="auto"/>
        <w:rPr>
          <w:sz w:val="20"/>
          <w:szCs w:val="20"/>
          <w:color w:val="auto"/>
        </w:rPr>
      </w:pPr>
      <w:r>
        <w:rPr>
          <w:rFonts w:ascii="Arial" w:cs="Arial" w:eastAsia="Arial" w:hAnsi="Arial"/>
          <w:sz w:val="16"/>
          <w:szCs w:val="16"/>
          <w:color w:val="auto"/>
        </w:rPr>
        <w:t>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2" w:lineRule="exact"/>
        <w:rPr>
          <w:sz w:val="20"/>
          <w:szCs w:val="20"/>
          <w:color w:val="auto"/>
        </w:rPr>
      </w:pPr>
    </w:p>
    <w:p>
      <w:pPr>
        <w:ind w:right="100" w:firstLine="578"/>
        <w:spacing w:after="0" w:line="245"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91" w:lineRule="exact"/>
        <w:rPr>
          <w:sz w:val="20"/>
          <w:szCs w:val="20"/>
          <w:color w:val="auto"/>
        </w:rPr>
      </w:pPr>
    </w:p>
    <w:p>
      <w:pPr>
        <w:ind w:right="40" w:firstLine="578"/>
        <w:spacing w:after="0" w:line="257"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United States Patent and Trademark Office, or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67" w:lineRule="exact"/>
        <w:rPr>
          <w:sz w:val="20"/>
          <w:szCs w:val="20"/>
          <w:color w:val="auto"/>
        </w:rPr>
      </w:pPr>
    </w:p>
    <w:p>
      <w:pPr>
        <w:ind w:firstLine="578"/>
        <w:spacing w:after="0" w:line="26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65" w:lineRule="exact"/>
        <w:rPr>
          <w:sz w:val="20"/>
          <w:szCs w:val="20"/>
          <w:color w:val="auto"/>
        </w:rPr>
      </w:pPr>
    </w:p>
    <w:p>
      <w:pPr>
        <w:ind w:right="60" w:firstLine="578"/>
        <w:spacing w:after="0" w:line="244" w:lineRule="auto"/>
        <w:rPr>
          <w:sz w:val="20"/>
          <w:szCs w:val="20"/>
          <w:color w:val="auto"/>
        </w:rPr>
      </w:pPr>
      <w:r>
        <w:rPr>
          <w:rFonts w:ascii="Arial" w:cs="Arial" w:eastAsia="Arial" w:hAnsi="Arial"/>
          <w:sz w:val="18"/>
          <w:szCs w:val="18"/>
          <w:color w:val="auto"/>
        </w:rPr>
        <w:t>The portfolio that we licensed from UCB includes granted patents and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additional patents, if any, granted based on the currently pending applications would expire in 2034. The actual term of any patents granted based on the pending applications we licensed from UCB can only be determined after such patents are actually granted.</w:t>
      </w:r>
    </w:p>
    <w:p>
      <w:pPr>
        <w:spacing w:after="0" w:line="79" w:lineRule="exact"/>
        <w:rPr>
          <w:sz w:val="20"/>
          <w:szCs w:val="20"/>
          <w:color w:val="auto"/>
        </w:rPr>
      </w:pPr>
    </w:p>
    <w:p>
      <w:pPr>
        <w:ind w:firstLine="578"/>
        <w:spacing w:after="0" w:line="245" w:lineRule="auto"/>
        <w:rPr>
          <w:sz w:val="20"/>
          <w:szCs w:val="20"/>
          <w:color w:val="auto"/>
        </w:rPr>
      </w:pPr>
      <w:r>
        <w:rPr>
          <w:rFonts w:ascii="Arial" w:cs="Arial" w:eastAsia="Arial" w:hAnsi="Arial"/>
          <w:sz w:val="18"/>
          <w:szCs w:val="18"/>
          <w:color w:val="auto"/>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40" w:firstLine="578"/>
        <w:spacing w:after="0" w:line="256"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firstLine="578"/>
        <w:spacing w:after="0" w:line="26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68" w:lineRule="exact"/>
        <w:rPr>
          <w:sz w:val="20"/>
          <w:szCs w:val="20"/>
          <w:color w:val="auto"/>
        </w:rPr>
      </w:pPr>
    </w:p>
    <w:p>
      <w:pPr>
        <w:ind w:firstLine="578"/>
        <w:spacing w:after="0" w:line="258"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8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76" w:lineRule="exact"/>
        <w:rPr>
          <w:sz w:val="20"/>
          <w:szCs w:val="20"/>
          <w:color w:val="auto"/>
        </w:rPr>
      </w:pPr>
    </w:p>
    <w:p>
      <w:pPr>
        <w:ind w:right="140" w:firstLine="578"/>
        <w:spacing w:after="0" w:line="260" w:lineRule="auto"/>
        <w:rPr>
          <w:sz w:val="20"/>
          <w:szCs w:val="20"/>
          <w:color w:val="auto"/>
        </w:rPr>
      </w:pPr>
      <w:r>
        <w:rPr>
          <w:rFonts w:ascii="Arial" w:cs="Arial" w:eastAsia="Arial" w:hAnsi="Arial"/>
          <w:sz w:val="17"/>
          <w:szCs w:val="17"/>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66" w:lineRule="exact"/>
        <w:rPr>
          <w:sz w:val="20"/>
          <w:szCs w:val="20"/>
          <w:color w:val="auto"/>
        </w:rPr>
      </w:pPr>
    </w:p>
    <w:p>
      <w:pPr>
        <w:ind w:right="60" w:firstLine="578"/>
        <w:spacing w:after="0" w:line="267"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0" w:lineRule="exact"/>
        <w:rPr>
          <w:sz w:val="20"/>
          <w:szCs w:val="20"/>
          <w:color w:val="auto"/>
        </w:rPr>
      </w:pPr>
    </w:p>
    <w:p>
      <w:pPr>
        <w:ind w:right="20" w:firstLine="578"/>
        <w:spacing w:after="0" w:line="245"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91" w:lineRule="exact"/>
        <w:rPr>
          <w:sz w:val="20"/>
          <w:szCs w:val="20"/>
          <w:color w:val="auto"/>
        </w:rPr>
      </w:pPr>
    </w:p>
    <w:p>
      <w:pPr>
        <w:ind w:firstLine="578"/>
        <w:spacing w:after="0" w:line="268" w:lineRule="auto"/>
        <w:rPr>
          <w:sz w:val="20"/>
          <w:szCs w:val="20"/>
          <w:color w:val="auto"/>
        </w:rPr>
      </w:pPr>
      <w:r>
        <w:rPr>
          <w:rFonts w:ascii="Arial" w:cs="Arial" w:eastAsia="Arial" w:hAnsi="Arial"/>
          <w:sz w:val="17"/>
          <w:szCs w:val="17"/>
          <w:color w:val="auto"/>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w:t>
      </w:r>
    </w:p>
    <w:p>
      <w:pPr>
        <w:spacing w:after="0" w:line="16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we breach the license agreement related to revumenib or if the license agreement is otherwise terminated, we could lose the ability to continue the development and commercialization of revumenib.</w:t>
      </w:r>
    </w:p>
    <w:p>
      <w:pPr>
        <w:spacing w:after="0" w:line="63" w:lineRule="exact"/>
        <w:rPr>
          <w:sz w:val="20"/>
          <w:szCs w:val="20"/>
          <w:color w:val="auto"/>
        </w:rPr>
      </w:pPr>
    </w:p>
    <w:p>
      <w:pPr>
        <w:ind w:right="20" w:firstLine="578"/>
        <w:spacing w:after="0" w:line="244" w:lineRule="auto"/>
        <w:rPr>
          <w:sz w:val="20"/>
          <w:szCs w:val="20"/>
          <w:color w:val="auto"/>
        </w:rPr>
      </w:pPr>
      <w:r>
        <w:rPr>
          <w:rFonts w:ascii="Arial" w:cs="Arial" w:eastAsia="Arial" w:hAnsi="Arial"/>
          <w:sz w:val="18"/>
          <w:szCs w:val="18"/>
          <w:color w:val="auto"/>
        </w:rPr>
        <w:t>Our commercial success depends upon our ability to develop, manufacture, market and sell revumenib. Subject to the achievement of certain milestone events, we may be required to pay Vitae, which is now a subsidiary of AbbVie, up to $99 million in one-time development and regulatory milestone payments over the term of the AbbVie license agreement. In the event that we or any of our affiliates or sublicensees commercializes revumenib, we will also be obligated to pay AbbVie low single to low double-digit royalties on sales, subject to reduction in certain circumstances, as well as up to an aggregate of $70 million in potential one-time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7" w:name="page48"/>
    <w:bookmarkEnd w:id="47"/>
    <w:p>
      <w:pPr>
        <w:ind w:right="460"/>
        <w:spacing w:after="0" w:line="277" w:lineRule="auto"/>
        <w:rPr>
          <w:sz w:val="20"/>
          <w:szCs w:val="20"/>
          <w:color w:val="auto"/>
        </w:rPr>
      </w:pPr>
      <w:r>
        <w:rPr>
          <w:rFonts w:ascii="Arial" w:cs="Arial" w:eastAsia="Arial" w:hAnsi="Arial"/>
          <w:sz w:val="18"/>
          <w:szCs w:val="18"/>
          <w:color w:val="auto"/>
        </w:rPr>
        <w:t>sales-based milestone payments based on achievement of certain annual sales thresholds. Under certain circumstances, we may be required to share a percentage of non-royalty income from sublicensees, subject to certain deductions, with AbbVie.</w:t>
      </w:r>
    </w:p>
    <w:p>
      <w:pPr>
        <w:spacing w:after="0" w:line="49" w:lineRule="exact"/>
        <w:rPr>
          <w:sz w:val="20"/>
          <w:szCs w:val="20"/>
          <w:color w:val="auto"/>
        </w:rPr>
      </w:pPr>
    </w:p>
    <w:p>
      <w:pPr>
        <w:ind w:firstLine="578"/>
        <w:spacing w:after="0" w:line="245" w:lineRule="auto"/>
        <w:rPr>
          <w:sz w:val="20"/>
          <w:szCs w:val="20"/>
          <w:color w:val="auto"/>
        </w:rPr>
      </w:pPr>
      <w:r>
        <w:rPr>
          <w:rFonts w:ascii="Arial" w:cs="Arial" w:eastAsia="Arial" w:hAnsi="Arial"/>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91" w:lineRule="exact"/>
        <w:rPr>
          <w:sz w:val="20"/>
          <w:szCs w:val="20"/>
          <w:color w:val="auto"/>
        </w:rPr>
      </w:pPr>
    </w:p>
    <w:p>
      <w:pPr>
        <w:ind w:right="40" w:firstLine="578"/>
        <w:spacing w:after="0" w:line="245"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revumenib have occurred and the last-to-expire relevant patent covering revumenib in a given country may change in the future.</w:t>
      </w:r>
    </w:p>
    <w:p>
      <w:pPr>
        <w:spacing w:after="0" w:line="78" w:lineRule="exact"/>
        <w:rPr>
          <w:sz w:val="20"/>
          <w:szCs w:val="20"/>
          <w:color w:val="auto"/>
        </w:rPr>
      </w:pPr>
    </w:p>
    <w:p>
      <w:pPr>
        <w:ind w:right="80" w:firstLine="578"/>
        <w:spacing w:after="0" w:line="261" w:lineRule="auto"/>
        <w:rPr>
          <w:sz w:val="20"/>
          <w:szCs w:val="20"/>
          <w:color w:val="auto"/>
        </w:rPr>
      </w:pPr>
      <w:r>
        <w:rPr>
          <w:rFonts w:ascii="Arial" w:cs="Arial" w:eastAsia="Arial" w:hAnsi="Arial"/>
          <w:sz w:val="18"/>
          <w:szCs w:val="18"/>
          <w:color w:val="auto"/>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8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3" w:lineRule="exact"/>
        <w:rPr>
          <w:sz w:val="20"/>
          <w:szCs w:val="20"/>
          <w:color w:val="auto"/>
        </w:rPr>
      </w:pPr>
    </w:p>
    <w:p>
      <w:pPr>
        <w:ind w:right="60" w:firstLine="578"/>
        <w:spacing w:after="0" w:line="249" w:lineRule="auto"/>
        <w:rPr>
          <w:sz w:val="20"/>
          <w:szCs w:val="20"/>
          <w:color w:val="auto"/>
        </w:rPr>
      </w:pPr>
      <w:r>
        <w:rPr>
          <w:rFonts w:ascii="Arial" w:cs="Arial" w:eastAsia="Arial" w:hAnsi="Arial"/>
          <w:sz w:val="18"/>
          <w:szCs w:val="18"/>
          <w:color w:val="auto"/>
        </w:rPr>
        <w:t>We have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74" w:lineRule="exact"/>
        <w:rPr>
          <w:sz w:val="20"/>
          <w:szCs w:val="20"/>
          <w:color w:val="auto"/>
        </w:rPr>
      </w:pPr>
    </w:p>
    <w:p>
      <w:pPr>
        <w:ind w:right="40" w:firstLine="578"/>
        <w:spacing w:after="0" w:line="280"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50" w:lineRule="exact"/>
        <w:rPr>
          <w:sz w:val="20"/>
          <w:szCs w:val="20"/>
          <w:color w:val="auto"/>
        </w:rPr>
      </w:pPr>
    </w:p>
    <w:p>
      <w:pPr>
        <w:ind w:right="60" w:firstLine="578"/>
        <w:spacing w:after="0" w:line="26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65" w:lineRule="exact"/>
        <w:rPr>
          <w:sz w:val="20"/>
          <w:szCs w:val="20"/>
          <w:color w:val="auto"/>
        </w:rPr>
      </w:pPr>
    </w:p>
    <w:p>
      <w:pPr>
        <w:ind w:right="20" w:firstLine="578"/>
        <w:spacing w:after="0" w:line="261"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15" w:lineRule="exact"/>
        <w:rPr>
          <w:sz w:val="20"/>
          <w:szCs w:val="20"/>
          <w:color w:val="auto"/>
        </w:rPr>
      </w:pPr>
    </w:p>
    <w:p>
      <w:pPr>
        <w:ind w:right="40" w:firstLine="578"/>
        <w:spacing w:after="0" w:line="272"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ind w:right="820"/>
        <w:spacing w:after="0" w:line="277" w:lineRule="auto"/>
        <w:rPr>
          <w:sz w:val="20"/>
          <w:szCs w:val="20"/>
          <w:color w:val="auto"/>
        </w:rPr>
      </w:pPr>
      <w:r>
        <w:rPr>
          <w:rFonts w:ascii="Arial" w:cs="Arial" w:eastAsia="Arial" w:hAnsi="Arial"/>
          <w:sz w:val="18"/>
          <w:szCs w:val="18"/>
          <w:color w:val="auto"/>
        </w:rPr>
        <w:t>selection patent claims or if we are successful in obtaining allowance of our biomarker based patient selection claims, we or our licensor may be unsuccessful in defending the validity of such claims if challenged before a competent court.</w:t>
      </w:r>
    </w:p>
    <w:p>
      <w:pPr>
        <w:spacing w:after="0" w:line="49" w:lineRule="exact"/>
        <w:rPr>
          <w:sz w:val="20"/>
          <w:szCs w:val="20"/>
          <w:color w:val="auto"/>
        </w:rPr>
      </w:pPr>
    </w:p>
    <w:p>
      <w:pPr>
        <w:ind w:firstLine="578"/>
        <w:spacing w:after="0" w:line="258"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8"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7" w:lineRule="exact"/>
        <w:rPr>
          <w:sz w:val="20"/>
          <w:szCs w:val="20"/>
          <w:color w:val="auto"/>
        </w:rPr>
      </w:pPr>
    </w:p>
    <w:p>
      <w:pPr>
        <w:ind w:right="20" w:firstLine="578"/>
        <w:spacing w:after="0" w:line="259"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49" w:lineRule="exact"/>
        <w:rPr>
          <w:sz w:val="20"/>
          <w:szCs w:val="20"/>
          <w:color w:val="auto"/>
        </w:rPr>
      </w:pPr>
    </w:p>
    <w:p>
      <w:pPr>
        <w:ind w:right="120" w:firstLine="578"/>
        <w:spacing w:after="0" w:line="257"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80" w:lineRule="exact"/>
        <w:rPr>
          <w:sz w:val="20"/>
          <w:szCs w:val="20"/>
          <w:color w:val="auto"/>
        </w:rPr>
      </w:pPr>
    </w:p>
    <w:p>
      <w:pPr>
        <w:ind w:right="80" w:firstLine="578"/>
        <w:spacing w:after="0" w:line="257"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3" w:lineRule="exact"/>
        <w:rPr>
          <w:sz w:val="20"/>
          <w:szCs w:val="20"/>
          <w:color w:val="auto"/>
        </w:rPr>
      </w:pPr>
    </w:p>
    <w:p>
      <w:pPr>
        <w:ind w:right="60" w:firstLine="578"/>
        <w:spacing w:after="0" w:line="250"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ind w:right="80"/>
        <w:spacing w:after="0" w:line="277" w:lineRule="auto"/>
        <w:rPr>
          <w:sz w:val="20"/>
          <w:szCs w:val="20"/>
          <w:color w:val="auto"/>
        </w:rPr>
      </w:pPr>
      <w:r>
        <w:rPr>
          <w:rFonts w:ascii="Arial" w:cs="Arial" w:eastAsia="Arial" w:hAnsi="Arial"/>
          <w:sz w:val="18"/>
          <w:szCs w:val="18"/>
          <w:color w:val="auto"/>
        </w:rPr>
        <w:t>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5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7" w:lineRule="exact"/>
        <w:rPr>
          <w:sz w:val="20"/>
          <w:szCs w:val="20"/>
          <w:color w:val="auto"/>
        </w:rPr>
      </w:pPr>
    </w:p>
    <w:p>
      <w:pPr>
        <w:ind w:right="60" w:firstLine="578"/>
        <w:spacing w:after="0" w:line="243"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93" w:lineRule="exact"/>
        <w:rPr>
          <w:sz w:val="20"/>
          <w:szCs w:val="20"/>
          <w:color w:val="auto"/>
        </w:rPr>
      </w:pPr>
    </w:p>
    <w:p>
      <w:pPr>
        <w:ind w:right="20" w:firstLine="578"/>
        <w:spacing w:after="0" w:line="24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76" w:lineRule="exact"/>
        <w:rPr>
          <w:sz w:val="20"/>
          <w:szCs w:val="20"/>
          <w:color w:val="auto"/>
        </w:rPr>
      </w:pPr>
    </w:p>
    <w:p>
      <w:pPr>
        <w:jc w:val="both"/>
        <w:ind w:right="160" w:firstLine="578"/>
        <w:spacing w:after="0" w:line="243"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9" w:lineRule="exact"/>
        <w:rPr>
          <w:sz w:val="20"/>
          <w:szCs w:val="20"/>
          <w:color w:val="auto"/>
        </w:rPr>
      </w:pPr>
    </w:p>
    <w:p>
      <w:pPr>
        <w:ind w:right="40" w:firstLine="578"/>
        <w:spacing w:after="0" w:line="256"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67" w:lineRule="exact"/>
        <w:rPr>
          <w:sz w:val="20"/>
          <w:szCs w:val="20"/>
          <w:color w:val="auto"/>
        </w:rPr>
      </w:pPr>
    </w:p>
    <w:p>
      <w:pPr>
        <w:ind w:right="80" w:firstLine="578"/>
        <w:spacing w:after="0" w:line="268"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left="258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04" w:lineRule="exact"/>
        <w:rPr>
          <w:sz w:val="20"/>
          <w:szCs w:val="20"/>
          <w:color w:val="auto"/>
        </w:rPr>
      </w:pPr>
    </w:p>
    <w:p>
      <w:pPr>
        <w:ind w:right="140" w:firstLine="578"/>
        <w:spacing w:after="0" w:line="291"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52"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0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 including, but not limited to the ongoing impact of the COVID-19 pandemic and the Russia-Ukraine war.</w:t>
      </w:r>
    </w:p>
    <w:p>
      <w:pPr>
        <w:spacing w:after="0" w:line="49" w:lineRule="exact"/>
        <w:rPr>
          <w:sz w:val="20"/>
          <w:szCs w:val="20"/>
          <w:color w:val="auto"/>
        </w:rPr>
      </w:pPr>
    </w:p>
    <w:p>
      <w:pPr>
        <w:ind w:right="440" w:firstLine="578"/>
        <w:spacing w:after="0" w:line="282" w:lineRule="auto"/>
        <w:rPr>
          <w:sz w:val="20"/>
          <w:szCs w:val="20"/>
          <w:color w:val="auto"/>
        </w:rPr>
      </w:pPr>
      <w:r>
        <w:rPr>
          <w:rFonts w:ascii="Arial" w:cs="Arial" w:eastAsia="Arial" w:hAnsi="Arial"/>
          <w:sz w:val="16"/>
          <w:szCs w:val="16"/>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w:t>
      </w:r>
    </w:p>
    <w:p>
      <w:pPr>
        <w:spacing w:after="0"/>
        <w:rPr>
          <w:sz w:val="20"/>
          <w:szCs w:val="20"/>
          <w:color w:val="auto"/>
        </w:rPr>
      </w:pPr>
      <w:r>
        <w:rPr>
          <w:rFonts w:ascii="Arial" w:cs="Arial" w:eastAsia="Arial" w:hAnsi="Arial"/>
          <w:sz w:val="17"/>
          <w:szCs w:val="17"/>
          <w:color w:val="auto"/>
        </w:rPr>
        <w:t>companies, including recently in connection with the ongoing COVID-19 pandemic, which resulted in decreased stock prices for many companies</w:t>
      </w:r>
    </w:p>
    <w:p>
      <w:pPr>
        <w:spacing w:after="0" w:line="3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notwithstanding the lack of a fundamental change in their underlying business models or prospects. Broad market and industry factors, including potentially worsening economic conditions and other adverse effects or developments relating to the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share price.</w:t>
      </w:r>
    </w:p>
    <w:p>
      <w:pPr>
        <w:spacing w:after="0" w:line="115" w:lineRule="exact"/>
        <w:rPr>
          <w:sz w:val="20"/>
          <w:szCs w:val="20"/>
          <w:color w:val="auto"/>
        </w:rPr>
      </w:pPr>
    </w:p>
    <w:p>
      <w:pPr>
        <w:ind w:firstLine="562"/>
        <w:spacing w:after="0" w:line="257"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Russia-Ukraine war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1" w:name="page52"/>
    <w:bookmarkEnd w:id="51"/>
    <w:p>
      <w:pPr>
        <w:ind w:right="640"/>
        <w:spacing w:after="0" w:line="277" w:lineRule="auto"/>
        <w:rPr>
          <w:sz w:val="20"/>
          <w:szCs w:val="20"/>
          <w:color w:val="auto"/>
        </w:rPr>
      </w:pPr>
      <w:r>
        <w:rPr>
          <w:rFonts w:ascii="Arial" w:cs="Arial" w:eastAsia="Arial" w:hAnsi="Arial"/>
          <w:sz w:val="18"/>
          <w:szCs w:val="18"/>
          <w:color w:val="auto"/>
        </w:rPr>
        <w:t>significant increases in inflation and related increase in interest rates could have a material adverse effect on our business, results of operations and financial condition</w:t>
      </w:r>
    </w:p>
    <w:p>
      <w:pPr>
        <w:spacing w:after="0" w:line="157"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76" w:lineRule="exact"/>
        <w:rPr>
          <w:sz w:val="20"/>
          <w:szCs w:val="20"/>
          <w:color w:val="auto"/>
        </w:rPr>
      </w:pPr>
    </w:p>
    <w:p>
      <w:pPr>
        <w:ind w:right="20" w:firstLine="578"/>
        <w:spacing w:after="0" w:line="242" w:lineRule="auto"/>
        <w:rPr>
          <w:sz w:val="20"/>
          <w:szCs w:val="20"/>
          <w:color w:val="auto"/>
        </w:rPr>
      </w:pPr>
      <w:r>
        <w:rPr>
          <w:rFonts w:ascii="Arial" w:cs="Arial" w:eastAsia="Arial" w:hAnsi="Arial"/>
          <w:sz w:val="18"/>
          <w:szCs w:val="18"/>
          <w:color w:val="auto"/>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during 2021, we sold a total of 3,802,144 shares of our common stock and pre-funded warrants to purchase 1,142,856 shares of our common stock. The pre-funded warrants are exercisable into shares of common stock for $0.0001 per share. The shares of common stock into which the warrants may be exercised are considered outstanding for the purposes of computing earnings per share. As of September 30, 2022, all of these pre-funded warrants were issued and outstanding. Additionally, in April 2022, the Company sold 1,111,111 common shares under the 2021 ATM Program, with net proceeds of approximately $19.4 million. The issuance of these shares of our common stock resulted, and any future issuance pursuant to the exercise of the outstanding pre-funded warrants or sales under the 2021 ATM Program will result, in dilution to our stockholders.</w:t>
      </w:r>
    </w:p>
    <w:p>
      <w:pPr>
        <w:spacing w:after="0" w:line="79" w:lineRule="exact"/>
        <w:rPr>
          <w:sz w:val="20"/>
          <w:szCs w:val="20"/>
          <w:color w:val="auto"/>
        </w:rPr>
      </w:pPr>
    </w:p>
    <w:p>
      <w:pPr>
        <w:ind w:right="100" w:firstLine="578"/>
        <w:spacing w:after="0" w:line="246" w:lineRule="auto"/>
        <w:rPr>
          <w:sz w:val="20"/>
          <w:szCs w:val="20"/>
          <w:color w:val="auto"/>
        </w:rPr>
      </w:pPr>
      <w:r>
        <w:rPr>
          <w:rFonts w:ascii="Arial" w:cs="Arial" w:eastAsia="Arial" w:hAnsi="Arial"/>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77" w:lineRule="exact"/>
        <w:rPr>
          <w:sz w:val="20"/>
          <w:szCs w:val="20"/>
          <w:color w:val="auto"/>
        </w:rPr>
      </w:pPr>
    </w:p>
    <w:p>
      <w:pPr>
        <w:jc w:val="both"/>
        <w:ind w:right="80" w:firstLine="578"/>
        <w:spacing w:after="0" w:line="256"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49"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5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4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September 30, 2022, our executive officers, directors, holders of 5% or more of our capital stock and their respective affiliates beneficially owned approximately 24.4%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jc w:val="both"/>
        <w:ind w:right="20" w:firstLine="509"/>
        <w:spacing w:after="0" w:line="260"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2" w:name="page53"/>
    <w:bookmarkEnd w:id="52"/>
    <w:p>
      <w:pPr>
        <w:ind w:right="20"/>
        <w:spacing w:after="0" w:line="366"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ind w:firstLine="509"/>
        <w:spacing w:after="0" w:line="280"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5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Beginning with our annual report on Form 10-K for the year ending December 31, 2021, we were required to include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ind w:right="100"/>
        <w:spacing w:after="0" w:line="356"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0" w:type="dxa"/>
            <w:vAlign w:val="bottom"/>
            <w:gridSpan w:val="8"/>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FF"/>
                <w:w w:val="94"/>
              </w:rPr>
            </w:pPr>
            <w:hyperlink r:id="rId216">
              <w:r>
                <w:rPr>
                  <w:rFonts w:ascii="Arial" w:cs="Arial" w:eastAsia="Arial" w:hAnsi="Arial"/>
                  <w:sz w:val="18"/>
                  <w:szCs w:val="18"/>
                  <w:color w:val="0000FF"/>
                  <w:w w:val="94"/>
                </w:rPr>
                <w:t>Amended and Restated Certificate of Incorporation of the Company (incorporated herein by reference to Exhibit 3.1 to the Company’s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70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1"/>
              </w:rPr>
            </w:pPr>
            <w:hyperlink r:id="rId216">
              <w:r>
                <w:rPr>
                  <w:rFonts w:ascii="Arial" w:cs="Arial" w:eastAsia="Arial" w:hAnsi="Arial"/>
                  <w:sz w:val="18"/>
                  <w:szCs w:val="18"/>
                  <w:color w:val="0000FF"/>
                  <w:w w:val="91"/>
                </w:rPr>
                <w:t>Current Report on Form 8-K (File No. 001-37708), as filed with the SEC on March 8, 2016).</w:t>
              </w:r>
            </w:hyperlink>
          </w:p>
        </w:tc>
        <w:tc>
          <w:tcPr>
            <w:tcW w:w="302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080" w:type="dxa"/>
            <w:vAlign w:val="bottom"/>
            <w:gridSpan w:val="11"/>
          </w:tcPr>
          <w:p>
            <w:pPr>
              <w:spacing w:after="0"/>
              <w:rPr>
                <w:rFonts w:ascii="Arial" w:cs="Arial" w:eastAsia="Arial" w:hAnsi="Arial"/>
                <w:sz w:val="18"/>
                <w:szCs w:val="18"/>
                <w:color w:val="0000FF"/>
                <w:w w:val="91"/>
              </w:rPr>
            </w:pPr>
            <w:hyperlink r:id="rId217">
              <w:r>
                <w:rPr>
                  <w:rFonts w:ascii="Arial" w:cs="Arial" w:eastAsia="Arial" w:hAnsi="Arial"/>
                  <w:sz w:val="18"/>
                  <w:szCs w:val="18"/>
                  <w:color w:val="0000FF"/>
                  <w:w w:val="91"/>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6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217">
              <w:r>
                <w:rPr>
                  <w:rFonts w:ascii="Arial" w:cs="Arial" w:eastAsia="Arial" w:hAnsi="Arial"/>
                  <w:sz w:val="18"/>
                  <w:szCs w:val="18"/>
                  <w:color w:val="0000FF"/>
                </w:rPr>
                <w:t>8-K (File No. 001-37708), as filed with the SEC on March 8, 2016).</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80" w:type="dxa"/>
            <w:vAlign w:val="bottom"/>
            <w:gridSpan w:val="11"/>
          </w:tcPr>
          <w:p>
            <w:pPr>
              <w:spacing w:after="0"/>
              <w:rPr>
                <w:sz w:val="20"/>
                <w:szCs w:val="20"/>
                <w:color w:val="auto"/>
              </w:rPr>
            </w:pPr>
            <w:r>
              <w:rPr>
                <w:rFonts w:ascii="Arial" w:cs="Arial" w:eastAsia="Arial" w:hAnsi="Arial"/>
                <w:sz w:val="18"/>
                <w:szCs w:val="18"/>
                <w:color w:val="0000FF"/>
                <w:w w:val="92"/>
              </w:rPr>
              <w:t>Certification of Principal Executive Officer pursuant to Rules 13a-14(a) and 15d-14(a) promulgated under the Securities Exchange Act of</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5"/>
              </w:rPr>
              <w:t>1934, as amended.</w:t>
            </w:r>
          </w:p>
        </w:tc>
        <w:tc>
          <w:tcPr>
            <w:tcW w:w="20" w:type="dxa"/>
            <w:vAlign w:val="bottom"/>
            <w:tcBorders>
              <w:top w:val="single" w:sz="8" w:color="0000FF"/>
              <w:bottom w:val="single" w:sz="8" w:color="0000EE"/>
            </w:tcBorders>
          </w:tcPr>
          <w:p>
            <w:pPr>
              <w:spacing w:after="0"/>
              <w:rPr>
                <w:sz w:val="14"/>
                <w:szCs w:val="14"/>
                <w:color w:val="auto"/>
              </w:rPr>
            </w:pPr>
          </w:p>
        </w:tc>
        <w:tc>
          <w:tcPr>
            <w:tcW w:w="8600" w:type="dxa"/>
            <w:vAlign w:val="bottom"/>
            <w:tcBorders>
              <w:top w:val="single" w:sz="8" w:color="0000FF"/>
            </w:tcBorders>
            <w:gridSpan w:val="7"/>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80" w:type="dxa"/>
            <w:vAlign w:val="bottom"/>
            <w:gridSpan w:val="11"/>
          </w:tcPr>
          <w:p>
            <w:pPr>
              <w:spacing w:after="0"/>
              <w:rPr>
                <w:sz w:val="20"/>
                <w:szCs w:val="20"/>
                <w:color w:val="auto"/>
              </w:rPr>
            </w:pPr>
            <w:r>
              <w:rPr>
                <w:rFonts w:ascii="Arial" w:cs="Arial" w:eastAsia="Arial" w:hAnsi="Arial"/>
                <w:sz w:val="18"/>
                <w:szCs w:val="18"/>
                <w:color w:val="0000FF"/>
                <w:w w:val="93"/>
              </w:rPr>
              <w:t>Certification of Principal Financial Officer pursuant to Rules 13a-14(a) and 15d-14(a) promulgated under the Securities Exchange Act of</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5"/>
              </w:rPr>
              <w:t>1934, as amended.</w:t>
            </w:r>
          </w:p>
        </w:tc>
        <w:tc>
          <w:tcPr>
            <w:tcW w:w="20" w:type="dxa"/>
            <w:vAlign w:val="bottom"/>
            <w:tcBorders>
              <w:top w:val="single" w:sz="8" w:color="0000FF"/>
              <w:bottom w:val="single" w:sz="8" w:color="0000EE"/>
            </w:tcBorders>
          </w:tcPr>
          <w:p>
            <w:pPr>
              <w:spacing w:after="0"/>
              <w:rPr>
                <w:sz w:val="14"/>
                <w:szCs w:val="14"/>
                <w:color w:val="auto"/>
              </w:rPr>
            </w:pPr>
          </w:p>
        </w:tc>
        <w:tc>
          <w:tcPr>
            <w:tcW w:w="8560" w:type="dxa"/>
            <w:vAlign w:val="bottom"/>
            <w:tcBorders>
              <w:top w:val="single" w:sz="8" w:color="0000FF"/>
            </w:tcBorders>
            <w:gridSpan w:val="6"/>
          </w:tcPr>
          <w:p>
            <w:pPr>
              <w:spacing w:after="0"/>
              <w:rPr>
                <w:sz w:val="14"/>
                <w:szCs w:val="14"/>
                <w:color w:val="auto"/>
              </w:rPr>
            </w:pP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80" w:type="dxa"/>
            <w:vAlign w:val="bottom"/>
            <w:gridSpan w:val="11"/>
          </w:tcPr>
          <w:p>
            <w:pPr>
              <w:spacing w:after="0"/>
              <w:rPr>
                <w:sz w:val="20"/>
                <w:szCs w:val="20"/>
                <w:color w:val="auto"/>
              </w:rPr>
            </w:pPr>
            <w:r>
              <w:rPr>
                <w:rFonts w:ascii="Arial" w:cs="Arial" w:eastAsia="Arial" w:hAnsi="Arial"/>
                <w:sz w:val="18"/>
                <w:szCs w:val="18"/>
                <w:color w:val="0000FF"/>
                <w:w w:val="93"/>
              </w:rPr>
              <w:t>Certifications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0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906 of the Sarbanes-Oxley Act of 2002.</w:t>
            </w:r>
          </w:p>
        </w:tc>
        <w:tc>
          <w:tcPr>
            <w:tcW w:w="1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160" w:right="100" w:hanging="1139"/>
        <w:spacing w:after="0" w:line="231"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September 30, 2022, formatted in iXBRL (Inline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121" w:lineRule="exact"/>
        <w:rPr>
          <w:sz w:val="20"/>
          <w:szCs w:val="20"/>
          <w:color w:val="auto"/>
        </w:rPr>
      </w:pPr>
    </w:p>
    <w:p>
      <w:pPr>
        <w:ind w:left="1160" w:hanging="113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right="20"/>
        <w:spacing w:after="0" w:line="246" w:lineRule="auto"/>
        <w:rPr>
          <w:rFonts w:ascii="Arial" w:cs="Arial" w:eastAsia="Arial" w:hAnsi="Arial"/>
          <w:sz w:val="18"/>
          <w:szCs w:val="18"/>
          <w:color w:val="auto"/>
        </w:rPr>
      </w:pPr>
      <w:r>
        <w:rPr>
          <w:rFonts w:ascii="Arial" w:cs="Arial" w:eastAsia="Arial" w:hAnsi="Arial"/>
          <w:sz w:val="18"/>
          <w:szCs w:val="18"/>
          <w:color w:val="auto"/>
        </w:rPr>
        <w:t>* Furnished herewith and not deemed to be “filed” for purposes of Section 18 of the Securities Exchange Act of 1934, as amended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9512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2022</w:t>
      </w:r>
    </w:p>
    <w:p>
      <w:pPr>
        <w:spacing w:after="0" w:line="212"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Michael A. Metzger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Keith A. Goldan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5" w:name="page56"/>
    <w:bookmarkEnd w:id="55"/>
    <w:p>
      <w:pPr>
        <w:ind w:left="102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Michael A. Metzger, certify that:</w:t>
      </w:r>
    </w:p>
    <w:p>
      <w:pPr>
        <w:spacing w:after="0" w:line="212" w:lineRule="exact"/>
        <w:rPr>
          <w:sz w:val="20"/>
          <w:szCs w:val="20"/>
          <w:color w:val="auto"/>
        </w:rPr>
      </w:pPr>
    </w:p>
    <w:p>
      <w:pPr>
        <w:ind w:left="700" w:hanging="183"/>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5"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firstLine="517"/>
        <w:spacing w:after="0" w:line="277" w:lineRule="auto"/>
        <w:tabs>
          <w:tab w:leader="none" w:pos="6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right="40" w:firstLine="517"/>
        <w:spacing w:after="0" w:line="248" w:lineRule="auto"/>
        <w:tabs>
          <w:tab w:leader="none" w:pos="6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8"/>
          <w:szCs w:val="18"/>
          <w:color w:val="auto"/>
        </w:rPr>
      </w:pPr>
    </w:p>
    <w:p>
      <w:pPr>
        <w:ind w:left="520" w:right="380" w:firstLine="506"/>
        <w:spacing w:after="0" w:line="248" w:lineRule="auto"/>
        <w:tabs>
          <w:tab w:leader="none" w:pos="127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jc w:val="both"/>
        <w:ind w:left="520" w:right="100" w:firstLine="506"/>
        <w:spacing w:after="0" w:line="248" w:lineRule="auto"/>
        <w:tabs>
          <w:tab w:leader="none" w:pos="12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ind w:left="520" w:right="220" w:firstLine="506"/>
        <w:spacing w:after="0" w:line="324" w:lineRule="auto"/>
        <w:tabs>
          <w:tab w:leader="none" w:pos="1274"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00" w:firstLine="506"/>
        <w:spacing w:after="0" w:line="256" w:lineRule="auto"/>
        <w:tabs>
          <w:tab w:leader="none" w:pos="12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firstLine="517"/>
        <w:spacing w:after="0" w:line="308" w:lineRule="auto"/>
        <w:tabs>
          <w:tab w:leader="none" w:pos="68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520" w:right="440" w:firstLine="506"/>
        <w:spacing w:after="0" w:line="291" w:lineRule="auto"/>
        <w:tabs>
          <w:tab w:leader="none" w:pos="1274"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506"/>
        <w:spacing w:after="0" w:line="277" w:lineRule="auto"/>
        <w:tabs>
          <w:tab w:leader="none" w:pos="12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40" w:val="left"/>
          <w:tab w:leader="none" w:pos="724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14605</wp:posOffset>
            </wp:positionV>
            <wp:extent cx="25374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Michael A. Metzger</w:t>
      </w:r>
    </w:p>
    <w:p>
      <w:pPr>
        <w:ind w:left="7260"/>
        <w:spacing w:after="0" w:line="219" w:lineRule="auto"/>
        <w:rPr>
          <w:sz w:val="20"/>
          <w:szCs w:val="20"/>
          <w:color w:val="auto"/>
        </w:rPr>
      </w:pPr>
      <w:r>
        <w:rPr>
          <w:rFonts w:ascii="Arial" w:cs="Arial" w:eastAsia="Arial" w:hAnsi="Arial"/>
          <w:sz w:val="18"/>
          <w:szCs w:val="18"/>
          <w:color w:val="auto"/>
        </w:rPr>
        <w:t>Chief Executive Officer</w:t>
      </w:r>
    </w:p>
    <w:p>
      <w:pPr>
        <w:ind w:left="72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56" w:name="page57"/>
    <w:bookmarkEnd w:id="56"/>
    <w:p>
      <w:pPr>
        <w:ind w:left="10260"/>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Keith A. Goldan, certify that:</w:t>
      </w:r>
    </w:p>
    <w:p>
      <w:pPr>
        <w:spacing w:after="0" w:line="225" w:lineRule="exact"/>
        <w:rPr>
          <w:sz w:val="20"/>
          <w:szCs w:val="20"/>
          <w:color w:val="auto"/>
        </w:rPr>
      </w:pPr>
    </w:p>
    <w:p>
      <w:pPr>
        <w:ind w:left="700" w:hanging="183"/>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11" w:lineRule="exact"/>
        <w:rPr>
          <w:rFonts w:ascii="Arial" w:cs="Arial" w:eastAsia="Arial" w:hAnsi="Arial"/>
          <w:sz w:val="18"/>
          <w:szCs w:val="18"/>
          <w:color w:val="auto"/>
        </w:rPr>
      </w:pPr>
    </w:p>
    <w:p>
      <w:pPr>
        <w:ind w:right="40" w:firstLine="517"/>
        <w:spacing w:after="0" w:line="324" w:lineRule="auto"/>
        <w:tabs>
          <w:tab w:leader="none" w:pos="6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firstLine="517"/>
        <w:spacing w:after="0" w:line="261" w:lineRule="auto"/>
        <w:tabs>
          <w:tab w:leader="none" w:pos="6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517"/>
        <w:spacing w:after="0" w:line="256" w:lineRule="auto"/>
        <w:tabs>
          <w:tab w:leader="none" w:pos="6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520" w:right="380" w:firstLine="506"/>
        <w:spacing w:after="0" w:line="256" w:lineRule="auto"/>
        <w:tabs>
          <w:tab w:leader="none" w:pos="127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jc w:val="both"/>
        <w:ind w:left="520" w:right="100" w:firstLine="506"/>
        <w:spacing w:after="0" w:line="256" w:lineRule="auto"/>
        <w:tabs>
          <w:tab w:leader="none" w:pos="128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520" w:right="220" w:firstLine="506"/>
        <w:spacing w:after="0" w:line="324" w:lineRule="auto"/>
        <w:tabs>
          <w:tab w:leader="none" w:pos="1274"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520" w:right="200" w:firstLine="506"/>
        <w:spacing w:after="0" w:line="248" w:lineRule="auto"/>
        <w:tabs>
          <w:tab w:leader="none" w:pos="128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firstLine="517"/>
        <w:spacing w:after="0" w:line="291" w:lineRule="auto"/>
        <w:tabs>
          <w:tab w:leader="none" w:pos="68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40" w:firstLine="506"/>
        <w:spacing w:after="0" w:line="291" w:lineRule="auto"/>
        <w:tabs>
          <w:tab w:leader="none" w:pos="127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7"/>
          <w:szCs w:val="17"/>
          <w:color w:val="auto"/>
        </w:rPr>
      </w:pPr>
    </w:p>
    <w:p>
      <w:pPr>
        <w:ind w:left="520" w:right="120" w:firstLine="506"/>
        <w:spacing w:after="0" w:line="261" w:lineRule="auto"/>
        <w:tabs>
          <w:tab w:leader="none" w:pos="128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760" w:val="left"/>
          <w:tab w:leader="none" w:pos="722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14605</wp:posOffset>
            </wp:positionV>
            <wp:extent cx="25457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Keith A. Goldan</w:t>
      </w:r>
    </w:p>
    <w:p>
      <w:pPr>
        <w:ind w:left="7240"/>
        <w:spacing w:after="0" w:line="219" w:lineRule="auto"/>
        <w:rPr>
          <w:sz w:val="20"/>
          <w:szCs w:val="20"/>
          <w:color w:val="auto"/>
        </w:rPr>
      </w:pPr>
      <w:r>
        <w:rPr>
          <w:rFonts w:ascii="Arial" w:cs="Arial" w:eastAsia="Arial" w:hAnsi="Arial"/>
          <w:sz w:val="18"/>
          <w:szCs w:val="18"/>
          <w:color w:val="auto"/>
        </w:rPr>
        <w:t>Chief Financial Officer and Treasurer</w:t>
      </w:r>
    </w:p>
    <w:p>
      <w:pPr>
        <w:ind w:left="72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57" w:name="page58"/>
    <w:bookmarkEnd w:id="57"/>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September 30, 2022, as filed with the Securities and Exchange Commission on the date hereof (the “Report”), each of the undersigned officers of the Company hereby certifies, pursuant to 18 U.S.C. Section 1350, that to his or her knowledge:</w:t>
      </w:r>
    </w:p>
    <w:p>
      <w:pPr>
        <w:spacing w:after="0" w:line="195" w:lineRule="exact"/>
        <w:rPr>
          <w:sz w:val="20"/>
          <w:szCs w:val="20"/>
          <w:color w:val="auto"/>
        </w:rPr>
      </w:pPr>
    </w:p>
    <w:p>
      <w:pPr>
        <w:ind w:left="900" w:hanging="359"/>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80" w:hanging="479"/>
        <w:spacing w:after="0" w:line="261" w:lineRule="auto"/>
        <w:tabs>
          <w:tab w:leader="none" w:pos="8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Date: November 3, 2022</w:t>
            </w:r>
          </w:p>
        </w:tc>
        <w:tc>
          <w:tcPr>
            <w:tcW w:w="2920" w:type="dxa"/>
            <w:vAlign w:val="bottom"/>
          </w:tcPr>
          <w:p>
            <w:pPr>
              <w:ind w:left="25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A. Metzger</w:t>
            </w:r>
          </w:p>
        </w:tc>
      </w:tr>
      <w:tr>
        <w:trPr>
          <w:trHeight w:val="168"/>
        </w:trPr>
        <w:tc>
          <w:tcPr>
            <w:tcW w:w="4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20" w:type="dxa"/>
            <w:vAlign w:val="bottom"/>
          </w:tcPr>
          <w:p>
            <w:pPr>
              <w:ind w:left="20"/>
              <w:spacing w:after="0" w:line="168" w:lineRule="exact"/>
              <w:rPr>
                <w:sz w:val="20"/>
                <w:szCs w:val="20"/>
                <w:color w:val="auto"/>
              </w:rPr>
            </w:pPr>
            <w:r>
              <w:rPr>
                <w:rFonts w:ascii="Arial" w:cs="Arial" w:eastAsia="Arial" w:hAnsi="Arial"/>
                <w:sz w:val="18"/>
                <w:szCs w:val="18"/>
                <w:color w:val="auto"/>
              </w:rPr>
              <w:t>Michael A. Metzger</w:t>
            </w:r>
          </w:p>
        </w:tc>
      </w:tr>
      <w:tr>
        <w:trPr>
          <w:trHeight w:val="230"/>
        </w:trPr>
        <w:tc>
          <w:tcPr>
            <w:tcW w:w="4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13"/>
        </w:trPr>
        <w:tc>
          <w:tcPr>
            <w:tcW w:w="4300" w:type="dxa"/>
            <w:vAlign w:val="bottom"/>
          </w:tcPr>
          <w:p>
            <w:pPr>
              <w:ind w:left="20"/>
              <w:spacing w:after="0"/>
              <w:rPr>
                <w:sz w:val="20"/>
                <w:szCs w:val="20"/>
                <w:color w:val="auto"/>
              </w:rPr>
            </w:pPr>
            <w:r>
              <w:rPr>
                <w:rFonts w:ascii="Arial" w:cs="Arial" w:eastAsia="Arial" w:hAnsi="Arial"/>
                <w:sz w:val="18"/>
                <w:szCs w:val="18"/>
                <w:color w:val="auto"/>
              </w:rPr>
              <w:t>Date: November 3, 2022</w:t>
            </w:r>
          </w:p>
        </w:tc>
        <w:tc>
          <w:tcPr>
            <w:tcW w:w="2920" w:type="dxa"/>
            <w:vAlign w:val="bottom"/>
          </w:tcPr>
          <w:p>
            <w:pPr>
              <w:ind w:left="252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Goldan</w:t>
            </w:r>
          </w:p>
        </w:tc>
      </w:tr>
      <w:tr>
        <w:trPr>
          <w:trHeight w:val="168"/>
        </w:trPr>
        <w:tc>
          <w:tcPr>
            <w:tcW w:w="4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20" w:type="dxa"/>
            <w:vAlign w:val="bottom"/>
          </w:tcPr>
          <w:p>
            <w:pPr>
              <w:ind w:left="20"/>
              <w:spacing w:after="0" w:line="168" w:lineRule="exact"/>
              <w:rPr>
                <w:sz w:val="20"/>
                <w:szCs w:val="20"/>
                <w:color w:val="auto"/>
              </w:rPr>
            </w:pPr>
            <w:r>
              <w:rPr>
                <w:rFonts w:ascii="Arial" w:cs="Arial" w:eastAsia="Arial" w:hAnsi="Arial"/>
                <w:sz w:val="18"/>
                <w:szCs w:val="18"/>
                <w:color w:val="auto"/>
              </w:rPr>
              <w:t>Keith A. Goldan</w:t>
            </w:r>
          </w:p>
        </w:tc>
      </w:tr>
      <w:tr>
        <w:trPr>
          <w:trHeight w:val="230"/>
        </w:trPr>
        <w:tc>
          <w:tcPr>
            <w:tcW w:w="4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533"/>
        </w:trPr>
        <w:tc>
          <w:tcPr>
            <w:tcW w:w="43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3"/>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lowerRoman"/>
      <w:start w:val="3"/>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01"/>
    </w:lvl>
  </w:abstractNum>
  <w:abstractNum w:abstractNumId="36">
    <w:nsid w:val="2463B9EA"/>
    <w:multiLevelType w:val="hybridMultilevel"/>
    <w:lvl w:ilvl="0">
      <w:lvlJc w:val="left"/>
      <w:lvlText w:val="*"/>
      <w:numFmt w:val="bullet"/>
      <w:start w:val="1"/>
    </w:lvl>
    <w:lvl w:ilvl="1">
      <w:lvlJc w:val="left"/>
      <w:lvlText w:val="%2"/>
      <w:numFmt w:val="decimal"/>
      <w:start w:val="104"/>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16" Type="http://schemas.openxmlformats.org/officeDocument/2006/relationships/hyperlink" Target="https://www.sec.gov/Archives/edgar/data/1395937/000119312516496764/d119516dex31.htm" TargetMode="External"/><Relationship Id="rId217" Type="http://schemas.openxmlformats.org/officeDocument/2006/relationships/hyperlink" Target="https://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2022-11-03T15:37:16Z</dcterms:created>
  <dcterms:modified xsi:type="dcterms:W3CDTF">2022-11-03T15:37:16Z</dcterms:modified>
</cp:coreProperties>
</file>