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ndx-20260331.htm"/>
      <w:bookmarkStart w:id="1" w:name="kssndx20260331"/>
      <w:bookmarkEnd w:id="0"/>
      <w:bookmarkEnd w:id="1"/>
      <w:r>
        <w:rPr/>
        <w:t> </w:t>
      </w:r>
    </w:p>
    <w:p>
      <w:pPr>
        <w:pStyle w:val="TextBody"/>
        <w:bidi w:val="0"/>
        <w:spacing w:before="80" w:after="283"/>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32"/>
        </w:rPr>
        <w:t>FORM 10-Q</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20" w:after="283"/>
        <w:jc w:val="center"/>
        <w:rPr>
          <w:rFonts w:ascii="Times New Roman" w:hAnsi="Times New Roman"/>
          <w:sz w:val="20"/>
        </w:rPr>
      </w:pPr>
      <w:r>
        <w:rPr>
          <w:rFonts w:ascii="Times New Roman" w:hAnsi="Times New Roman"/>
          <w:b/>
          <w:color w:val="000000"/>
          <w:sz w:val="18"/>
        </w:rPr>
        <w:t>For the quarterly period ended March 31, 2026</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or</w:t>
      </w:r>
    </w:p>
    <w:p>
      <w:pPr>
        <w:pStyle w:val="TextBody"/>
        <w:bidi w:val="0"/>
        <w:spacing w:before="12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18"/>
        </w:rPr>
        <w:t>Commission File Number: 001-37708</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40"/>
        </w:rPr>
        <w:t>Syndax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p>
      <w:pPr>
        <w:pStyle w:val="TextBody"/>
        <w:pBdr>
          <w:bottom w:val="single" w:sz="6" w:space="1" w:color="000000"/>
        </w:pBdr>
        <w:bidi w:val="0"/>
        <w:jc w:val="center"/>
        <w:rPr/>
      </w:pPr>
      <w:r>
        <w:rPr/>
        <w:t> </w:t>
      </w:r>
    </w:p>
    <w:tbl>
      <w:tblPr>
        <w:tblW w:w="4502" w:type="dxa"/>
        <w:jc w:val="left"/>
        <w:tblInd w:w="0" w:type="dxa"/>
        <w:tblLayout w:type="fixed"/>
        <w:tblCellMar>
          <w:top w:w="28" w:type="dxa"/>
          <w:left w:w="28" w:type="dxa"/>
          <w:bottom w:w="28" w:type="dxa"/>
          <w:right w:w="28" w:type="dxa"/>
        </w:tblCellMar>
      </w:tblPr>
      <w:tblGrid>
        <w:gridCol w:w="3016"/>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32-0162505</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730 Third Avenue,</w:t>
            </w:r>
            <w:r>
              <w:rPr>
                <w:rFonts w:ascii="Times New Roman" w:hAnsi="Times New Roman"/>
                <w:color w:val="000000"/>
                <w:sz w:val="20"/>
              </w:rPr>
              <w:t xml:space="preserve"> </w:t>
            </w:r>
            <w:r>
              <w:rPr>
                <w:rFonts w:ascii="Times New Roman" w:hAnsi="Times New Roman"/>
                <w:b/>
                <w:color w:val="000000"/>
                <w:sz w:val="18"/>
              </w:rPr>
              <w:t>9th Floor</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New York, New York</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10017</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sz w:val="20"/>
        </w:rPr>
      </w:pPr>
      <w:r>
        <w:rPr>
          <w:rFonts w:ascii="Times New Roman" w:hAnsi="Times New Roman"/>
          <w:b/>
          <w:color w:val="000000"/>
          <w:sz w:val="18"/>
        </w:rPr>
        <w:t>(781) 419-1400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tbl>
      <w:tblPr>
        <w:tblW w:w="6498" w:type="dxa"/>
        <w:jc w:val="left"/>
        <w:tblInd w:w="0" w:type="dxa"/>
        <w:tblLayout w:type="fixed"/>
        <w:tblCellMar>
          <w:top w:w="28" w:type="dxa"/>
          <w:left w:w="28" w:type="dxa"/>
          <w:bottom w:w="28" w:type="dxa"/>
          <w:right w:w="28" w:type="dxa"/>
        </w:tblCellMar>
      </w:tblPr>
      <w:tblGrid>
        <w:gridCol w:w="1456"/>
        <w:gridCol w:w="1561"/>
        <w:gridCol w:w="3481"/>
      </w:tblGrid>
      <w:tr>
        <w:trPr/>
        <w:tc>
          <w:tcPr>
            <w:tcW w:w="145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1456"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56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348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145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w:t>
            </w:r>
          </w:p>
        </w:tc>
        <w:tc>
          <w:tcPr>
            <w:tcW w:w="15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SNDX</w:t>
            </w:r>
          </w:p>
        </w:tc>
        <w:tc>
          <w:tcPr>
            <w:tcW w:w="3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b/>
          <w:color w:val="000000"/>
          <w:sz w:val="18"/>
        </w:rPr>
        <w:t>Yes</w:t>
      </w:r>
      <w:r>
        <w:rPr>
          <w:rFonts w:ascii="Times New Roman" w:hAnsi="Times New Roman"/>
          <w:color w:val="000000"/>
          <w:sz w:val="20"/>
        </w:rPr>
        <w:t xml:space="preserve"> ☒ </w:t>
      </w:r>
      <w:r>
        <w:rPr>
          <w:rFonts w:ascii="Times New Roman" w:hAnsi="Times New Roman"/>
          <w:b/>
          <w:color w:val="000000"/>
          <w:sz w:val="18"/>
        </w:rPr>
        <w:t xml:space="preserve">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Times New Roman" w:hAnsi="Times New Roman"/>
          <w:b/>
          <w:color w:val="000000"/>
          <w:sz w:val="18"/>
        </w:rPr>
        <w:t>Yes</w:t>
      </w:r>
      <w:r>
        <w:rPr>
          <w:rFonts w:ascii="Times New Roman" w:hAnsi="Times New Roman"/>
          <w:color w:val="000000"/>
          <w:sz w:val="20"/>
        </w:rPr>
        <w:t xml:space="preserve"> ☒ </w:t>
      </w:r>
      <w:r>
        <w:rPr>
          <w:rFonts w:ascii="Times New Roman" w:hAnsi="Times New Roman"/>
          <w:b/>
          <w:color w:val="000000"/>
          <w:sz w:val="18"/>
        </w:rPr>
        <w:t xml:space="preserve">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950" w:type="dxa"/>
        <w:jc w:val="left"/>
        <w:tblInd w:w="0" w:type="dxa"/>
        <w:tblLayout w:type="fixed"/>
        <w:tblCellMar>
          <w:top w:w="28" w:type="dxa"/>
          <w:left w:w="28" w:type="dxa"/>
          <w:bottom w:w="28" w:type="dxa"/>
          <w:right w:w="28" w:type="dxa"/>
        </w:tblCellMar>
      </w:tblPr>
      <w:tblGrid>
        <w:gridCol w:w="2101"/>
        <w:gridCol w:w="316"/>
        <w:gridCol w:w="146"/>
        <w:gridCol w:w="2026"/>
        <w:gridCol w:w="361"/>
      </w:tblGrid>
      <w:tr>
        <w:trPr/>
        <w:tc>
          <w:tcPr>
            <w:tcW w:w="21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Emerging growth company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accounting standards provided pursuant to Section 13(a) of the Exchange Act.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w:t>
      </w:r>
      <w:r>
        <w:rPr>
          <w:rFonts w:ascii="Times New Roman" w:hAnsi="Times New Roman"/>
          <w:b/>
          <w:color w:val="000000"/>
          <w:sz w:val="18"/>
        </w:rPr>
        <w:t xml:space="preserve">Yes </w:t>
      </w:r>
      <w:r>
        <w:rPr>
          <w:rFonts w:ascii="Times New Roman" w:hAnsi="Times New Roman"/>
          <w:color w:val="000000"/>
          <w:sz w:val="20"/>
        </w:rPr>
        <w:t xml:space="preserve">☐ </w:t>
      </w:r>
      <w:r>
        <w:rPr>
          <w:rFonts w:ascii="Times New Roman" w:hAnsi="Times New Roman"/>
          <w:b/>
          <w:color w:val="000000"/>
          <w:sz w:val="18"/>
        </w:rPr>
        <w:t xml:space="preserve">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As of April 28, 2026, there</w:t>
      </w:r>
      <w:r>
        <w:rPr>
          <w:rFonts w:ascii="Times New Roman" w:hAnsi="Times New Roman"/>
          <w:color w:val="000000"/>
          <w:sz w:val="20"/>
        </w:rPr>
        <w:t xml:space="preserve"> </w:t>
      </w:r>
      <w:r>
        <w:rPr>
          <w:rFonts w:ascii="Times New Roman" w:hAnsi="Times New Roman"/>
          <w:color w:val="000000"/>
          <w:sz w:val="18"/>
        </w:rPr>
        <w:t>were 88,610,027</w:t>
      </w:r>
      <w:r>
        <w:rPr>
          <w:rFonts w:ascii="Times New Roman" w:hAnsi="Times New Roman"/>
          <w:color w:val="000000"/>
          <w:sz w:val="20"/>
        </w:rPr>
        <w:t xml:space="preserve"> </w:t>
      </w:r>
      <w:r>
        <w:rPr>
          <w:rFonts w:ascii="Times New Roman" w:hAnsi="Times New Roman"/>
          <w:color w:val="000000"/>
          <w:sz w:val="18"/>
        </w:rPr>
        <w:t>shares of the registrant’s Common Stock, par value $0.0001 per share, outstanding.</w:t>
      </w:r>
      <w:r>
        <w:rPr>
          <w:rFonts w:ascii="Times New Roman" w:hAnsi="Times New Roman"/>
          <w:color w:val="000000"/>
          <w:sz w:val="20"/>
        </w:rPr>
        <w:t xml:space="preserve"> </w:t>
      </w:r>
    </w:p>
    <w:p>
      <w:pPr>
        <w:pStyle w:val="TextBody"/>
        <w:bidi w:val="0"/>
        <w:spacing w:before="120" w:after="283"/>
        <w:jc w:val="left"/>
        <w:rPr/>
      </w:pPr>
      <w:r>
        <w:rPr/>
        <w:t> </w:t>
      </w:r>
    </w:p>
    <w:p>
      <w:pPr>
        <w:pStyle w:val="TextBody"/>
        <w:pBdr>
          <w:bottom w:val="double" w:sz="4" w:space="1" w:color="000000"/>
        </w:pBdr>
        <w:bidi w:val="0"/>
        <w:jc w:val="left"/>
        <w:rPr>
          <w:rFonts w:ascii="Times New Roman" w:hAnsi="Times New Roman"/>
          <w:color w:val="000000"/>
          <w:sz w:val="8"/>
        </w:rPr>
      </w:pPr>
      <w:r>
        <w:rPr>
          <w:rFonts w:ascii="Times New Roman" w:hAnsi="Times New Roman"/>
          <w:color w:val="000000"/>
          <w:sz w:val="8"/>
        </w:rPr>
        <w:t>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or this Quarterly Report, contains forward-looking statements and information within the meaning of Section 27A of the Securities Act of 1933, as amended, and Section 21E of the Securities Exchange Act of 1934, as amended, which are subject to the "safe harbor" created by those sections. All statements other than statements of historical fact are “forward-looking statements” for purposes of this Quarterly Report. In some cases, you can identify forward-looking statements by terminology such as “anticipate,” “believe,” “could,” “estimate,” “expects,” “intend,” “may,” “plan,” “potential,” “predict,” “project,” “should,” “will,” “would” or the negative or plural of those terms, and similar expressions.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Forward-looking statements include, but are not limited to,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estimates regarding our expenses, future revenues, anticipated capital requirements and our needs for additional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cost, timing, progress and results of our research and development activities, clinical trials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replicate results in future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potential safety, efficacy or clinical utility of our products and product candidates as well as the potential use of our products and product candidates to treat various cancer indications and fibrotic diseases;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regulatory approval for our products and product candidates and the timing or likelihood of regulatory filings and approvals for such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our licenses with UCB Biopharma Sprl, and Vitae Pharmaceuticals, LLC, a subsidiary of AbbVie Inc.;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collaboration with Incyte Corporation, or Incyte, to further develop and commercialize axatilimab;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milestone and royalty payments under certain of our 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strategic plans for our business and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establish and maintain for intellectual property rights covering our products, product candidates and our technology;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market adoption of REVUFORJ</w:t>
      </w:r>
      <w:r>
        <w:rPr>
          <w:rFonts w:ascii="Times New Roman" w:hAnsi="Times New Roman"/>
          <w:color w:val="000000"/>
          <w:sz w:val="13"/>
        </w:rPr>
        <w:t>®</w:t>
      </w:r>
      <w:r>
        <w:rPr>
          <w:color w:val="000000"/>
        </w:rPr>
        <w:t xml:space="preserve"> </w:t>
      </w:r>
      <w:r>
        <w:rPr>
          <w:rFonts w:ascii="Times New Roman" w:hAnsi="Times New Roman"/>
          <w:color w:val="000000"/>
          <w:sz w:val="20"/>
        </w:rPr>
        <w:t>(revumenib) and NIKTIMVO (axatilimab-csfr) and our other product candidates by physicians and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relating to our competitors and our industry;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geopolitical actions, including tariffs, wars or terrorism or the perception that hostilities may be imminent, adverse global economic conditions, terrorism, public health crises, funding shortages at governmental and regulatory agencies on which we rely, or natural disasters on our operations, research and development and clinical trials and potential disruption in the operations and business of third-party manufacturers, contract research organizations, or CROs, other service providers, and collaborators with whom we conduct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57"/>
        <w:gridCol w:w="420"/>
        <w:gridCol w:w="8370"/>
        <w:gridCol w:w="146"/>
        <w:gridCol w:w="512"/>
      </w:tblGrid>
      <w:tr>
        <w:trPr/>
        <w:tc>
          <w:tcPr>
            <w:tcW w:w="75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3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547" w:type="dxa"/>
            <w:gridSpan w:val="3"/>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Unaudited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Consolidated Balance Sheets as of March 31, 2026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condensed_consolidated_statements_compre">
              <w:r>
                <w:rPr>
                  <w:rStyle w:val="InternetLink"/>
                  <w:rFonts w:ascii="Times New Roman" w:hAnsi="Times New Roman"/>
                  <w:color w:val="0000FF"/>
                  <w:sz w:val="20"/>
                  <w:u w:val="single"/>
                </w:rPr>
                <w:t>Consolidated Statements of Comprehensive Loss for the 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consolidated_soe">
              <w:r>
                <w:rPr>
                  <w:rStyle w:val="InternetLink"/>
                  <w:rFonts w:ascii="Times New Roman" w:hAnsi="Times New Roman"/>
                  <w:color w:val="0000FF"/>
                  <w:sz w:val="20"/>
                  <w:u w:val="single"/>
                </w:rPr>
                <w:t>Consolidated Statements of Changes in Stockholders' Equity for the 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condensed_consolidated_statements_cash_f">
              <w:r>
                <w:rPr>
                  <w:rStyle w:val="InternetLink"/>
                  <w:rFonts w:ascii="Times New Roman" w:hAnsi="Times New Roman"/>
                  <w:color w:val="0000FF"/>
                  <w:sz w:val="20"/>
                  <w:u w:val="single"/>
                </w:rPr>
                <w:t>Consolidated Statements of Cash Flows for the 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jc w:val="left"/>
              <w:rPr/>
            </w:pPr>
            <w:hyperlink w:anchor="quantitative_and_qualitative_disclosures">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47" w:type="dxa"/>
            <w:gridSpan w:val="3"/>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jc w:val="left"/>
              <w:rPr/>
            </w:pPr>
            <w:hyperlink w:anchor="item_5_other_info">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70"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bl>
    <w:p>
      <w:pPr>
        <w:pStyle w:val="TextBody"/>
        <w:bidi w:val="0"/>
        <w:jc w:val="left"/>
        <w:rPr/>
      </w:pPr>
      <w:r>
        <w:rPr/>
        <w:t> </w:t>
      </w:r>
    </w:p>
    <w:p>
      <w:pPr>
        <w:pStyle w:val="TextBody"/>
        <w:bidi w:val="0"/>
        <w:spacing w:before="240" w:after="283"/>
        <w:jc w:val="left"/>
        <w:rPr>
          <w:rFonts w:ascii="Times New Roman" w:hAnsi="Times New Roman"/>
          <w:color w:val="000000"/>
          <w:sz w:val="2"/>
        </w:rPr>
      </w:pPr>
      <w:r>
        <w:rPr>
          <w:rFonts w:ascii="Times New Roman" w:hAnsi="Times New Roman"/>
          <w:color w:val="000000"/>
          <w:sz w:val="2"/>
        </w:rPr>
        <w:t>c</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part_i_financial_information"/>
      <w:bookmarkEnd w:id="2"/>
      <w:r>
        <w:rPr>
          <w:rFonts w:ascii="Times New Roman" w:hAnsi="Times New Roman"/>
          <w:b/>
          <w:color w:val="000000"/>
          <w:sz w:val="20"/>
        </w:rPr>
        <w:t>Part I: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04"/>
        <w:gridCol w:w="146"/>
        <w:gridCol w:w="220"/>
        <w:gridCol w:w="1037"/>
        <w:gridCol w:w="166"/>
        <w:gridCol w:w="146"/>
        <w:gridCol w:w="261"/>
        <w:gridCol w:w="1230"/>
        <w:gridCol w:w="395"/>
      </w:tblGrid>
      <w:tr>
        <w:trPr/>
        <w:tc>
          <w:tcPr>
            <w:tcW w:w="6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66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134,930</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259,140</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37,996</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32,754</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19,616</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23,745</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528,081</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472,668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529,706</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16,580</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103,064</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right-of-use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capital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120,116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interest financing liability,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343,909</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liability,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344,960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431,046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465,076</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10,000,000 shares authorized; 0 shares</w:t>
              <w:br/>
              <w:t>   outstanding at March 31,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200,000,000 shares authorized; 88,543,881</w:t>
              <w:br/>
              <w:t>   and 87,405,979 shares issued and outstanding at March 31, 2026 and</w:t>
              <w:br/>
              <w:t>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1,570,749</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(1,506,580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64,630</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472,668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529,706</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statements_compre"/>
      <w:bookmarkEnd w:id="5"/>
      <w:r>
        <w:rPr>
          <w:rFonts w:ascii="Times New Roman" w:hAnsi="Times New Roman"/>
          <w:b/>
          <w:color w:val="000000"/>
          <w:sz w:val="20"/>
        </w:rPr>
        <w:t>CONSOLIDATED STATEMENTS OF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8918" w:type="dxa"/>
        <w:jc w:val="left"/>
        <w:tblInd w:w="0" w:type="dxa"/>
        <w:tblLayout w:type="fixed"/>
        <w:tblCellMar>
          <w:top w:w="28" w:type="dxa"/>
          <w:left w:w="28" w:type="dxa"/>
          <w:bottom w:w="28" w:type="dxa"/>
          <w:right w:w="28" w:type="dxa"/>
        </w:tblCellMar>
      </w:tblPr>
      <w:tblGrid>
        <w:gridCol w:w="5701"/>
        <w:gridCol w:w="211"/>
        <w:gridCol w:w="1036"/>
        <w:gridCol w:w="166"/>
        <w:gridCol w:w="146"/>
        <w:gridCol w:w="211"/>
        <w:gridCol w:w="1036"/>
        <w:gridCol w:w="411"/>
      </w:tblGrid>
      <w:tr>
        <w:trPr/>
        <w:tc>
          <w:tcPr>
            <w:tcW w:w="5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revenue,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sales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interest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income,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gain on marketable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loss per share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used in calculating:</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loss per share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88,255,636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86,171,889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6" w:name="consolidated_soe"/>
      <w:bookmarkEnd w:id="6"/>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14"/>
        <w:gridCol w:w="146"/>
        <w:gridCol w:w="146"/>
        <w:gridCol w:w="1036"/>
        <w:gridCol w:w="146"/>
        <w:gridCol w:w="146"/>
        <w:gridCol w:w="261"/>
        <w:gridCol w:w="430"/>
        <w:gridCol w:w="146"/>
        <w:gridCol w:w="146"/>
        <w:gridCol w:w="211"/>
        <w:gridCol w:w="931"/>
        <w:gridCol w:w="146"/>
        <w:gridCol w:w="146"/>
        <w:gridCol w:w="311"/>
        <w:gridCol w:w="710"/>
        <w:gridCol w:w="166"/>
        <w:gridCol w:w="146"/>
        <w:gridCol w:w="211"/>
        <w:gridCol w:w="991"/>
        <w:gridCol w:w="166"/>
        <w:gridCol w:w="146"/>
        <w:gridCol w:w="244"/>
        <w:gridCol w:w="852"/>
        <w:gridCol w:w="211"/>
      </w:tblGrid>
      <w:tr>
        <w:trPr/>
        <w:tc>
          <w:tcPr>
            <w:tcW w:w="2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994"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br/>
              <w:t>$0.0001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(Loss)/Income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87,405,979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purchase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withholdings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88,543,881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1,590,855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(1,549,253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34"/>
        <w:gridCol w:w="146"/>
        <w:gridCol w:w="146"/>
        <w:gridCol w:w="1036"/>
        <w:gridCol w:w="146"/>
        <w:gridCol w:w="146"/>
        <w:gridCol w:w="261"/>
        <w:gridCol w:w="430"/>
        <w:gridCol w:w="146"/>
        <w:gridCol w:w="146"/>
        <w:gridCol w:w="211"/>
        <w:gridCol w:w="931"/>
        <w:gridCol w:w="146"/>
        <w:gridCol w:w="146"/>
        <w:gridCol w:w="340"/>
        <w:gridCol w:w="681"/>
        <w:gridCol w:w="146"/>
        <w:gridCol w:w="146"/>
        <w:gridCol w:w="211"/>
        <w:gridCol w:w="991"/>
        <w:gridCol w:w="166"/>
        <w:gridCol w:w="146"/>
        <w:gridCol w:w="233"/>
        <w:gridCol w:w="863"/>
        <w:gridCol w:w="211"/>
      </w:tblGrid>
      <w:tr>
        <w:trPr/>
        <w:tc>
          <w:tcPr>
            <w:tcW w:w="2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994"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br/>
              <w:t>$0.0001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(Loss)/Income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85,694,443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purchase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withholdings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86,047,032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1,520,527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consolidated financial statements.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tbl>
      <w:tblPr>
        <w:tblW w:w="10200" w:type="dxa"/>
        <w:jc w:val="left"/>
        <w:tblInd w:w="0" w:type="dxa"/>
        <w:tblLayout w:type="fixed"/>
        <w:tblCellMar>
          <w:top w:w="28" w:type="dxa"/>
          <w:left w:w="28" w:type="dxa"/>
          <w:bottom w:w="28" w:type="dxa"/>
          <w:right w:w="28" w:type="dxa"/>
        </w:tblCellMar>
      </w:tblPr>
      <w:tblGrid>
        <w:gridCol w:w="6646"/>
        <w:gridCol w:w="146"/>
        <w:gridCol w:w="220"/>
        <w:gridCol w:w="816"/>
        <w:gridCol w:w="173"/>
        <w:gridCol w:w="152"/>
        <w:gridCol w:w="220"/>
        <w:gridCol w:w="816"/>
        <w:gridCol w:w="1011"/>
      </w:tblGrid>
      <w:tr>
        <w:trPr/>
        <w:tc>
          <w:tcPr>
            <w:tcW w:w="6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Collaboration receivable (payable),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(28,349</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(50,345</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(95,162</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short and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sales and maturities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77,777</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104,680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38,390</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94,142</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7,460</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7,918</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135,032</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154,300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130,995</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154,210</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SYNDAX PHARMACEUTICALS, INC.</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8" w:name="notes_to_consolidated_financial_statemen"/>
      <w:bookmarkEnd w:id="8"/>
      <w:r>
        <w:rPr>
          <w:rFonts w:ascii="Times New Roman" w:hAnsi="Times New Roman"/>
          <w:b/>
          <w:color w:val="000000"/>
          <w:sz w:val="20"/>
        </w:rPr>
        <w:t>1. Nature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Syndax Pharmaceuticals, Inc. is a commercial-stage biopharmaceutical company advancing innovative cancer therapies. We currently have two commercially approved products and a robust slate of clinical development programs. We were incorporated in Delaware in 2005. We have operations in New York, NY, and we operate in one segment. References in these notes to unaudited consolidated financial statements to “Syndax,” “the Company,” “we,” “us” or “our” refer to Syndax Pharmaceuticals, Inc. and its wholly owned subsidiaries.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revenue generation from Revuforj and Niktimvo; obtaining regulatory approval of additional indications for our approved products; delays or problems in the supply of our products, loss of single source suppliers or failure to comply with manufacturing regulations; identifying, acquiring or in-licensing additional products or product candidates; pharmaceutical product development and the inherent uncertainty of clinical success; the challenges of protecting and enhancing our intellectual property rights; and complying with applicable regulatory requirements. </w:t>
      </w:r>
    </w:p>
    <w:p>
      <w:pPr>
        <w:pStyle w:val="TextBody"/>
        <w:bidi w:val="0"/>
        <w:spacing w:before="360" w:after="283"/>
        <w:jc w:val="left"/>
        <w:rPr>
          <w:rFonts w:ascii="Times New Roman" w:hAnsi="Times New Roman"/>
          <w:sz w:val="20"/>
        </w:rPr>
      </w:pPr>
      <w:r>
        <w:rPr>
          <w:rFonts w:ascii="Times New Roman" w:hAnsi="Times New Roman"/>
          <w:b/>
          <w:color w:val="000000"/>
          <w:sz w:val="20"/>
        </w:rPr>
        <w:t xml:space="preserve">2. Basis of Presentation </w:t>
        <w:br/>
      </w:r>
      <w:r>
        <w:rPr>
          <w:rFonts w:ascii="Times New Roman" w:hAnsi="Times New Roman"/>
          <w:color w:val="000000"/>
          <w:sz w:val="20"/>
        </w:rPr>
        <w:t> </w:t>
      </w:r>
    </w:p>
    <w:p>
      <w:pPr>
        <w:pStyle w:val="TextBody"/>
        <w:bidi w:val="0"/>
        <w:jc w:val="left"/>
        <w:rPr>
          <w:rFonts w:ascii="Times New Roman" w:hAnsi="Times New Roman"/>
          <w:color w:val="000000"/>
          <w:sz w:val="20"/>
        </w:rPr>
      </w:pPr>
      <w:r>
        <w:rPr>
          <w:rFonts w:ascii="Times New Roman" w:hAnsi="Times New Roman"/>
          <w:color w:val="000000"/>
          <w:sz w:val="20"/>
        </w:rPr>
        <w:t>The accompanying unaudited consolidated financial statements have been prepared in conformity with U.S. generally accepted accounting principles, or U.S. GAAP. Any reference in these notes to applicable guidance is meant to refer to U.S. GAAP as found in the Accounting Standards Codification, or ASC, and Accounting Standards Updates, or ASU, of the Financial Accounting Standards Board, or FASB.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opinion of management, the accompanying unaudited interim financial statements include all normal and recurring adjustments (which consist primarily of accruals and estimates that impact the financial statements) considered necessary to present fairly the Company’s financial position as of March 31, 2026 and its results of operations for the three months ended March 31, 2026 and 2025 and cash flows for the three months ended March 31, 2026 and 2025. Operating results for the three months ended March 31, 2026 are not necessarily indicative of the results that may be expected for the year ending December 31, 2026. The unaudited interim financial statements presented herein do not contain the required disclosures under U.S. GAAP for annual financial statements. The accompanying unaudited interim financial statements should be read in conjunction with the annual audited financial statements and related notes as of and for the year ended December 31, 2025 contained in the Company’s Annual Report on Form 10-K, filed with the Securities and Exchange Commission, or SEC, on February 26,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2011, the Company established a wholly owned subsidiary in the United Kingdom, which the Company dissolved in June 2024. In 2014, the Company established a wholly owned U.S. subsidiary, which the Company dissolved in July 2025. In 2021, the Company established a wholly owned subsidiary in the Netherlands. To date, there have been no material activities for these entities. All intercompany balances and transactions have been eliminated in consolidation.</w:t>
      </w:r>
    </w:p>
    <w:p>
      <w:pPr>
        <w:pStyle w:val="TextBody"/>
        <w:bidi w:val="0"/>
        <w:spacing w:before="360" w:after="283"/>
        <w:jc w:val="left"/>
        <w:rPr>
          <w:rFonts w:ascii="Times New Roman" w:hAnsi="Times New Roman"/>
          <w:sz w:val="20"/>
        </w:rPr>
      </w:pPr>
      <w:r>
        <w:rPr>
          <w:rFonts w:ascii="Times New Roman" w:hAnsi="Times New Roman"/>
          <w:b/>
          <w:color w:val="000000"/>
          <w:sz w:val="20"/>
        </w:rPr>
        <w:t>3.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significant accounting policies, which are disclosed in the audited consolidated financial statements for the year ended December 31, 2025, and the notes thereto are included in the Company’s Annual Report on Form 10-K that was filed with the SEC on February 26, 2026. Since the date of filing, there have been no material changes to the Company’s significant accounting policies, except as noted below.</w:t>
      </w:r>
    </w:p>
    <w:p>
      <w:pPr>
        <w:pStyle w:val="TextBody"/>
        <w:bidi w:val="0"/>
        <w:spacing w:before="12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 unaudited consolidated financial statements in conformity with U.S. GAAP requires management to make estimates and assumptions that affect the reported amounts of assets and liabilities and the disclosure of contingent assets and liabilities at the date of the unaudited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Estimates and assumptions about future events and their effects cannot be determined with certainty and therefore require the exercise of judgment. As of the date of issuance of these unaudited consolidated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recognized in the unaudited consolidated financial statements as soon as they become known. Actual results could differ from those estimates and any such differences may be material to the Company’s unaudited consolidated financial statements.</w:t>
      </w:r>
    </w:p>
    <w:p>
      <w:pPr>
        <w:pStyle w:val="TextBody"/>
        <w:bidi w:val="0"/>
        <w:jc w:val="left"/>
        <w:rPr>
          <w:rFonts w:ascii="Times New Roman" w:hAnsi="Times New Roman"/>
          <w:b/>
          <w:color w:val="000000"/>
          <w:sz w:val="20"/>
        </w:rPr>
      </w:pPr>
      <w:r>
        <w:rPr>
          <w:rFonts w:ascii="Times New Roman" w:hAnsi="Times New Roman"/>
          <w:b/>
          <w:color w:val="000000"/>
          <w:sz w:val="20"/>
        </w:rPr>
        <w:t>Income taxes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accordance with Topic ASC 270, </w:t>
      </w:r>
      <w:r>
        <w:rPr>
          <w:rFonts w:ascii="Times New Roman" w:hAnsi="Times New Roman"/>
          <w:i/>
          <w:color w:val="000000"/>
          <w:sz w:val="20"/>
        </w:rPr>
        <w:t>Interim Reporting</w:t>
      </w:r>
      <w:r>
        <w:rPr>
          <w:rFonts w:ascii="Times New Roman" w:hAnsi="Times New Roman"/>
          <w:color w:val="000000"/>
          <w:sz w:val="20"/>
        </w:rPr>
        <w:t xml:space="preserve">, and Topic ASC 740, </w:t>
      </w:r>
      <w:r>
        <w:rPr>
          <w:rFonts w:ascii="Times New Roman" w:hAnsi="Times New Roman"/>
          <w:i/>
          <w:color w:val="000000"/>
          <w:sz w:val="20"/>
        </w:rPr>
        <w:t>Income Taxes</w:t>
      </w:r>
      <w:r>
        <w:rPr>
          <w:rFonts w:ascii="Times New Roman" w:hAnsi="Times New Roman"/>
          <w:color w:val="000000"/>
          <w:sz w:val="20"/>
        </w:rPr>
        <w:t>, the Company is required at the end of each interim period to determine the best estimate of its annual effective tax rate and then apply that rate in providing for income taxes on a current year-to-date (interim period) basis. For the three months ended March 31, 2026 and 2025, the Company recorded no tax expense or benefit due to the expected current year loss and its historical losses. As of March 31, 2026 and December 31, 2025, the Company concluded that a full valuation allowance would be necessary for all of its net deferred tax assets. The Company had no amounts recorded for uncertain tax positions, interest or penalties in the accompanying unaudited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On July 4, 2025, the One Big Beautiful Bill Act, or OBBBA, was enacted in the United States. The OBBBA includes significant changes to the Internal Revenue Code of 1986, or the Tax Code, such as the permanent extension of certain expiring provisions of the Tax Cuts and Jobs Act of 2017, or the TCJA, modifications to certain aspects of the international tax framework and the restoration of favorable tax treatment for certain business expense provisions. The OBBBA introduced several U.S. tax law changes, including the ability to immediately expense domestic research and experimental, or R&amp;E, expenditures starting in 2025, and an election to accelerate any unamortized domestic R&amp;E expenditures over a one or two year period beginning with the 2025 tax year. In accordance with ASC 740, </w:t>
      </w:r>
      <w:r>
        <w:rPr>
          <w:rFonts w:ascii="Times New Roman" w:hAnsi="Times New Roman"/>
          <w:i/>
          <w:color w:val="000000"/>
          <w:sz w:val="20"/>
        </w:rPr>
        <w:t>Accounting for Income Taxes</w:t>
      </w:r>
      <w:r>
        <w:rPr>
          <w:rFonts w:ascii="Times New Roman" w:hAnsi="Times New Roman"/>
          <w:color w:val="000000"/>
          <w:sz w:val="20"/>
        </w:rPr>
        <w:t>, the impacts of the OBBBA did not affect the Company’s U.S. deferred tax assets or liabilities, as the Company continues to maintain a full valuation allowance against those balances</w:t>
      </w:r>
      <w:r>
        <w:rPr>
          <w:rFonts w:ascii="Times New Roman" w:hAnsi="Times New Roman"/>
          <w:color w:val="000000"/>
          <w:sz w:val="18"/>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 comprehensive income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Comprehensive loss consists of two components, net loss and other comprehensive loss, net of tax. The Company’s other comprehensive loss, net of tax, consists of unrealized gains (losses) on the Company’s investments.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Collaboration revenue,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September 2021, the Company entered into the Incyte License and Collaboration Agreement, or the Incyte License, with Incyte Corporation, or Incyte, covering the worldwide development and commercialization of axatilimab. In August 2024, the U.S. Food and Drug Administration, or FDA, approved Niktimvo for the treatment of chronic graft-versus host disease, or cGVHD, after failure of at least two prior lines of systemic therapy in adult and pediatric patients weighing at least 40 kg (88.2 lbs). See Note 4 — Significant Collaborative Research and License Agreements — Incyte Collaboration for further details on the Incyte License and Collaboration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accordance with Topic ASC 808, </w:t>
      </w:r>
      <w:r>
        <w:rPr>
          <w:rFonts w:ascii="Times New Roman" w:hAnsi="Times New Roman"/>
          <w:i/>
          <w:color w:val="000000"/>
          <w:sz w:val="20"/>
        </w:rPr>
        <w:t>Collaboration Arrangements,</w:t>
      </w:r>
      <w:r>
        <w:rPr>
          <w:rFonts w:ascii="Times New Roman" w:hAnsi="Times New Roman"/>
          <w:color w:val="000000"/>
          <w:sz w:val="20"/>
        </w:rPr>
        <w:t xml:space="preserve"> Incyte has been identified as the principal in product sales, therefore, the Company will recognize its share of any profits or losses in the amount of net product sales less cost of goods sold and shared commercial costs, royalties and other expenses, in the period in which the underlying sales and costs are recognized. The Company’s share of net profits in connection with commercialization of products will be presented as “Collaboration revenue, net” and its share of net losses will be presented as “Collaboration loss” within operating expenses. The year to date “Collaboration revenue, net” or “Collaboration loss” will be presented as the net cumulative amount for all periods reported on in the financial statements. The Company will continue to recognize the costs associated with ongoing development services in the R&amp;D operating expense line, including any cost-sharing components with Incyte. </w:t>
      </w:r>
    </w:p>
    <w:p>
      <w:pPr>
        <w:pStyle w:val="TextBody"/>
        <w:bidi w:val="0"/>
        <w:spacing w:before="120" w:after="283"/>
        <w:jc w:val="left"/>
        <w:rPr>
          <w:rFonts w:ascii="Times New Roman" w:hAnsi="Times New Roman"/>
          <w:sz w:val="20"/>
        </w:rPr>
      </w:pPr>
      <w:r>
        <w:rPr>
          <w:rFonts w:ascii="Times New Roman" w:hAnsi="Times New Roman"/>
          <w:b/>
          <w:color w:val="000000"/>
          <w:sz w:val="20"/>
        </w:rPr>
        <w:t>Recently Issued and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FASB or other accounting standard setting bodies that we adopt as of the specified effective date. Unless otherwise discussed below, we do not believe that the adoption of recently issued standards have or may have a material impact on our unaudited consolidated financial statements or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 or ASU 2024-03</w:t>
      </w:r>
      <w:r>
        <w:rPr>
          <w:rFonts w:ascii="Times New Roman" w:hAnsi="Times New Roman"/>
          <w:color w:val="000000"/>
          <w:sz w:val="20"/>
        </w:rPr>
        <w:t>. Among other items, the requirements include expanded disclosures around employee compensation and selling expenses. ASU 2024-03 will be effective for the Company for the year ending December 31, 2027. The Company is still evaluating the impact of this new guidance on its unaudited consolidated financial statements but expects the adoption to result in disclosure changes only.</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Significant Collaborative Research and License Agreements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Incyte Collaboration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2021, the Company entered into the Incyte License with Incyte, covering the worldwide development and commercialization of axatilimab. Also in September 2021, the Company entered into a share purchase agreement with Incyte, or the Incyte Share Purchase Agreement. These agreements are collectively referred to as the Incyte Agreements. Under the terms of the Incyte Agreements, Incyte received exclusive commercialization rights outside of the United States, subject to certain royalty payment obligations set forth below. In the United States, Incyte and the Company are co-commercializing and co-promoting axatilimab as Niktimvo (axatilimab-csfr). The Company and Incyte share equally the profits and losses from co-commercialization efforts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and Incyte have agreed to continue to co-develop axatilimab and to share development costs associated with global and additional U.S.-specific clinical trials, with Incyte responsible for 55% of such costs and the Company responsible for 45% of such costs. Each company will be responsible for funding any of its own independent development activities. Incyte is responsible for 100% of future development costs for trials that are specific to ex-U.S. countries. All development costs related to the collaboration will be subject to a joint development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terms of the Incyte Agreements, in December 2021, Incyte paid the Company a non-refundable cash payment of $117.0 million and the Company issued 1,421,523 shares of common stock with an aggregate purchase price of $35.0 million, or $24.62 per share. Additionally, under the terms of the Incyte Agreements, the Company is eligible to receive up to $220.0 million in future contingent development and regulatory milestones and up to $230.0 million in commercialization milestones as well as tiered royalties ranging in the mid-teens percentage on net sales of the licensed product comprising axatilimab in Europe and Japan and low double digit percentage in the rest of the world outside of the United States. The Company’s right to receive royalties in any particular country will expire upon the last to occur of (a) the expiration of licensed patent rights covering the licensed product in that particular country, (b) a specified period of time after the first post-marketing authorization sale of a licensed product in that country, and (c) the expiration of any regulatory exclusivity for that licensed product in that country.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2024, the FDA approved Niktimvo for the treatment of cGVHD after failure of at least two prior lines of systemic therapy in adult and pediatric patients weighing at least 40 kg (88.2 lbs). As a result of the approval of Niktimvo, the Company earned a revenue milestone of $12.5 million, which was received in the third quarter of 2024. Upon the achievement of $150.0 million in net sales of Niktimvo, the Company recognized a $5.0 million milestone receivable in the fourth quarter of 2025, which was received in the first quarter of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the Company has recognized collaboration revenue of $15.9 million. For the three months ended March 31, 2025, the Company recognized $0.2 million of collaboration loss. As of March 31, 2026, the Company has recorded approximately $24.7 million as a collaboration receivable due from Incyte related to the Company's portion of the profit share, commercialization and development costs under the Incyte Agreements and has recorded approximately $4.2 million as a collaboration payable due to Incyte for development and commercialization costs incurred by Incyte. The Company’s share of collaboration profit or loss is based on net sales of Niktimvo and the collaborative commercialization expenses.</w:t>
      </w:r>
    </w:p>
    <w:p>
      <w:pPr>
        <w:pStyle w:val="TextBody"/>
        <w:bidi w:val="0"/>
        <w:spacing w:before="120" w:after="283"/>
        <w:jc w:val="left"/>
        <w:rPr>
          <w:rFonts w:ascii="Times New Roman" w:hAnsi="Times New Roman"/>
          <w:sz w:val="20"/>
        </w:rPr>
      </w:pPr>
      <w:r>
        <w:rPr>
          <w:rFonts w:ascii="Times New Roman" w:hAnsi="Times New Roman"/>
          <w:b/>
          <w:color w:val="000000"/>
          <w:sz w:val="20"/>
        </w:rPr>
        <w:t>Vitae Pharmaceuticals, Inc.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2017, the Company entered into a license agreement, or the Vitae License Agreement, with Vitae Pharmaceuticals, Inc., or Vitae, a subsidiary of AbbVie, Inc., or AbbVie, under which the Company was granted an exclusive, sublicensable, worldwide license to a portfolio of preclinical, orally available, small molecule inhibitors of the Menin–KMT2A binding interaction, or the Menin Assets. Upon execution of the Vitae License Agreement, the Company agreed to pay Allergan (the predecessor in interest to AbbVie) up to $99.0 million in one-time development and regulatory milestone payments over the term of the Vitae License Agreement, subject to the achievement of certain milestone events. In the event that the Company or any of its affiliates or sublicensees commercializes the Menin Assets, the Company will also be obligated to pay Vitae low single to low double-digit percentage royalties on sales, subject to reduction in certain circumstances, as well as up to an aggregate of $70.0 million in potential one-time, sales-based milestone payments based on achievement of certain annual sales thresholds. The Company is solely responsible for the development and commercialization of the Menin Assets. Each party may terminate the Vitae License Agreement for the other party’s uncured material breach or insolvency, and the Company may terminate the Vitae License Agreement at any time upon advance written notice to Vitae. Vitae may terminate the Vitae License Agreement if the Company or any of its affiliates or sublicensees institutes a legal challenge to the validity, enforceability, or patentability of the licensed patent rights. Unless terminated earlier in accordance with its terms, the Vitae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date of the Vitae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2017, the upfront payment of $5.0 million was recorded as research and development expense in the consolidated statements of operations. Since the inception of the Vitae License Agreement, the Company achieved certain development and regulatory milestones resulting in $38.0 million in expense, which includes an $18.0 million milestone expense in 2024 and a $12.0 million expense in 2025, related to the submission of a supplemental New Drug Application, or sNDA, for Revuforj and the first United States sale of Revuforj in its second indication.</w:t>
      </w:r>
    </w:p>
    <w:p>
      <w:pPr>
        <w:pStyle w:val="TextBody"/>
        <w:bidi w:val="0"/>
        <w:spacing w:before="240" w:after="283"/>
        <w:jc w:val="left"/>
        <w:rPr>
          <w:rFonts w:ascii="Times New Roman" w:hAnsi="Times New Roman"/>
          <w:sz w:val="20"/>
        </w:rPr>
      </w:pPr>
      <w:r>
        <w:rPr>
          <w:rFonts w:ascii="Times New Roman" w:hAnsi="Times New Roman"/>
          <w:b/>
          <w:color w:val="000000"/>
          <w:sz w:val="20"/>
        </w:rPr>
        <w:t>UCB Biopharma Sprl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2016, the Company entered into a license agreement, or the UCB License Agreement, as amended from time to time, with UCB Biopharma Sprl, or UCB, under which UCB granted to the Company a worldwide, sublicensable, exclusive license to UCB6352, which the Company refers to as axatilimab, an anti-CSF-1R monoclonal antibody. Upon execution of the agreement, the Company agreed to pay UCB up to $119.5 million in one-time development and regulatory milestone payments over the term of the UCB License Agreement, subject to the achievement of certain milestone events. In the event that the Company or any of its affiliates or sublicensees commercializes axatilimab, the Company will also be obligated to pay UCB low double-digit percentage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axatilimab, except that UCB was responsible for performing a limited set of transitional chemistry, manufacturing and control tasks related to axatilimab. Each party may terminate the UCB License Agreement for the other party’s uncured material breach or insolvency, and the Company may terminate the UCB License Agreement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 million was recorded as research and development expense in the consolidated statements of operations. In connection with its most recent amendment of the UCB License Agreement, in the second quarter of 2022 the Company paid UCB $5.8 million, which was recognized as a milestone expense. Since the effective date of the license agreement, the Company achieved certain development and regulatory milestones and has recorded $41.0 million as research and development expense, which includes a $15.0 million milestone paid during the third quarter of 2024 upon the approval of Niktimvo and a $10 million milestone recognized in the first quarter of 2025 for the first patient dosed in a Phase III study with the compound in a combination with another agent. The Company also recognized a $10.0 million commercial milestone expense in the fourth quarter of 2025 upon the achievement of $150.0 million in net sales of Niktimvo.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5. Net Loss per Share Attributable to Common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 </w:t>
      </w:r>
    </w:p>
    <w:p>
      <w:pPr>
        <w:pStyle w:val="TextBody"/>
        <w:bidi w:val="0"/>
        <w:spacing w:before="120" w:after="283"/>
        <w:jc w:val="left"/>
        <w:rPr/>
      </w:pPr>
      <w:r>
        <w:rPr/>
        <w:t> </w:t>
      </w:r>
    </w:p>
    <w:tbl>
      <w:tblPr>
        <w:tblW w:w="7023" w:type="dxa"/>
        <w:jc w:val="left"/>
        <w:tblInd w:w="0" w:type="dxa"/>
        <w:tblLayout w:type="fixed"/>
        <w:tblCellMar>
          <w:top w:w="28" w:type="dxa"/>
          <w:left w:w="28" w:type="dxa"/>
          <w:bottom w:w="28" w:type="dxa"/>
          <w:right w:w="28" w:type="dxa"/>
        </w:tblCellMar>
      </w:tblPr>
      <w:tblGrid>
        <w:gridCol w:w="4006"/>
        <w:gridCol w:w="211"/>
        <w:gridCol w:w="1036"/>
        <w:gridCol w:w="166"/>
        <w:gridCol w:w="146"/>
        <w:gridCol w:w="211"/>
        <w:gridCol w:w="1036"/>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w:t>
              <w:br/>
              <w:t>share data)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Numerator—basic and diluted:</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w:t>
              <w:br/>
              <w:t>   stockholders—basic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w:t>
              <w:br/>
              <w:t>   stockholders—basic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Denominator—basic and diluted:</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number of common shares </w:t>
              <w:br/>
              <w:t>   used to compute net loss per share attributable</w:t>
              <w:br/>
              <w:t>   to common stockholders—basic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88,255,636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86,171,889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potentially dilutive securities have been excluded from the computation of diluted weighted-average shares outstanding because such securities have an antidilutive impact due to losses reported (in common stock equivalent shares): </w:t>
      </w:r>
    </w:p>
    <w:tbl>
      <w:tblPr>
        <w:tblW w:w="6384" w:type="dxa"/>
        <w:jc w:val="left"/>
        <w:tblInd w:w="0" w:type="dxa"/>
        <w:tblLayout w:type="fixed"/>
        <w:tblCellMar>
          <w:top w:w="28" w:type="dxa"/>
          <w:left w:w="28" w:type="dxa"/>
          <w:bottom w:w="28" w:type="dxa"/>
          <w:right w:w="28" w:type="dxa"/>
        </w:tblCellMar>
      </w:tblPr>
      <w:tblGrid>
        <w:gridCol w:w="3391"/>
        <w:gridCol w:w="146"/>
        <w:gridCol w:w="146"/>
        <w:gridCol w:w="1036"/>
        <w:gridCol w:w="146"/>
        <w:gridCol w:w="146"/>
        <w:gridCol w:w="146"/>
        <w:gridCol w:w="1036"/>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13,949,602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13,528,527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 units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2,593,981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additional information related to the Company’s common stock see Note 13 — Stock Based Compensation.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Other Receivables,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2024, entinostat received marketing approval in China, and as a result, the Company recorded $3.5 million of milestone revenue in 2024. The Company had recorded a $3.7 million receivable related to milestones (plus accrued interest) under the license agreement with Eddingpharm in 2025, which remains outstanding as of March 31, 2026. As the receivable remains outstanding, and the Company has assessed the amount as non-recoverable, the Company recorded a full reserve against the asset as a selling, general and administrative expense in 2025.</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7.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Level 1— </w:t>
      </w:r>
      <w:r>
        <w:rPr>
          <w:rFonts w:ascii="Times New Roman" w:hAnsi="Times New Roman"/>
          <w:color w:val="000000"/>
          <w:sz w:val="20"/>
        </w:rPr>
        <w:t>Quoted prices (unadjusted) in active markets that are accessible at the market date for identical unrestricted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Level 2— </w:t>
      </w:r>
      <w:r>
        <w:rPr>
          <w:rFonts w:ascii="Times New Roman" w:hAnsi="Times New Roman"/>
          <w:color w:val="000000"/>
          <w:sz w:val="20"/>
        </w:rPr>
        <w:t>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Level 3— </w:t>
      </w:r>
      <w:r>
        <w:rPr>
          <w:rFonts w:ascii="Times New Roman" w:hAnsi="Times New Roman"/>
          <w:color w:val="000000"/>
          <w:sz w:val="20"/>
        </w:rPr>
        <w:t>Unobservable inputs that are supported by little or no market activity and that are significant to the fair value of the assets or liabilities.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table below presents information about the Company’s assets and liabilities that are regularly measured and carried at fair value and indicate the level within the fair value hierarchy of valuation techniques the Company utilized to determine such fair values (in thousands): </w:t>
      </w:r>
    </w:p>
    <w:tbl>
      <w:tblPr>
        <w:tblW w:w="7909" w:type="dxa"/>
        <w:jc w:val="left"/>
        <w:tblInd w:w="0" w:type="dxa"/>
        <w:tblLayout w:type="fixed"/>
        <w:tblCellMar>
          <w:top w:w="28" w:type="dxa"/>
          <w:left w:w="28" w:type="dxa"/>
          <w:bottom w:w="28" w:type="dxa"/>
          <w:right w:w="28" w:type="dxa"/>
        </w:tblCellMar>
      </w:tblPr>
      <w:tblGrid>
        <w:gridCol w:w="2196"/>
        <w:gridCol w:w="146"/>
        <w:gridCol w:w="211"/>
        <w:gridCol w:w="781"/>
        <w:gridCol w:w="146"/>
        <w:gridCol w:w="146"/>
        <w:gridCol w:w="217"/>
        <w:gridCol w:w="803"/>
        <w:gridCol w:w="146"/>
        <w:gridCol w:w="146"/>
        <w:gridCol w:w="211"/>
        <w:gridCol w:w="781"/>
        <w:gridCol w:w="146"/>
        <w:gridCol w:w="146"/>
        <w:gridCol w:w="414"/>
        <w:gridCol w:w="682"/>
        <w:gridCol w:w="591"/>
      </w:tblGrid>
      <w:tr>
        <w:trPr/>
        <w:tc>
          <w:tcPr>
            <w:tcW w:w="2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(unadjusted)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Active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351,814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130,643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221,171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374,498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115,358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259,140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have been no material impairments of our assets measured and carried at fair value during the periods ended March 31, 2026 and 2025. In addition, there have been no changes in valuation techniques during the periods ended March 31, 2026 and 2025. The fair value of Level 1 instruments classified as cash equivalents are valued using quoted market prices in active markets. The fair value of Level 2 instruments classified as short-term investments are determined based on quoted prices in active markets, which are either directly or indirectly observable as of the reporting date with fair value being determined using models or other valuation methodologies.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short and long-term investments are classified as available-for-sale securities. As of March 31, 2026, the remaining contractual maturities of the available-for-sale securities were 1 to 10 months, and the balance in the Company’s accumulated other comprehensive gain was comprised solely of activity related to the Company’s available-for-sale securities. There were no realized gains or losses recognized on the sale or maturity of available-for-sale securities, during the three months ended March 31, 2026 and 2025. As a result, the Company did not reclassify any amounts out of accumulated other comprehensive gain for the same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available-for-sale securities: </w:t>
      </w:r>
    </w:p>
    <w:p>
      <w:pPr>
        <w:pStyle w:val="TextBody"/>
        <w:bidi w:val="0"/>
        <w:spacing w:before="240" w:after="283"/>
        <w:jc w:val="left"/>
        <w:rPr/>
      </w:pPr>
      <w:r>
        <w:rPr/>
        <w:t> </w:t>
      </w:r>
    </w:p>
    <w:tbl>
      <w:tblPr>
        <w:tblW w:w="6995" w:type="dxa"/>
        <w:jc w:val="left"/>
        <w:tblInd w:w="0" w:type="dxa"/>
        <w:tblLayout w:type="fixed"/>
        <w:tblCellMar>
          <w:top w:w="28" w:type="dxa"/>
          <w:left w:w="28" w:type="dxa"/>
          <w:bottom w:w="28" w:type="dxa"/>
          <w:right w:w="28" w:type="dxa"/>
        </w:tblCellMar>
      </w:tblPr>
      <w:tblGrid>
        <w:gridCol w:w="1806"/>
        <w:gridCol w:w="146"/>
        <w:gridCol w:w="211"/>
        <w:gridCol w:w="781"/>
        <w:gridCol w:w="146"/>
        <w:gridCol w:w="146"/>
        <w:gridCol w:w="295"/>
        <w:gridCol w:w="591"/>
        <w:gridCol w:w="146"/>
        <w:gridCol w:w="146"/>
        <w:gridCol w:w="270"/>
        <w:gridCol w:w="616"/>
        <w:gridCol w:w="166"/>
        <w:gridCol w:w="146"/>
        <w:gridCol w:w="211"/>
        <w:gridCol w:w="781"/>
        <w:gridCol w:w="391"/>
      </w:tblGrid>
      <w:tr>
        <w:trPr/>
        <w:tc>
          <w:tcPr>
            <w:tcW w:w="1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221,171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86,081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8. Prepaid Expenses and Other Current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Prepaid expenses and other current assets consisted of the following (in thousands): </w:t>
      </w:r>
    </w:p>
    <w:tbl>
      <w:tblPr>
        <w:tblW w:w="7320" w:type="dxa"/>
        <w:jc w:val="left"/>
        <w:tblInd w:w="0" w:type="dxa"/>
        <w:tblLayout w:type="fixed"/>
        <w:tblCellMar>
          <w:top w:w="28" w:type="dxa"/>
          <w:left w:w="28" w:type="dxa"/>
          <w:bottom w:w="28" w:type="dxa"/>
          <w:right w:w="28" w:type="dxa"/>
        </w:tblCellMar>
      </w:tblPr>
      <w:tblGrid>
        <w:gridCol w:w="3931"/>
        <w:gridCol w:w="146"/>
        <w:gridCol w:w="299"/>
        <w:gridCol w:w="961"/>
        <w:gridCol w:w="146"/>
        <w:gridCol w:w="146"/>
        <w:gridCol w:w="357"/>
        <w:gridCol w:w="1143"/>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subscriptions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state and local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Inventory,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Inventory, net consisted of the following (in thousands):</w:t>
      </w:r>
    </w:p>
    <w:p>
      <w:pPr>
        <w:pStyle w:val="TextBody"/>
        <w:bidi w:val="0"/>
        <w:jc w:val="left"/>
        <w:rPr/>
      </w:pPr>
      <w:r>
        <w:rPr/>
        <w:t> </w:t>
      </w:r>
    </w:p>
    <w:tbl>
      <w:tblPr>
        <w:tblW w:w="4352" w:type="dxa"/>
        <w:jc w:val="left"/>
        <w:tblInd w:w="0" w:type="dxa"/>
        <w:tblLayout w:type="fixed"/>
        <w:tblCellMar>
          <w:top w:w="28" w:type="dxa"/>
          <w:left w:w="28" w:type="dxa"/>
          <w:bottom w:w="28" w:type="dxa"/>
          <w:right w:w="28" w:type="dxa"/>
        </w:tblCellMar>
      </w:tblPr>
      <w:tblGrid>
        <w:gridCol w:w="1741"/>
        <w:gridCol w:w="146"/>
        <w:gridCol w:w="211"/>
        <w:gridCol w:w="676"/>
        <w:gridCol w:w="146"/>
        <w:gridCol w:w="146"/>
        <w:gridCol w:w="260"/>
        <w:gridCol w:w="835"/>
        <w:gridCol w:w="19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Inventories are stated at the lower of cost or net realizable value, as determined on a first-in, first-out basis.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Prior to the FDA's approval of Revuforj in November 2024, all costs for the manufacturing of product to support clinical development and commercial launch, including pre-launch inventory, were expensed as research and development costs. The pre-launch inventory will continue to be used in commercial production until it is depleted.</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10. Property and Equipment, net</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Property and equipment, net, consisted of the following (in thousands): </w:t>
      </w:r>
    </w:p>
    <w:tbl>
      <w:tblPr>
        <w:tblW w:w="5550" w:type="dxa"/>
        <w:jc w:val="left"/>
        <w:tblInd w:w="0" w:type="dxa"/>
        <w:tblLayout w:type="fixed"/>
        <w:tblCellMar>
          <w:top w:w="28" w:type="dxa"/>
          <w:left w:w="28" w:type="dxa"/>
          <w:bottom w:w="28" w:type="dxa"/>
          <w:right w:w="28" w:type="dxa"/>
        </w:tblCellMar>
      </w:tblPr>
      <w:tblGrid>
        <w:gridCol w:w="2751"/>
        <w:gridCol w:w="146"/>
        <w:gridCol w:w="261"/>
        <w:gridCol w:w="594"/>
        <w:gridCol w:w="166"/>
        <w:gridCol w:w="146"/>
        <w:gridCol w:w="333"/>
        <w:gridCol w:w="762"/>
        <w:gridCol w:w="391"/>
      </w:tblGrid>
      <w:tr>
        <w:trPr/>
        <w:tc>
          <w:tcPr>
            <w:tcW w:w="2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and 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Depreciation expense was $4,000 for the three months ended March 31, 2026. There was no depreciation expense for the three months ended March 31,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11. Accrued Expenses and Other Current Liabilities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(in thousands):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55" w:type="dxa"/>
        <w:jc w:val="left"/>
        <w:tblInd w:w="0" w:type="dxa"/>
        <w:tblLayout w:type="fixed"/>
        <w:tblCellMar>
          <w:top w:w="28" w:type="dxa"/>
          <w:left w:w="28" w:type="dxa"/>
          <w:bottom w:w="28" w:type="dxa"/>
          <w:right w:w="28" w:type="dxa"/>
        </w:tblCellMar>
      </w:tblPr>
      <w:tblGrid>
        <w:gridCol w:w="4261"/>
        <w:gridCol w:w="146"/>
        <w:gridCol w:w="342"/>
        <w:gridCol w:w="1098"/>
        <w:gridCol w:w="146"/>
        <w:gridCol w:w="146"/>
        <w:gridCol w:w="367"/>
        <w:gridCol w:w="1358"/>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study and trial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selling, general, and administrative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milestone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royalty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 royalty interest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103,064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Royalty Interest Financing Liability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4, 2024, the Company entered into a Purchase and Sale Agreement, or the Purchase and Sale Agreement, with Royalty Pharma Development Funding, LLC, or Royalty Pharma, pursuant to which Royalty Pharma purchased rights to certain revenue streams from net sales of products comprising or containing axatilimab (including Niktimvo) by the Company, its affiliates and its licensees in the United States and its respective territories, districts, commonwealths and possessions (including Guam and Puerto Rico) in exchange for an upfront fee of $350 million.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Purchase and Sale Agreement, Royalty Pharma purchased the right to receive a percentage of net sales equal to a royalty rate of 13.8% on quarterly net sales of Niktimvo in the United States and its respective territories; provided that the royalty rate is subject to certain adjustments based on future aggregate net sales of the product in the United States and its respective territories, or the Revenue Participation Right. Aggregate payments made to Royalty Pharma in respect of the Revenue Participation Right will be capped at $822.5 million, or the Royalty Cap. </w:t>
      </w:r>
    </w:p>
    <w:p>
      <w:pPr>
        <w:pStyle w:val="TextBody"/>
        <w:bidi w:val="0"/>
        <w:jc w:val="left"/>
        <w:rPr>
          <w:rFonts w:ascii="Times New Roman" w:hAnsi="Times New Roman"/>
          <w:color w:val="000000"/>
          <w:sz w:val="20"/>
        </w:rPr>
      </w:pPr>
      <w:r>
        <w:rPr>
          <w:rFonts w:ascii="Times New Roman" w:hAnsi="Times New Roman"/>
          <w:color w:val="000000"/>
          <w:sz w:val="20"/>
        </w:rPr>
        <w:t xml:space="preserve">The Purchase and Sale Agreement contains customary representations, warranties and indemnities of the Company and Royalty Pharma and customary covenants relating to the royalty payments, including the grant of a back-up security interest in the purchased royalties and certain assets related to the product and restrictions on the incurrence of additional indebtedness and on the existence of liens on the Company’s assets related to the product. </w:t>
      </w:r>
    </w:p>
    <w:p>
      <w:pPr>
        <w:pStyle w:val="TextBody"/>
        <w:bidi w:val="0"/>
        <w:jc w:val="left"/>
        <w:rPr>
          <w:rFonts w:ascii="Times New Roman" w:hAnsi="Times New Roman"/>
          <w:color w:val="000000"/>
          <w:sz w:val="20"/>
        </w:rPr>
      </w:pPr>
      <w:r>
        <w:rPr>
          <w:rFonts w:ascii="Times New Roman" w:hAnsi="Times New Roman"/>
          <w:color w:val="000000"/>
          <w:sz w:val="20"/>
        </w:rPr>
        <w:t>Upon a change of control, the Company will have the right, but not the obligation, to repurchase the Revenue Participation Right at a repurchase price set forth in the Purchase and Sale Agreement. In addition, the Purchase and Sale Agreement provides that if certain events of default occur, including certain bankruptcy events or certain termination events with respect to the Company’s license agreement with UCB Biopharma Srl, Royalty Pharma may require the Company to repurchase Royalty Pharma’s interests in the Revenue Participation Right at a repurchase price equal to the Royalty Cap.</w:t>
      </w:r>
    </w:p>
    <w:p>
      <w:pPr>
        <w:pStyle w:val="TextBody"/>
        <w:bidi w:val="0"/>
        <w:jc w:val="left"/>
        <w:rPr>
          <w:rFonts w:ascii="Times New Roman" w:hAnsi="Times New Roman"/>
          <w:sz w:val="20"/>
        </w:rPr>
      </w:pPr>
      <w:r>
        <w:rPr>
          <w:rFonts w:ascii="Times New Roman" w:hAnsi="Times New Roman"/>
          <w:color w:val="000000"/>
          <w:sz w:val="20"/>
        </w:rPr>
        <w:t xml:space="preserve">The Company assessed the Purchase and Sale Agreement and identified it as a sale of future revenue in the form of a debt instrument to be accounted for as a liability under Topic ASC 470, </w:t>
      </w:r>
      <w:r>
        <w:rPr>
          <w:rFonts w:ascii="Times New Roman" w:hAnsi="Times New Roman"/>
          <w:i/>
          <w:color w:val="000000"/>
          <w:sz w:val="20"/>
        </w:rPr>
        <w:t>Borrower’s Accounting for Debt Modifications</w:t>
      </w:r>
      <w:r>
        <w:rPr>
          <w:rFonts w:ascii="Times New Roman" w:hAnsi="Times New Roman"/>
          <w:color w:val="000000"/>
          <w:sz w:val="20"/>
        </w:rPr>
        <w:t>. The Company has elected to use the prospective method in its calculation of its effective interest rate and will update this calculation quarterly when there are changes in the projected sales. Issuance costs pursuant to the Purchase and Sale Agreement consisted primarily of bank and legal fees and totaled $6.3 million. These issuance costs were recorded as a direct deduction to the carrying amount of the liability and will be amortized under the effective interest method over the estimated period the liability will be repaid. For the period ended March 31, 2026, the Company estimated an effective annual interest rate of approximately 13.02%. Over the course of the Purchase and Sale Agreement, the annual interest rate will be affected by the amount and timing of net Niktimvo revenue recognized and change in timing of forecasted net Niktimvo revenue. On a quarterly basis, the Company reassesses the expected timing of the net Niktimvo revenue, recalculates the amortization and effective interest rate, and adjusts the accounting prospectively, as needed. For the three months ended March 31, 2026, the Company recognized royalty interest expense of $11.8 million, related to the Purchase and Sale Agreement. The Company made $7.7 million of payments on the Purchase and Sale Agreement during the period ended March 31, 2026.</w:t>
      </w:r>
    </w:p>
    <w:p>
      <w:pPr>
        <w:pStyle w:val="TextBody"/>
        <w:bidi w:val="0"/>
        <w:jc w:val="left"/>
        <w:rPr/>
      </w:pPr>
      <w:r>
        <w:rPr/>
        <w:t> </w:t>
      </w:r>
    </w:p>
    <w:p>
      <w:pPr>
        <w:pStyle w:val="TextBody"/>
        <w:bidi w:val="0"/>
        <w:jc w:val="left"/>
        <w:rPr/>
      </w:pPr>
      <w:r>
        <w:rPr/>
        <w:t> </w:t>
      </w:r>
    </w:p>
    <w:tbl>
      <w:tblPr>
        <w:tblW w:w="7362" w:type="dxa"/>
        <w:jc w:val="left"/>
        <w:tblInd w:w="0" w:type="dxa"/>
        <w:tblLayout w:type="fixed"/>
        <w:tblCellMar>
          <w:top w:w="28" w:type="dxa"/>
          <w:left w:w="28" w:type="dxa"/>
          <w:bottom w:w="28" w:type="dxa"/>
          <w:right w:w="28" w:type="dxa"/>
        </w:tblCellMar>
      </w:tblPr>
      <w:tblGrid>
        <w:gridCol w:w="4606"/>
        <w:gridCol w:w="146"/>
        <w:gridCol w:w="211"/>
        <w:gridCol w:w="781"/>
        <w:gridCol w:w="166"/>
        <w:gridCol w:w="146"/>
        <w:gridCol w:w="233"/>
        <w:gridCol w:w="862"/>
        <w:gridCol w:w="21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royalty interest financing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interest financing liability,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royalty interest financing liability,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343,909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13.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2026, the number of shares of common stock available for issuance under the Company’s 2015 Omnibus Incentive Plan, or the 2015 Plan, was increased by 3,496,239 shares of common stock due to the automatic annual provision to increase shares of common stock available under the 2015 Plan. In March 2026, the 2015 Plan expired.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there were 754,528 shares of common stock available for issuance under the Inducement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recognized stock-based compensation expense related to the issuance of stock option awards and restricted stock units to employees and non-employees and related to the Company’s 2015 Employee Stock Purchase Plan, or ESPP, in the consolidated statements of comprehensive loss as follows: </w:t>
      </w:r>
    </w:p>
    <w:tbl>
      <w:tblPr>
        <w:tblW w:w="5545" w:type="dxa"/>
        <w:jc w:val="left"/>
        <w:tblInd w:w="0" w:type="dxa"/>
        <w:tblLayout w:type="fixed"/>
        <w:tblCellMar>
          <w:top w:w="28" w:type="dxa"/>
          <w:left w:w="28" w:type="dxa"/>
          <w:bottom w:w="28" w:type="dxa"/>
          <w:right w:w="28" w:type="dxa"/>
        </w:tblCellMar>
      </w:tblPr>
      <w:tblGrid>
        <w:gridCol w:w="2956"/>
        <w:gridCol w:w="245"/>
        <w:gridCol w:w="785"/>
        <w:gridCol w:w="169"/>
        <w:gridCol w:w="169"/>
        <w:gridCol w:w="245"/>
        <w:gridCol w:w="785"/>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12,053</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Compensation expense by type of award in the three months ended March 31, 2026 and 2025 was as follows: </w:t>
      </w:r>
    </w:p>
    <w:p>
      <w:pPr>
        <w:pStyle w:val="TextBody"/>
        <w:bidi w:val="0"/>
        <w:jc w:val="left"/>
        <w:rPr/>
      </w:pPr>
      <w:r>
        <w:rPr/>
        <w:t> </w:t>
      </w:r>
    </w:p>
    <w:tbl>
      <w:tblPr>
        <w:tblW w:w="3835" w:type="dxa"/>
        <w:jc w:val="left"/>
        <w:tblInd w:w="0" w:type="dxa"/>
        <w:tblLayout w:type="fixed"/>
        <w:tblCellMar>
          <w:top w:w="28" w:type="dxa"/>
          <w:left w:w="28" w:type="dxa"/>
          <w:bottom w:w="28" w:type="dxa"/>
          <w:right w:w="28" w:type="dxa"/>
        </w:tblCellMar>
      </w:tblPr>
      <w:tblGrid>
        <w:gridCol w:w="1246"/>
        <w:gridCol w:w="245"/>
        <w:gridCol w:w="785"/>
        <w:gridCol w:w="169"/>
        <w:gridCol w:w="169"/>
        <w:gridCol w:w="245"/>
        <w:gridCol w:w="785"/>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12,053</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stock-based compensation expense of $0.1 million was capitalized to inventory as of March 31, 2026 and 2025, which represents the stock-based compensation expense incurred related to employees involved in the manufacturing process of finished goods and samples.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there were $113.5 million of unrecognized compensation costs related to employee and non-employee unvested stock options and RSUs granted under the Inducement Plan, 2015 Plan and the Company’s 2007 Stock Plan, which are expected to be recognized over a weighted-average remaining service period of 2.72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Employee Benefit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 defined contribution 401(k) retirement plan. For the three months ended March 31, 2026 and 2025, the Company made $2.5 million and $2.3 million of contributions to the plan, respectively. The Company’s contributions are made in cash.</w:t>
      </w:r>
    </w:p>
    <w:p>
      <w:pPr>
        <w:pStyle w:val="TextBody"/>
        <w:bidi w:val="0"/>
        <w:spacing w:before="0" w:after="160"/>
        <w:jc w:val="left"/>
        <w:rPr/>
      </w:pPr>
      <w:r>
        <w:rPr/>
        <w:t> </w:t>
      </w:r>
    </w:p>
    <w:p>
      <w:pPr>
        <w:pStyle w:val="TextBody"/>
        <w:bidi w:val="0"/>
        <w:jc w:val="left"/>
        <w:rPr>
          <w:rFonts w:ascii="Times New Roman" w:hAnsi="Times New Roman"/>
          <w:sz w:val="20"/>
        </w:rPr>
      </w:pPr>
      <w:r>
        <w:rPr>
          <w:rFonts w:ascii="Times New Roman" w:hAnsi="Times New Roman"/>
          <w:b/>
          <w:color w:val="000000"/>
          <w:sz w:val="20"/>
        </w:rPr>
        <w:t>14. Stockholders’ Equity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Pre-Funded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2021, the Company sold pre-funded warrants to purchase 1,142,856 shares of common stock. As of March 31, 2026, 285,714 pre-funded warrants were issued and outstanding. </w:t>
      </w:r>
    </w:p>
    <w:p>
      <w:pPr>
        <w:pStyle w:val="TextBody"/>
        <w:bidi w:val="0"/>
        <w:spacing w:before="24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15. Commitments and Contingencies</w:t>
      </w:r>
    </w:p>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obligated to pay royalties pursuant to the Vitae License Agreement and the UCB License Agreement as a percentage of net product sales for direct licensed products, such as Revuforj and Niktimvo. The obligation to pay royalties expires, on a country-by-country basis and licensed product-by-licensed product basis at the later of (i) the expiration of all of the licensed patent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rights in such country; (ii) the expiration of all regulatory exclusivity applicable to the product in such country; and (iii) 10 years from the date of the first commercial sale of the product in such country. These fees were recorded as cost of product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Company may be subject to various claims and proceedings in the ordinary course of business. If the potential loss from any claim, asserted or unasserted, or proceeding is considered probable and the amount is reasonably estimable, the Company will accrue a liability for the estimated loss. There were no contingent liabilities recorded as of March 31, 2026.</w:t>
      </w:r>
    </w:p>
    <w:p>
      <w:pPr>
        <w:pStyle w:val="TextBody"/>
        <w:bidi w:val="0"/>
        <w:spacing w:before="24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16. Segment Reporting</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manages its business activities on a consolidated basis and operate as a single operating and reportable segment: Syndax Pharmaceuticals. The Company primarily derives revenue in the United States through milestone revenue and product sales on the approved products, Revuforj® (revumenib) and Niktimvo (axatilimab-csfr). The accounting policies of the segment are the same as those described in Note 3 – Summary of Significant Accounting Policies.</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assess performance, the Company’s Chief Operating Decision Maker, or CODM, Michael Metzger, uses consolidated net loss as the segment’s measure of segment profit or loss. The CODM uses net loss in the budget and forecasting process and considers budget-to actual variances on a quarterly basis when making decisions about the allocation of operating and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the operating financial results of our biopharmaceutical cancer therapeutics segment:</w:t>
      </w:r>
    </w:p>
    <w:tbl>
      <w:tblPr>
        <w:tblW w:w="6931" w:type="dxa"/>
        <w:jc w:val="left"/>
        <w:tblInd w:w="0" w:type="dxa"/>
        <w:tblLayout w:type="fixed"/>
        <w:tblCellMar>
          <w:top w:w="28" w:type="dxa"/>
          <w:left w:w="28" w:type="dxa"/>
          <w:bottom w:w="28" w:type="dxa"/>
          <w:right w:w="28" w:type="dxa"/>
        </w:tblCellMar>
      </w:tblPr>
      <w:tblGrid>
        <w:gridCol w:w="3796"/>
        <w:gridCol w:w="146"/>
        <w:gridCol w:w="229"/>
        <w:gridCol w:w="801"/>
        <w:gridCol w:w="180"/>
        <w:gridCol w:w="158"/>
        <w:gridCol w:w="229"/>
        <w:gridCol w:w="801"/>
        <w:gridCol w:w="5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Significant and other segment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Revumenib-related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Axatilimab-related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R&amp;D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Personnel cost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Commercial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Personnel cost and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SG&amp;A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Segment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(42,673</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information should be read in conjunction with the unaudited financial information and the notes thereto included in this Quarterly Report on Form 10-Q, or the Quarterly Report, and the audited financial information and the notes thereto included in our Annual Report on Form 10-K that was filed with the Securities and Exchange Commission, or SEC, on February 26, 2026.</w:t>
      </w:r>
    </w:p>
    <w:p>
      <w:pPr>
        <w:pStyle w:val="TextBody"/>
        <w:bidi w:val="0"/>
        <w:spacing w:before="360" w:after="283"/>
        <w:jc w:val="left"/>
        <w:rPr>
          <w:rFonts w:ascii="Times New Roman" w:hAnsi="Times New Roman"/>
          <w:sz w:val="20"/>
        </w:rPr>
      </w:pPr>
      <w:r>
        <w:rPr>
          <w:rFonts w:ascii="Times New Roman" w:hAnsi="Times New Roman"/>
          <w:b/>
          <w:color w:val="000000"/>
          <w:sz w:val="20"/>
        </w:rPr>
        <w:t>Company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are a commercial-stage biopharmaceutical company advancing innovative cancer therapies. We currently have two commercially approved medicines, Revuforj</w:t>
      </w:r>
      <w:r>
        <w:rPr>
          <w:rFonts w:ascii="Times New Roman" w:hAnsi="Times New Roman"/>
          <w:color w:val="000000"/>
          <w:sz w:val="13"/>
        </w:rPr>
        <w:t>®</w:t>
      </w:r>
      <w:r>
        <w:rPr>
          <w:rFonts w:ascii="Times New Roman" w:hAnsi="Times New Roman"/>
          <w:color w:val="000000"/>
          <w:sz w:val="20"/>
        </w:rPr>
        <w:t xml:space="preserve"> (revumenib) and Niktimvo (axatilimab-csfr), and a robust slate of clinical development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Revuforj is our first-in-class menin inhibitor that was approved by the U.S. Food and Drug Administration, or FDA, in November 2024 for the treatment of relapsed or refractory, or R/R, acute leukemia with a lysine methyltransferase 2A gene, or KMT2A, translocation in adult and pediatric patients one year and older. In October 2025, Revuforj received a second approval from the FDA for the treatment of R/R acute myeloid leukemia, or AML, with a susceptible nucleophosmin 1 mutation, or NPM1m, in adult and pediatric patients one year and older who have no satisfactory alternative treatment options. We are also studying revumenib in combination with standard-of-care agents in NPM1m AML or KMT2A-rearranged, or KMT2Ar, acute leukemia across the treatment landscape, including in newly diagnosed patients. Additionally, we are exploring the potential for menin inhibition in the treatment of myelofibrosis, or MF.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Niktimvo is our first-in-class colony stimulating factor-1 receptor, or CSF-1R, blocking antibody that was approved by the FDA in August 2024 for the treatment of chronic graft-versus-host disease, or cGVHD, after failure of at least two prior lines of systemic therapy in adult and pediatric patients weighing at least 40 kg. Axatilimab is in development for the treatment of newly diagnosed cGVHD patients in combination with standard-of-care therapies, and for the treatment of idiopathic pulmonary fibrosis, or IPF.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licensed the global rights to revumenib and axatilimab, the first two FDA approved medicines to emerge from our pipeline. We are leading the commercialization and further development of revumenib and working closely with our collaboration partner, Incyte, on the commercialization and further development of axatilimab. We plan to continue to leverage the technical and business expertise of our management team and scientific collaborators to license, acquire and develop additional therapeutics to expand our pipeline.</w:t>
        <w:br/>
        <w:t>We have incurred significant operating losses since our inception. While we generate product revenue from sales of Revuforj and collaboration as well as milestone revenue from sales of Niktimvo, we continue to incur significant research and development and other expenses related to our ongoing operations. Except for 2021, we have not been profitable and have incurred losses in each period since our inception in 2005. For the three months ended March 31, 2026 and 2025, we reported a net loss of $42.7 million and $84.8 million, respectively. As of March 31, 2026, we had an accumulated deficit of $1.5 billion. As of March 31, 2026, we had cash, cash equivalents and short-term investments of $352.1 million</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Business Highlights and Anticipated Milestones</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0"/>
        </w:rPr>
        <w:t>Revuforj</w:t>
      </w:r>
      <w:r>
        <w:rPr>
          <w:rFonts w:ascii="Times New Roman" w:hAnsi="Times New Roman"/>
          <w:b/>
          <w:color w:val="000000"/>
          <w:sz w:val="13"/>
        </w:rPr>
        <w:t>®</w:t>
      </w:r>
      <w:r>
        <w:rPr>
          <w:rFonts w:ascii="Times New Roman" w:hAnsi="Times New Roman"/>
          <w:b/>
          <w:color w:val="000000"/>
          <w:sz w:val="20"/>
        </w:rPr>
        <w:t>(revumenib)</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Achieved $48.9 million in Revuforj net revenue in the first quarter of 2026, representing a 144% increase over the first quarter of 2025 and an 11% increase over the fourth quarter of 2025. Total prescriptions increased by approximately 160% compared to the first quarter of 2025 and approximately 13% compared to the fourth quarter of 2025. Notably, recent analysis indicates that nearly half of KMT2A patients are proceeding to a hematopoietic stem cell transplant, or HSCT, after receiving Revuforj, a significant increase from prior estimates of 33% of KMT2A patients. We expect this growing transplant rate to extend the average treatment duration as an increasing number of patients return to therapy after transplant.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expect the presentation of new revumenib data from multiple ongoing studies at major medical meetings throughout 2026.</w:t>
        <w:br/>
        <w:br/>
        <w:t>New/updated data expected in the second quarter of 2026:</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Findings from a multicenter real-world study.</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Post-HSCT maintenance data from multiple trials and centers.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R/R NUP98-rearranged, or NUP98r, acute leukemia data from patients treated in the AUGMENT-101 trial or via an expanded access program.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R/R data from the SAVE trial of revumenib in combination with venetoclax and decitabine/cedazuridine in NPM1m, KMT2Ar, and NUP98r acute leukemia.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Frontline data from the Phase 1 trial of revumenib in combination with intensive chemotherapy in NPM1m, KMT2Ar, or NUP98r AML.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New/updated data expected in the second half of 2026:</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Frontline data from the BEAT AML trial of revumenib in combination with venetoclax/azacitidine in NPM1m and KMT2Ar AML.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R/R data from the Phase 1 trial of revumenib in combination with gilteritinib in AML patients with a FLT3 mutation and a KMT2A translocation, NPM1m, or any other mutation associated with HOX-MEIS1 overexpression.</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Multiple clinical trials evaluating revumenib across the acute leukemia treatment continuum are ongoing, such as: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EVOLVE-2: A pivotal, Phase 3, randomized, double-blind, placebo-controlled trial of revumenib in combination with venetoclax and azacitidine in newly diagnosed NPM1m (primary efficacy analysis population) and KMT2Ar AML patients who are unfit for intensive chemotherapy. The trial is being conducted in collaboration with the HOVON network, a leading cooperative clinical trial group with extensive experience studying novel therapies for hematologic malignancies.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REVEAL-ND: A pivotal, Phase 3, randomized, double-blind, placebo-controlled trial of revumenib in combination with intensive chemotherapy in newly diagnosed NPM1m AML patients.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SAVE: A Phase 1/2 trial evaluating an all-oral combination of revumenib with venetoclax and decitabine/cedazuridine in pediatric and adult patients with newly diagnosed and R/R AML or mixed-lineage acute leukemia harboring either NPM1m, KMT2Ar, or NUP98r alterations. The trial is being conducted by investigators from MD Anderson Cancer Center.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Intensive chemotherapy: Two ongoing Phase 1 trials evaluating the combination of revumenib with intensive chemotherapy (7+3) in newly diagnosed NPM1m or KMT2Ar acute leukemia patients.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0"/>
        </w:rPr>
        <w:t>BEAT AML: A Phase 1 trial evaluating the combination of revumenib with venetoclax and azacitidine in newly diagnosed older adults (≥60 years) with NPM1m or KMT2Ar AML. The trial is being conducted as part of the Leukemia &amp; Lymphoma Society's Beat AML</w:t>
      </w:r>
      <w:r>
        <w:rPr>
          <w:rFonts w:ascii="Times New Roman" w:hAnsi="Times New Roman"/>
          <w:color w:val="000000"/>
          <w:sz w:val="13"/>
        </w:rPr>
        <w:t>®</w:t>
      </w:r>
      <w:r>
        <w:rPr>
          <w:color w:val="000000"/>
        </w:rPr>
        <w:t xml:space="preserve"> </w:t>
      </w:r>
      <w:r>
        <w:rPr>
          <w:rFonts w:ascii="Times New Roman" w:hAnsi="Times New Roman"/>
          <w:color w:val="000000"/>
          <w:sz w:val="20"/>
        </w:rPr>
        <w:t xml:space="preserve">Master Clinical Trial.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Post-transplant maintenance: A Phase 1 trial evaluating the safety and preliminary efficacy of revumenib as post-transplant maintenance after HSCT in patients with KMT2Ar or NPM1m acute leukemia. The trial is being conducted by investigators from the City of Hope Medical Center.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0"/>
        </w:rPr>
        <w:t xml:space="preserve">Break </w:t>
      </w:r>
      <w:r>
        <w:rPr>
          <w:rFonts w:ascii="Times New Roman" w:hAnsi="Times New Roman"/>
          <w:i/>
          <w:color w:val="000000"/>
          <w:sz w:val="20"/>
        </w:rPr>
        <w:t>Through</w:t>
      </w:r>
      <w:r>
        <w:rPr>
          <w:color w:val="000000"/>
        </w:rPr>
        <w:t xml:space="preserve"> </w:t>
      </w:r>
      <w:r>
        <w:rPr>
          <w:rFonts w:ascii="Times New Roman" w:hAnsi="Times New Roman"/>
          <w:color w:val="000000"/>
          <w:sz w:val="20"/>
        </w:rPr>
        <w:t xml:space="preserve">Cancer: A Phase 2 trial studying whether the combination of revumenib and venetoclax can eliminate measurable residual disease, or MRD, in patients with AML and extend progression-free survival. The trial is being conducted by Break </w:t>
      </w:r>
      <w:r>
        <w:rPr>
          <w:rFonts w:ascii="Times New Roman" w:hAnsi="Times New Roman"/>
          <w:i/>
          <w:color w:val="000000"/>
          <w:sz w:val="20"/>
        </w:rPr>
        <w:t>Through</w:t>
      </w:r>
      <w:r>
        <w:rPr>
          <w:rFonts w:ascii="Times New Roman" w:hAnsi="Times New Roman"/>
          <w:color w:val="000000"/>
          <w:sz w:val="20"/>
        </w:rPr>
        <w:t>Cancer, a collaboration between leading U.S. cancer research centers.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INTERCEPT: A Phase 1 trial evaluating the use of novel therapies, including revumenib, to target MRD and early relapse in AML. The trial is being conducted by the Australasian Leukaemia and Lymphoma Group as part of the INTERCEPT AML master clinical trial.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expect the RAVEN trial to initiate in the second half of 2026. RAVEN is a Phase 2 collaborative trial of revumenib in combination with venetoclax and azacitidine in newly diagnosed KMT2Ar patients who would be considered eligible, or fit, for intensive chemotherapy.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Niktimvo (axatilimab-csfr)</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Achieved $55.1 million in Niktimvo net revenue in the first quarter of 2026, representing significant growth compared to the $13.6 million in net revenue generated in the first quarter of 2025 from the first two months of the launch. Syndax records 50% of the Niktimvo net commercial profit, defined as net product revenue minus the cost of sales and commercial expenses. Syndax’s share of the Niktimvo product contribution, reported as collaboration revenue, was $15.9 million in the first quarter of 2026.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color w:val="000000"/>
        </w:rPr>
      </w:pPr>
      <w:r>
        <w:rPr>
          <w:color w:val="000000"/>
        </w:rPr>
        <w:t>•</w:t>
      </w:r>
    </w:p>
    <w:p>
      <w:pPr>
        <w:pStyle w:val="TextBody"/>
        <w:bidi w:val="0"/>
        <w:spacing w:before="120" w:after="240"/>
        <w:jc w:val="both"/>
        <w:rPr/>
      </w:pPr>
      <w:r>
        <w:rPr>
          <w:rFonts w:ascii="Times New Roman" w:hAnsi="Times New Roman"/>
          <w:color w:val="000000"/>
          <w:sz w:val="20"/>
        </w:rPr>
        <w:t>Presented data from nine axatilimab abstracts, including one oral presentation, at the Tandem Meetings (Transplantation &amp; Cellular Therapy Meetings of ASTCT</w:t>
      </w:r>
      <w:r>
        <w:rPr>
          <w:rFonts w:ascii="Times New Roman" w:hAnsi="Times New Roman"/>
          <w:color w:val="000000"/>
          <w:sz w:val="13"/>
        </w:rPr>
        <w:t>®</w:t>
      </w:r>
      <w:r>
        <w:rPr>
          <w:color w:val="000000"/>
        </w:rPr>
        <w:t xml:space="preserve"> </w:t>
      </w:r>
      <w:r>
        <w:rPr>
          <w:rFonts w:ascii="Times New Roman" w:hAnsi="Times New Roman"/>
          <w:color w:val="000000"/>
          <w:sz w:val="20"/>
        </w:rPr>
        <w:t>and CIBMTR</w:t>
      </w:r>
      <w:r>
        <w:rPr>
          <w:rFonts w:ascii="Times New Roman" w:hAnsi="Times New Roman"/>
          <w:color w:val="000000"/>
          <w:sz w:val="13"/>
        </w:rPr>
        <w:t>®</w:t>
      </w:r>
      <w:r>
        <w:rPr>
          <w:rFonts w:ascii="Times New Roman" w:hAnsi="Times New Roman"/>
          <w:color w:val="000000"/>
          <w:sz w:val="20"/>
        </w:rPr>
        <w:t xml:space="preserve">) in February 2026. The data presented included a comprehensive analysis of axatilimab in patients with chronic GVHD-related bronchiolitis obliterans syndrome in two clinical studies. The results show clinical and symptom responses across a spectrum of lung involvement.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Two trials evaluating axatilimab in combination with standard of care therapies in newly diagnosed chronic GVHD patients are ongoing, including:</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Phase 2, open-label, randomized, multicenter trial of axatilimab in combination with ruxolitinib in patients ≥ 12 years of age with newly diagnosed chronic GVHD. Topline data is now anticipated in the fourth quarter of 2026</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pivotal Phase 3, randomized, double-blind, placebo-controlled, multicenter trial of axatilimab in combination with corticosteroids in patients ≥ 12 years of age with newly diagnosed chronic GVHD. Topline data is anticipated in early 2028.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Completed enrollment in MAXPIRe, a Phase 2, 26-week randomized, double-blinded, placebo-controlled trial of axatilimab on top of standard of care in patients with IPF in the first quarter of 2026. We expect to report topline data in the fourth quarter of 2026.</w:t>
      </w:r>
    </w:p>
    <w:p>
      <w:pPr>
        <w:pStyle w:val="TextBody"/>
        <w:bidi w:val="0"/>
        <w:jc w:val="left"/>
        <w:rPr>
          <w:rFonts w:ascii="Times New Roman" w:hAnsi="Times New Roman"/>
          <w:sz w:val="20"/>
        </w:rPr>
      </w:pPr>
      <w:r>
        <w:rPr>
          <w:rFonts w:ascii="Times New Roman" w:hAnsi="Times New Roman"/>
          <w:b/>
          <w:color w:val="000000"/>
          <w:sz w:val="20"/>
        </w:rPr>
        <w:t>Financial Operations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Product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FDA-approved product, Revuforj, was approved by the FDA for commercial sale in the U.S. on November 15, 2024. In accordance with GAAP, we determine net product revenue for Revuforj, with specific assumptions for variable consideration components including, but not limited to, trade discounts and allowances, co-pay assistance programs and payor rebates. We record product revenue net of estimated discounts, chargebacks, rebates, product returns, and other gross-to-net revenue deductions.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Collaboration revenue,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September 2021, we entered into the Incyte License and Collaboration Agreement, or the Incyte License, with Incyte covering the worldwide development and commercialization of axatilimab. In August 2024, the FDA approved Niktimvo for the treatment of cGVHD after failure of at least two prior lines of systemic therapy in adult and pediatric patients weighing at least 40 kg (88.2 lbs).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accordance with Topic ASC 808, </w:t>
      </w:r>
      <w:r>
        <w:rPr>
          <w:rFonts w:ascii="Times New Roman" w:hAnsi="Times New Roman"/>
          <w:i/>
          <w:color w:val="000000"/>
          <w:sz w:val="20"/>
        </w:rPr>
        <w:t>Collaboration Arrangements,</w:t>
      </w:r>
      <w:r>
        <w:rPr>
          <w:rFonts w:ascii="Times New Roman" w:hAnsi="Times New Roman"/>
          <w:color w:val="000000"/>
          <w:sz w:val="20"/>
        </w:rPr>
        <w:t xml:space="preserve"> Incyte has been identified as the principal in product sales, therefore, we will recognize its 50% share of any profits or losses in the amount of net product sales less cost of goods sold and shared commercial and other expenses, in the period in which the underlying sales and costs are recognized. Our share of net profits in connection with commercialization of Niktimvo will be presented as “Collaboration revenue, net” and our share of net losses will be presented as “Collaboration loss” within operating expenses. Collaboration revenue or expense is made up of our share of the 50% profit with Incyte. We record collaboration revenue net of commercial expenses, including any royalties owed on license agreements. We will continue to recognize the costs associated with ongoing development services in the R&amp;D operating expense line, including any cost-sharing components with Incyte.</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Cost of Product Sales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cost of product sales includes the cost of goods sold for Revuforj and license agreement royalties associated with its sales in the United States. Until we received regulatory approval for Revuforj in the United States in November 2024, we recorded expenses incurred for the manufacturing of pre-launch inventory that would support a U.S. launch as research and development expense. Accordingly, the cost of goods sold for a Revuforj may not include the full cost of manufacturing until the initial pre-launch, and previously expensed, inventory is depleted.</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primarily focused on our clinical development programs. Research and development expenses consist primarily of costs incurred for the development of our product candidates and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under agreements related to our clinical trials, including the costs for investigative sites and contract research organizations, or CROs, that conduct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associated with our research and development activities, including salaries, benefits, travel and non-cash stock-based compensation expenses;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process-development, clinical supplies and technology-transfer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license fees and milestone payments under our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consulting fees paid to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allocated facilities and overhead expenses;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associated with regulatory operations and regulatory compliance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Product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difficult to determine, with certainty, the duration and completion costs of our current or future preclinical programs, research studies and clinical trials of our product candidates. The duration, costs and timing of research studies and clinical trials of our products and product candidates will depend on a variety of factors that include, but are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 patient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that participate;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countries in which the trials are conducted;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length of time required to enroll eligible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additional safety monitoring or other studies requested by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duration of patient monitoring;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profile of the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timing and receipt of any regulatory approvals.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probability of success for each drug candidate will depend on numerous factors, including competition, manufacturing capability and commercial viability. The successful development of our products and additional product candidates is highly uncertain. At this time, we cannot reasonably estimate the nature, timing or costs of the efforts that will be necessary to complete the remainder of the development of our products and additional product candidates for the period, if any, in which material net cash inflows from these potential product candidates may commence. Clinical development timelines, the probability of success and development costs can differ materially from expectations.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Selling, 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expenses consist primarily of employee-related expenses, including salaries, benefits, non-cash stock-based compensation and travel expenses, for our employees in executive, finance, human resources, business development and support functions, as well as sales and marketing expenses to support the launch and commercialization of Revuforj and Niktimvo. Other selling, general and administrative expenses include facility-related costs not otherwise allocated to research and development expenses and accounting, tax, legal, information technology and consulting services.</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Royalty 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Royalty interest expense consists of the interest recorded related to the Royalty Pharma Purchase and Sale Agreement under the effective interest method.</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primarily of expense related to the interest recognized for capital leases.</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consists of income earned on our cash, cash equivalents and short- and long-term investment balances.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(Expense)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income, net consists of the revaluation of foreign currency related to trade payables.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 discussion of new accounting pronouncements please read Note 3 - Summary of Significant Accounting Policies to our unaudited consolidated financial statements included in this Quarterly Report. </w:t>
      </w:r>
    </w:p>
    <w:p>
      <w:pPr>
        <w:pStyle w:val="TextBody"/>
        <w:bidi w:val="0"/>
        <w:spacing w:before="240" w:after="283"/>
        <w:jc w:val="left"/>
        <w:rPr>
          <w:rFonts w:ascii="Times New Roman" w:hAnsi="Times New Roman"/>
          <w:sz w:val="20"/>
        </w:rPr>
      </w:pPr>
      <w:r>
        <w:rPr>
          <w:rFonts w:ascii="Times New Roman" w:hAnsi="Times New Roman"/>
          <w:b/>
          <w:i/>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financial condition and results of operations are based on our financial statements, which have been prepared in accordance with accounting principles generally accepted in the United States, or U.S. GAAP. The preparation of these financial statements requires us to make estimates, judgments and assumptions that may affect the reported amounts of assets, liabilities, equity, revenue and expenses and related disclosures of contingent assets and liabilities.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estimates described in the “Management’s Discussion and Analysis of Financial Condition and Results of Operations” contained in our Annual Report on Form 10-K for the fiscal year ended December 31, 2025.</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March 31, 2026 and 2025:</w:t>
      </w:r>
    </w:p>
    <w:p>
      <w:pPr>
        <w:pStyle w:val="TextBody"/>
        <w:bidi w:val="0"/>
        <w:jc w:val="left"/>
        <w:rPr/>
      </w:pPr>
      <w:r>
        <w:rPr/>
        <w:t> </w:t>
      </w:r>
    </w:p>
    <w:tbl>
      <w:tblPr>
        <w:tblW w:w="7772" w:type="dxa"/>
        <w:jc w:val="left"/>
        <w:tblInd w:w="0" w:type="dxa"/>
        <w:tblLayout w:type="fixed"/>
        <w:tblCellMar>
          <w:top w:w="28" w:type="dxa"/>
          <w:left w:w="28" w:type="dxa"/>
          <w:bottom w:w="28" w:type="dxa"/>
          <w:right w:w="28" w:type="dxa"/>
        </w:tblCellMar>
      </w:tblPr>
      <w:tblGrid>
        <w:gridCol w:w="3356"/>
        <w:gridCol w:w="146"/>
        <w:gridCol w:w="225"/>
        <w:gridCol w:w="785"/>
        <w:gridCol w:w="177"/>
        <w:gridCol w:w="155"/>
        <w:gridCol w:w="225"/>
        <w:gridCol w:w="833"/>
        <w:gridCol w:w="166"/>
        <w:gridCol w:w="146"/>
        <w:gridCol w:w="211"/>
        <w:gridCol w:w="736"/>
        <w:gridCol w:w="611"/>
      </w:tblGrid>
      <w:tr>
        <w:trPr/>
        <w:tc>
          <w:tcPr>
            <w:tcW w:w="3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9"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48,923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Collaboration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15,941</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58,845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Collaboration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99,066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Royalty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(42,673</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Product Revenue, net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2024, we began to generate product revenue from sales of Revuforj in the United States. Product revenue, net from sales of Revuforj increased by $28.9 million from the comparable prior year period primarily due to increased sales volume as a result of second indication approval and increased brand awareness.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Collaboration Revenue,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Collaboration revenue, net, representing our share of net profits in connection with commercialization of Niktimvo, for the three months ended March 31, 2026, was $15.9 million. We generated $0.2 million of collaboration loss for the three months ended March 31, 2025, as Niktimvo launched in January 2025, and was not yet in a net revenue position.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Cost of Product Sales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cost of product sales increased by $1.7 million from the comparable prior year period due to increased product sales of Revuforj. Included in cost of product sales are royalties owed to AbbVie on Revuforj sales as part of the Vitae License Agreement.</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research and development expenses for the three months ended March 31, 2026 and 2025:</w:t>
      </w:r>
    </w:p>
    <w:p>
      <w:pPr>
        <w:pStyle w:val="TextBody"/>
        <w:bidi w:val="0"/>
        <w:spacing w:before="120" w:after="283"/>
        <w:jc w:val="left"/>
        <w:rPr/>
      </w:pPr>
      <w:r>
        <w:rPr/>
        <w:t> </w:t>
      </w:r>
    </w:p>
    <w:tbl>
      <w:tblPr>
        <w:tblW w:w="7920" w:type="dxa"/>
        <w:jc w:val="left"/>
        <w:tblInd w:w="0" w:type="dxa"/>
        <w:tblLayout w:type="fixed"/>
        <w:tblCellMar>
          <w:top w:w="28" w:type="dxa"/>
          <w:left w:w="28" w:type="dxa"/>
          <w:bottom w:w="28" w:type="dxa"/>
          <w:right w:w="28" w:type="dxa"/>
        </w:tblCellMar>
      </w:tblPr>
      <w:tblGrid>
        <w:gridCol w:w="3726"/>
        <w:gridCol w:w="146"/>
        <w:gridCol w:w="245"/>
        <w:gridCol w:w="785"/>
        <w:gridCol w:w="169"/>
        <w:gridCol w:w="169"/>
        <w:gridCol w:w="245"/>
        <w:gridCol w:w="785"/>
        <w:gridCol w:w="146"/>
        <w:gridCol w:w="146"/>
        <w:gridCol w:w="211"/>
        <w:gridCol w:w="736"/>
        <w:gridCol w:w="411"/>
      </w:tblGrid>
      <w:tr>
        <w:trPr/>
        <w:tc>
          <w:tcPr>
            <w:tcW w:w="3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7"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Revumenib-related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Axatilimab-related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research and development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cost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58,845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March 31, 2026, our total research and development expenses decreased by $2.8 million from the comparable prior year period. The change was primarily due to: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Axatilimab: A decrease, due to a non-recurring $10.0 million development milestone expense recognized in the first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Revumenib: An increase, due to the initiation of frontline trials evaluating revumenib in combination with standard-of-care agents in the treatment of AML;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personnel costs and other expenses to support on-going clinical trials and medical affairs activities in support of Revuforj and Niktimvo.</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Selling, 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summarizes the selling, general and administrative expenses for the three months ended March 31, 2026 and 2025: </w:t>
      </w:r>
    </w:p>
    <w:p>
      <w:pPr>
        <w:pStyle w:val="TextBody"/>
        <w:bidi w:val="0"/>
        <w:spacing w:before="120" w:after="283"/>
        <w:jc w:val="left"/>
        <w:rPr/>
      </w:pPr>
      <w:r>
        <w:rPr/>
        <w:t> </w:t>
      </w:r>
    </w:p>
    <w:tbl>
      <w:tblPr>
        <w:tblW w:w="8490" w:type="dxa"/>
        <w:jc w:val="left"/>
        <w:tblInd w:w="0" w:type="dxa"/>
        <w:tblLayout w:type="fixed"/>
        <w:tblCellMar>
          <w:top w:w="28" w:type="dxa"/>
          <w:left w:w="28" w:type="dxa"/>
          <w:bottom w:w="28" w:type="dxa"/>
          <w:right w:w="28" w:type="dxa"/>
        </w:tblCellMar>
      </w:tblPr>
      <w:tblGrid>
        <w:gridCol w:w="4401"/>
        <w:gridCol w:w="146"/>
        <w:gridCol w:w="245"/>
        <w:gridCol w:w="785"/>
        <w:gridCol w:w="169"/>
        <w:gridCol w:w="169"/>
        <w:gridCol w:w="245"/>
        <w:gridCol w:w="785"/>
        <w:gridCol w:w="146"/>
        <w:gridCol w:w="146"/>
        <w:gridCol w:w="211"/>
        <w:gridCol w:w="631"/>
        <w:gridCol w:w="411"/>
      </w:tblGrid>
      <w:tr>
        <w:trPr/>
        <w:tc>
          <w:tcPr>
            <w:tcW w:w="4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cost and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37,588</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our total selling, general and administrative expenses decreased $3.4 million from the comparable prior year period. The change was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commercial-related expenses due to launch costs incurred in the first quarter of 2025 for Revuforj and Niktimvo that were not incurred in the same period in 2026;</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personnel expenses related to higher accrued compensation costs in 2025 for the achievement of corporate objectives;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stock-based compensation, driven by a higher stock price.</w:t>
      </w:r>
    </w:p>
    <w:p>
      <w:pPr>
        <w:pStyle w:val="TextBody"/>
        <w:bidi w:val="0"/>
        <w:spacing w:before="240" w:after="283"/>
        <w:jc w:val="left"/>
        <w:rPr>
          <w:rFonts w:ascii="Times New Roman" w:hAnsi="Times New Roman"/>
          <w:sz w:val="20"/>
        </w:rPr>
      </w:pPr>
      <w:r>
        <w:rPr>
          <w:rFonts w:ascii="Times New Roman" w:hAnsi="Times New Roman"/>
          <w:b/>
          <w:i/>
          <w:color w:val="000000"/>
          <w:sz w:val="20"/>
        </w:rPr>
        <w:t>Royalty Interest Expense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royalty interest expense increased due to the interest expense recognized related to the Royalty Pharma Purchase and Sale Agreement signed in November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interest income decreased from the comparable period. The decrease of interest income was primarily due to the fluctuation of interest rates and the average balance of cash equivalents and short and long-term investments.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March 31, 2026, the total other (expense) income, net decreased from the comparable prior year period primarily due to the fluctuation in foreign currency losses on short- and long-term investments.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primary sources and uses of cash and cash equivalents for each period set forth below: </w:t>
      </w:r>
    </w:p>
    <w:p>
      <w:pPr>
        <w:pStyle w:val="TextBody"/>
        <w:bidi w:val="0"/>
        <w:spacing w:before="120" w:after="283"/>
        <w:jc w:val="left"/>
        <w:rPr/>
      </w:pPr>
      <w:r>
        <w:rPr/>
        <w:t> </w:t>
      </w:r>
    </w:p>
    <w:tbl>
      <w:tblPr>
        <w:tblW w:w="7286" w:type="dxa"/>
        <w:jc w:val="left"/>
        <w:tblInd w:w="0" w:type="dxa"/>
        <w:tblLayout w:type="fixed"/>
        <w:tblCellMar>
          <w:top w:w="28" w:type="dxa"/>
          <w:left w:w="28" w:type="dxa"/>
          <w:bottom w:w="28" w:type="dxa"/>
          <w:right w:w="28" w:type="dxa"/>
        </w:tblCellMar>
      </w:tblPr>
      <w:tblGrid>
        <w:gridCol w:w="4531"/>
        <w:gridCol w:w="146"/>
        <w:gridCol w:w="229"/>
        <w:gridCol w:w="801"/>
        <w:gridCol w:w="180"/>
        <w:gridCol w:w="158"/>
        <w:gridCol w:w="229"/>
        <w:gridCol w:w="801"/>
        <w:gridCol w:w="21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38,390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7,918</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(4,037</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Net 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decreased from $95.2 million for the three months ended March 31, 2025 to $50.3 million for the three months ended March 31, 2026, primarily due to a decrease in operating net loss of $42.2 million.</w:t>
      </w:r>
    </w:p>
    <w:p>
      <w:pPr>
        <w:pStyle w:val="TextBody"/>
        <w:bidi w:val="0"/>
        <w:spacing w:before="240" w:after="283"/>
        <w:jc w:val="left"/>
        <w:rPr>
          <w:rFonts w:ascii="Times New Roman" w:hAnsi="Times New Roman"/>
          <w:sz w:val="20"/>
        </w:rPr>
      </w:pPr>
      <w:r>
        <w:rPr>
          <w:rFonts w:ascii="Times New Roman" w:hAnsi="Times New Roman"/>
          <w:b/>
          <w:i/>
          <w:color w:val="000000"/>
          <w:sz w:val="20"/>
        </w:rPr>
        <w:t>Net Cash Provided by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three months ended March 31, 2026, was $38.4 million and was related to $77.8 million from the maturities of available-for-sale securities, offset by the purchase of $39.4 million of available-for-sale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for the three months ended March 31, 2025, was $94.1 million and was related to $104.7 million from the maturities of available-for-sale securities, offset by the purchase of $10.5 million of available-for-sale securities. </w:t>
      </w:r>
    </w:p>
    <w:p>
      <w:pPr>
        <w:pStyle w:val="TextBody"/>
        <w:bidi w:val="0"/>
        <w:spacing w:before="240" w:after="283"/>
        <w:jc w:val="left"/>
        <w:rPr>
          <w:rFonts w:ascii="Times New Roman" w:hAnsi="Times New Roman"/>
          <w:sz w:val="20"/>
        </w:rPr>
      </w:pPr>
      <w:r>
        <w:rPr>
          <w:rFonts w:ascii="Times New Roman" w:hAnsi="Times New Roman"/>
          <w:b/>
          <w:i/>
          <w:color w:val="000000"/>
          <w:sz w:val="20"/>
        </w:rPr>
        <w:t>Net Cash Provided by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three months ended March 31, 2026, increased by $7.0 million from the comparable prior year period primarily due to an increase in proceeds from the exercise of stock options in the current period.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Purchase and Sale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2024, we entered into a purchase and sale agreement with Royalty Pharma, pursuant to which Royalty Pharma purchased the right to receive 13.8% on quarterly net sales of Niktimvo in the United States and its respective territories, districts, commonwealths and possessions (including Guam and Puerto Rico) in exchange for an upfront payment of $350.0 million (gross) at closing, received in November 2024. Aggregate payments to Royalty Pharma pursuant to the Royalty Agreement will be capped at $822.5 million or 2.35 times the funded amount.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additional details on our purchase and sale agreement with Royalty Pharma, see Note 12 - “Royalty Interest Financing Liability” to our consolidated financial statements in this Quarterly Report.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combination of our available cash, cash equivalents, short-term investments, as well as our expected product revenues from sales of Revuforj and Niktimvo collaboration revenue, is sufficient to fund existing and planned cash requirements. Our primary uses of capital are, and we expect will continue to be, compensation and related expenses, third-party clinical research and development services, clinical costs, commercialization costs, legal and other regulatory expenses and general overhead costs. We have based our estimates on assumptions that may prove to be incorrect, and we could use our capital resources sooner than we currently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 process of testing product candidates in clinical trials is costly, and the timing, progress and outcomes in these trials is uncertain. We cannot estimate the actual amounts necessary to successfully complete the development and commercialization of our product candidates or whether, or when, we may achieve profitability.</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growth 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progress, timing, costs and results of clinical trials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 of seeking and obtaining additional regulatory approvals from the FDA and comparable foreign regulatory authorities, including the potential for such authorities to require that we perform more trials than we currently expect;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acceptance of our approved products as well as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selecting, auditing and developing manufacturing capabilities, and potentially validating manufacturing sites for commercial-scale manufacturing;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for obtaining pricing and reimbursement, which may require additional trials to address pharmacoeconomic benefit;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maintaining and expanding sales, marketing and distribution capabilities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acquiring, licensing or investing in additional businesses, products,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interruption of key clinical trial activities, such as clinical trial site monitoring;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disruption to our supply chain and operations, and associated delays in the manufacturing and supply of our products, which would adversely impact our ability to continue our clinical trial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technological and market developments;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 as we grow our company.</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support our future cash needs through a combination of equity offerings, debt financings and additional funding from license and collaboration arrangements. Except for any obligations of our collaborators to reimburse us for research and development expenses or to make milestone or royalty payments under our agreements with them, we will not have any committed external source of liquidity.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material contractual obligations and commitments as of March 31, 2026, primarily relate to our maturities of operating leases for office space and equipment and capital leases for office equipment. As of March 31, 2026, we have $0.5 million payable within 12 months.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Except as disclosed above, we have no material non-cancelable purchase commitments with service providers, as we have generally contracted on a cancelable, purchase-order basis. We enter into contracts in the normal course of business with equipment and reagent vendors, CROs, contract manufacturing organizations, and other third parties for clinical trials, preclinical research studies and testing and manufacturing services. These contracts are cancelable by us upon prior notice. Payments due upon cancellation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consist only of payments for services provided or expenses incurred, including noncancelable obligations of our service providers, up to the date of cancellation. These payments are not determinable.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incurred losses and cumulative negative cash flows from operations since our inception, excluding the year ended December 31, 2021. As of March 31, 2026, we had an accumulated deficit of $1.5 billion. We anticipate that we will likely continue to incur significant losses for at least the next couple years.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At-the-Market Offering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we entered into a sales agreement with Cowen and Company, LLC, or TD Cowen, under which we could, from time to time, issue and sell shares of our common stock having aggregate sales proceeds of up to $200.0 million, in a series of one or more at-the-market equity offerings, or the 2023 ATM Program. TD Cowen is not required to sell any specific share amounts but acts as the Company’s sales agent, using commercially reasonable efforts consistent with its normal trading and sales practices. Pursuant to the sales agreement, shares will be sold under the shelf registration statement on Form S-3ASR (Registration No. 333-277424), which became automatically effective upon filing on February 27, 2024. Our common stock will be sold at prevailing market prices at the time of the sale, and as a result, prices may vary. For the three months ended March 31, 2026, we did not sell any shares of common stock under the 2023 ATM Program. As of March 31, 2026, we had $157.9 million available under the 2023 ATM Program.</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Significant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Unfavorable interest rates and geo-political unrest could result in further economic uncertainty and volatility in the capital markets in the near term and, as a result, could negatively affect our operations and could make it difficult for us to obtain traditional financing on acceptable terms, if at all. Furthermore, such economic conditions have produced downward pressure on share prices. Although we do not believe that inflation has had a material impact on our financial position or results of operations to date, the return of a high inflationary environment could increase our operating costs, including our labor costs and research and development costs. These costs may also be negatively impacted due to supply chain constraints, geopolitical tensions, including tariffs, wars and terrorism, worsening macroeconomic conditions and employee availability and wage increases, which may result in additional stress on our working capital.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are subject to other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additional indications for our approved products; identifying, acquiring or in-licensing additional products or product candidates; pharmaceutical product development and the inherent uncertainty of clinical success; the challenges of protecting and enhancing our intellectual property rights; and complying with applicable regulatory requirements. See the section titled “Risk Factors” located elsewhere in this report for additional information.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0" w:name="quantitative_and_qualitative_disclosures"/>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market risk inherent in our financial instruments and in our financial position represents the potential loss arising from adverse changes in interest rates. As of March 31, 2026, we had cash, cash equivalents and short-term investments of $352.1 million consisting of $130.9 million of overnight investments, interest-bearing money market funds and commercial paper, and short-term investments of $221.2 million, consisting of commercial paper, highly rated corporate bonds and treasuries.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interest income, we receive from our marketable securities without significantly increasing risk. We have established guidelines regarding approved investments and maturities of investments, which are designed to maintain safety and liquidity. Due to the relative short-term maturities of our cash equivalents and the low risk profile of our short and long-term investments, an immediate 100 basis point change in interest rates would not have a material effect on the fair market value of our cash equivalents and short and long-term investments. We have the ability to hold our investments until maturity, and therefore, we would not expect our operating results or cash flows to be affected to any significant degree by the effect of a change in market interest rates on our investment portfolio.</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do not believe that inflation and changing prices had a significant impact on our results of operations for any periods presented herein.</w:t>
      </w:r>
    </w:p>
    <w:p>
      <w:pPr>
        <w:pStyle w:val="TextBody"/>
        <w:bidi w:val="0"/>
        <w:spacing w:before="360" w:after="283"/>
        <w:jc w:val="left"/>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Disclosure Controls and Procedures and Internal Control over Financial Reporting</w:t>
      </w:r>
    </w:p>
    <w:p>
      <w:pPr>
        <w:pStyle w:val="TextBody"/>
        <w:bidi w:val="0"/>
        <w:spacing w:before="120" w:after="283"/>
        <w:jc w:val="left"/>
        <w:rPr>
          <w:rFonts w:ascii="Times New Roman" w:hAnsi="Times New Roman"/>
          <w:sz w:val="20"/>
        </w:rPr>
      </w:pPr>
      <w:r>
        <w:rPr>
          <w:rFonts w:ascii="Times New Roman" w:hAnsi="Times New Roman"/>
          <w:b/>
          <w:i/>
          <w:color w:val="000000"/>
          <w:sz w:val="20"/>
        </w:rPr>
        <w:t>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or the Exchange Act), as of March 31, 2026. Based upon that evaluation, our principal executive officer and principal financial officer concluded that, as of the end of the period covered by this report, our disclosure controls and procedures are effective in ensuring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to be disclosed by us in the reports we file or submit under the Exchange Act is recorded, processed, summarized and reported within the time periods specified in the SEC’s rules and forms;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is accumulated and communicated to our management, including our principal executive officer and principal financial officer as appropriate to allow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change in our internal control over financial reporting during the quarter ended March 31, 2026, that has materially affected, or is reasonably likely to materially affect, our internal control over financial reporting.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2" w:name="part_ii_or_information"/>
      <w:bookmarkEnd w:id="12"/>
      <w:r>
        <w:rPr>
          <w:rFonts w:ascii="Times New Roman" w:hAnsi="Times New Roman"/>
          <w:b/>
          <w:color w:val="000000"/>
          <w:sz w:val="20"/>
        </w:rPr>
        <w:t>PART II.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March 31, 2026, we were not party to any material legal or arbitration proceedings. No governmental proceedings are pending or, to our knowledge, contemplated against us. </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 addition to the other information contained elsewhere in this report, you should carefully consider the risks and uncertainties described in “Part I, Item 1A—Risk Factors” of our Annual Report on Form 10-K for the year ended December 31, 2025, or 2025 Form 10-K, filed with the Securities and Exchange Commission, or SEC, on February 26, 2026, which could materially and adversely affect our business, prospects, financial condition and results of operations. New risk factors can emerge from time to time, and it is not possible to predict the impact that any factor or combination of factors may have on our business, prospects, financial condition and results of operations. The risks described in our 2025 Form 10-K are not our only risks. Additional risks and uncertainties not currently known to us or that we currently deem to be immaterial also may materially adversely affect our business, financial condition or future results. There have been no material changes from the risk factors previously disclosed in our 2025 Form 10-K.</w:t>
      </w:r>
    </w:p>
    <w:p>
      <w:pPr>
        <w:pStyle w:val="TextBody"/>
        <w:bidi w:val="0"/>
        <w:spacing w:before="240" w:after="283"/>
        <w:jc w:val="left"/>
        <w:rPr/>
      </w:pPr>
      <w:r>
        <w:rPr/>
        <w:t> </w:t>
      </w:r>
    </w:p>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bookmarkStart w:id="15" w:name="item_5_other_info"/>
      <w:bookmarkEnd w:id="15"/>
      <w:r>
        <w:rPr>
          <w:rFonts w:ascii="Times New Roman" w:hAnsi="Times New Roman"/>
          <w:b/>
          <w:color w:val="000000"/>
          <w:sz w:val="20"/>
        </w:rPr>
        <w:t>Item 5. Other Information</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2026, our directors and officers (as defined in Rule 16a-1 (f) under the Exchange Act) adopted or terminated a “Rule 10b5-1 trading arrangement” or a “non-Rule 10b5-1 trading arrangement,” as defined in Regulation S-K Item 408 for the purchase or sale of our securities as set forth in the table below.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706"/>
        <w:gridCol w:w="886"/>
        <w:gridCol w:w="1445"/>
        <w:gridCol w:w="776"/>
        <w:gridCol w:w="830"/>
        <w:gridCol w:w="231"/>
        <w:gridCol w:w="1239"/>
        <w:gridCol w:w="146"/>
        <w:gridCol w:w="759"/>
        <w:gridCol w:w="866"/>
        <w:gridCol w:w="146"/>
        <w:gridCol w:w="1175"/>
      </w:tblGrid>
      <w:tr>
        <w:trPr/>
        <w:tc>
          <w:tcPr>
            <w:tcW w:w="170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1706"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pPr>
            <w:r>
              <w:rPr/>
              <w:t> </w:t>
            </w:r>
          </w:p>
        </w:tc>
        <w:tc>
          <w:tcPr>
            <w:tcW w:w="88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445"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606" w:type="dxa"/>
            <w:gridSpan w:val="2"/>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Trading Arrangement</w:t>
            </w:r>
          </w:p>
        </w:tc>
        <w:tc>
          <w:tcPr>
            <w:tcW w:w="147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25" w:type="dxa"/>
            <w:gridSpan w:val="2"/>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75"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pPr>
            <w:r>
              <w:rPr/>
              <w:t> </w:t>
            </w:r>
          </w:p>
        </w:tc>
      </w:tr>
      <w:tr>
        <w:trPr/>
        <w:tc>
          <w:tcPr>
            <w:tcW w:w="170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and Position</w:t>
            </w:r>
          </w:p>
        </w:tc>
        <w:tc>
          <w:tcPr>
            <w:tcW w:w="8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Action</w:t>
            </w:r>
          </w:p>
        </w:tc>
        <w:tc>
          <w:tcPr>
            <w:tcW w:w="144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Adoption/Termination Date</w:t>
            </w:r>
          </w:p>
        </w:tc>
        <w:tc>
          <w:tcPr>
            <w:tcW w:w="7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Rule 10b5-1*</w:t>
            </w:r>
          </w:p>
        </w:tc>
        <w:tc>
          <w:tcPr>
            <w:tcW w:w="83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 Rule 10b5-1**</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 of Common Stock to be 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5" w:type="dxa"/>
            <w:gridSpan w:val="2"/>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 of Common Stock to be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Date</w:t>
            </w:r>
          </w:p>
        </w:tc>
      </w:tr>
      <w:tr>
        <w:trPr/>
        <w:tc>
          <w:tcPr>
            <w:tcW w:w="170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Dennis Podlesak, Director</w:t>
            </w:r>
          </w:p>
        </w:tc>
        <w:tc>
          <w:tcPr>
            <w:tcW w:w="8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Adoption</w:t>
            </w:r>
          </w:p>
        </w:tc>
        <w:tc>
          <w:tcPr>
            <w:tcW w:w="144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12/15/2025</w:t>
            </w:r>
          </w:p>
        </w:tc>
        <w:tc>
          <w:tcPr>
            <w:tcW w:w="7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83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5" w:type="dxa"/>
            <w:gridSpan w:val="2"/>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10/31/2026</w:t>
            </w:r>
          </w:p>
        </w:tc>
      </w:tr>
      <w:tr>
        <w:trPr/>
        <w:tc>
          <w:tcPr>
            <w:tcW w:w="170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A. Metzger Chief Executive Officer, Director</w:t>
            </w:r>
          </w:p>
        </w:tc>
        <w:tc>
          <w:tcPr>
            <w:tcW w:w="8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Adoption</w:t>
            </w:r>
          </w:p>
        </w:tc>
        <w:tc>
          <w:tcPr>
            <w:tcW w:w="144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3/10/2026</w:t>
            </w:r>
          </w:p>
        </w:tc>
        <w:tc>
          <w:tcPr>
            <w:tcW w:w="7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83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12/15/2027</w:t>
            </w:r>
          </w:p>
        </w:tc>
      </w:tr>
      <w:tr>
        <w:trPr/>
        <w:tc>
          <w:tcPr>
            <w:tcW w:w="170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Nicholas Botwood, Head of R&amp;D, Chief Medical Officer</w:t>
            </w:r>
          </w:p>
        </w:tc>
        <w:tc>
          <w:tcPr>
            <w:tcW w:w="88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Adoption</w:t>
            </w:r>
          </w:p>
        </w:tc>
        <w:tc>
          <w:tcPr>
            <w:tcW w:w="144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3/11/2026</w:t>
            </w:r>
          </w:p>
        </w:tc>
        <w:tc>
          <w:tcPr>
            <w:tcW w:w="7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83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10/30/2026</w:t>
            </w:r>
          </w:p>
        </w:tc>
      </w:tr>
    </w:tbl>
    <w:p>
      <w:pPr>
        <w:pStyle w:val="TextBody"/>
        <w:bidi w:val="0"/>
        <w:jc w:val="left"/>
        <w:rPr>
          <w:rFonts w:ascii="Times New Roman" w:hAnsi="Times New Roman"/>
          <w:color w:val="000000"/>
          <w:sz w:val="20"/>
        </w:rPr>
      </w:pPr>
      <w:r>
        <w:rPr>
          <w:rFonts w:ascii="Times New Roman" w:hAnsi="Times New Roman"/>
          <w:color w:val="000000"/>
          <w:sz w:val="20"/>
        </w:rPr>
        <w:t>* Contract, instructions, or written plan intended to satisfy the affirmative defense conditions of Rule 10b5-1(c) under the Exchange Act.</w:t>
        <w:br/>
        <w:t>** “Non-Rule 10b5-1 trading arrangement” as defined in Item 408(c) of Regulation S-K under the Exchange Act.</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Mr. Podlesak’s plan solely includes equity grants with expiration dates prior to October 31, 2026. The Company omitted inclusion of his plan adoption in its 12/31/2025 filing.</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6" w:name="item_6_exhibits"/>
      <w:bookmarkEnd w:id="16"/>
      <w:r>
        <w:rPr>
          <w:rFonts w:ascii="Times New Roman" w:hAnsi="Times New Roman"/>
          <w:b/>
          <w:color w:val="000000"/>
          <w:sz w:val="20"/>
        </w:rPr>
        <w:t>Item 6. 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71"/>
        <w:gridCol w:w="254"/>
        <w:gridCol w:w="9180"/>
      </w:tblGrid>
      <w:tr>
        <w:trPr/>
        <w:tc>
          <w:tcPr>
            <w:tcW w:w="77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sz w:val="4"/>
                <w:szCs w:val="4"/>
              </w:rPr>
            </w:pPr>
            <w:r>
              <w:rPr>
                <w:sz w:val="4"/>
                <w:szCs w:val="4"/>
              </w:rPr>
            </w:r>
          </w:p>
        </w:tc>
      </w:tr>
      <w:tr>
        <w:trPr/>
        <w:tc>
          <w:tcPr>
            <w:tcW w:w="771"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254"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9180"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the Company (incorporated herein by reference to Exhibit 3.1 to the Company’s Current Report on Form 8-K (File No. 001-37708), as filed with the SEC on March 8, 2016).</w:t>
              </w:r>
            </w:hyperlink>
            <w:r>
              <w:rPr>
                <w:rFonts w:ascii="Times New Roman" w:hAnsi="Times New Roman"/>
                <w:color w:val="000000"/>
                <w:sz w:val="20"/>
              </w:rPr>
              <w:t xml:space="preserve">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3.2</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the Amended and Restated Certificate of Incorporation of the Company (incorporated herein by reference to Exhibit 3.1 to the Company’s Current Report on Form 8-K (File No. 001-37708), as filed with the SEC on May 18, 2023).</w:t>
              </w:r>
            </w:hyperlink>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3.3</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the Company (incorporated herein by reference to Exhibit 3.1 to the Company’s Current Report on Form 8-K (File No. 001-37708), as filed with the SEC on December 19, 2025).</w:t>
              </w:r>
            </w:hyperlink>
            <w:r>
              <w:rPr>
                <w:rFonts w:ascii="Times New Roman" w:hAnsi="Times New Roman"/>
                <w:color w:val="000000"/>
                <w:sz w:val="20"/>
              </w:rPr>
              <w:t xml:space="preserve">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31.1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hyperlink w:anchor="sndx-ex31_1.htm">
              <w:r>
                <w:rPr>
                  <w:rStyle w:val="InternetLink"/>
                  <w:rFonts w:ascii="Times New Roman" w:hAnsi="Times New Roman"/>
                  <w:color w:val="0000FF"/>
                  <w:sz w:val="20"/>
                  <w:u w:val="single"/>
                </w:rPr>
                <w:t>Certification of Principal Executive Officer pursuant to Rules 13a-14(a) and 15d-14(a) promulgated under the Securities Exchange Act of 1934, as amended.</w:t>
              </w:r>
            </w:hyperlink>
            <w:r>
              <w:rPr>
                <w:rFonts w:ascii="Times New Roman" w:hAnsi="Times New Roman"/>
                <w:color w:val="000000"/>
                <w:sz w:val="20"/>
              </w:rPr>
              <w:t xml:space="preserve">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31.2</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hyperlink w:anchor="sndx-ex31_2.htm">
              <w:r>
                <w:rPr>
                  <w:rStyle w:val="InternetLink"/>
                  <w:rFonts w:ascii="Times New Roman" w:hAnsi="Times New Roman"/>
                  <w:color w:val="0000FF"/>
                  <w:sz w:val="20"/>
                  <w:u w:val="single"/>
                </w:rPr>
                <w:t>Certification of Principal Financial Officer pursuant to Rules 13a-14(a) and 15d-14(a) promulgated under the Securities Exchange Act of 1934, as amended.</w:t>
              </w:r>
            </w:hyperlink>
            <w:r>
              <w:rPr>
                <w:rFonts w:ascii="Times New Roman" w:hAnsi="Times New Roman"/>
                <w:color w:val="000000"/>
                <w:sz w:val="20"/>
              </w:rPr>
              <w:t xml:space="preserve">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32.1*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hyperlink w:anchor="sndx-ex32_1.htm">
              <w:r>
                <w:rPr>
                  <w:rStyle w:val="InternetLink"/>
                  <w:rFonts w:ascii="Times New Roman" w:hAnsi="Times New Roman"/>
                  <w:color w:val="0000FF"/>
                  <w:sz w:val="20"/>
                  <w:u w:val="single"/>
                </w:rPr>
                <w:t>Certifications of Chief Executive Officer and Chief Financial Officer pursuant to 18 U.S.C. Section 1350, as adopted pursuant to Section 906 of the Sarbanes-Oxley Act of 2002.</w:t>
              </w:r>
            </w:hyperlink>
            <w:r>
              <w:rPr>
                <w:rFonts w:ascii="Times New Roman" w:hAnsi="Times New Roman"/>
                <w:color w:val="000000"/>
                <w:sz w:val="20"/>
              </w:rPr>
              <w:t xml:space="preserve">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101.INS</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101.SCH</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1"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104</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 Furnished herewith and not deemed to be “filed” for purposes of Section 18 of the Exchange Act, or otherwise subject to the liability of that section, and shall not be deemed to be incorporated by reference into any filing under the Securities Act of 1933, as amended, or the Exchange Act (whether made before or after the date of the Form 10-Q), irrespective of any general incorporation language contained in such filing.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Section 13 or 15(d) of the Securities Exchange Act of 1934, the registrant has duly caused this report to be signed on its behalf by the undersigned, thereunto duly authorized.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April 30, 2026 </w:t>
      </w:r>
    </w:p>
    <w:p>
      <w:pPr>
        <w:pStyle w:val="TextBody"/>
        <w:bidi w:val="0"/>
        <w:jc w:val="left"/>
        <w:rPr/>
      </w:pPr>
      <w:r>
        <w:rPr/>
        <w:t> </w:t>
      </w:r>
    </w:p>
    <w:tbl>
      <w:tblPr>
        <w:tblW w:w="3043" w:type="dxa"/>
        <w:jc w:val="left"/>
        <w:tblInd w:w="0" w:type="dxa"/>
        <w:tblLayout w:type="fixed"/>
        <w:tblCellMar>
          <w:top w:w="28" w:type="dxa"/>
          <w:left w:w="28" w:type="dxa"/>
          <w:bottom w:w="28" w:type="dxa"/>
          <w:right w:w="28" w:type="dxa"/>
        </w:tblCellMar>
      </w:tblPr>
      <w:tblGrid>
        <w:gridCol w:w="421"/>
        <w:gridCol w:w="146"/>
        <w:gridCol w:w="247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A. Metzger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Metzger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5713" w:type="dxa"/>
        <w:jc w:val="left"/>
        <w:tblInd w:w="0" w:type="dxa"/>
        <w:tblLayout w:type="fixed"/>
        <w:tblCellMar>
          <w:top w:w="28" w:type="dxa"/>
          <w:left w:w="28" w:type="dxa"/>
          <w:bottom w:w="28" w:type="dxa"/>
          <w:right w:w="28" w:type="dxa"/>
        </w:tblCellMar>
      </w:tblPr>
      <w:tblGrid>
        <w:gridCol w:w="421"/>
        <w:gridCol w:w="146"/>
        <w:gridCol w:w="514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Keith A. Goldan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 Goldan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Treasurer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bookmarkStart w:id="17" w:name="sndx-ex31_1.htm"/>
      <w:bookmarkStart w:id="18" w:name="kssndxex31_1"/>
      <w:bookmarkEnd w:id="17"/>
      <w:bookmarkEnd w:id="1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Michael A. Metzger,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Syndax Pharmaceuticals,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4960" w:type="dxa"/>
        <w:jc w:val="left"/>
        <w:tblInd w:w="0" w:type="dxa"/>
        <w:tblLayout w:type="fixed"/>
        <w:tblCellMar>
          <w:top w:w="28" w:type="dxa"/>
          <w:left w:w="28" w:type="dxa"/>
          <w:bottom w:w="28" w:type="dxa"/>
          <w:right w:w="28" w:type="dxa"/>
        </w:tblCellMar>
      </w:tblPr>
      <w:tblGrid>
        <w:gridCol w:w="1786"/>
        <w:gridCol w:w="146"/>
        <w:gridCol w:w="406"/>
        <w:gridCol w:w="146"/>
        <w:gridCol w:w="247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A. Metzger</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Michael A. Metzger</w:t>
            </w:r>
          </w:p>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9" w:name="sndx-ex31_2.htm"/>
      <w:bookmarkStart w:id="20" w:name="kssndxex31_2"/>
      <w:bookmarkEnd w:id="19"/>
      <w:bookmarkEnd w:id="20"/>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Keith A. Goldan,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Syndax Pharmaceuticals,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120" w:after="283"/>
        <w:jc w:val="left"/>
        <w:rPr/>
      </w:pPr>
      <w:r>
        <w:rPr/>
        <w:t> </w:t>
      </w:r>
    </w:p>
    <w:tbl>
      <w:tblPr>
        <w:tblW w:w="7630" w:type="dxa"/>
        <w:jc w:val="left"/>
        <w:tblInd w:w="0" w:type="dxa"/>
        <w:tblLayout w:type="fixed"/>
        <w:tblCellMar>
          <w:top w:w="28" w:type="dxa"/>
          <w:left w:w="28" w:type="dxa"/>
          <w:bottom w:w="28" w:type="dxa"/>
          <w:right w:w="28" w:type="dxa"/>
        </w:tblCellMar>
      </w:tblPr>
      <w:tblGrid>
        <w:gridCol w:w="1786"/>
        <w:gridCol w:w="146"/>
        <w:gridCol w:w="406"/>
        <w:gridCol w:w="146"/>
        <w:gridCol w:w="514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Keith A. Goldan</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Keith A. Goldan</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 and Treasurer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sndx-ex32_1.htm"/>
      <w:bookmarkStart w:id="22" w:name="kssndxex32_1"/>
      <w:bookmarkEnd w:id="21"/>
      <w:bookmarkEnd w:id="2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Syndax Pharmaceuticals, Inc. (the “Company”) for the period ended March 31, 2026, as filed with the Securities and Exchange Commission on the date hereof (the “Report”), each of the undersigned officers of the Company hereby certifies, pursuant to 18 U.S.C. Section 1350, that to his or her knowledge: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w:t>
      </w:r>
    </w:p>
    <w:tbl>
      <w:tblPr>
        <w:tblW w:w="5575" w:type="dxa"/>
        <w:jc w:val="left"/>
        <w:tblInd w:w="0" w:type="dxa"/>
        <w:tblLayout w:type="fixed"/>
        <w:tblCellMar>
          <w:top w:w="28" w:type="dxa"/>
          <w:left w:w="28" w:type="dxa"/>
          <w:bottom w:w="28" w:type="dxa"/>
          <w:right w:w="28" w:type="dxa"/>
        </w:tblCellMar>
      </w:tblPr>
      <w:tblGrid>
        <w:gridCol w:w="1786"/>
        <w:gridCol w:w="146"/>
        <w:gridCol w:w="346"/>
        <w:gridCol w:w="146"/>
        <w:gridCol w:w="315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A. Metzger</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Michael A. Metzger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Chief Executive Officer</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Keith A. Goldan</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Keith A. Goldan</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Chief Financial Officer and Treasurer</w:t>
            </w:r>
          </w:p>
        </w:tc>
      </w:tr>
    </w:tbl>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Syndax Pharmaceuticals,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95937/000119312516496764/d119516dex31.htm" TargetMode="External"/><Relationship Id="rId3" Type="http://schemas.openxmlformats.org/officeDocument/2006/relationships/hyperlink" Target="https://www.sec.gov/Archives/edgar/data/1395937/000095017023022802/sndx-ex3_1.htm" TargetMode="External"/><Relationship Id="rId4" Type="http://schemas.openxmlformats.org/officeDocument/2006/relationships/hyperlink" Target="https://www.sec.gov/Archives/edgar/data/1395937/000119312525326961/sndx-ex3_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15699</Words>
  <Characters>87927</Characters>
  <CharactersWithSpaces>104468</CharactersWithSpaces>
  <Paragraphs>3870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