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6"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57"/>
        </w:trPr>
        <w:tc>
          <w:tcPr>
            <w:tcW w:w="6140" w:type="dxa"/>
            <w:vAlign w:val="bottom"/>
          </w:tcPr>
          <w:p>
            <w:pPr>
              <w:jc w:val="center"/>
              <w:ind w:right="332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0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35 Gatehouse Drive, Building D, Floor 3</w:t>
            </w:r>
          </w:p>
        </w:tc>
        <w:tc>
          <w:tcPr>
            <w:tcW w:w="1420" w:type="dxa"/>
            <w:vAlign w:val="bottom"/>
          </w:tcPr>
          <w:p>
            <w:pPr>
              <w:spacing w:after="0"/>
              <w:rPr>
                <w:sz w:val="24"/>
                <w:szCs w:val="24"/>
                <w:color w:val="auto"/>
              </w:rPr>
            </w:pPr>
          </w:p>
        </w:tc>
      </w:tr>
      <w:tr>
        <w:trPr>
          <w:trHeight w:val="2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Waltham, Massachusetts</w:t>
            </w:r>
          </w:p>
        </w:tc>
        <w:tc>
          <w:tcPr>
            <w:tcW w:w="142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199"/>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140" w:type="dxa"/>
            <w:vAlign w:val="bottom"/>
          </w:tcPr>
          <w:p>
            <w:pPr>
              <w:jc w:val="right"/>
              <w:ind w:right="140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20" w:type="dxa"/>
            <w:vAlign w:val="bottom"/>
          </w:tcPr>
          <w:p>
            <w:pPr>
              <w:spacing w:after="0"/>
              <w:rPr>
                <w:sz w:val="24"/>
                <w:szCs w:val="24"/>
                <w:color w:val="auto"/>
              </w:rPr>
            </w:pPr>
          </w:p>
        </w:tc>
      </w:tr>
      <w:tr>
        <w:trPr>
          <w:trHeight w:val="190"/>
        </w:trPr>
        <w:tc>
          <w:tcPr>
            <w:tcW w:w="6140" w:type="dxa"/>
            <w:vAlign w:val="bottom"/>
          </w:tcPr>
          <w:p>
            <w:pPr>
              <w:jc w:val="center"/>
              <w:ind w:left="210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30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01" w:lineRule="exact"/>
        <w:rPr>
          <w:sz w:val="24"/>
          <w:szCs w:val="24"/>
          <w:color w:val="auto"/>
        </w:rPr>
      </w:pPr>
    </w:p>
    <w:p>
      <w:pPr>
        <w:ind w:right="20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spacing w:after="0" w:line="184" w:lineRule="exact"/>
        <w:tabs>
          <w:tab w:leader="none" w:pos="790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November 1, 2024, there were 85,357,675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NIKTIMVO™ (axatilimab-csfr) for treatment of chronic graft versus host disease, or cGVHD, including the estimated timeline for launch in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LLC,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Niktimvo and our other product candidates by physicians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war or the perception that hostilities may be imminent (such as the ongoing wars between Russia and Ukraine and Hamas and Israel as well as the conflicts in the Middle East, including between Israel and Hezbollah),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w:t>
            </w: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7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2024 and 2023</w:t>
            </w:r>
          </w:p>
        </w:tc>
        <w:tc>
          <w:tcPr>
            <w:tcW w:w="23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deposits</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414,809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425,811</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0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lease, less current portion</w:t>
            </w: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20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200,000,000 shares authorized; 85,571,205</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84,826,632 shares issued and outstanding at September 30, 2024 and</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1,493,041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(1,126,989 )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(902,400 )</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366,432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425,811</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80" w:type="dxa"/>
            <w:vAlign w:val="bottom"/>
            <w:gridSpan w:val="3"/>
          </w:tcPr>
          <w:p>
            <w:pPr>
              <w:ind w:left="2060"/>
              <w:spacing w:after="0" w:line="182" w:lineRule="exact"/>
              <w:rPr>
                <w:sz w:val="20"/>
                <w:szCs w:val="20"/>
                <w:color w:val="auto"/>
              </w:rPr>
            </w:pPr>
            <w:r>
              <w:rPr>
                <w:rFonts w:ascii="Times New Roman" w:cs="Times New Roman" w:eastAsia="Times New Roman" w:hAnsi="Times New Roman"/>
                <w:sz w:val="18"/>
                <w:szCs w:val="18"/>
                <w:color w:val="auto"/>
                <w:w w:val="98"/>
              </w:rPr>
              <w:t>The accompanying notes are an integral part of these condensed consolidated financial statements.</w:t>
            </w:r>
          </w:p>
        </w:tc>
        <w:tc>
          <w:tcPr>
            <w:tcW w:w="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7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-5785485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-5785485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-4851400</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-3582670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-2948305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-2622550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-959485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176,118</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83,189</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102,077</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259,307</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(89,577 )</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(56,355 )</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(243,307 )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(152,049 )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37"/>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18,718</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(84,126 )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(224,589 )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(136,887 )</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(82,938 )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(51,027 )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(224,218 )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(136,536 )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(84,126 )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(224,589 )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(136,887 )</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(0.98 )</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(0.73 )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(2.63 )</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7"/>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8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to compute</w:t>
            </w: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85,433,569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69,855,766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85,307,660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69,645,888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-3325495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-3325495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-3325495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-2691130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-2691130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-2691130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-1748155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-1748155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-1748155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-1422400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-1405255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-1422400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-1405255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-1422400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-1405255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-1088390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-1088390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-1088390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-744855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-727710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-744855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-727710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-744855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-727710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9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(224,589 )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(136,887 )</w:t>
            </w:r>
          </w:p>
        </w:tc>
      </w:tr>
      <w:tr>
        <w:trPr>
          <w:trHeight w:val="247"/>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(10,528 )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(11,344 )</w:t>
            </w: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(11,567 )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(3,281 )</w:t>
            </w: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Collaboration (payable) receivable, net</w:t>
            </w: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(1,726 )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receivable</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(3,507 )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(5,063 )</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20"/>
                <w:szCs w:val="20"/>
                <w:color w:val="auto"/>
              </w:rPr>
            </w:pPr>
          </w:p>
        </w:tc>
      </w:tr>
      <w:tr>
        <w:trPr>
          <w:trHeight w:val="236"/>
        </w:trPr>
        <w:tc>
          <w:tcPr>
            <w:tcW w:w="7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(217,515 )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(119,252 )</w:t>
            </w:r>
          </w:p>
        </w:tc>
      </w:tr>
      <w:tr>
        <w:trPr>
          <w:trHeight w:val="238"/>
        </w:trPr>
        <w:tc>
          <w:tcPr>
            <w:tcW w:w="7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(180,738 )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(225,316 )</w:t>
            </w: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229,936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100" w:type="dxa"/>
            <w:vAlign w:val="bottom"/>
          </w:tcPr>
          <w:p>
            <w:pPr>
              <w:spacing w:after="0"/>
              <w:rPr>
                <w:sz w:val="20"/>
                <w:szCs w:val="20"/>
                <w:color w:val="auto"/>
              </w:rPr>
            </w:pPr>
          </w:p>
        </w:tc>
      </w:tr>
      <w:tr>
        <w:trPr>
          <w:trHeight w:val="237"/>
        </w:trPr>
        <w:tc>
          <w:tcPr>
            <w:tcW w:w="7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49,198</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tcPr>
          <w:p>
            <w:pPr>
              <w:spacing w:after="0"/>
              <w:rPr>
                <w:sz w:val="20"/>
                <w:szCs w:val="20"/>
                <w:color w:val="auto"/>
              </w:rPr>
            </w:pPr>
          </w:p>
        </w:tc>
      </w:tr>
      <w:tr>
        <w:trPr>
          <w:trHeight w:val="236"/>
        </w:trPr>
        <w:tc>
          <w:tcPr>
            <w:tcW w:w="7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(162,375 )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Pr>
          <w:p>
            <w:pPr>
              <w:spacing w:after="0"/>
              <w:rPr>
                <w:sz w:val="20"/>
                <w:szCs w:val="20"/>
                <w:color w:val="auto"/>
              </w:rPr>
            </w:pPr>
          </w:p>
        </w:tc>
      </w:tr>
      <w:tr>
        <w:trPr>
          <w:trHeight w:val="247"/>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295,611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133,236</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94,767</w:t>
            </w:r>
          </w:p>
        </w:tc>
        <w:tc>
          <w:tcPr>
            <w:tcW w:w="10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-1774190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-1139190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-505460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commercial-stage biopharmaceutical company with one commercially approved product and an innovative pipeline of cancer therapies under development. We were incorporated in Delaware in 2005. We have operations in New York, NY and Waltham, MA and we operate in one segment. References in these notes to condensed consolidated financial statements to “Syndax,” “the Company,” “we,” “us” or “our” refer to Syndax Pharmaceuticals, Inc. and its wholly owned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accounting principles generally accepted in the United States of America, or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2024, and the results of operations and comprehensive loss for the three and nine months ended September 30, 2024 and 2023, and cash flows for the nine months ended September 30, 2024 and 2023. The results for the three and nine months ended September 30,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as filed with the Securities and Exchange Commission, or the SEC, on February 27, 2024.</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which the Company dissolved in June 2024.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2023, and the notes thereto are included in the Company’s Annual Report on Form 10-K that was filed with the SEC on February 27, 2024.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accordance with ASC 270, Interim Reporting, and ASC 740, Income Taxes, the Company is required at the end of each interim period to determine the best estimate of its annual effective tax rate and then apply that rate in providing for income taxes on a current year-to-date (interim period) basis. For the nine months ended September 30, 2024 and 2023, the Company recorded no tax expense or benefit due to the expected current year loss and its historical losses. As of September 30, 2024 and December 31, 2023, the Company concluded that a full valuation allowance would be necessary for all of its net deferred tax assets. The Company had no amounts recorded for uncertain tax positions, interest or penalties in the accompanying consolidated financial statements.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in the process of evaluating the effects of this pronouncement on our related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right="6460" w:hanging="512"/>
        <w:spacing w:after="0" w:line="378" w:lineRule="auto"/>
        <w:tabs>
          <w:tab w:leader="none" w:pos="19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Collaborative Research and License Agreements Incyte Collaboration</w:t>
      </w: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 Niktimvo™ (axatilimab-csfr). The Company and Incyte share equally the profits and losses from co-commercialization efforts in the United States.</w:t>
      </w:r>
    </w:p>
    <w:p>
      <w:pPr>
        <w:spacing w:after="0" w:line="7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7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was eligible, upon execution,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U.S. Food and Drug Administration, or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September 2024.</w:t>
      </w:r>
    </w:p>
    <w:p>
      <w:pPr>
        <w:spacing w:after="0" w:line="68"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has recorded approximately $1.7 million as a collaboration receivable due from Incyte related to the Company’s development and pre-commercialization costs under the Incyte Agreements and has recorded approximately $7.2 million as a collaboration payable due to Incyte for development and pre-commercialization costs incurred by Incyte as of September 30, 2024. Both expense and cost offset are recorded as part of operating expenses.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Vitae License Agreement, with Vitae Pharmaceuticals, LLC, or Vitae, a subsidiary of AbbVie, Inc., under which the Company was granted an exclusive, sublicensable, worldwide license to a portfolio of preclinical, orally available, small molecule inhibitors of the Menin–KMT2A binding interaction, or the Menin Assets. Upon execution of the agreement, the Company would potentially be required to pay Allergan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effective date of the Vitae License Agreement, the Company achieved certain development and regulatory milestones, resulting in $18.0 million in research and development expense, which includes an $8.0 million milestone paid during the first quarter of 2024 for the successful completion of the first pivotal trial in the first indication.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would potentially be required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Additionally,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$31.0 million as research and development expense, which includes a $15.0 million milestone paid during the three months ended September 30, 2024, upon the approval of Niktimvo.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Bayer Pharma AG (formerly known as Bayer Schering Pharma AG)</w:t>
      </w:r>
    </w:p>
    <w:p>
      <w:pPr>
        <w:spacing w:after="0" w:line="121"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Eddingpharm Investment Company Limited</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August 2016, the Company entered into a license agreement with Eddingpharm Investment Company, or Eddingpharm, to develop and commercialize entinostat in China and certain other Asian countries. Eddingpharm will pay the Company royalties on a sliding scale based on net sales, if any, and make future milestone payments up to $10.0 million in the event that certain specified development and regulatory goals are achieved. In April 2024, a milestone was achieved under the Eddingpharm license agreement for the marketing approval of entinostat in China. As a result, the Company recognized $3.5 million of milestone and license revenue in the second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80" w:type="dxa"/>
            <w:vAlign w:val="bottom"/>
            <w:gridSpan w:val="5"/>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200" w:type="dxa"/>
            <w:vAlign w:val="bottom"/>
          </w:tcPr>
          <w:p>
            <w:pPr>
              <w:spacing w:after="0"/>
              <w:rPr>
                <w:sz w:val="11"/>
                <w:szCs w:val="11"/>
                <w:color w:val="auto"/>
              </w:rPr>
            </w:pP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gridSpan w:val="3"/>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(84,126 )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(51,146 )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(224,589 )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(136,887 )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(84,126 )</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(51,146 )</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(224,589 )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(136,887 )</w:t>
            </w: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20" w:type="dxa"/>
            <w:vAlign w:val="bottom"/>
            <w:vMerge w:val="continue"/>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(0.98 )</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(0.73 )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(2.63 )</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7"/>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2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3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85,433,569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69,855,766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85,307,660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69,645,888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common stockholders—basic and diluted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-899795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-882015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-899795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-882015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-899795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-882015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1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12,205,960</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10,530,750</w:t>
            </w:r>
          </w:p>
        </w:tc>
        <w:tc>
          <w:tcPr>
            <w:tcW w:w="100" w:type="dxa"/>
            <w:vAlign w:val="bottom"/>
            <w:shd w:val="clear" w:color="auto" w:fill="CFF0FC"/>
          </w:tcPr>
          <w:p>
            <w:pPr>
              <w:spacing w:after="0"/>
              <w:rPr>
                <w:sz w:val="20"/>
                <w:szCs w:val="20"/>
                <w:color w:val="auto"/>
              </w:rPr>
            </w:pPr>
          </w:p>
        </w:tc>
      </w:tr>
      <w:tr>
        <w:trPr>
          <w:trHeight w:val="23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35,479</w:t>
            </w:r>
          </w:p>
        </w:tc>
        <w:tc>
          <w:tcPr>
            <w:tcW w:w="100" w:type="dxa"/>
            <w:vAlign w:val="bottom"/>
          </w:tcPr>
          <w:p>
            <w:pPr>
              <w:spacing w:after="0"/>
              <w:rPr>
                <w:sz w:val="20"/>
                <w:szCs w:val="20"/>
                <w:color w:val="auto"/>
              </w:rPr>
            </w:pPr>
          </w:p>
        </w:tc>
      </w:tr>
      <w:tr>
        <w:trPr>
          <w:trHeight w:val="247"/>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1,461,005</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524,236</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Contemporaneous with the Company’s New Drug Application, or NDA, submission to the FDA for revumenib, it was required to pay a $6.1 million refundable fee under the Prescription Drug User Fee Act, or PDUFA. The $6.1 million fee was paid in January 2024 and was fully refunded in September 2024.</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April 2024, entinostat received marketing approval in China. As of September 30, 2024, the Company recorded a $3.5 million milestone receivable related to achieved milestones under the license agreement with Eddingpharm.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right="60"/>
        <w:spacing w:after="0" w:line="261" w:lineRule="auto"/>
        <w:rPr>
          <w:sz w:val="20"/>
          <w:szCs w:val="20"/>
          <w:color w:val="auto"/>
        </w:rPr>
      </w:pPr>
      <w:r>
        <w:rPr>
          <w:rFonts w:ascii="Times New Roman" w:cs="Times New Roman" w:eastAsia="Times New Roman" w:hAnsi="Times New Roman"/>
          <w:sz w:val="18"/>
          <w:szCs w:val="18"/>
          <w:color w:val="auto"/>
        </w:rPr>
        <w:t>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jc w:val="both"/>
        <w:ind w:left="1020" w:right="380" w:hanging="48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(unadjusted)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shd w:val="clear" w:color="auto" w:fill="CFF0FC"/>
          </w:tcPr>
          <w:p>
            <w:pPr>
              <w:spacing w:after="0"/>
              <w:rPr>
                <w:sz w:val="19"/>
                <w:szCs w:val="19"/>
                <w:color w:val="auto"/>
              </w:rPr>
            </w:pPr>
          </w:p>
        </w:tc>
        <w:tc>
          <w:tcPr>
            <w:tcW w:w="576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2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399,636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300" w:type="dxa"/>
            <w:vAlign w:val="bottom"/>
            <w:tcBorders>
              <w:bottom w:val="single" w:sz="8" w:color="CFF0FC"/>
            </w:tcBorders>
            <w:gridSpan w:val="2"/>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 ended September 30, 2024 and 2023. In addition, there have been no changes in valuation techniques during the periods ended September 30, 2024 and 2023.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September 30, 2024, the remaining contractual maturities of the available-for-sale securities were 1 to 13 months, and the balance in the Company’s accumulated other comprehensive gain was comprised solely of activity related to the Company’s available-for-sale securities. There were no realized gains or losses recognized on the sale or maturity of available-for-sale securities, during the three and nine months ended September 30, 2024 and 2023. As a result, the Company did not reclassify any amounts out of accumulated other comprehensive gain for the same periods.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576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460" w:type="dxa"/>
            <w:vAlign w:val="bottom"/>
            <w:tcBorders>
              <w:top w:val="single" w:sz="8" w:color="auto"/>
            </w:tcBorders>
            <w:shd w:val="clear" w:color="auto" w:fill="CFF0FC"/>
          </w:tcPr>
          <w:p>
            <w:pPr>
              <w:spacing w:after="0"/>
              <w:rPr>
                <w:sz w:val="2"/>
                <w:szCs w:val="2"/>
                <w:color w:val="auto"/>
              </w:rPr>
            </w:pPr>
          </w:p>
        </w:tc>
        <w:tc>
          <w:tcPr>
            <w:tcW w:w="40" w:type="dxa"/>
            <w:vAlign w:val="bottom"/>
            <w:tcBorders>
              <w:top w:val="single" w:sz="8" w:color="auto"/>
            </w:tcBorders>
            <w:shd w:val="clear" w:color="auto" w:fill="CFF0FC"/>
          </w:tcPr>
          <w:p>
            <w:pPr>
              <w:spacing w:after="0"/>
              <w:rPr>
                <w:sz w:val="2"/>
                <w:szCs w:val="2"/>
                <w:color w:val="auto"/>
              </w:rPr>
            </w:pPr>
          </w:p>
        </w:tc>
        <w:tc>
          <w:tcPr>
            <w:tcW w:w="42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81,096</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134,975</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266,246</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30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68,157</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shd w:val="clear" w:color="auto" w:fill="CFF0FC"/>
          </w:tcPr>
          <w:p>
            <w:pPr>
              <w:spacing w:after="0"/>
              <w:rPr>
                <w:sz w:val="21"/>
                <w:szCs w:val="2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304,916</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94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35,692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11,602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milestone costs</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48,121</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-1876425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In January 2024, the number of shares of common stock available for issuance under the Company’s 2015 Omnibus Incentive Plan, or the 2015 Plan, was increased by 3,393,065 shares of common stock due to the automatic annual provision to increase shares of common stock available under the 2015 Plan. Additionally in December 2023, the Company’s board of directors approved 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increase of 1,100,000 shares of common stock available for issuance under the Company’s 2023 Inducement Plan, or Inducement Plan.</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3,862,670 shares of common stock available for issuance under the 2015 Plan and 76,763 shares of common stock available for issuance under the Inducement Plan.</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condensed consolidated statements of comprehensive loss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48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30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3,853</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4,468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20"/>
                <w:szCs w:val="20"/>
                <w:color w:val="auto"/>
              </w:rPr>
            </w:pPr>
          </w:p>
        </w:tc>
      </w:tr>
      <w:tr>
        <w:trPr>
          <w:trHeight w:val="276"/>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8,321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4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and nine months ended September 30, 2024 and 2023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0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0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42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42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-903605</wp:posOffset>
            </wp:positionV>
            <wp:extent cx="10223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-903605</wp:posOffset>
            </wp:positionV>
            <wp:extent cx="939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-903605</wp:posOffset>
            </wp:positionV>
            <wp:extent cx="939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-903605</wp:posOffset>
            </wp:positionV>
            <wp:extent cx="939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$93.3 million of unrecognized compensation costs related to employee and non-employee unvested stock options and RSUs granted under the 2023 Inducement Plan, 2015 Plan and the Company’s 2007 Stock Plan, which are expected to be recognized over a weighted-average remaining service period of 2.61 years.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nine months ended September 30,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980" w:type="dxa"/>
            <w:vAlign w:val="bottom"/>
            <w:gridSpan w:val="3"/>
            <w:vMerge w:val="restart"/>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780" w:type="dxa"/>
            <w:vAlign w:val="bottom"/>
            <w:gridSpan w:val="2"/>
          </w:tcPr>
          <w:p>
            <w:pPr>
              <w:jc w:val="center"/>
              <w:ind w:left="953"/>
              <w:spacing w:after="0" w:line="135"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232"/>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2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3120" w:type="dxa"/>
            <w:vAlign w:val="bottom"/>
            <w:vMerge w:val="continue"/>
          </w:tcPr>
          <w:p>
            <w:pPr>
              <w:spacing w:after="0"/>
              <w:rPr>
                <w:sz w:val="15"/>
                <w:szCs w:val="15"/>
                <w:color w:val="auto"/>
              </w:rPr>
            </w:pPr>
          </w:p>
        </w:tc>
        <w:tc>
          <w:tcPr>
            <w:tcW w:w="1780" w:type="dxa"/>
            <w:vAlign w:val="bottom"/>
            <w:gridSpan w:val="2"/>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78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84,826,632</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(902,400 )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(974 )</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(974 )</w:t>
            </w: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(72,400 )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84,979,686</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(974,800 )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 value adjustment</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(68,063 )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(68,063 )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85,028,629</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1,478,009</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(1,042,863 )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434,338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(84,126 )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(84,126 )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85,285,488</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1,493,041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(1,126,989 )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366,432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12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-3333750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-3316605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-3333750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-3316605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-3333750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-3316605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-3333750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-3316605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-3316605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-2065020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-2047875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-2065020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-2047875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-2065020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-2047875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-2065020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-2047875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-2065020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-2047875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-796290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-779145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-796290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-779145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-796290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-779145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-796290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-779145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-779145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nine months ended September 30,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760" w:type="dxa"/>
            <w:vAlign w:val="bottom"/>
            <w:gridSpan w:val="3"/>
            <w:vMerge w:val="restart"/>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540" w:type="dxa"/>
            <w:vAlign w:val="bottom"/>
            <w:gridSpan w:val="2"/>
          </w:tcPr>
          <w:p>
            <w:pPr>
              <w:jc w:val="center"/>
              <w:ind w:left="913"/>
              <w:spacing w:after="0" w:line="135" w:lineRule="exact"/>
              <w:rPr>
                <w:sz w:val="20"/>
                <w:szCs w:val="20"/>
                <w:color w:val="auto"/>
              </w:rPr>
            </w:pPr>
            <w:r>
              <w:rPr>
                <w:rFonts w:ascii="Times New Roman" w:cs="Times New Roman" w:eastAsia="Times New Roman" w:hAnsi="Times New Roman"/>
                <w:sz w:val="14"/>
                <w:szCs w:val="14"/>
                <w:b w:val="1"/>
                <w:bCs w:val="1"/>
                <w:color w:val="auto"/>
              </w:rPr>
              <w:t>$0.0001</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60" w:type="dxa"/>
            <w:vAlign w:val="bottom"/>
            <w:gridSpan w:val="3"/>
            <w:vMerge w:val="continue"/>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3940" w:type="dxa"/>
            <w:vAlign w:val="bottom"/>
            <w:vMerge w:val="continue"/>
          </w:tcPr>
          <w:p>
            <w:pPr>
              <w:spacing w:after="0"/>
              <w:rPr>
                <w:sz w:val="15"/>
                <w:szCs w:val="15"/>
                <w:color w:val="auto"/>
              </w:rPr>
            </w:pPr>
          </w:p>
        </w:tc>
        <w:tc>
          <w:tcPr>
            <w:tcW w:w="1760" w:type="dxa"/>
            <w:vAlign w:val="bottom"/>
            <w:gridSpan w:val="3"/>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54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68,111,385</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1,161,288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(693,040 )</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(41,126 )</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68,495,426</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(734,166 )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(238 )</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771,133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(44,615 )</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(44,615 )</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69,431,198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1,179,389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(778,781 )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short-term investments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(51,146 )</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69,638,168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1,189,561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(829,927 )</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359,186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-2571115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-2571115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-2571115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-2571115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-2571115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-1302385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-1302385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-1302385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-1302385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-1302385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At-the Market Program</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a sales agreement with Cowen and Company, or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pursuant to the previous shelf registration statement on Form S-3ASR (Registration No. 333-277424), which became automatically effective upon the filing on February 27, 2024. The Company’s common stock will be sold at prevailing market prices at the time of the sale, and as a result, prices may vary. For the three and nine months ended September 30, 2024, the Company sold no shares of common stock under the 2023 ATM Program.</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As of September 30, 2024, 285,714 pre-funded warrants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Royalty Pharma Development Funding, LLC Royalty Monetization Agreement</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October 2024, the Company entered into a purchase and sale agreement, or Royalty Agreement, with Royalty Pharma Development Funding, LLC, or Royalty Pharma, pursuant to which Royalty Pharma purchased the right to receive 13.8% on quarterly net sales of Niktimvo in the United States of America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NYC Office Lease Extension</w:t>
      </w:r>
    </w:p>
    <w:p>
      <w:pPr>
        <w:spacing w:after="0" w:line="229"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In October 2024, the Company entered into a three and a half year lease extension for its office at 730 Third Avenue, New York, NY, commencing on January 1, 2025. The term of the new lease expires on August 31, 2028.</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27,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are a commercial-stage biopharmaceutical company with one commercially approved product and are developing an innovative pipeline of cancer therapies. NIKTIMVO™ (axatilimab-csfr) is our approved product and revumenib is our lead product candidate.</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nucleophosmin1, also known as NPM1, mutant AML. We are also exploring the use of revumenib as a treatment in solid tumors, specifically its activity in metastatic microsatellite stable, or MSS, colorectal cancer, or CRC. We continue to develop axatilimab, a monoclonal antibody that blocks the colony stimulating factor 1 receptor, or CSF-1R, for idiopathic pulmonary fibrosis, or IPF.</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commercially approved product, Niktimvo, received approval on August 14, 2024 from the U.S. Food and Drug Administration, or FDA, in the United States, for the treatment of chronic graft versus host disease, or cGVHD, after failure of at least two prior lines of systemic therapy in adult and pediatric patients weighing at least 40 kg (88.2 lbs), with a recommended dosage of 0.3 mg/kg, up to a maximum dose of 35 mg, as an intravenous infusion over 30 minutes every two weeks until progression or unacceptable toxicity. While Incyte leads U.S. commercialization efforts, we are co-promoting Niktimvo with Incyte in the U.S. To facilitate patient dosing and limit product waste, following the FDA’s approval of Niktimvo, we, along with Incyte, have submitted to the FDA for the approval of two smaller vial sizes. We anticipate launching Niktimvo in the U.S. no later than early first quarter 2025. Incyte has exclusive commercialization rights for Niktimvo outside the U.S.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plan to continue to leverage the technical and business expertise of our management team and scientific collaborators to license, acquire and develop additional therapeutics to expand our pipeline. We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nine months ended September 30, 2024 and 2023, we reported a net loss of $224.6 million and $136.9 million, respectively. As of September 30, 2024, we had an accumulated deficit of $1.1 billion. As of September 30, 2024, we had cash, cash equivalents and short- and long-term investments of $399.6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w:t>
      </w:r>
    </w:p>
    <w:p>
      <w:pPr>
        <w:spacing w:after="0" w:line="121" w:lineRule="exact"/>
        <w:rPr>
          <w:sz w:val="20"/>
          <w:szCs w:val="20"/>
          <w:color w:val="auto"/>
        </w:rPr>
      </w:pPr>
    </w:p>
    <w:p>
      <w:pPr>
        <w:ind w:left="760" w:right="30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Drug Application, or NDA, for revumenib, an oral menin inhibitor, for the treatment of adult and pediatric relapsed or refractory, or R/R, KMT2A-r acute leukemia was granted Priority Review and is being reviewed under the U.S. FDA’s Real-Time Oncology Review, or RTOR, Program with a Prescription Drug User Fee Act, or PDUFA, target action date of December 26, 2024.</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report topline data from the AUGMENT-101 pivotal trial cohort of patients with R/R mutant nucleophosmin, or mNPM1, AML in the fourth quarter of 2024. Positive data could support a supplemental NDA, or sNDA, filing for revumenib in R/R mNPM1 AML in the first half of 2025.</w:t>
      </w:r>
    </w:p>
    <w:p>
      <w:pPr>
        <w:spacing w:after="0" w:line="6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data from the pivotal Phase 2 portion of the AUGMENT-101 trial of revumenib in adult and pediatric patients with R/R KMT2Ar AML and ALL have been published in the Journal of Clinical Oncology. </w:t>
      </w:r>
    </w:p>
    <w:p>
      <w:pPr>
        <w:spacing w:after="0" w:line="53" w:lineRule="exact"/>
        <w:rPr>
          <w:rFonts w:ascii="Times New Roman" w:cs="Times New Roman" w:eastAsia="Times New Roman" w:hAnsi="Times New Roman"/>
          <w:sz w:val="18"/>
          <w:szCs w:val="18"/>
          <w:color w:val="auto"/>
        </w:rPr>
      </w:pPr>
    </w:p>
    <w:p>
      <w:pPr>
        <w:ind w:left="760" w:right="120" w:hanging="378"/>
        <w:spacing w:after="0" w:line="25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a larger data set and longer follow-up from the pivotal Phase 2 portion of the AUGMENT-101 trial of revumenib in R/R KMT2Ar acute leukemia will be presented at the upcoming 66th American Society of Hematology, or ASH, Annual Meeting. Analysis of the larger efficacy population (n=97), which includes the 57 patients from the previously reported interim efficacy analysis plus an additional 40 patients. Consistent with previously reported data, the updated analysis shows that revumenib provides durable responses and robust rates of overall response, minimal residual disease, or MRD, negativity, and hematopoietic stem cell transplantation, or HSTC. With seven months of additional follow-up, the median duration of CR/CRh extended to 13 months among the 13 CR/CRh responders included in the interim analysis presented at ASH 2023.</w:t>
      </w:r>
    </w:p>
    <w:p>
      <w:pPr>
        <w:spacing w:after="0" w:line="8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trials evaluating the potential to expand revumenib use across the mNPM1 and KMT2Ar acute leukemia treatment landscape are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ongoing. These trials include: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 w:name="page18"/>
    <w:bookmarkEnd w:id="17"/>
    <w:p>
      <w:pPr>
        <w:ind w:left="1500" w:hanging="369"/>
        <w:spacing w:after="0" w:line="256"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A Phase 1 trial evaluating the combination of revumenib with venetoclax and azacitidine in front-line AML patients. The trial is being conducted as part of the Leukemia &amp; Lymphoma Society’s Beat AML® Master Clinical Trial. We presented updated positive data from the trial at the European Hematology Association, or EHA, 2024 Congress, showing a 96% (23 of 24 pts) composite complete remission, or CRc, rate in patients with newly diagnosed mNPM1 or KMT2Ar AML. The BEAT AML trial is expanding to validate the recommended Phase 2 dose of the combination of revumenib with venetoclax and azacitidine. We anticipate that an update on the trial will be available in the fourth quarter of 2024.</w:t>
      </w:r>
    </w:p>
    <w:p>
      <w:pPr>
        <w:spacing w:after="0" w:line="79" w:lineRule="exact"/>
        <w:rPr>
          <w:rFonts w:ascii="Times New Roman" w:cs="Times New Roman" w:eastAsia="Times New Roman" w:hAnsi="Times New Roman"/>
          <w:sz w:val="18"/>
          <w:szCs w:val="18"/>
          <w:color w:val="auto"/>
        </w:rPr>
      </w:pPr>
    </w:p>
    <w:p>
      <w:pPr>
        <w:ind w:left="1500" w:right="140" w:hanging="369"/>
        <w:spacing w:after="0" w:line="281" w:lineRule="auto"/>
        <w:tabs>
          <w:tab w:leader="none" w:pos="15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SAVE: A Phase 1 trial evaluating the all-oral combination of revumenib with venetoclax and decitabine/cedazuridine in R/R AML or mixed phenotype acute leukemias. The trial is being conducted by investigators from MD Anderson Cancer Center. We announced that updated data showing an 88% ORR (23 of 26 pts) in R/R patients with KMT2Ar, mNPM1, or NUP98r leukemias will be presented at the upcoming 66th ASH Annual Meeting. In addition to the R/R cohort, a frontline cohort is now enrolling patients.</w:t>
      </w:r>
    </w:p>
    <w:p>
      <w:pPr>
        <w:spacing w:after="0" w:line="56" w:lineRule="exact"/>
        <w:rPr>
          <w:rFonts w:ascii="Times New Roman" w:cs="Times New Roman" w:eastAsia="Times New Roman" w:hAnsi="Times New Roman"/>
          <w:sz w:val="17"/>
          <w:szCs w:val="17"/>
          <w:color w:val="auto"/>
        </w:rPr>
      </w:pPr>
    </w:p>
    <w:p>
      <w:pPr>
        <w:ind w:left="1500" w:right="240" w:hanging="369"/>
        <w:spacing w:after="0" w:line="261"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INTERCEPT: A Phase 1 trial evaluating the use of novel therapies, including revumenib, to target MRD and early relapse in AML. The trial is being conducted by the Australasian Leukaemia and Lymphoma Group as part of the INTERCEPT AML master clinical trial. Preliminary results from the first eight mNPM1 patients treated with revumenib will be presented at the upcoming 66th ASH Annual Meeting.</w:t>
      </w:r>
    </w:p>
    <w:p>
      <w:pPr>
        <w:spacing w:after="0" w:line="71" w:lineRule="exact"/>
        <w:rPr>
          <w:rFonts w:ascii="Times New Roman" w:cs="Times New Roman" w:eastAsia="Times New Roman" w:hAnsi="Times New Roman"/>
          <w:sz w:val="18"/>
          <w:szCs w:val="18"/>
          <w:color w:val="auto"/>
        </w:rPr>
      </w:pPr>
    </w:p>
    <w:p>
      <w:pPr>
        <w:jc w:val="both"/>
        <w:ind w:left="1500" w:right="360" w:hanging="369"/>
        <w:spacing w:after="0" w:line="266"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A Phase 1 trial evaluating the combination of revumenib with intensive chemotherapy (7+3) followed by revumenib maintenance treatment in newly diagnosed patients with mNPM1 or KMT2Ar acute leukemias. The trial is designed to identify the recommended Phase 2 dose for this combination to support further development.</w:t>
      </w:r>
    </w:p>
    <w:p>
      <w:pPr>
        <w:spacing w:after="0" w:line="65" w:lineRule="exact"/>
        <w:rPr>
          <w:rFonts w:ascii="Times New Roman" w:cs="Times New Roman" w:eastAsia="Times New Roman" w:hAnsi="Times New Roman"/>
          <w:sz w:val="18"/>
          <w:szCs w:val="18"/>
          <w:color w:val="auto"/>
        </w:rPr>
      </w:pPr>
    </w:p>
    <w:p>
      <w:pPr>
        <w:ind w:left="1500" w:right="40" w:hanging="369"/>
        <w:spacing w:after="0" w:line="267"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Phase 2 trial studying whether the combination of revumenib and venetoclax can eliminate MRD in patients with AML and extend progression-free survival. The trial is being conducted by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collaboration between leading U.S. cancer research centers.</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a pivotal trial of revumenib in combination with venetoclax and azacitidine in newly diagnosed mNPM1 or KMT2Ar acute leukemia patients unfit to receive intensive chemotherapy by year-end 2024.</w:t>
      </w:r>
    </w:p>
    <w:p>
      <w:pPr>
        <w:spacing w:after="0" w:line="53"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revumenib in patients with R/R metastatic MSS colorectal cancer. The trial is currently enrolling patients in the Phase 1b portion of its Phase 1/2 proof-of-concept trial.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121" w:lineRule="exact"/>
        <w:rPr>
          <w:sz w:val="20"/>
          <w:szCs w:val="20"/>
          <w:color w:val="auto"/>
        </w:rPr>
      </w:pPr>
    </w:p>
    <w:p>
      <w:pPr>
        <w:ind w:left="760" w:right="1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Niktimvo received FDA approval for the treatment of cGVHD after failure of at least two prior lines of systemic therapy in adult and pediatric patients weighing at least 40 kg (88.2 lbs). We anticipate that Niktimvo will be launched in the U.S. no later than early first quarter 2025. In the U.S., Niktimvo will be co-commercialized by Incyte and us.</w:t>
      </w:r>
    </w:p>
    <w:p>
      <w:pPr>
        <w:spacing w:after="0" w:line="67" w:lineRule="exact"/>
        <w:rPr>
          <w:rFonts w:ascii="Times New Roman" w:cs="Times New Roman" w:eastAsia="Times New Roman" w:hAnsi="Times New Roman"/>
          <w:sz w:val="18"/>
          <w:szCs w:val="18"/>
          <w:color w:val="auto"/>
        </w:rPr>
      </w:pPr>
    </w:p>
    <w:p>
      <w:pPr>
        <w:ind w:left="760" w:right="30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Niktimvo was added to the latest NCCN Clinical Practice Guidelines in Oncology, or NCCN Guidelines®, as a category 2A recommendation for the treatment of GVHD after the failure of at least two prior lines of systemic therapy in adult and pediatric patients weighing at least 40 kg. Treatments are classified as category 2A when there is uniform NCCN consensus that the intervention is appropriate, based on lower level evidence.</w:t>
      </w:r>
    </w:p>
    <w:p>
      <w:pPr>
        <w:spacing w:after="0" w:line="7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results from the pivotal Phase 2 AGAVE-201 trial of Niktimvo in adult and pediatric patients with recurrent/refractory active cGVHD who had received at least two prior lines of systemic therapy were published in the New England Journal of Medicine.</w:t>
      </w:r>
    </w:p>
    <w:p>
      <w:pPr>
        <w:spacing w:after="0" w:line="53"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secondary analysis of overall and organ-specific responses from the pivotal Phase 2 AGAVE-201 trial of Niktimvo in adult and pediatric patients with recurrent/refractory active cGVHD who had received at least two prior lines of</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left="760" w:right="460"/>
        <w:spacing w:after="0" w:line="282" w:lineRule="auto"/>
        <w:rPr>
          <w:sz w:val="20"/>
          <w:szCs w:val="20"/>
          <w:color w:val="auto"/>
        </w:rPr>
      </w:pPr>
      <w:r>
        <w:rPr>
          <w:rFonts w:ascii="Times New Roman" w:cs="Times New Roman" w:eastAsia="Times New Roman" w:hAnsi="Times New Roman"/>
          <w:sz w:val="18"/>
          <w:szCs w:val="18"/>
          <w:color w:val="auto"/>
        </w:rPr>
        <w:t>systemic therapy will be presented at the 66th ASH Annual Meeting. The data demonstrated rapid responses and symptom improvement in inflammatory and fibrotic manifestations of cGVHD in heavily pretreated patients.</w:t>
      </w:r>
    </w:p>
    <w:p>
      <w:pPr>
        <w:spacing w:after="0" w:line="54" w:lineRule="exact"/>
        <w:rPr>
          <w:sz w:val="20"/>
          <w:szCs w:val="20"/>
          <w:color w:val="auto"/>
        </w:rPr>
      </w:pPr>
    </w:p>
    <w:p>
      <w:pPr>
        <w:ind w:left="760" w:right="3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a 26-week randomized, double-blinded, placebo-controlled Phase 2 trial of axatilimab on top of standard of care in patients with IPF, now referred to as the MAXPIRe trial (NCT06132256). We expect to report topline data from the trial in 2026.</w:t>
      </w:r>
    </w:p>
    <w:p>
      <w:pPr>
        <w:spacing w:after="0" w:line="53"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Incyte, is now recruiting patients for a Phase 2, open-label, randomized, multicenter trial of axatilimab in combination with ruxolitinib in patients ≥12 years of age with newly diagnosed chronic GVHD (NCT06388564). A Phase 3 trial of axatilimab in combination with steroids for the treatment for chronic GVHD is currently in preparation.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21" w:lineRule="exact"/>
        <w:rPr>
          <w:sz w:val="20"/>
          <w:szCs w:val="20"/>
          <w:color w:val="auto"/>
        </w:rPr>
      </w:pPr>
    </w:p>
    <w:p>
      <w:pPr>
        <w:jc w:val="both"/>
        <w:ind w:left="760" w:right="18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$350 million royalty funding agreement with Royalty Pharma Development Funding, LLC, or Royalty Pharma, based on U.S. net sales of Niktimvo. Under the agreement, we received $350 million in exchange for a 13.8% royalty on U.S. net sales of Niktimvo. Royalty payments to Royalty Pharma will cease upon reaching a multiple of 2.35x.</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sales revenue depends upon our ability to obtain marketing approval of, and successfully commercialize our product candidates. Our first commercially approved product, Niktimvo, received approval from the FDA in August 2024. We anticipate launching Niktimvo in the U.S. no later than early first quarter 2025. Our revenue for the three and nine months ended September 30, 2024 was derived from the achievement of milestones in connection with our license agreements with Incyte and Eddingpharm Investment Company Limited, or Eddingpharm. We did not generated any product sales revenue during the three and nine months ended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drug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drug candidate will depend on numerous factors, including competition, manufacturing capability and commercial viability. The successful development of our drug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pre-commercialization costs as well as employee-related expenses, including salaries, benefits, non-cash stock-based compensation and travel expenses, for our employees in executive, finance, human resources, information technology, business development and support functions.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further increase in the future as we continue to increase our headcount to support our continued research and development and anticipated commercialization of revumenib. Additionally, we expect an increase in employee-related and sales and marketing expenses and other commercial expenses as a result of Niktimvo’s anticipated commercial launch and in anticipation of revumenib’s expected regulatory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on our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540" w:right="1580" w:hanging="5016"/>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income (expense), consisting of revaluation of foreign currency related to trade payables.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please read </w:t>
      </w:r>
      <w:r>
        <w:rPr>
          <w:rFonts w:ascii="Times New Roman" w:cs="Times New Roman" w:eastAsia="Times New Roman" w:hAnsi="Times New Roman"/>
          <w:sz w:val="18"/>
          <w:szCs w:val="18"/>
          <w:i w:val="1"/>
          <w:iCs w:val="1"/>
          <w:color w:val="auto"/>
        </w:rPr>
        <w:t>Note 3 “Summary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5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23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3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20"/>
                <w:szCs w:val="20"/>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FF0FC"/>
          </w:tcPr>
          <w:p>
            <w:pPr>
              <w:spacing w:after="0"/>
              <w:rPr>
                <w:sz w:val="20"/>
                <w:szCs w:val="20"/>
                <w:color w:val="auto"/>
              </w:rPr>
            </w:pPr>
          </w:p>
        </w:tc>
      </w:tr>
      <w:tr>
        <w:trPr>
          <w:trHeight w:val="237"/>
        </w:trPr>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176,118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107,906</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68,212</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39,046</w:t>
            </w:r>
          </w:p>
        </w:tc>
        <w:tc>
          <w:tcPr>
            <w:tcW w:w="100" w:type="dxa"/>
            <w:vAlign w:val="bottom"/>
          </w:tcPr>
          <w:p>
            <w:pPr>
              <w:spacing w:after="0"/>
              <w:rPr>
                <w:sz w:val="20"/>
                <w:szCs w:val="20"/>
                <w:color w:val="auto"/>
              </w:rPr>
            </w:pPr>
          </w:p>
        </w:tc>
      </w:tr>
      <w:tr>
        <w:trPr>
          <w:trHeight w:val="237"/>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259,307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(89,577 )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(56,355 )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(243,307 )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(152,049 )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91,258</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(84,126 )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(51,146 )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(224,589 )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(136,887 )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87,702</w:t>
            </w:r>
          </w:p>
        </w:tc>
        <w:tc>
          <w:tcPr>
            <w:tcW w:w="10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-1765300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-1765300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-1765300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-1765300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-1765300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-1130935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-1130935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-1130935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-1130935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-187960</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-187960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for the three months ended September 30, 2024, consisted of a $12.5 million milestone earned as a result of the approval of Niktimvo.</w:t>
      </w:r>
    </w:p>
    <w:p>
      <w:pPr>
        <w:spacing w:after="0" w:line="117"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Revenue for the nine months ended September 30, 2024, consisted of a $12.5 million milestone earned in the third quarter of 2024 as a result of the approval of Niktimvo and $3.5 million of revenue recognized in the second quarter of 2024 under the license agreement with Eddingpharm.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and nine months ended September 30, 2024 and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400" w:type="dxa"/>
            <w:vAlign w:val="bottom"/>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3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Revumenib-related costs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76,421</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Axatilimab-related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(2,096 )</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(2,487 )</w:t>
            </w:r>
          </w:p>
        </w:tc>
      </w:tr>
      <w:tr>
        <w:trPr>
          <w:trHeight w:val="23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00" w:type="dxa"/>
            <w:vAlign w:val="bottom"/>
          </w:tcPr>
          <w:p>
            <w:pPr>
              <w:spacing w:after="0"/>
              <w:rPr>
                <w:sz w:val="20"/>
                <w:szCs w:val="20"/>
                <w:color w:val="auto"/>
              </w:rPr>
            </w:pPr>
          </w:p>
        </w:tc>
      </w:tr>
      <w:tr>
        <w:trPr>
          <w:trHeight w:val="243"/>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26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176,118</w:t>
            </w:r>
          </w:p>
        </w:tc>
        <w:tc>
          <w:tcPr>
            <w:tcW w:w="2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107,906</w:t>
            </w:r>
          </w:p>
        </w:tc>
        <w:tc>
          <w:tcPr>
            <w:tcW w:w="24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our total research and development expenses increased $31.9 million and $68.2 million respectively, from the comparable prior year period. The increase was primarily due to:</w:t>
      </w:r>
    </w:p>
    <w:p>
      <w:pPr>
        <w:spacing w:after="0" w:line="54" w:lineRule="exact"/>
        <w:rPr>
          <w:sz w:val="20"/>
          <w:szCs w:val="20"/>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costs related to revumenib for the three and nine month period ended September 30, 2024, compared to the prior year periods, was primarily driven by the continuation of the registrational trials, preparation for front-line / combination trials, companion diagnostic development costs, pre-commercial manufacturing activities, medical affairs activities in preparation for commercialization, and an $8.0 million milestone paid to Vitae in the first quarter of 2024, related to the successful completion of the first pivotal trial in the first indication.</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costs related to axatilimab for the three and nine month period ended September 30, 2024, compared to the prior year periods, was primarily driven by the continuation of the IPF trial, pre-commercial manufacturing activities and a $15.0 million milestone payment to UCB as a result of the approval of Niktimvo in the third quarter of 2024.</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research and development programs for the three and nine month periods ended September 30, 2024, compared to the prior year periods, was related to a decrease in clinical trial expense, not related to the revumenib and axatilimab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 costs and other expenses, and stock-based compensation, which includes salaries, overhead, and related expenses, for the three and nine month periods ended September 30, 2024, compared to the prior year periods, was related to support of the on-going clinical trials and NDA/sNDA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400" w:type="dxa"/>
            <w:vAlign w:val="bottom"/>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3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Commercial-related expenses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shd w:val="clear" w:color="auto" w:fill="CFF0FC"/>
          </w:tcPr>
          <w:p>
            <w:pPr>
              <w:spacing w:after="0"/>
              <w:rPr>
                <w:sz w:val="21"/>
                <w:szCs w:val="21"/>
                <w:color w:val="auto"/>
              </w:rPr>
            </w:pPr>
          </w:p>
        </w:tc>
      </w:tr>
      <w:tr>
        <w:trPr>
          <w:trHeight w:val="211"/>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0"/>
                <w:szCs w:val="20"/>
                <w:color w:val="auto"/>
              </w:rPr>
            </w:pPr>
          </w:p>
        </w:tc>
      </w:tr>
      <w:tr>
        <w:trPr>
          <w:trHeight w:val="250"/>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0"/>
                <w:szCs w:val="20"/>
                <w:color w:val="auto"/>
              </w:rPr>
            </w:pP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44,143</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our total selling, general and administrative expenses increased $13.8 million and $39.0 million, respectively, from the comparable prior year period. The increase primarily is due to:</w:t>
      </w:r>
    </w:p>
    <w:p>
      <w:pPr>
        <w:spacing w:after="0" w:line="54" w:lineRule="exact"/>
        <w:rPr>
          <w:sz w:val="20"/>
          <w:szCs w:val="20"/>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commercial-related expenses for the three and nine month periods ended September 30, 2024, compared to the prior year periods, was primarily driven by and increase in commercial readiness activities for Niktimvo and revumenib.</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selling, general, and administrative expenses for the three and nine months ended September 30, 2024, compared to the prior year periods, was primarily due to an increase in IT, recruiting, and legal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 costs and other expenses and stock-based compensation, which includes salaries, overhead, and related expenses,</w:t>
      </w:r>
    </w:p>
    <w:p>
      <w:pPr>
        <w:spacing w:after="0" w:line="27" w:lineRule="exact"/>
        <w:rPr>
          <w:sz w:val="20"/>
          <w:szCs w:val="20"/>
          <w:color w:val="auto"/>
        </w:rPr>
      </w:pPr>
    </w:p>
    <w:p>
      <w:pPr>
        <w:ind w:left="1020" w:right="300"/>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the prior year periods, was primarily due to increased headcount in preparation for commercial readiness activities.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nine months ended September 30, 2024, interest income, net of interest expense, increased from the comparable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interest rates and an increased average balance on cash equivalents and short and long-term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other income (expense) decreased from the comparable prior year period primarily due to the decrease in foreign currency losses on short and long-term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period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w w:val="95"/>
              </w:rPr>
              <w:t>(217,515 )</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5"/>
              </w:rPr>
              <w:t>(119,252 )</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49,198</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133,899</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5"/>
              </w:rPr>
              <w:t>(162,375 )</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from $119.3 million for the nine months ended September 30, 2023 to $217.5 million for the nine months ended September 30, 2024, primarily due to an increase in operating net loss, prepaid expenses, and collaboration receivables, and a decrease in accounts payable.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$49.2 million and was related to $229.9 million from the maturities of available-for-sale securities, offset by the purchase of $180.7 million of available-for-sale securities.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$133.9 million and was related to $359.2 million from the maturities of available-for-sale securities, offset by the purchase of $225.3 million of available-for-sale securities.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increased by $0.3 million from the comparable prior year period primarily due to proceeds from the exercise of stock options and employee participation in our 2015 Employee Stock Purchase Plan, or ESPP.</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our operations have been primarily financed by net proceeds from our public stock offerings, and revenue from our license agreements. We believe that our cash, cash equivalents and short- and long-term investments as of September 30, 2024, will fund our projected operating expenses and capital expenditure requirements for at least the next 12 months. In addition, we received a $350.0 million upfront payment in November 2024 pursuant to the purchase and sale agreement, or Royalty Agreement, with Royalty Pharma and are eligible to receive future aggregate payments up to $822.5 million. We are also and are eligible under our collaboration agreements to receive royalty payments, research and development funding, and milestone and other contingent payments for the achievement of defined collaboration objectives and certain development, regulatory and commercial milestones, which will continue to fund our future operations. Our ability to earn these milestone and contingent payments and the timing of achieving these milestones is primarily dependent upon the outcome of our collaborators’ research and development activities and is uncertain at this time.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along with Incyte, to successfully launch and generate sales of Niktimvo;</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products and product candidates, including Niktimvo, which we are co-commercializing with Incyte, and revumenib, provided it receives regulatory approval and if we determine to commercialize it ourselves;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additional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one commercially approved product, Niktimvo, which we anticipate launching in the U.S. no later than early first quarter 2025. We otherwise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payments received under the Royalty Agreement or any obligations of our collaborators to reimburse us for research and development expenses or to make milestone or royalty payments under our agreements with them, we will not have any committed external source of liquidity. Our material contractual obligations and commitments as of September 30, 2024, primarily relate to our maturities of operating leases for office space and equipment and capital leases for office equipment. As of September 30, 2024, we have $0.8 million payable within 12 months.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September 30, 2024, we had an accumulated deficit of $1.1 billion. We anticipate that we will likely continue to incur significant losses for at least the next couple of years. We expect that our research and development and selling,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nine months ended September 30, 2024, we did not sell any shares of common stock under the 2023 ATM Program. As of September 30, 2024, we had $157.9 million available under the 2023 ATM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The market risk inherent in our financial instruments and in our financial position represents the potential loss arising from adverse changes in interest rates. As of September 30, 2024, we had cash and cash equivalents of $133.0 million, consisting of overnight investments, interest-bearing money market funds and commercial paper, and short and long-term investments of $266.6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September 30, 2024. Based upon that evaluation, our principal executive officer and principal financial officer concluded that, as of the end of the period covered by this report, our disclosure controls and procedures are effective in ensuring that:</w:t>
      </w:r>
    </w:p>
    <w:p>
      <w:pPr>
        <w:spacing w:after="0" w:line="75" w:lineRule="exact"/>
        <w:rPr>
          <w:sz w:val="20"/>
          <w:szCs w:val="20"/>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appropriate to allow timely decisions regarding required disclosure.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September 30, 2024, that has materially affected, or is reasonably likely to materially affect, our internal control over financial reporting.</w:t>
      </w: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2024,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include, among others, the following:</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generating revenue from product sales.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Niktimvo are smaller than we believe they are,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Revumenib has undergone limited clinical testing and we may fail to show that it is well tolerated and provides sufficient clinical benefit for patients.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3" w:lineRule="exact"/>
        <w:rPr>
          <w:rFonts w:ascii="Times New Roman" w:cs="Times New Roman" w:eastAsia="Times New Roman" w:hAnsi="Times New Roman"/>
          <w:sz w:val="18"/>
          <w:szCs w:val="18"/>
          <w:color w:val="auto"/>
        </w:rPr>
      </w:pPr>
    </w:p>
    <w:p>
      <w:pPr>
        <w:ind w:left="1020" w:right="1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any of our product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fail to perform its obligations as expected under the collaboration or may deprioritize its investment to further develop and commercialize axatilimab.</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enroll patients in clinical trials, these clinical trials may not be completed on a timely basis or at all.</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regulatory requirements or unanticipated problems with Niktimvo may result in various adverse actions such as the suspension or withdrawal of Niktimvo, closure of a facility or enforcement of substantial penalties or fines.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Niktimvo and our future product candidates may not achieve adequate market acceptance among physicians, patients, healthcare payors and others in the medical community to be commercially successful.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face future development and regulatory difficulties.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7" w:name="page28"/>
    <w:bookmarkEnd w:id="27"/>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 approved products is uncertain. Failure to obtain or maintain adequate coverage and reimbursement for Niktimvo or any future products could limit our ability to market those products and decrease our ability to generate revenue.</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each period since our inception, except in 2021, and anticipate that we will continue to incur net losses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we may not be able to compete effectively in our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generating revenue from product sales.</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Our ability to generate significant revenue from product sales depends on our ability to successfully commercialize Niktimvo and obtain the regulatory and marketing approvals necessary to commercialize revumenib as well as axatilimab for other indications. We currently have limited commercialization expertise, including sales, marketing, or distribution capabilities, and Niktimvo and future approved products may not remain in the market for a number of reasons, including ineffectiveness, harmful side effects, difficulty in scaling manufacturing, political and legislative changes, or competition from existing future alternatives. Our ability to generate substantial future revenue from product sales depends heavily on our success in many areas, including, but not limited to:</w:t>
      </w:r>
    </w:p>
    <w:p>
      <w:pPr>
        <w:spacing w:after="0" w:line="79" w:lineRule="exact"/>
        <w:rPr>
          <w:sz w:val="20"/>
          <w:szCs w:val="20"/>
          <w:color w:val="auto"/>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manufacturing process for approved products and establishing and maintaining supply and manufacturing relationships with third parties that can conduct the processes and provide adequate (in amount and quality) product supply to support market demand for approved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market share, reimbursement and pricing for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patients so they can be diagnosed and begin receiving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including commercial rights, in any collaboration, licensing, or other arrangements into which we may enter, any amendments thereto or extensions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280" w:firstLine="578"/>
        <w:spacing w:after="0" w:line="282" w:lineRule="auto"/>
        <w:rPr>
          <w:sz w:val="20"/>
          <w:szCs w:val="20"/>
          <w:color w:val="auto"/>
        </w:rPr>
      </w:pPr>
      <w:r>
        <w:rPr>
          <w:rFonts w:ascii="Times New Roman" w:cs="Times New Roman" w:eastAsia="Times New Roman" w:hAnsi="Times New Roman"/>
          <w:sz w:val="18"/>
          <w:szCs w:val="18"/>
          <w:color w:val="auto"/>
        </w:rPr>
        <w:t>If the number of our addressable patients is not as significant as we estimate or the reasonably accepted population for treatment is narrowed by competition, physician choice, or treatment guidelines, we may not generate significant revenue from sales of approved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Niktimvo are smaller than we believe they are, our revenue may be adversely affected, and our business may suffer.</w:t>
      </w:r>
    </w:p>
    <w:p>
      <w:pPr>
        <w:spacing w:after="0" w:line="121"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Our projections of the number of adult and pediatric patients with cGVHD after failure of at least two prior lines of systemic therapy who have the potential to benefit from treatment with Niktimvo are based on our and Incyte’s beliefs and estimates. These</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estimates have been derived from a variety of sources and may prove to be incorrect or new studies may change the estimated incidence or prevalence, and the number of patients may turn out to be lower than expected. Additionally, the potentially addressable patient population for Niktimvo may be limited or may not be amenable to treatment with Niktimvo, and new patients may become increasingly difficult to identify or access, which would adversely affect our results of operations and our business. Even if we obtain significant market share for Niktimvo, we may never become or remain profitable nor generate sufficient revenue growth to sustain our business.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1"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We have one approved product, Niktimvo. Our financial success will also depend substantially on our ability to effectively and profitably commercialize our other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any future clinical trials of revumenib and axatilimab;</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in connection with public health threats or any future geopolitical tensions, such as the ongoing wars involving Russia and Israel;</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 prior to receiving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drug reactions in any of our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meeting the endpoints in the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use of our product candidates to treat various cancer indications and fibrotic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 and of third-party contract manufacturers to produce trial supplies and to develop, validate and maintain a commercially viable manufacturing process that is compliant with current Good Manufacturing Practices, or cGMP;</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in the United States and abroad,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any significant disruptions of our information technology systems and protect the security of our data;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our product candidates.</w:t>
      </w:r>
    </w:p>
    <w:p>
      <w:pPr>
        <w:spacing w:after="0" w:line="117" w:lineRule="exact"/>
        <w:rPr>
          <w:sz w:val="20"/>
          <w:szCs w:val="20"/>
          <w:color w:val="auto"/>
        </w:rPr>
      </w:pPr>
    </w:p>
    <w:p>
      <w:pPr>
        <w:ind w:firstLine="578"/>
        <w:spacing w:after="0" w:line="282" w:lineRule="auto"/>
        <w:rPr>
          <w:sz w:val="20"/>
          <w:szCs w:val="20"/>
          <w:color w:val="auto"/>
        </w:rPr>
      </w:pPr>
      <w:r>
        <w:rPr>
          <w:rFonts w:ascii="Times New Roman" w:cs="Times New Roman" w:eastAsia="Times New Roman" w:hAnsi="Times New Roman"/>
          <w:sz w:val="18"/>
          <w:szCs w:val="18"/>
          <w:color w:val="auto"/>
        </w:rPr>
        <w:t>If we fail to obtain regulatory approval for our product candidates, we will not be able to generate product sales, which will have a material adverse effect on our business and our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 has undergone limited clinical testing and we may fail to show that it is well tolerated and provides sufficient clinical benefit for patients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In October 2023, we announced positive topline data in patients with R/R KMT2Ar acute leukemia and in March 2024, we announced that the NDA had a Priority Review PDUFA date of September 26, 2024, which the FDA subsequently extended to December 26, 2024. Neither breakthrough therapy designation nor RTOR review change the standards for approval and may not ultimately expedite the approval process or lead to approval. While we believe that we have established sufficient efficacy to warrant NDA submission and continued development in these indications, we may not yet have sufficiently demonstrated a favorable risk-benefit of revumenib in patients.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right="80" w:firstLine="578"/>
        <w:spacing w:after="0" w:line="269"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clinical trials. For example, in each of November 2022 and 2023, we announced interim data from our Phase 1/2 clinical trial of revumenib. While we have presented final data from our pivotal AGAVE-201 trial and from two of three cohorts in our AUGMENT-101 trial, interim data from other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5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67" w:lineRule="exact"/>
        <w:rPr>
          <w:sz w:val="20"/>
          <w:szCs w:val="20"/>
          <w:color w:val="auto"/>
        </w:rPr>
      </w:pPr>
    </w:p>
    <w:p>
      <w:pPr>
        <w:ind w:right="540" w:firstLine="578"/>
        <w:spacing w:after="0" w:line="282" w:lineRule="auto"/>
        <w:rPr>
          <w:sz w:val="20"/>
          <w:szCs w:val="20"/>
          <w:color w:val="auto"/>
        </w:rPr>
      </w:pPr>
      <w:r>
        <w:rPr>
          <w:rFonts w:ascii="Times New Roman" w:cs="Times New Roman" w:eastAsia="Times New Roman" w:hAnsi="Times New Roman"/>
          <w:sz w:val="18"/>
          <w:szCs w:val="18"/>
          <w:color w:val="auto"/>
        </w:rPr>
        <w:t>We are subject to numerous risks related to the Incyte Collaboration Agreement to collaborate on the development and commercialization of axatilimab.</w:t>
      </w:r>
    </w:p>
    <w:p>
      <w:pPr>
        <w:spacing w:after="0" w:line="54" w:lineRule="exact"/>
        <w:rPr>
          <w:sz w:val="20"/>
          <w:szCs w:val="20"/>
          <w:color w:val="auto"/>
        </w:rPr>
      </w:pPr>
    </w:p>
    <w:p>
      <w:pPr>
        <w:ind w:right="340" w:firstLine="578"/>
        <w:spacing w:after="0" w:line="258" w:lineRule="auto"/>
        <w:rPr>
          <w:sz w:val="20"/>
          <w:szCs w:val="20"/>
          <w:color w:val="auto"/>
        </w:rPr>
      </w:pPr>
      <w:r>
        <w:rPr>
          <w:rFonts w:ascii="Times New Roman" w:cs="Times New Roman" w:eastAsia="Times New Roman" w:hAnsi="Times New Roman"/>
          <w:sz w:val="18"/>
          <w:szCs w:val="18"/>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75" w:lineRule="exact"/>
        <w:rPr>
          <w:sz w:val="20"/>
          <w:szCs w:val="20"/>
          <w:color w:val="auto"/>
        </w:rPr>
      </w:pPr>
    </w:p>
    <w:p>
      <w:pPr>
        <w:ind w:left="1040" w:right="1060" w:hanging="377"/>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53" w:lineRule="exact"/>
        <w:rPr>
          <w:rFonts w:ascii="Times New Roman" w:cs="Times New Roman" w:eastAsia="Times New Roman" w:hAnsi="Times New Roman"/>
          <w:sz w:val="18"/>
          <w:szCs w:val="18"/>
          <w:color w:val="auto"/>
        </w:rPr>
      </w:pPr>
    </w:p>
    <w:p>
      <w:pPr>
        <w:ind w:left="1040" w:hanging="377"/>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change the focus of its development and commercialization efforts or prioritize other programs more highly and, accordingly,</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reduce the efforts and resources allocated to axatilimab</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ind w:left="1040" w:right="40" w:hanging="377"/>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within its commercially reasonable discretion, choose not to develop and commercialize axatilimab in all relevant markets or for one or more indications, if at all; and</w:t>
      </w:r>
    </w:p>
    <w:p>
      <w:pPr>
        <w:spacing w:after="0" w:line="53" w:lineRule="exact"/>
        <w:rPr>
          <w:rFonts w:ascii="Times New Roman" w:cs="Times New Roman" w:eastAsia="Times New Roman" w:hAnsi="Times New Roman"/>
          <w:sz w:val="18"/>
          <w:szCs w:val="18"/>
          <w:color w:val="auto"/>
        </w:rPr>
      </w:pPr>
    </w:p>
    <w:p>
      <w:pPr>
        <w:ind w:left="1040" w:right="380" w:hanging="377"/>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cannot ensure that the potential strategic benefits and opportunities expected from this collaboration with be realized on our anticipated timeline or at all.</w:t>
      </w:r>
    </w:p>
    <w:p>
      <w:pPr>
        <w:spacing w:after="0" w:line="158" w:lineRule="exact"/>
        <w:rPr>
          <w:sz w:val="20"/>
          <w:szCs w:val="20"/>
          <w:color w:val="auto"/>
        </w:rPr>
      </w:pPr>
    </w:p>
    <w:p>
      <w:pPr>
        <w:jc w:val="center"/>
        <w:ind w:right="8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or our collaborators are unable to enroll patients in clinical trials, these clinical trials may not be completed on a timely basis or at all. </w:t>
      </w: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geopolitical tensions, such as the ongoing wars involving Russia and Israel;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our product candidates versus other compounds in clinical development or commercially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especially in the case of an orphan indication,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right="10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sales and distribution of our product candidates,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1" w:name="page32"/>
    <w:bookmarkEnd w:id="31"/>
    <w:p>
      <w:pPr>
        <w:ind w:left="1020" w:right="10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requirements or unanticipated problems with Niktimvo may result in various adverse actions, such as the suspension or withdrawal of Niktimvo, closure of a facility or enforcement of substantial penalties or fines.</w:t>
      </w:r>
    </w:p>
    <w:p>
      <w:pPr>
        <w:spacing w:after="0" w:line="5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Regulatory agencies will subject any marketed product(s), as well as the manufacturing facilities, to continual review and periodic inspection. If previously unknown problems with a product or with regulatory requirements are discovered, such as adverse events of unanticipated severity or frequency, serious or unexpected side effects or other safety risks,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7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the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the facility, enforcement of substantial fines, injunctions, or the imposition of civil or criminal penalties.</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Other than the recent approval for marketing of entinostat tablets by the National Medical Products Administration, we have not obtained regulatory approval for any of our product candidates and it is possible that we will never obtain regulatory approval for any additional product candidates or any future product candidates.</w:t>
      </w:r>
    </w:p>
    <w:p>
      <w:pPr>
        <w:spacing w:after="0" w:line="84"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from the FDA or foreign regulatory authorities for other reasons, including but not limited to:</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candidates are effective for their proposed indication and have an acceptable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clinical and other benefits of a product candidate outweigh any of its safety risks;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size, conduct or implementation of our or our collaborators’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our product candidates to support the submission and filing of an NDA,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Niktimvo and our future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100" w:firstLine="578"/>
        <w:spacing w:after="0" w:line="261" w:lineRule="auto"/>
        <w:rPr>
          <w:sz w:val="20"/>
          <w:szCs w:val="20"/>
          <w:color w:val="auto"/>
        </w:rPr>
      </w:pPr>
      <w:r>
        <w:rPr>
          <w:rFonts w:ascii="Times New Roman" w:cs="Times New Roman" w:eastAsia="Times New Roman" w:hAnsi="Times New Roman"/>
          <w:sz w:val="18"/>
          <w:szCs w:val="18"/>
          <w:color w:val="auto"/>
        </w:rPr>
        <w:t>Niktimvo and our future product candidates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 and in post-marketing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w:t>
      </w:r>
    </w:p>
    <w:p>
      <w:pPr>
        <w:spacing w:after="0" w:line="117" w:lineRule="exact"/>
        <w:rPr>
          <w:sz w:val="20"/>
          <w:szCs w:val="20"/>
          <w:color w:val="auto"/>
        </w:rPr>
      </w:pPr>
    </w:p>
    <w:p>
      <w:pPr>
        <w:ind w:right="180" w:firstLine="578"/>
        <w:spacing w:after="0" w:line="282" w:lineRule="auto"/>
        <w:rPr>
          <w:sz w:val="20"/>
          <w:szCs w:val="20"/>
          <w:color w:val="auto"/>
        </w:rPr>
      </w:pPr>
      <w:r>
        <w:rPr>
          <w:rFonts w:ascii="Times New Roman" w:cs="Times New Roman" w:eastAsia="Times New Roman" w:hAnsi="Times New Roman"/>
          <w:sz w:val="18"/>
          <w:szCs w:val="18"/>
          <w:color w:val="auto"/>
        </w:rPr>
        <w:t>If Niktimvo or future approved product candidates do not achieve an adequate level of acceptance by physicians, hospitals, healthcare payors and patients, we may not generate sufficient revenue to become or remain profitable.</w:t>
      </w:r>
    </w:p>
    <w:p>
      <w:pPr>
        <w:spacing w:after="0" w:line="15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as well as Incyte to manufacture and distribute our clinical drug supplies for our product candidates, we intend to rely on third parties for commercial manufacturing and distribution of our product candidates and we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expect to rely on third parties for manufacturing and distribution of preclinical, clinical and commercial supplies of any future product candidates.</w:t>
      </w:r>
    </w:p>
    <w:p>
      <w:pPr>
        <w:spacing w:after="0" w:line="121"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75"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and our product candidates may face future development and regulatory difficulties.</w:t>
      </w:r>
    </w:p>
    <w:p>
      <w:pPr>
        <w:spacing w:after="0" w:line="121"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Our product and product candidates are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79"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117" w:lineRule="exact"/>
        <w:rPr>
          <w:sz w:val="20"/>
          <w:szCs w:val="20"/>
          <w:color w:val="auto"/>
        </w:rPr>
      </w:pPr>
    </w:p>
    <w:p>
      <w:pPr>
        <w:ind w:right="40" w:firstLine="57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our product candidates.</w:t>
      </w:r>
    </w:p>
    <w:p>
      <w:pPr>
        <w:spacing w:after="0" w:line="54" w:lineRule="exact"/>
        <w:rPr>
          <w:sz w:val="20"/>
          <w:szCs w:val="20"/>
          <w:color w:val="auto"/>
        </w:rPr>
      </w:pPr>
    </w:p>
    <w:p>
      <w:pPr>
        <w:jc w:val="both"/>
        <w:ind w:right="540" w:firstLine="578"/>
        <w:spacing w:after="0" w:line="257"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4" w:name="page35"/>
    <w:bookmarkEnd w:id="34"/>
    <w:p>
      <w:pPr>
        <w:ind w:right="80"/>
        <w:spacing w:after="0" w:line="256" w:lineRule="auto"/>
        <w:rPr>
          <w:sz w:val="20"/>
          <w:szCs w:val="20"/>
          <w:color w:val="auto"/>
        </w:rPr>
      </w:pPr>
      <w:r>
        <w:rPr>
          <w:rFonts w:ascii="Times New Roman" w:cs="Times New Roman" w:eastAsia="Times New Roman" w:hAnsi="Times New Roman"/>
          <w:sz w:val="18"/>
          <w:szCs w:val="18"/>
          <w:color w:val="auto"/>
        </w:rPr>
        <w:t>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79"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and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and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79" w:lineRule="exact"/>
        <w:rPr>
          <w:sz w:val="20"/>
          <w:szCs w:val="20"/>
          <w:color w:val="auto"/>
        </w:rPr>
      </w:pPr>
    </w:p>
    <w:p>
      <w:pPr>
        <w:ind w:right="60" w:firstLine="578"/>
        <w:spacing w:after="0" w:line="282" w:lineRule="auto"/>
        <w:rPr>
          <w:sz w:val="20"/>
          <w:szCs w:val="20"/>
          <w:color w:val="auto"/>
        </w:rPr>
      </w:pPr>
      <w:r>
        <w:rPr>
          <w:rFonts w:ascii="Times New Roman" w:cs="Times New Roman" w:eastAsia="Times New Roman" w:hAnsi="Times New Roman"/>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 labels;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the product;</w:t>
      </w:r>
    </w:p>
    <w:p>
      <w:pPr>
        <w:spacing w:after="0" w:line="53"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5" w:name="page36"/>
    <w:bookmarkEnd w:id="35"/>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240" w:firstLine="578"/>
        <w:spacing w:after="0" w:line="239" w:lineRule="auto"/>
        <w:rPr>
          <w:sz w:val="20"/>
          <w:szCs w:val="20"/>
          <w:color w:val="auto"/>
        </w:rPr>
      </w:pPr>
      <w:r>
        <w:rPr>
          <w:rFonts w:ascii="Times New Roman" w:cs="Times New Roman" w:eastAsia="Times New Roman" w:hAnsi="Times New Roman"/>
          <w:sz w:val="18"/>
          <w:szCs w:val="18"/>
          <w:color w:val="auto"/>
        </w:rPr>
        <w:t>Niktimvo and any product candidates that receives approval in the future would face significant competition from other therapies in the relevant indication. For example, cGVHD has historically been managed by off-label treatments. However, in the past several years, the FDA has approved three drugs, ibrutinib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color w:val="auto"/>
        </w:rPr>
        <w:t>), belomosidil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ruxolitinib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use in patients with cGVHD after failure of one or more lines of systemic therapy. All three of these drugs may compete with Niktimvo in patients diagnosed with cGVHD.</w:t>
      </w:r>
    </w:p>
    <w:p>
      <w:pPr>
        <w:spacing w:after="0" w:line="92"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72" w:lineRule="exact"/>
        <w:rPr>
          <w:sz w:val="20"/>
          <w:szCs w:val="20"/>
          <w:color w:val="auto"/>
        </w:rPr>
      </w:pPr>
    </w:p>
    <w:p>
      <w:pPr>
        <w:ind w:right="200" w:firstLine="578"/>
        <w:spacing w:after="0" w:line="255" w:lineRule="auto"/>
        <w:rPr>
          <w:sz w:val="20"/>
          <w:szCs w:val="20"/>
          <w:color w:val="auto"/>
        </w:rPr>
      </w:pPr>
      <w:r>
        <w:rPr>
          <w:rFonts w:ascii="Times New Roman" w:cs="Times New Roman" w:eastAsia="Times New Roman" w:hAnsi="Times New Roman"/>
          <w:sz w:val="18"/>
          <w:szCs w:val="18"/>
          <w:color w:val="auto"/>
        </w:rPr>
        <w:t>Existing or potential competitors have or may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Niktimvo and our other product candidates by physicians and patients;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Niktimvo and our other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Niktimvo and our product candidates,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Niktimvo and our product candidates, if they receive regulatory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preferential formulary status for our product candidates.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6" w:name="page37"/>
    <w:bookmarkEnd w:id="36"/>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our other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spacing w:after="0" w:line="6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UCB Biopharma Sprl, or UCB, to comply with the terms of our license agreement for axatilimab.</w:t>
      </w:r>
    </w:p>
    <w:p>
      <w:pPr>
        <w:spacing w:after="0" w:line="121" w:lineRule="exact"/>
        <w:rPr>
          <w:sz w:val="20"/>
          <w:szCs w:val="20"/>
          <w:color w:val="auto"/>
        </w:rPr>
      </w:pPr>
    </w:p>
    <w:p>
      <w:pPr>
        <w:ind w:right="18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applicable to all of our employees, officers, directors, agents and representatives, including consultants,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121" w:lineRule="exact"/>
        <w:rPr>
          <w:sz w:val="20"/>
          <w:szCs w:val="20"/>
          <w:color w:val="auto"/>
        </w:rPr>
      </w:pPr>
    </w:p>
    <w:p>
      <w:pPr>
        <w:ind w:right="760" w:firstLine="578"/>
        <w:spacing w:after="0" w:line="261" w:lineRule="auto"/>
        <w:rPr>
          <w:sz w:val="20"/>
          <w:szCs w:val="20"/>
          <w:color w:val="auto"/>
        </w:rPr>
      </w:pPr>
      <w:r>
        <w:rPr>
          <w:rFonts w:ascii="Times New Roman" w:cs="Times New Roman" w:eastAsia="Times New Roman" w:hAnsi="Times New Roman"/>
          <w:sz w:val="18"/>
          <w:szCs w:val="18"/>
          <w:color w:val="auto"/>
        </w:rPr>
        <w:t>We must recruit, retain, manage and motivate qualified clinical, scientific, technical, commercial and management personnel and we face significant competition for experienced personnel. If we do not succeed in attracting and retaining qualified personnel,</w:t>
      </w: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ind w:right="40"/>
        <w:spacing w:after="0" w:line="261" w:lineRule="auto"/>
        <w:rPr>
          <w:sz w:val="20"/>
          <w:szCs w:val="20"/>
          <w:color w:val="auto"/>
        </w:rPr>
      </w:pPr>
      <w:r>
        <w:rPr>
          <w:rFonts w:ascii="Times New Roman" w:cs="Times New Roman" w:eastAsia="Times New Roman" w:hAnsi="Times New Roman"/>
          <w:sz w:val="18"/>
          <w:szCs w:val="18"/>
          <w:color w:val="auto"/>
        </w:rPr>
        <w:t>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72"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Niktimvo or any future products could limit our ability to market those products and decrease our ability to generate revenue.</w:t>
      </w:r>
    </w:p>
    <w:p>
      <w:pPr>
        <w:spacing w:after="0" w:line="51" w:lineRule="exact"/>
        <w:rPr>
          <w:sz w:val="20"/>
          <w:szCs w:val="20"/>
          <w:color w:val="auto"/>
        </w:rPr>
      </w:pPr>
    </w:p>
    <w:p>
      <w:pPr>
        <w:ind w:right="220" w:firstLine="578"/>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Niktimvo, and other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afford expensive treatments such as ours. Sales of Niktimvo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along with Incyte, may not be able to successfully commercialize Niktimvo. Even if coverage is provided, the approved reimbursement amount may not be high enough to allow us to establish or maintain pricing sufficient to sustain our overall enterprise.</w:t>
      </w:r>
    </w:p>
    <w:p>
      <w:pPr>
        <w:spacing w:after="0" w:line="84"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a product such as ours.</w:t>
      </w:r>
    </w:p>
    <w:p>
      <w:pPr>
        <w:spacing w:after="0" w:line="72"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and, as a result, they may not cover or provide adequate payment for Niktimvo. We expect to experience pricing pressures in connection with the sale of Niktimvo due to the trend toward managed healthcare, the increasing influence of health maintenance organizations, additional legislative changes, and statements by elected officials.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 candidates and affect the prices we may obtain.</w:t>
      </w:r>
    </w:p>
    <w:p>
      <w:pPr>
        <w:spacing w:after="0" w:line="121" w:lineRule="exact"/>
        <w:rPr>
          <w:sz w:val="20"/>
          <w:szCs w:val="20"/>
          <w:color w:val="auto"/>
        </w:rPr>
      </w:pPr>
    </w:p>
    <w:p>
      <w:pPr>
        <w:jc w:val="both"/>
        <w:ind w:right="20" w:firstLine="578"/>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68" w:lineRule="exact"/>
        <w:rPr>
          <w:sz w:val="20"/>
          <w:szCs w:val="20"/>
          <w:color w:val="auto"/>
        </w:rPr>
      </w:pPr>
    </w:p>
    <w:p>
      <w:pPr>
        <w:ind w:right="240" w:firstLine="578"/>
        <w:spacing w:after="0" w:line="266" w:lineRule="auto"/>
        <w:rPr>
          <w:sz w:val="20"/>
          <w:szCs w:val="20"/>
          <w:color w:val="auto"/>
        </w:rPr>
      </w:pPr>
      <w:r>
        <w:rPr>
          <w:rFonts w:ascii="Times New Roman" w:cs="Times New Roman" w:eastAsia="Times New Roman" w:hAnsi="Times New Roman"/>
          <w:sz w:val="18"/>
          <w:szCs w:val="18"/>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80" w:firstLine="578"/>
        <w:spacing w:after="0" w:line="252" w:lineRule="auto"/>
        <w:rPr>
          <w:sz w:val="20"/>
          <w:szCs w:val="20"/>
          <w:color w:val="auto"/>
        </w:rPr>
      </w:pPr>
      <w:r>
        <w:rPr>
          <w:rFonts w:ascii="Times New Roman" w:cs="Times New Roman" w:eastAsia="Times New Roman" w:hAnsi="Times New Roman"/>
          <w:sz w:val="18"/>
          <w:szCs w:val="18"/>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or Congressional challenges in the future. It is unclear how any such challenges and the healthcare reform measures of the Biden administration will impact the Affordable Care Act and our business.</w:t>
      </w:r>
    </w:p>
    <w:p>
      <w:pPr>
        <w:spacing w:after="0" w:line="54" w:lineRule="exact"/>
        <w:rPr>
          <w:sz w:val="20"/>
          <w:szCs w:val="20"/>
          <w:color w:val="auto"/>
        </w:rPr>
      </w:pPr>
    </w:p>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2032 unless additional Congressional action is taken.</w:t>
      </w:r>
    </w:p>
    <w:p>
      <w:pPr>
        <w:spacing w:after="0" w:line="68"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The Quality Payment Program consists of two payment tracks that eligible clinicians can participate in: Advanced Alternative Payment Models, APMs, and the Merit-Based Incentive Payment System, MIPS. Under both APMs and MIPS the Advanced Alternative Payment Models and the Merit-Based Incentive Payment System, performance data collected each performance year will affect Medicare payments in later years, including potentially reducing payments.</w:t>
      </w:r>
    </w:p>
    <w:p>
      <w:pPr>
        <w:spacing w:after="0" w:line="79" w:lineRule="exact"/>
        <w:rPr>
          <w:sz w:val="20"/>
          <w:szCs w:val="20"/>
          <w:color w:val="auto"/>
        </w:rPr>
      </w:pPr>
    </w:p>
    <w:p>
      <w:pPr>
        <w:ind w:firstLine="578"/>
        <w:spacing w:after="0" w:line="251"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March-in rights allow a federal agency to grant a compulsory license on a privately owned patent to third parties, if the invention was developed with federal funding and the agency finds that certain statutory criteria apply.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94"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These and other healthcare reform measures may be adopted in the future, particularly in light of the upcoming U.S. Presidential and Congressional election, any of which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building our sales, marketing and distribution infrastructure.</w:t>
      </w:r>
    </w:p>
    <w:p>
      <w:pPr>
        <w:spacing w:after="0" w:line="121" w:lineRule="exact"/>
        <w:rPr>
          <w:sz w:val="20"/>
          <w:szCs w:val="20"/>
          <w:color w:val="auto"/>
        </w:rPr>
      </w:pPr>
    </w:p>
    <w:p>
      <w:pPr>
        <w:ind w:right="260" w:firstLine="578"/>
        <w:spacing w:after="0" w:line="270" w:lineRule="auto"/>
        <w:rPr>
          <w:sz w:val="20"/>
          <w:szCs w:val="20"/>
          <w:color w:val="auto"/>
        </w:rPr>
      </w:pPr>
      <w:r>
        <w:rPr>
          <w:rFonts w:ascii="Times New Roman" w:cs="Times New Roman" w:eastAsia="Times New Roman" w:hAnsi="Times New Roman"/>
          <w:sz w:val="17"/>
          <w:szCs w:val="17"/>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an effective marketing or sales organization;</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revenues generated by any particular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68" w:lineRule="exact"/>
        <w:rPr>
          <w:sz w:val="20"/>
          <w:szCs w:val="20"/>
          <w:color w:val="auto"/>
        </w:rPr>
      </w:pPr>
    </w:p>
    <w:p>
      <w:pPr>
        <w:ind w:right="140" w:firstLine="578"/>
        <w:spacing w:after="0" w:line="261"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21" w:lineRule="exact"/>
        <w:rPr>
          <w:sz w:val="20"/>
          <w:szCs w:val="20"/>
          <w:color w:val="auto"/>
        </w:rPr>
      </w:pPr>
    </w:p>
    <w:p>
      <w:pPr>
        <w:ind w:right="120" w:firstLine="57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40" w:firstLine="578"/>
        <w:spacing w:after="0" w:line="258"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Our current insurance coverage includes commercial sales upon marketing approval for our product candidates. A successful product liability claim or series of claims brought against us, particularly if judgments exceed our insurance coverage, could decrease our cash and adversely affect our business and financial condition.</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2"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w:t>
      </w:r>
    </w:p>
    <w:p>
      <w:pPr>
        <w:spacing w:after="0" w:line="27" w:lineRule="exact"/>
        <w:rPr>
          <w:sz w:val="20"/>
          <w:szCs w:val="20"/>
          <w:color w:val="auto"/>
        </w:rPr>
      </w:pPr>
    </w:p>
    <w:p>
      <w:pPr>
        <w:ind w:left="1020" w:right="80"/>
        <w:spacing w:after="0" w:line="250" w:lineRule="auto"/>
        <w:rPr>
          <w:sz w:val="20"/>
          <w:szCs w:val="20"/>
          <w:color w:val="auto"/>
        </w:rPr>
      </w:pPr>
      <w:r>
        <w:rPr>
          <w:rFonts w:ascii="Times New Roman" w:cs="Times New Roman" w:eastAsia="Times New Roman" w:hAnsi="Times New Roman"/>
          <w:sz w:val="18"/>
          <w:szCs w:val="18"/>
          <w:color w:val="auto"/>
        </w:rPr>
        <w:t>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0" w:name="page41"/>
    <w:bookmarkEnd w:id="40"/>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has been interpreted to apply to arrangements between pharmaceutical manufacturers on the one hand, and prescribers, purchasers and formulary managers on the other;</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79"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82" w:lineRule="exact"/>
        <w:rPr>
          <w:sz w:val="20"/>
          <w:szCs w:val="20"/>
          <w:color w:val="auto"/>
        </w:rPr>
      </w:pPr>
    </w:p>
    <w:p>
      <w:pPr>
        <w:ind w:right="60" w:firstLine="578"/>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2"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spacing w:after="0" w:line="72" w:lineRule="exact"/>
        <w:rPr>
          <w:sz w:val="20"/>
          <w:szCs w:val="20"/>
          <w:color w:val="auto"/>
        </w:rPr>
      </w:pPr>
    </w:p>
    <w:p>
      <w:pPr>
        <w:ind w:right="260" w:firstLine="578"/>
        <w:spacing w:after="0" w:line="312" w:lineRule="auto"/>
        <w:rPr>
          <w:sz w:val="20"/>
          <w:szCs w:val="20"/>
          <w:color w:val="auto"/>
        </w:rPr>
      </w:pPr>
      <w:r>
        <w:rPr>
          <w:rFonts w:ascii="Times New Roman" w:cs="Times New Roman" w:eastAsia="Times New Roman" w:hAnsi="Times New Roman"/>
          <w:sz w:val="17"/>
          <w:szCs w:val="17"/>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3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spacing w:after="0" w:line="7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and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there are limited exemptions for clinical trial data under the CCPA, the CCPA and other similar laws may impact (possibly significantly) our business activities depending on how it is interpreted, should we become subject to the CCPA in the future.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89" w:lineRule="exact"/>
        <w:rPr>
          <w:sz w:val="20"/>
          <w:szCs w:val="20"/>
          <w:color w:val="auto"/>
        </w:rPr>
      </w:pPr>
    </w:p>
    <w:p>
      <w:pPr>
        <w:ind w:right="160" w:firstLine="578"/>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300" w:firstLine="578"/>
        <w:spacing w:after="0" w:line="281" w:lineRule="auto"/>
        <w:rPr>
          <w:sz w:val="20"/>
          <w:szCs w:val="20"/>
          <w:color w:val="auto"/>
        </w:rPr>
      </w:pPr>
      <w:r>
        <w:rPr>
          <w:rFonts w:ascii="Times New Roman" w:cs="Times New Roman" w:eastAsia="Times New Roman" w:hAnsi="Times New Roman"/>
          <w:sz w:val="17"/>
          <w:szCs w:val="17"/>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56"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Our employees and personnel may occasionally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2" w:lineRule="exact"/>
        <w:rPr>
          <w:sz w:val="20"/>
          <w:szCs w:val="20"/>
          <w:color w:val="auto"/>
        </w:rPr>
      </w:pPr>
    </w:p>
    <w:p>
      <w:pPr>
        <w:jc w:val="both"/>
        <w:ind w:right="480" w:firstLine="578"/>
        <w:spacing w:after="0" w:line="257"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ind w:right="20"/>
        <w:spacing w:after="0" w:line="252" w:lineRule="auto"/>
        <w:rPr>
          <w:sz w:val="20"/>
          <w:szCs w:val="20"/>
          <w:color w:val="auto"/>
        </w:rPr>
      </w:pPr>
      <w:r>
        <w:rPr>
          <w:rFonts w:ascii="Times New Roman" w:cs="Times New Roman" w:eastAsia="Times New Roman" w:hAnsi="Times New Roman"/>
          <w:sz w:val="18"/>
          <w:szCs w:val="18"/>
          <w:color w:val="auto"/>
        </w:rPr>
        <w:t>Area, or EEA, and the United Kingdom, or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spacing w:after="0" w:line="89" w:lineRule="exact"/>
        <w:rPr>
          <w:sz w:val="20"/>
          <w:szCs w:val="20"/>
          <w:color w:val="auto"/>
        </w:rPr>
      </w:pPr>
    </w:p>
    <w:p>
      <w:pPr>
        <w:ind w:right="180" w:firstLine="578"/>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regarding data privacy and security and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spacing w:after="0" w:line="67" w:lineRule="exact"/>
        <w:rPr>
          <w:sz w:val="20"/>
          <w:szCs w:val="20"/>
          <w:color w:val="auto"/>
        </w:rPr>
      </w:pPr>
    </w:p>
    <w:p>
      <w:pPr>
        <w:ind w:right="20" w:firstLine="578"/>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data, and, as a result, we and the third parties upon which we rely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data stored on those systems, make such systems vulnerable to unintentional or malicious, internal and external attacks on our technology environment. Furthermore, our ability to monitor the aforementioned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580"/>
        <w:spacing w:after="0" w:line="282" w:lineRule="auto"/>
        <w:rPr>
          <w:sz w:val="20"/>
          <w:szCs w:val="20"/>
          <w:color w:val="auto"/>
        </w:rPr>
      </w:pPr>
      <w:r>
        <w:rPr>
          <w:rFonts w:ascii="Times New Roman" w:cs="Times New Roman" w:eastAsia="Times New Roman" w:hAnsi="Times New Roman"/>
          <w:sz w:val="18"/>
          <w:szCs w:val="18"/>
          <w:color w:val="auto"/>
        </w:rPr>
        <w:t>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54"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In addition, we currently offer a hybrid-work environment, which may make us more vulnerable to cyberattacks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upon which we rely); however, we may not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are increasing in their frequency, levels of persistence, sophistication and intensity, and are also being conducted by sophisticated and organized groups and individuals with a wide range of motives (including, but not limited to, industrial espionage) and expertise, including organized criminal groups, “hacktivists,” nation states and others. Such attacks could include the deployment of harmful malware (including as a result of advanced persistent threat intrusions), ransomware attacks, denial-of-service attacks, credential stuffing and/or harvesting, social engineering (including through deep fakes, which may be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means to affect service reliability and threaten the confidentiality, integrity and availability of our information systems and sensitive data.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ind w:right="80" w:firstLine="578"/>
        <w:spacing w:after="0" w:line="255"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data,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1"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68"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including but not limited to a security incident involving personal information regarding employees or clinical trial patients, we may experience adverse consequences, such as disruptions to our business, harm to our reputation, government enforcement actions (for example, investigations, fines, penalties, audits, and inspections), additional reporting requirements and/or oversight, or we may otherwise be subject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to protect our information technology systems and infrastructure, there can be no assurance that such measures will be effective.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5" w:lineRule="exact"/>
        <w:rPr>
          <w:sz w:val="20"/>
          <w:szCs w:val="20"/>
          <w:color w:val="auto"/>
        </w:rPr>
      </w:pPr>
    </w:p>
    <w:p>
      <w:pPr>
        <w:ind w:right="180" w:firstLine="578"/>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employees’, personnel’s, or vendors’ potential use of generative AI technologies.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AI-based platforms present new risks and challenges to our business.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except 2021, and anticipate that we will continue to incur net losses for the foreseeable future.</w:t>
      </w:r>
    </w:p>
    <w:p>
      <w:pPr>
        <w:spacing w:after="0" w:line="121"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The FDA approved Niktimvo in August 2024, and we, along with our partner Incyte, anticipate launching Niktimvo in the U.S. no later than early first quarter 2025. We have no other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quarter ended September 30, 2024, we reported a net loss attributable to stockholders of $84.1 million. As of September 30, 2024, we had an accumulated deficit of $1.1 billion,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achieve or maintain profitability.</w:t>
      </w:r>
    </w:p>
    <w:p>
      <w:pPr>
        <w:spacing w:after="0" w:line="121" w:lineRule="exact"/>
        <w:rPr>
          <w:sz w:val="20"/>
          <w:szCs w:val="20"/>
          <w:color w:val="auto"/>
        </w:rPr>
      </w:pPr>
    </w:p>
    <w:p>
      <w:pPr>
        <w:jc w:val="both"/>
        <w:ind w:right="100" w:firstLine="578"/>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68" w:lineRule="exact"/>
        <w:rPr>
          <w:sz w:val="20"/>
          <w:szCs w:val="20"/>
          <w:color w:val="auto"/>
        </w:rPr>
      </w:pPr>
    </w:p>
    <w:p>
      <w:pPr>
        <w:jc w:val="center"/>
        <w:ind w:left="5540" w:right="1260" w:hanging="5023"/>
        <w:spacing w:after="0" w:line="282" w:lineRule="auto"/>
        <w:tabs>
          <w:tab w:leader="none" w:pos="10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our product candidates;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5" w:name="page46"/>
    <w:bookmarkEnd w:id="45"/>
    <w:p>
      <w:pPr>
        <w:ind w:left="1020" w:right="3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our product candidates, and if launched independently, successfully establish a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 portfolio of product candidates through the acquisition or in-license of products,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and clinical trials for any additional product candidates that we may pursue in the future;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expand and protect our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sz w:val="20"/>
          <w:szCs w:val="20"/>
          <w:color w:val="auto"/>
        </w:rPr>
      </w:pPr>
    </w:p>
    <w:p>
      <w:pPr>
        <w:ind w:right="160" w:firstLine="578"/>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75" w:lineRule="exact"/>
        <w:rPr>
          <w:sz w:val="20"/>
          <w:szCs w:val="20"/>
          <w:color w:val="auto"/>
        </w:rPr>
      </w:pPr>
    </w:p>
    <w:p>
      <w:pPr>
        <w:ind w:right="100" w:firstLine="584"/>
        <w:spacing w:after="0" w:line="261" w:lineRule="auto"/>
        <w:rPr>
          <w:sz w:val="20"/>
          <w:szCs w:val="20"/>
          <w:color w:val="auto"/>
        </w:rPr>
      </w:pPr>
      <w:r>
        <w:rPr>
          <w:rFonts w:ascii="Times New Roman" w:cs="Times New Roman" w:eastAsia="Times New Roman" w:hAnsi="Times New Roman"/>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79" w:lineRule="exact"/>
        <w:rPr>
          <w:sz w:val="20"/>
          <w:szCs w:val="20"/>
          <w:color w:val="auto"/>
        </w:rPr>
      </w:pPr>
    </w:p>
    <w:p>
      <w:pPr>
        <w:ind w:right="100" w:firstLine="578"/>
        <w:spacing w:after="0" w:line="266" w:lineRule="auto"/>
        <w:rPr>
          <w:sz w:val="20"/>
          <w:szCs w:val="20"/>
          <w:color w:val="auto"/>
        </w:rPr>
      </w:pPr>
      <w:r>
        <w:rPr>
          <w:rFonts w:ascii="Times New Roman" w:cs="Times New Roman" w:eastAsia="Times New Roman" w:hAnsi="Times New Roman"/>
          <w:sz w:val="18"/>
          <w:szCs w:val="18"/>
          <w:color w:val="auto"/>
        </w:rPr>
        <w:t>In any event, we will likely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68"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While the long-term economic impacts associated with public health crises and global geopolitical tensions, like the ongoing wars between Russia and Ukraine and the Hamas-Israel wars as well as the conflicts in the Middle East, including between Israel and Hezbollah,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8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our existing product candidates on terms less favorable than might otherwise be available; or</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right="120" w:firstLine="578"/>
        <w:spacing w:after="0" w:line="282"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coverage and reimbursement by third-party payors, which may require additional trials to address pharmacoeconomic benefit;</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any candidate receives regulatory approval and we determine to commercialize it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acquire and implement additional internal systems and infrastructure, including compliance and financial and reporting systems, as we grow our company;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or the perception that hostilities may be imminent (such as the ongoing wars between Russia and Ukraine and the Hamas-Israel wars as well as the conflicts in the Middle East, including between Israel and Hezbollah), terrorism, natural disasters, including earthquakes, typhoons, floods and fires, or public health crises.</w:t>
      </w:r>
    </w:p>
    <w:p>
      <w:pPr>
        <w:spacing w:after="0" w:line="68"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12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20"/>
        <w:spacing w:after="0" w:line="273" w:lineRule="auto"/>
        <w:rPr>
          <w:sz w:val="20"/>
          <w:szCs w:val="20"/>
          <w:color w:val="auto"/>
        </w:rPr>
      </w:pPr>
      <w:r>
        <w:rPr>
          <w:rFonts w:ascii="Times New Roman" w:cs="Times New Roman" w:eastAsia="Times New Roman" w:hAnsi="Times New Roman"/>
          <w:sz w:val="17"/>
          <w:szCs w:val="17"/>
          <w:color w:val="auto"/>
        </w:rPr>
        <w:t>(by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2023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5"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80"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of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1" w:lineRule="exact"/>
        <w:rPr>
          <w:sz w:val="20"/>
          <w:szCs w:val="20"/>
          <w:color w:val="auto"/>
        </w:rPr>
      </w:pPr>
    </w:p>
    <w:p>
      <w:pPr>
        <w:ind w:right="220" w:firstLine="578"/>
        <w:spacing w:after="0" w:line="266"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500" w:firstLine="578"/>
        <w:spacing w:after="0" w:line="261" w:lineRule="auto"/>
        <w:rPr>
          <w:sz w:val="20"/>
          <w:szCs w:val="20"/>
          <w:color w:val="auto"/>
        </w:rPr>
      </w:pPr>
      <w:r>
        <w:rPr>
          <w:rFonts w:ascii="Times New Roman" w:cs="Times New Roman" w:eastAsia="Times New Roman" w:hAnsi="Times New Roman"/>
          <w:sz w:val="18"/>
          <w:szCs w:val="18"/>
          <w:color w:val="auto"/>
        </w:rPr>
        <w:t>The portfolio that we licensed from UCB includes granted patents and patent applications with pending claims directed to the composition of matter of axatilimab (a humanized, full-length IgG4 (kappa light chain) antibody with high affinity for the CSF-1R) as</w:t>
      </w: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right="60"/>
        <w:spacing w:after="0" w:line="258" w:lineRule="auto"/>
        <w:rPr>
          <w:sz w:val="20"/>
          <w:szCs w:val="20"/>
          <w:color w:val="auto"/>
        </w:rPr>
      </w:pPr>
      <w:r>
        <w:rPr>
          <w:rFonts w:ascii="Times New Roman" w:cs="Times New Roman" w:eastAsia="Times New Roman" w:hAnsi="Times New Roman"/>
          <w:sz w:val="18"/>
          <w:szCs w:val="18"/>
          <w:color w:val="auto"/>
        </w:rPr>
        <w:t>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or later should patent term extension be granted. The actual term of any patents granted based on the pending applications we licensed from UCB can only be determined after such patents are granted.</w:t>
      </w:r>
    </w:p>
    <w:p>
      <w:pPr>
        <w:spacing w:after="0" w:line="75"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portfolio that we licensed from Vitae Pharmaceuticals, or Vitae,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Vitae or even if one or more patents are granted that the claims issued in those patents would cover the desired lead compounds, compositions, and methods of use thereof. Based on the priority date and filing date of the applications in the portfolio that we licensed from Vitae, we expect that a patent, if any, granted based on the currently pending applications would expire in 2037 or later should patent term extension be granted. The actual term of any patents granted based on the pending applications that we licensed from Vitae can only be determined after such patents are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80"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84"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51"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ind w:right="100"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5"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75"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51" w:lineRule="exact"/>
        <w:rPr>
          <w:sz w:val="20"/>
          <w:szCs w:val="20"/>
          <w:color w:val="auto"/>
        </w:rPr>
      </w:pPr>
    </w:p>
    <w:p>
      <w:pPr>
        <w:ind w:right="240" w:firstLine="578"/>
        <w:spacing w:after="0" w:line="274"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Vitae license agreement. In the event that we or any of our affiliates or sublicensees commercializes revumenib,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w:t>
      </w:r>
    </w:p>
    <w:p>
      <w:pPr>
        <w:spacing w:after="0" w:line="65"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Vitae may terminate the license agreement if we seek to revoke or challenge the validity of any patent licensed to us by Vitae under the license agreement or if we procure or assist a third party to take any such action.</w:t>
      </w:r>
    </w:p>
    <w:p>
      <w:pPr>
        <w:spacing w:after="0" w:line="75"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Vitae would expire because no commercial sales of revumenib have occurred and the last-to-expire relevant patent covering revumenib in a given country may change in the future.</w:t>
      </w:r>
    </w:p>
    <w:p>
      <w:pPr>
        <w:spacing w:after="0" w:line="75"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United States Patent and Trademark Office, or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right="60"/>
        <w:spacing w:after="0" w:line="282" w:lineRule="auto"/>
        <w:rPr>
          <w:sz w:val="20"/>
          <w:szCs w:val="20"/>
          <w:color w:val="auto"/>
        </w:rPr>
      </w:pPr>
      <w:r>
        <w:rPr>
          <w:rFonts w:ascii="Times New Roman" w:cs="Times New Roman" w:eastAsia="Times New Roman" w:hAnsi="Times New Roman"/>
          <w:sz w:val="18"/>
          <w:szCs w:val="18"/>
          <w:color w:val="auto"/>
        </w:rPr>
        <w:t>biomarker based patient selection claims, we or our licensor may be unsuccessful in defending the validity of such claims if challenged before a competent court.</w:t>
      </w:r>
    </w:p>
    <w:p>
      <w:pPr>
        <w:spacing w:after="0" w:line="54"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51" w:lineRule="exact"/>
        <w:rPr>
          <w:sz w:val="20"/>
          <w:szCs w:val="20"/>
          <w:color w:val="auto"/>
        </w:rPr>
      </w:pPr>
    </w:p>
    <w:p>
      <w:pPr>
        <w:ind w:right="120" w:firstLine="578"/>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82"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Third-party pre-issuance submission of prior art to the USPTO, or opposition, derivation, reexamination, inter partes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4"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w:t>
      </w: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t>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60" w:firstLine="578"/>
        <w:spacing w:after="0" w:line="256"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79" w:lineRule="exact"/>
        <w:rPr>
          <w:sz w:val="20"/>
          <w:szCs w:val="20"/>
          <w:color w:val="auto"/>
        </w:rPr>
      </w:pPr>
    </w:p>
    <w:p>
      <w:pPr>
        <w:ind w:right="20" w:firstLine="578"/>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jc w:val="both"/>
        <w:ind w:right="160" w:firstLine="578"/>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right="180" w:firstLine="578"/>
        <w:spacing w:after="0" w:line="266"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every patent assignment or employee agreement demonstrating that all inventors have assigned their rights to the inventions or related patents. As a result, we may be subject to claims of ownership by such inventors.</w:t>
      </w:r>
    </w:p>
    <w:p>
      <w:pPr>
        <w:spacing w:after="0" w:line="68"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left="258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ind w:right="140" w:firstLine="57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Quarterly Report on Form 10-Q report, these factors include:</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new or ongoing public health crises and the wars between Russia and Ukraine and Hamas and Israel wars as well as the conflicts in the Middle East, including between Israel and Hezbollah.</w:t>
      </w:r>
    </w:p>
    <w:p>
      <w:pPr>
        <w:spacing w:after="0" w:line="54"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121"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increases in interest rates could have a material adverse effect on our business, results of operations and financial condition.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3" w:name="page54"/>
    <w:bookmarkEnd w:id="53"/>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51"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2023, we sold a total of 12,432,431 shares of our common stock in a public offering. The issuance of these shares of our common stock resulted, and any future issuance pursuant to any future public or private equity financing or future sales under the 2023 ATM Program will result, in dilution to our stockholders.</w:t>
      </w:r>
    </w:p>
    <w:p>
      <w:pPr>
        <w:spacing w:after="0" w:line="75" w:lineRule="exact"/>
        <w:rPr>
          <w:sz w:val="20"/>
          <w:szCs w:val="20"/>
          <w:color w:val="auto"/>
        </w:rPr>
      </w:pPr>
    </w:p>
    <w:p>
      <w:pPr>
        <w:ind w:right="480" w:firstLine="578"/>
        <w:spacing w:after="0" w:line="282"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pre-funded warrants outstanding. To the extent that these have been or may be exercised, stockholders may experience further dilution.</w:t>
      </w:r>
    </w:p>
    <w:p>
      <w:pPr>
        <w:spacing w:after="0" w:line="54" w:lineRule="exact"/>
        <w:rPr>
          <w:sz w:val="20"/>
          <w:szCs w:val="20"/>
          <w:color w:val="auto"/>
        </w:rPr>
      </w:pPr>
    </w:p>
    <w:p>
      <w:pPr>
        <w:ind w:right="120" w:firstLine="578"/>
        <w:spacing w:after="0" w:line="256" w:lineRule="auto"/>
        <w:rPr>
          <w:sz w:val="20"/>
          <w:szCs w:val="20"/>
          <w:color w:val="auto"/>
        </w:rPr>
      </w:pPr>
      <w:r>
        <w:rPr>
          <w:rFonts w:ascii="Times New Roman" w:cs="Times New Roman" w:eastAsia="Times New Roman" w:hAnsi="Times New Roman"/>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79" w:lineRule="exact"/>
        <w:rPr>
          <w:sz w:val="20"/>
          <w:szCs w:val="20"/>
          <w:color w:val="auto"/>
        </w:rPr>
      </w:pPr>
    </w:p>
    <w:p>
      <w:pPr>
        <w:jc w:val="both"/>
        <w:ind w:right="100" w:firstLine="578"/>
        <w:spacing w:after="0" w:line="266" w:lineRule="auto"/>
        <w:rPr>
          <w:sz w:val="20"/>
          <w:szCs w:val="20"/>
          <w:color w:val="auto"/>
        </w:rPr>
      </w:pPr>
      <w:r>
        <w:rPr>
          <w:rFonts w:ascii="Times New Roman" w:cs="Times New Roman" w:eastAsia="Times New Roman" w:hAnsi="Times New Roman"/>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2" w:lineRule="exact"/>
        <w:rPr>
          <w:sz w:val="20"/>
          <w:szCs w:val="20"/>
          <w:color w:val="auto"/>
        </w:rPr>
      </w:pPr>
    </w:p>
    <w:p>
      <w:pPr>
        <w:ind w:right="580" w:firstLine="57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our executive officers, directors, and holders of 5% or more of our capital stock and their respective affiliates beneficially owned approximately 33.5%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We are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4" w:name="page55"/>
    <w:bookmarkEnd w:id="54"/>
    <w:p>
      <w:pPr>
        <w:ind w:right="60"/>
        <w:spacing w:after="0" w:line="282" w:lineRule="auto"/>
        <w:rPr>
          <w:sz w:val="20"/>
          <w:szCs w:val="20"/>
          <w:color w:val="auto"/>
        </w:rPr>
      </w:pPr>
      <w:r>
        <w:rPr>
          <w:rFonts w:ascii="Times New Roman" w:cs="Times New Roman" w:eastAsia="Times New Roman" w:hAnsi="Times New Roman"/>
          <w:sz w:val="18"/>
          <w:szCs w:val="18"/>
          <w:color w:val="auto"/>
        </w:rPr>
        <w:t>of the Sarbanes-Oxley Act also generally requires an attestation from our independent registered public accounting firm on the effectiveness of our internal control over financial reporting.</w:t>
      </w:r>
    </w:p>
    <w:p>
      <w:pPr>
        <w:spacing w:after="0" w:line="54"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3" w:lineRule="exact"/>
        <w:rPr>
          <w:sz w:val="20"/>
          <w:szCs w:val="20"/>
          <w:color w:val="auto"/>
        </w:rPr>
      </w:pPr>
    </w:p>
    <w:p>
      <w:pPr>
        <w:ind w:right="40" w:firstLine="8"/>
        <w:spacing w:after="0" w:line="251"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our directors and officers (as defined in Rule 16a-1(f) under the Exchange Act) adopted or terminated contracts, instructions or written plans for the purchase or sale of our securities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170180</wp:posOffset>
            </wp:positionV>
            <wp:extent cx="93980"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170180</wp:posOffset>
            </wp:positionV>
            <wp:extent cx="93980" cy="196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170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1520" w:type="dxa"/>
            <w:vAlign w:val="bottom"/>
            <w:tcBorders>
              <w:top w:val="single" w:sz="8" w:color="auto"/>
              <w:bottom w:val="single" w:sz="8" w:color="auto"/>
              <w:right w:val="single" w:sz="8" w:color="auto"/>
            </w:tcBorders>
          </w:tcPr>
          <w:p>
            <w:pPr>
              <w:spacing w:after="0"/>
              <w:rPr>
                <w:sz w:val="23"/>
                <w:szCs w:val="23"/>
                <w:color w:val="auto"/>
              </w:rPr>
            </w:pPr>
          </w:p>
        </w:tc>
        <w:tc>
          <w:tcPr>
            <w:tcW w:w="1540" w:type="dxa"/>
            <w:vAlign w:val="bottom"/>
            <w:tcBorders>
              <w:top w:val="single" w:sz="8" w:color="auto"/>
              <w:bottom w:val="single" w:sz="8" w:color="auto"/>
              <w:right w:val="single" w:sz="8" w:color="auto"/>
            </w:tcBorders>
          </w:tcPr>
          <w:p>
            <w:pPr>
              <w:spacing w:after="0"/>
              <w:rPr>
                <w:sz w:val="23"/>
                <w:szCs w:val="23"/>
                <w:color w:val="auto"/>
              </w:rPr>
            </w:pPr>
          </w:p>
        </w:tc>
        <w:tc>
          <w:tcPr>
            <w:tcW w:w="262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180" w:type="dxa"/>
            <w:vAlign w:val="bottom"/>
            <w:tcBorders>
              <w:top w:val="single" w:sz="8" w:color="auto"/>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r>
      <w:tr>
        <w:trPr>
          <w:trHeight w:val="185"/>
        </w:trPr>
        <w:tc>
          <w:tcPr>
            <w:tcW w:w="170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20" w:type="dxa"/>
            <w:vAlign w:val="bottom"/>
            <w:tcBorders>
              <w:right w:val="single" w:sz="8" w:color="auto"/>
            </w:tcBorders>
          </w:tcPr>
          <w:p>
            <w:pPr>
              <w:spacing w:after="0"/>
              <w:rPr>
                <w:sz w:val="16"/>
                <w:szCs w:val="16"/>
                <w:color w:val="auto"/>
              </w:rPr>
            </w:pPr>
          </w:p>
        </w:tc>
        <w:tc>
          <w:tcPr>
            <w:tcW w:w="11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20" w:type="dxa"/>
            <w:vAlign w:val="bottom"/>
            <w:tcBorders>
              <w:right w:val="single" w:sz="8" w:color="auto"/>
            </w:tcBorders>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Adoption/Terminat</w:t>
            </w: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 Rule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20" w:type="dxa"/>
            <w:vAlign w:val="bottom"/>
            <w:tcBorders>
              <w:right w:val="single" w:sz="8" w:color="auto"/>
            </w:tcBorders>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45"/>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ion Date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Rule 10b5-1*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20" w:type="dxa"/>
            <w:vAlign w:val="bottom"/>
            <w:tcBorders>
              <w:right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60" w:type="dxa"/>
            <w:vAlign w:val="bottom"/>
            <w:tcBorders>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1"/>
        </w:trPr>
        <w:tc>
          <w:tcPr>
            <w:tcW w:w="1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Michael A. Metzger</w:t>
            </w: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w:t>
            </w: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41"/>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 Director</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Adoption***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8/2/2024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171,195</w:t>
            </w:r>
          </w:p>
        </w:tc>
        <w:tc>
          <w:tcPr>
            <w:tcW w:w="120" w:type="dxa"/>
            <w:vAlign w:val="bottom"/>
            <w:tcBorders>
              <w:right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9/10/2025</w:t>
            </w:r>
          </w:p>
        </w:tc>
      </w:tr>
    </w:tbl>
    <w:p>
      <w:pPr>
        <w:spacing w:after="0" w:line="90" w:lineRule="exact"/>
        <w:rPr>
          <w:sz w:val="20"/>
          <w:szCs w:val="20"/>
          <w:color w:val="auto"/>
        </w:rPr>
      </w:pPr>
    </w:p>
    <w:p>
      <w:pPr>
        <w:ind w:right="1380" w:firstLine="8"/>
        <w:spacing w:after="0" w:line="261"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instructions, or written plan intended to satisfy the affirmative defense conditions of Rule 10b5-1(c) under the Exchange Act. ** “Non-Rule 10b5-1 trading arrangement” as defined in Item 408(c) of Regulation S-K under the Exchange Act.</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left="-8" w:firstLine="8"/>
        <w:spacing w:after="0" w:line="261" w:lineRule="auto"/>
        <w:tabs>
          <w:tab w:leader="none" w:pos="3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start date of Mr. Metzger’s plan is January 2025, after the Company’s current NDA PDUFA date of December 26, 2024, and the plan solely includes equity grants with expiration dates prior to September 10, 2025.</w:t>
      </w:r>
    </w:p>
    <w:p>
      <w:pPr>
        <w:jc w:val="center"/>
        <w:ind w:right="-11"/>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12"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0" w:type="dxa"/>
            <w:vAlign w:val="bottom"/>
            <w:gridSpan w:val="10"/>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Amended and Restated Certificate of Incorporation of the Company (incorporated herein by reference to Exhibit 3.1 to the Company’s</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Exhibit 3.1 to the Company’s Current Report on Form 8-K (File No. 001-37708), as filed with the SEC on May 18,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Amended and Restated Bylaws of the Company (incorporated herein by reference to Exhibit 3.2 to the Company’s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hanging="1139"/>
        <w:spacing w:after="0"/>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9512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60" w:name="page61"/>
    <w:bookmarkEnd w:id="6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September 30, 2024,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2024</w:t>
            </w:r>
          </w:p>
        </w:tc>
        <w:tc>
          <w:tcPr>
            <w:tcW w:w="29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205"/>
        </w:trPr>
        <w:tc>
          <w:tcPr>
            <w:tcW w:w="4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2024</w:t>
            </w:r>
          </w:p>
        </w:tc>
        <w:tc>
          <w:tcPr>
            <w:tcW w:w="29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205"/>
        </w:trPr>
        <w:tc>
          <w:tcPr>
            <w:tcW w:w="4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249"/>
        </w:trPr>
        <w:tc>
          <w:tcPr>
            <w:tcW w:w="43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4"/>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lvl w:ilvl="1">
      <w:lvlJc w:val="left"/>
      <w:lvlText w:val="o"/>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404"/>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lvl w:ilvl="1">
      <w:lvlJc w:val="left"/>
      <w:lvlText w:val="%2"/>
      <w:numFmt w:val="decimal"/>
      <w:start w:val="104"/>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73" Type="http://schemas.openxmlformats.org/officeDocument/2006/relationships/hyperlink" Target="https://www.sec.gov/Archives/edgar/data/1395937/000119312516496764/d119516dex31.htm" TargetMode="External"/><Relationship Id="rId274" Type="http://schemas.openxmlformats.org/officeDocument/2006/relationships/hyperlink" Target="https://www.sec.gov/Archives/edgar/data/1395937/000095017023022802/sndx-ex3_1.htm" TargetMode="External"/><Relationship Id="rId275"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2024-11-05T15:19:20Z</dcterms:created>
  <dcterms:modified xsi:type="dcterms:W3CDTF">2024-11-05T15:19:20Z</dcterms:modified>
</cp:coreProperties>
</file>