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168910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9" w:lineRule="exact"/>
        <w:rPr>
          <w:rFonts w:ascii="MS PGothic" w:cs="MS PGothic" w:eastAsia="MS PGothic" w:hAnsi="MS PGothic"/>
          <w:sz w:val="18"/>
          <w:szCs w:val="18"/>
          <w:color w:val="auto"/>
        </w:rPr>
      </w:pPr>
    </w:p>
    <w:p>
      <w:pPr>
        <w:ind w:left="39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September 30, 2017</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2"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Syndax Pharmaceuticals,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163830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6" w:lineRule="exact"/>
        <w:rPr>
          <w:sz w:val="24"/>
          <w:szCs w:val="24"/>
          <w:color w:val="auto"/>
        </w:rPr>
      </w:pPr>
    </w:p>
    <w:tbl>
      <w:tblPr>
        <w:tblLayout w:type="fixed"/>
        <w:tblInd w:w="1500" w:type="dxa"/>
        <w:tblCellMar>
          <w:top w:w="0" w:type="dxa"/>
          <w:left w:w="0" w:type="dxa"/>
          <w:bottom w:w="0" w:type="dxa"/>
          <w:right w:w="0" w:type="dxa"/>
        </w:tblCellMar>
      </w:tblPr>
      <w:tr>
        <w:trPr>
          <w:trHeight w:val="194"/>
        </w:trPr>
        <w:tc>
          <w:tcPr>
            <w:tcW w:w="6240" w:type="dxa"/>
            <w:vAlign w:val="bottom"/>
          </w:tcPr>
          <w:p>
            <w:pPr>
              <w:jc w:val="center"/>
              <w:ind w:right="3383"/>
              <w:spacing w:after="0"/>
              <w:rPr>
                <w:sz w:val="20"/>
                <w:szCs w:val="20"/>
                <w:color w:val="auto"/>
              </w:rPr>
            </w:pPr>
            <w:r>
              <w:rPr>
                <w:rFonts w:ascii="Arial" w:cs="Arial" w:eastAsia="Arial" w:hAnsi="Arial"/>
                <w:sz w:val="16"/>
                <w:szCs w:val="16"/>
                <w:b w:val="1"/>
                <w:bCs w:val="1"/>
                <w:color w:val="auto"/>
                <w:w w:val="93"/>
              </w:rPr>
              <w:t>Delaware</w:t>
            </w:r>
          </w:p>
        </w:tc>
        <w:tc>
          <w:tcPr>
            <w:tcW w:w="1480" w:type="dxa"/>
            <w:vAlign w:val="bottom"/>
          </w:tcPr>
          <w:p>
            <w:pPr>
              <w:jc w:val="right"/>
              <w:ind w:right="104"/>
              <w:spacing w:after="0"/>
              <w:rPr>
                <w:sz w:val="20"/>
                <w:szCs w:val="20"/>
                <w:color w:val="auto"/>
              </w:rPr>
            </w:pPr>
            <w:r>
              <w:rPr>
                <w:rFonts w:ascii="Arial" w:cs="Arial" w:eastAsia="Arial" w:hAnsi="Arial"/>
                <w:sz w:val="16"/>
                <w:szCs w:val="16"/>
                <w:b w:val="1"/>
                <w:bCs w:val="1"/>
                <w:color w:val="auto"/>
              </w:rPr>
              <w:t>32-0162505</w:t>
            </w:r>
          </w:p>
        </w:tc>
      </w:tr>
      <w:tr>
        <w:trPr>
          <w:trHeight w:val="149"/>
        </w:trPr>
        <w:tc>
          <w:tcPr>
            <w:tcW w:w="6240" w:type="dxa"/>
            <w:vAlign w:val="bottom"/>
          </w:tcPr>
          <w:p>
            <w:pPr>
              <w:jc w:val="center"/>
              <w:ind w:right="338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8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240" w:type="dxa"/>
            <w:vAlign w:val="bottom"/>
          </w:tcPr>
          <w:p>
            <w:pPr>
              <w:jc w:val="center"/>
              <w:ind w:right="3383"/>
              <w:spacing w:after="0"/>
              <w:rPr>
                <w:sz w:val="20"/>
                <w:szCs w:val="20"/>
                <w:color w:val="auto"/>
              </w:rPr>
            </w:pPr>
            <w:r>
              <w:rPr>
                <w:rFonts w:ascii="Arial" w:cs="Arial" w:eastAsia="Arial" w:hAnsi="Arial"/>
                <w:sz w:val="14"/>
                <w:szCs w:val="14"/>
                <w:b w:val="1"/>
                <w:bCs w:val="1"/>
                <w:color w:val="auto"/>
                <w:w w:val="95"/>
              </w:rPr>
              <w:t>Incorporation or Organization)</w:t>
            </w:r>
          </w:p>
        </w:tc>
        <w:tc>
          <w:tcPr>
            <w:tcW w:w="1480" w:type="dxa"/>
            <w:vAlign w:val="bottom"/>
          </w:tcPr>
          <w:p>
            <w:pPr>
              <w:jc w:val="center"/>
              <w:ind w:left="264"/>
              <w:spacing w:after="0"/>
              <w:rPr>
                <w:sz w:val="20"/>
                <w:szCs w:val="20"/>
                <w:color w:val="auto"/>
              </w:rPr>
            </w:pPr>
            <w:r>
              <w:rPr>
                <w:rFonts w:ascii="Arial" w:cs="Arial" w:eastAsia="Arial" w:hAnsi="Arial"/>
                <w:sz w:val="14"/>
                <w:szCs w:val="14"/>
                <w:b w:val="1"/>
                <w:bCs w:val="1"/>
                <w:color w:val="auto"/>
                <w:w w:val="96"/>
              </w:rPr>
              <w:t>Identification No.)</w:t>
            </w:r>
          </w:p>
        </w:tc>
      </w:tr>
      <w:tr>
        <w:trPr>
          <w:trHeight w:val="403"/>
        </w:trPr>
        <w:tc>
          <w:tcPr>
            <w:tcW w:w="6240" w:type="dxa"/>
            <w:vAlign w:val="bottom"/>
          </w:tcPr>
          <w:p>
            <w:pPr>
              <w:jc w:val="center"/>
              <w:ind w:right="3383"/>
              <w:spacing w:after="0"/>
              <w:rPr>
                <w:sz w:val="20"/>
                <w:szCs w:val="20"/>
                <w:color w:val="auto"/>
              </w:rPr>
            </w:pPr>
            <w:r>
              <w:rPr>
                <w:rFonts w:ascii="Arial" w:cs="Arial" w:eastAsia="Arial" w:hAnsi="Arial"/>
                <w:sz w:val="16"/>
                <w:szCs w:val="16"/>
                <w:b w:val="1"/>
                <w:bCs w:val="1"/>
                <w:color w:val="auto"/>
                <w:w w:val="92"/>
              </w:rPr>
              <w:t>35 Gatehouse Drive, Building D, Floor 3</w:t>
            </w:r>
          </w:p>
        </w:tc>
        <w:tc>
          <w:tcPr>
            <w:tcW w:w="1480" w:type="dxa"/>
            <w:vAlign w:val="bottom"/>
          </w:tcPr>
          <w:p>
            <w:pPr>
              <w:spacing w:after="0"/>
              <w:rPr>
                <w:sz w:val="24"/>
                <w:szCs w:val="24"/>
                <w:color w:val="auto"/>
              </w:rPr>
            </w:pPr>
          </w:p>
        </w:tc>
      </w:tr>
      <w:tr>
        <w:trPr>
          <w:trHeight w:val="207"/>
        </w:trPr>
        <w:tc>
          <w:tcPr>
            <w:tcW w:w="6240" w:type="dxa"/>
            <w:vAlign w:val="bottom"/>
          </w:tcPr>
          <w:p>
            <w:pPr>
              <w:jc w:val="center"/>
              <w:ind w:right="3363"/>
              <w:spacing w:after="0"/>
              <w:rPr>
                <w:sz w:val="20"/>
                <w:szCs w:val="20"/>
                <w:color w:val="auto"/>
              </w:rPr>
            </w:pPr>
            <w:r>
              <w:rPr>
                <w:rFonts w:ascii="Arial" w:cs="Arial" w:eastAsia="Arial" w:hAnsi="Arial"/>
                <w:sz w:val="16"/>
                <w:szCs w:val="16"/>
                <w:b w:val="1"/>
                <w:bCs w:val="1"/>
                <w:color w:val="auto"/>
                <w:w w:val="90"/>
              </w:rPr>
              <w:t>Waltham, Massachusetts</w:t>
            </w:r>
          </w:p>
        </w:tc>
        <w:tc>
          <w:tcPr>
            <w:tcW w:w="1480" w:type="dxa"/>
            <w:vAlign w:val="bottom"/>
          </w:tcPr>
          <w:p>
            <w:pPr>
              <w:jc w:val="right"/>
              <w:ind w:right="284"/>
              <w:spacing w:after="0"/>
              <w:rPr>
                <w:sz w:val="20"/>
                <w:szCs w:val="20"/>
                <w:color w:val="auto"/>
              </w:rPr>
            </w:pPr>
            <w:r>
              <w:rPr>
                <w:rFonts w:ascii="Arial" w:cs="Arial" w:eastAsia="Arial" w:hAnsi="Arial"/>
                <w:sz w:val="16"/>
                <w:szCs w:val="16"/>
                <w:b w:val="1"/>
                <w:bCs w:val="1"/>
                <w:color w:val="auto"/>
              </w:rPr>
              <w:t>02451</w:t>
            </w:r>
          </w:p>
        </w:tc>
      </w:tr>
      <w:tr>
        <w:trPr>
          <w:trHeight w:val="186"/>
        </w:trPr>
        <w:tc>
          <w:tcPr>
            <w:tcW w:w="6240" w:type="dxa"/>
            <w:vAlign w:val="bottom"/>
          </w:tcPr>
          <w:p>
            <w:pPr>
              <w:jc w:val="center"/>
              <w:ind w:right="3383"/>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4"/>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240" w:type="dxa"/>
            <w:vAlign w:val="bottom"/>
          </w:tcPr>
          <w:p>
            <w:pPr>
              <w:jc w:val="right"/>
              <w:ind w:right="1443"/>
              <w:spacing w:after="0"/>
              <w:rPr>
                <w:sz w:val="20"/>
                <w:szCs w:val="20"/>
                <w:color w:val="auto"/>
              </w:rPr>
            </w:pPr>
            <w:r>
              <w:rPr>
                <w:rFonts w:ascii="Arial" w:cs="Arial" w:eastAsia="Arial" w:hAnsi="Arial"/>
                <w:sz w:val="16"/>
                <w:szCs w:val="16"/>
                <w:b w:val="1"/>
                <w:bCs w:val="1"/>
                <w:color w:val="auto"/>
              </w:rPr>
              <w:t>(781) 419-1400</w:t>
            </w:r>
          </w:p>
        </w:tc>
        <w:tc>
          <w:tcPr>
            <w:tcW w:w="1480" w:type="dxa"/>
            <w:vAlign w:val="bottom"/>
          </w:tcPr>
          <w:p>
            <w:pPr>
              <w:spacing w:after="0"/>
              <w:rPr>
                <w:sz w:val="23"/>
                <w:szCs w:val="23"/>
                <w:color w:val="auto"/>
              </w:rPr>
            </w:pPr>
          </w:p>
        </w:tc>
      </w:tr>
      <w:tr>
        <w:trPr>
          <w:trHeight w:val="186"/>
        </w:trPr>
        <w:tc>
          <w:tcPr>
            <w:tcW w:w="6240" w:type="dxa"/>
            <w:vAlign w:val="bottom"/>
          </w:tcPr>
          <w:p>
            <w:pPr>
              <w:jc w:val="center"/>
              <w:ind w:left="2123"/>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4"/>
          <w:szCs w:val="24"/>
          <w:color w:val="auto"/>
        </w:rPr>
      </w:pPr>
    </w:p>
    <w:p>
      <w:pPr>
        <w:ind w:right="480" w:firstLine="34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firstLine="342"/>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8" w:lineRule="exact"/>
        <w:rPr>
          <w:sz w:val="24"/>
          <w:szCs w:val="24"/>
          <w:color w:val="auto"/>
        </w:rPr>
      </w:pPr>
    </w:p>
    <w:p>
      <w:pPr>
        <w:ind w:right="40" w:firstLine="342"/>
        <w:spacing w:after="0" w:line="3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or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30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3820" w:type="dxa"/>
            <w:vAlign w:val="bottom"/>
          </w:tcPr>
          <w:p>
            <w:pPr>
              <w:ind w:left="186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5300" w:type="dxa"/>
            <w:vAlign w:val="bottom"/>
          </w:tcPr>
          <w:p>
            <w:pPr>
              <w:ind w:left="2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820" w:type="dxa"/>
            <w:vAlign w:val="bottom"/>
          </w:tcPr>
          <w:p>
            <w:pPr>
              <w:ind w:left="186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30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382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86" w:lineRule="exact"/>
        <w:rPr>
          <w:sz w:val="24"/>
          <w:szCs w:val="24"/>
          <w:color w:val="auto"/>
        </w:rPr>
      </w:pPr>
    </w:p>
    <w:p>
      <w:pPr>
        <w:ind w:right="420" w:firstLine="34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360"/>
        <w:spacing w:after="0" w:line="184" w:lineRule="exact"/>
        <w:tabs>
          <w:tab w:leader="none" w:pos="7860" w:val="left"/>
          <w:tab w:leader="none" w:pos="84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As of November 6, 2017, there were 24,389,929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1b/2 clinical trials of entinostat in lung cancer, melanoma, microsatellite stable colorectal cancer, ovarian cancer, and triple negative breast cancer;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3 clinical trial of entinostat in advanced HR+, HER2- breast cancer;</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clinical trial of SNDX-6352 and the potential use of SNDX-6352 to treat various cancer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of the commencement, progress and receipt of data from any other clinical trials that we and our collaborators may conduct;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use of entinostat to treat additional tumor types, including head and neck, bladder and renal cells;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Kyowa Hakko Kirin Co., Ltd., UCB Biopharma Sprl, and Vitae Pharmaceuticals, Inc.;</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980" w:type="dxa"/>
            <w:vAlign w:val="bottom"/>
            <w:gridSpan w:val="9"/>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7"/>
            <w:vMerge w:val="continue"/>
          </w:tcPr>
          <w:p>
            <w:pPr>
              <w:spacing w:after="0"/>
              <w:rPr>
                <w:sz w:val="13"/>
                <w:szCs w:val="13"/>
                <w:color w:val="auto"/>
              </w:rPr>
            </w:pPr>
          </w:p>
        </w:tc>
        <w:tc>
          <w:tcPr>
            <w:tcW w:w="7980" w:type="dxa"/>
            <w:vAlign w:val="bottom"/>
            <w:gridSpan w:val="9"/>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Financial Statements:</w:t>
              </w:r>
            </w:hyperlink>
          </w:p>
        </w:tc>
        <w:tc>
          <w:tcPr>
            <w:tcW w:w="7820" w:type="dxa"/>
            <w:vAlign w:val="bottom"/>
            <w:gridSpan w:val="8"/>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2017 and December 31, 2016</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Comprehensive Loss for the three and nine months ended September 30, 2017 and 2016</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922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2017 and 2016</w:t>
              </w:r>
            </w:hyperlink>
          </w:p>
        </w:tc>
        <w:tc>
          <w:tcPr>
            <w:tcW w:w="9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784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3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8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72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840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8280" w:type="dxa"/>
            <w:vAlign w:val="bottom"/>
            <w:gridSpan w:val="10"/>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18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24"/>
                <w:szCs w:val="24"/>
                <w:color w:val="auto"/>
              </w:rPr>
            </w:pPr>
          </w:p>
        </w:tc>
        <w:tc>
          <w:tcPr>
            <w:tcW w:w="884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Unregistered Sales of Equity Securities and Use of Proceeds</w:t>
              </w:r>
            </w:hyperlink>
          </w:p>
        </w:tc>
        <w:tc>
          <w:tcPr>
            <w:tcW w:w="582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0180" w:type="dxa"/>
            <w:vAlign w:val="bottom"/>
            <w:gridSpan w:val="1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85"/>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5"/>
          </w:tcPr>
          <w:p>
            <w:pPr>
              <w:ind w:left="380"/>
              <w:spacing w:after="0"/>
              <w:rPr>
                <w:sz w:val="20"/>
                <w:szCs w:val="20"/>
                <w:color w:val="auto"/>
              </w:rPr>
            </w:pPr>
            <w:r>
              <w:rPr>
                <w:rFonts w:ascii="Arial" w:cs="Arial" w:eastAsia="Arial" w:hAnsi="Arial"/>
                <w:sz w:val="18"/>
                <w:szCs w:val="18"/>
                <w:color w:val="auto"/>
              </w:rPr>
              <w:t>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2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0" w:type="dxa"/>
            <w:vAlign w:val="bottom"/>
          </w:tcPr>
          <w:p>
            <w:pPr>
              <w:jc w:val="center"/>
              <w:ind w:left="1830"/>
              <w:spacing w:after="0"/>
              <w:rPr>
                <w:sz w:val="20"/>
                <w:szCs w:val="20"/>
                <w:color w:val="auto"/>
              </w:rPr>
            </w:pPr>
            <w:r>
              <w:rPr>
                <w:rFonts w:ascii="Arial" w:cs="Arial" w:eastAsia="Arial" w:hAnsi="Arial"/>
                <w:sz w:val="18"/>
                <w:szCs w:val="18"/>
                <w:b w:val="1"/>
                <w:bCs w:val="1"/>
                <w:color w:val="auto"/>
              </w:rPr>
              <w:t>SYNDAX PHARMACEUTICALS, INC.</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0" w:type="dxa"/>
            <w:vAlign w:val="bottom"/>
          </w:tcPr>
          <w:p>
            <w:pPr>
              <w:jc w:val="center"/>
              <w:ind w:left="18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September 30, 2017</w:t>
            </w:r>
          </w:p>
        </w:tc>
        <w:tc>
          <w:tcPr>
            <w:tcW w:w="380" w:type="dxa"/>
            <w:vAlign w:val="bottom"/>
          </w:tcPr>
          <w:p>
            <w:pPr>
              <w:spacing w:after="0"/>
              <w:rPr>
                <w:sz w:val="24"/>
                <w:szCs w:val="2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2016</w:t>
            </w:r>
          </w:p>
        </w:tc>
      </w:tr>
      <w:tr>
        <w:trPr>
          <w:trHeight w:val="196"/>
        </w:trPr>
        <w:tc>
          <w:tcPr>
            <w:tcW w:w="20" w:type="dxa"/>
            <w:vAlign w:val="bottom"/>
          </w:tcPr>
          <w:p>
            <w:pPr>
              <w:spacing w:after="0"/>
              <w:rPr>
                <w:sz w:val="17"/>
                <w:szCs w:val="17"/>
                <w:color w:val="auto"/>
              </w:rPr>
            </w:pPr>
          </w:p>
        </w:tc>
        <w:tc>
          <w:tcPr>
            <w:tcW w:w="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7"/>
                <w:szCs w:val="17"/>
                <w:color w:val="auto"/>
              </w:rPr>
            </w:pPr>
          </w:p>
        </w:tc>
        <w:tc>
          <w:tcPr>
            <w:tcW w:w="6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20,732</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23,844</w:t>
            </w:r>
          </w:p>
        </w:tc>
      </w:tr>
      <w:tr>
        <w:trPr>
          <w:trHeight w:val="216"/>
        </w:trPr>
        <w:tc>
          <w:tcPr>
            <w:tcW w:w="20" w:type="dxa"/>
            <w:vAlign w:val="bottom"/>
          </w:tcPr>
          <w:p>
            <w:pPr>
              <w:spacing w:after="0"/>
              <w:rPr>
                <w:sz w:val="18"/>
                <w:szCs w:val="18"/>
                <w:color w:val="auto"/>
              </w:rPr>
            </w:pPr>
          </w:p>
        </w:tc>
        <w:tc>
          <w:tcPr>
            <w:tcW w:w="8140" w:type="dxa"/>
            <w:vAlign w:val="bottom"/>
            <w:gridSpan w:val="3"/>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99,862</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81,486</w:t>
            </w:r>
          </w:p>
        </w:tc>
      </w:tr>
      <w:tr>
        <w:trPr>
          <w:trHeight w:val="223"/>
        </w:trPr>
        <w:tc>
          <w:tcPr>
            <w:tcW w:w="20" w:type="dxa"/>
            <w:vAlign w:val="bottom"/>
          </w:tcPr>
          <w:p>
            <w:pPr>
              <w:spacing w:after="0"/>
              <w:rPr>
                <w:sz w:val="19"/>
                <w:szCs w:val="19"/>
                <w:color w:val="auto"/>
              </w:rPr>
            </w:pPr>
          </w:p>
        </w:tc>
        <w:tc>
          <w:tcPr>
            <w:tcW w:w="814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123,971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108,510</w:t>
            </w: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Other assets</w:t>
            </w:r>
          </w:p>
        </w:tc>
        <w:tc>
          <w:tcPr>
            <w:tcW w:w="46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w w:val="90"/>
              </w:rPr>
              <w:t>Total assets</w:t>
            </w:r>
          </w:p>
        </w:tc>
        <w:tc>
          <w:tcPr>
            <w:tcW w:w="46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124,493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2,246</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w:t>
            </w:r>
          </w:p>
        </w:tc>
      </w:tr>
      <w:tr>
        <w:trPr>
          <w:trHeight w:val="216"/>
        </w:trPr>
        <w:tc>
          <w:tcPr>
            <w:tcW w:w="20" w:type="dxa"/>
            <w:vAlign w:val="bottom"/>
          </w:tcPr>
          <w:p>
            <w:pPr>
              <w:spacing w:after="0"/>
              <w:rPr>
                <w:sz w:val="18"/>
                <w:szCs w:val="18"/>
                <w:color w:val="auto"/>
              </w:rPr>
            </w:pPr>
          </w:p>
        </w:tc>
        <w:tc>
          <w:tcPr>
            <w:tcW w:w="8140" w:type="dxa"/>
            <w:vAlign w:val="bottom"/>
            <w:gridSpan w:val="3"/>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10,741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6,771</w:t>
            </w: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r>
      <w:tr>
        <w:trPr>
          <w:trHeight w:val="230"/>
        </w:trPr>
        <w:tc>
          <w:tcPr>
            <w:tcW w:w="8160" w:type="dxa"/>
            <w:vAlign w:val="bottom"/>
            <w:gridSpan w:val="4"/>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14,207</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ind w:left="340"/>
              <w:spacing w:after="0"/>
              <w:rPr>
                <w:sz w:val="20"/>
                <w:szCs w:val="20"/>
                <w:color w:val="auto"/>
              </w:rPr>
            </w:pPr>
            <w:r>
              <w:rPr>
                <w:rFonts w:ascii="Arial" w:cs="Arial" w:eastAsia="Arial" w:hAnsi="Arial"/>
                <w:sz w:val="18"/>
                <w:szCs w:val="18"/>
                <w:color w:val="auto"/>
              </w:rPr>
              <w:t>Deferred revenue, less current portion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13,305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14,220</w:t>
            </w: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r>
      <w:tr>
        <w:trPr>
          <w:trHeight w:val="230"/>
        </w:trPr>
        <w:tc>
          <w:tcPr>
            <w:tcW w:w="8160" w:type="dxa"/>
            <w:vAlign w:val="bottom"/>
            <w:gridSpan w:val="4"/>
          </w:tcPr>
          <w:p>
            <w:pPr>
              <w:spacing w:after="0"/>
              <w:rPr>
                <w:sz w:val="20"/>
                <w:szCs w:val="20"/>
                <w:color w:val="auto"/>
              </w:rPr>
            </w:pPr>
            <w:r>
              <w:rPr>
                <w:rFonts w:ascii="Arial" w:cs="Arial" w:eastAsia="Arial" w:hAnsi="Arial"/>
                <w:sz w:val="18"/>
                <w:szCs w:val="18"/>
                <w:color w:val="auto"/>
              </w:rPr>
              <w:t>Total long-term liabilities</w:t>
            </w: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27,779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24,874</w:t>
            </w:r>
          </w:p>
        </w:tc>
      </w:tr>
      <w:tr>
        <w:trPr>
          <w:trHeight w:val="223"/>
        </w:trPr>
        <w:tc>
          <w:tcPr>
            <w:tcW w:w="8160" w:type="dxa"/>
            <w:vAlign w:val="bottom"/>
            <w:gridSpan w:val="4"/>
          </w:tcPr>
          <w:p>
            <w:pPr>
              <w:spacing w:after="0"/>
              <w:rPr>
                <w:sz w:val="20"/>
                <w:szCs w:val="20"/>
                <w:color w:val="auto"/>
              </w:rPr>
            </w:pPr>
            <w:r>
              <w:rPr>
                <w:rFonts w:ascii="Arial" w:cs="Arial" w:eastAsia="Arial" w:hAnsi="Arial"/>
                <w:sz w:val="18"/>
                <w:szCs w:val="18"/>
                <w:color w:val="auto"/>
              </w:rPr>
              <w:t>Commitments</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14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Preferred stock, $0.001 par value, 10,000,000 shares authorized; 0 shares outstanding at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40" w:type="dxa"/>
            <w:vAlign w:val="bottom"/>
            <w:gridSpan w:val="3"/>
          </w:tcPr>
          <w:p>
            <w:pPr>
              <w:ind w:left="520"/>
              <w:spacing w:after="0"/>
              <w:rPr>
                <w:sz w:val="20"/>
                <w:szCs w:val="20"/>
                <w:color w:val="auto"/>
              </w:rPr>
            </w:pPr>
            <w:r>
              <w:rPr>
                <w:rFonts w:ascii="Arial" w:cs="Arial" w:eastAsia="Arial" w:hAnsi="Arial"/>
                <w:sz w:val="18"/>
                <w:szCs w:val="18"/>
                <w:color w:val="auto"/>
              </w:rPr>
              <w:t>September 30, 2017 and December 31, 2016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14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$0.0001 par value, 100,000,000 shares authorized; 22,313,001 and 18,215,181</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shares outstanding at September 30, 2017 and December 31, 2016, respectively</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814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443,692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389,374</w:t>
            </w: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23"/>
        </w:trPr>
        <w:tc>
          <w:tcPr>
            <w:tcW w:w="20" w:type="dxa"/>
            <w:vAlign w:val="bottom"/>
          </w:tcPr>
          <w:p>
            <w:pPr>
              <w:spacing w:after="0"/>
              <w:rPr>
                <w:sz w:val="19"/>
                <w:szCs w:val="19"/>
                <w:color w:val="auto"/>
              </w:rPr>
            </w:pPr>
          </w:p>
        </w:tc>
        <w:tc>
          <w:tcPr>
            <w:tcW w:w="814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(347,008)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(305,293)</w:t>
            </w: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96,714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84,139</w:t>
            </w:r>
          </w:p>
        </w:tc>
        <w:tc>
          <w:tcPr>
            <w:tcW w:w="100" w:type="dxa"/>
            <w:vAlign w:val="bottom"/>
            <w:shd w:val="clear" w:color="auto" w:fill="CCEEFF"/>
          </w:tcPr>
          <w:p>
            <w:pPr>
              <w:spacing w:after="0"/>
              <w:rPr>
                <w:sz w:val="18"/>
                <w:szCs w:val="18"/>
                <w:color w:val="auto"/>
              </w:rPr>
            </w:pPr>
          </w:p>
        </w:tc>
      </w:tr>
      <w:tr>
        <w:trPr>
          <w:trHeight w:val="223"/>
        </w:trPr>
        <w:tc>
          <w:tcPr>
            <w:tcW w:w="8160" w:type="dxa"/>
            <w:vAlign w:val="bottom"/>
            <w:gridSpan w:val="4"/>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124,493</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6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Three Months Ended September 30,</w:t>
            </w:r>
          </w:p>
        </w:tc>
        <w:tc>
          <w:tcPr>
            <w:tcW w:w="24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305</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12,188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12,274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11,777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33,540</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(15,238)</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(14,969)</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Unrealized (losses) gains on 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(15,096)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(33,585)</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(14,969)</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7"/>
              </w:rPr>
              <w:t>Weighted-average number of common shares used to compute net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attributable to common stockholders—basic and diluted</w:t>
            </w: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22,239,996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17,899,481</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20,004,409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13,419,919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24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90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(41,699)</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(33,657)</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Depreciation, amortization and accretion</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w:t>
            </w: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Change in fair value of warrants and derivative</w:t>
            </w: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902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r>
      <w:tr>
        <w:trPr>
          <w:trHeight w:val="216"/>
        </w:trPr>
        <w:tc>
          <w:tcPr>
            <w:tcW w:w="9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w:t>
            </w:r>
          </w:p>
        </w:tc>
      </w:tr>
      <w:tr>
        <w:trPr>
          <w:trHeight w:val="223"/>
        </w:trPr>
        <w:tc>
          <w:tcPr>
            <w:tcW w:w="9020" w:type="dxa"/>
            <w:vAlign w:val="bottom"/>
          </w:tcPr>
          <w:p>
            <w:pPr>
              <w:ind w:left="108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(34,649)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(24,741)</w:t>
            </w: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Changes in restricted cash</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short-term investments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(131,752)</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Proceeds from sales and maturities of short-term investments</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94,432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92,402</w:t>
            </w:r>
          </w:p>
        </w:tc>
      </w:tr>
      <w:tr>
        <w:trPr>
          <w:trHeight w:val="27"/>
        </w:trPr>
        <w:tc>
          <w:tcPr>
            <w:tcW w:w="9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(18,571)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(39,711)</w:t>
            </w: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in initial public stock offering, net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52,177</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in follow on public stock offering, net</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48,674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in at-the-market stock offering, net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Proceeds from stock option exercises</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Employee Stock Purchase Plan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9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54,026</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23,844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23,179</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CASH AND CASH EQUIVALENTS—end of period</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12,753</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Interest paid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dividends on convertible preferred stock</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Issuance costs included in accounts payable and accrued expenses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Reclassification of common stock warrant liability to additional paid-in capital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4,551</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preferred stock to common stock upon closing of initial public offering</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328,941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Syndax Pharmaceuticals, Inc. (the “Company”) is a clinical stage biopharmaceutical company developing an innovative pipeline of combination therapies in multiple cancer indications. The Company’s lead product candidate, entinostat, is currently being evaluated in a Phase 3 clinical trial for advanced hormone receptor positive, human epidermal growth factor receptor 2 negative breast cancer. The U.S. Food and Drug Administration granted Breakthrough Therapy designation to entinostat when given in combination with exemestane following positive results from the Company’s ENCORE 301 Phase 2b clinical trial. Given its potential ability to block the function of immune suppressive cells in the tumor microenvironment, the Company is evaluating entinostat as a combination therapeutic in Phase 1b/2 clinical trials with Merck &amp; Co., Inc. for non-small cell lung cancer, melanoma and microsatellite stable colorectal cancer; with Genentech, Inc. for triple negative breast cancer; and with Merck KGaA, Darmstadt, Germany, and Pfizer Inc. for ovarian cancer. The Company’s second product candidate, SNDX-6352, is a monoclonal antibody that targets the colony stimulating factor-1 receptor to enhance the body’s immune response against tumors that have shown sensitivity to immunotherapy. The Company is evaluating SNDX-6352 in a multiple ascending dose Phase 1 clinical trial in cancer patients. The Company plans to continue to leverage the technical and business expertise of our management team and scientific collaborators to license, acquire and develop additional cancer therapies to expand our pipeline.</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October 13, 2017, the Company entered into a license agreement with Vitae Pharmaceuticals, Inc., a subsidiary of Allergan plc (“Allergan”), under which Allergan granted to the Company a worldwide, sublicenseable, exclusive license to a portfolio of preclinical, orally-available, small molecule inhibitors of the interaction of Menin with the Mixed Lineage Leukemia (“MLL”) protein (the “Menin Assets”). Concurrent with the development of entinostat and SNDX-6352, the Company is also developing the Menin Assets to potentially treat MLL-r driven malignancies. The Company believes that the Menin Assets have the potential to be used to treat a genetically-defined subset of acute leukemias with chromosomal rearrangements in the MLL gene (“MLL-r”). The Company expects to begin preclinical studies of the Menin Assets during the fourth quarter of 2017.</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 October 17, 2017, the Company entered into a purchase agreement with Biotech Value Fund, L.P. (“BVF”) and certain entities affiliated with BVF (the “Purchase Agreement”). Pursuant to the Purchase Agreement, the Company issued directly to BVF in a registered direct offering (the “Offering”), 2,021,018 shares of the Company’s common stock at a price of $12.37 per share, representing the closing price of the Company’s shares on the Nasdaq Global Select Market on Friday, October 13, 2017. The net proceeds from the Offering, after deducting estimated expenses, are expected to be approximately $24.8 million.</w:t>
      </w:r>
    </w:p>
    <w:p>
      <w:pPr>
        <w:spacing w:after="0" w:line="18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March 2016, the Company completed its initial public offering (“IPO”) whereby it sold 4,809,475 shares of common stock at the initial public offering price of $12.00 per share, which included 409,475 shares issued pursuant to the underwriters’ partial exercise of their over-allotment option to purchase additional shares of common stock. The aggregate net proceeds received by the Company from the offering were $50.5 million, net of underwriting discounts and commissions of $4.0 million and offering expenses of $3.1 million. Upon the closing of the IPO, all outstanding shares of the Company’s outstanding convertible preferred stock converted into 12,872,551 shares of common stock; and the Company’s outstanding warrant liability to purchase 357,840 shares of the Company’s common stock valued at $4.6 million was reclassified to additional paid-in capital. In connection with the closing of the Company’s IPO, the Company filed an amended and restated certificate of incorporation and adopted amended and restated bylaws, both of which were approved by the Company’s board of directors and stockholders on September 28, 2015 and February 24, 2016, respectively. Pursuant to the amended and restated certificate of incorporation, the Company is now authorized to issue 100,000,000 shares of common stock and 10,000,000 shares of preferred stock.</w:t>
      </w:r>
    </w:p>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May 2017, the Company completed a follow-on public offering whereby the Company sold 3,950,190 shares of common stock at a price of $13.25 per share, which included 200,190 shares issued pursuant to the underwriters’ partial exercise of their option to purchase additional shares of common stock. The aggregate net proceeds received by the Company from the offering were approximately $48.7 million, net of underwriting discounts and commissions and estimated offering expenses payable by the Company.</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April 2017, the Company entered into a sales agreement with Cowen and Company, LLC (“Cowen”) under which the Company may issue and sell shares of our common stock having aggregate sales proceeds of up to $50.0 million from time to time through Cowen, acting as agent, in a series of one or more at-the-market (“ATM”) equity offerings. Cowen is not required to sell any specific amount, but acts as our sales agent using commercially reasonable efforts consistent with its normal trading and sales practices. Shares sold pursuant to the sales agreement will be sold pursuant to a shelf registration statement, which became effective on April 20, 2017. Our common stock will be sold at prevailing market prices at the time of the sale; and as a result, prices may vary.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We will pay Cowen up to 3% of the gross proceeds from any common stock sold through the sales agreement. During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2017, the Company sold 92,511 shares of Common Stock pursuant to the ATM program, at an average price of $12.49 per share for gross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 million, resulting in net proceeds of $1.1 million after deducting sales commissions and offering expenses. As of September 30, 2017, $48.8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remained available for sale under the ATM program.</w:t>
      </w:r>
    </w:p>
    <w:p>
      <w:pPr>
        <w:spacing w:after="0" w:line="21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may be two or more years before any of our product candidates are approved, if ever, and the Company begins to generate revenue from sales of any of our product candidates. Accordingly, management expects to incur substantial losses on the ongoing development of our product candidates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6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Company’s management believes that the cash, cash equivalents and short-term investments balances as of September 30, 2017 should enable the Company to maintain its planned operations for at least the next 12 months.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September 30, 2017, and the results of operations and comprehensive loss for the three and nine months ended September 30, 2017 and 2016, and cash flows for the nine months ended September 30, 2017 and 2016. The results for the three and nine months ended September 30, 2017 are not necessarily indicative of the results to be expected for the year ending December 31, 2017, any other interim periods, or any future year or period. These interim financial statements should be read in conjunction with the audited financial statements as of and for the year ended December 31, 2016, and the notes thereto, which are included in the Company’s Annual Report on Form 10-K that was filed with the Securities and Exchange Commission (“SEC”) on March 14, 2017.</w:t>
      </w:r>
    </w:p>
    <w:p>
      <w:pPr>
        <w:spacing w:after="0" w:line="178"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251" w:lineRule="exact"/>
        <w:rPr>
          <w:sz w:val="20"/>
          <w:szCs w:val="20"/>
          <w:color w:val="auto"/>
        </w:rPr>
      </w:pPr>
    </w:p>
    <w:p>
      <w:pPr>
        <w:ind w:left="460" w:right="7860" w:hanging="452"/>
        <w:spacing w:after="0" w:line="400" w:lineRule="auto"/>
        <w:tabs>
          <w:tab w:leader="none" w:pos="18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spacing w:after="0" w:line="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2016 and the notes thereto, which are included in the Company’s Annual Report on Form 10-K that was filed with the SEC on March 14, 2017, have had no material changes during the nine months ended September 30, 2017.</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Other assets consist of deferred issuance costs, long-term security deposits and noncurrent restricted cash. Deferred issuance costs consist primarily of direct incremental legal and accounting fees relating to the IPO and other public offerings, which are deferred until completion of the offering, at which time they are reclassified to additional paid-in capital as a reduction of the offering proceeds. In the event that the offering is terminated, all costs deferred will be expensed immediately. As of September 30, 2017, and 2016, the Company had no capitalized deferred issuance costs.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instances where the Company has entered into cost-sharing arrangements, all research and development costs reimbursed by the collaborators are accounted for as reductions to research and development expense. For the nine months ended September 30, 2017, the Company incurred $1.6 million in external costs related to cost-sharing collaborations, of which $0.8 million has been recorded as a reduction to research and development expense. No external costs related to cost-sharing collaborations were incurred for the nine months ended September 30, 2016.</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and Adopted Accounting Pronouncements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In May 2017, the Financial Accounting Standards Board (“FASB”) issued Accounting Standards Update (“ASU”) 2017-09,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(Topic 718): Scope of Modification Accounting </w:t>
      </w:r>
      <w:r>
        <w:rPr>
          <w:rFonts w:ascii="Arial" w:cs="Arial" w:eastAsia="Arial" w:hAnsi="Arial"/>
          <w:sz w:val="17"/>
          <w:szCs w:val="17"/>
          <w:color w:val="auto"/>
        </w:rPr>
        <w:t>(“ASU 2017-09”). ASU 2017-09 provides guidance about which changes to the terms or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a share-based payment award require an entity to apply modification accounting in Topic 718. An entity should account for the effects of a modification unless all of the following are met: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ASU 2017-09 will be effective for the Company on January 1, 2018. The Company does not expect the adoption of this standard to have a material impact on its consolidated financial statements.</w:t>
      </w:r>
    </w:p>
    <w:p>
      <w:pPr>
        <w:spacing w:after="0" w:line="18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ASU 2016-18 requires that restricted cash and restricted cash equivalents be included with cash and cash equivalents when reconciling the beginning-of-period and end-of-period total amounts shown on the statement of cash flows. The statement of cash flows must also explain the change during the period in the total of cash, cash equivalents, and restricted cash or restricted cash equivalents. ASU 2016-18 will be effective for the Company on January 1, 2018. The Company does not expect the adoption of this standard to have a material impact on its consolidated financial statements.</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ASU 2016-09 simplifies several aspects related to the accounting for share-based payment transactions,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forfeitures, statutory tax withholding requirements and classification on the statement of cash flows. The Company adopted ASU 2016-09 on January 1, 2017, and it did not have a material impact on its condensed consolidated balance sheet, condensed consolidated statement of comprehensive loss and condensed statement of cash flows. As part of the adoption of this guidance, the Company adopted a policy to account for forfeitures as they occur.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ASU 2016-02, lessees will be required to recognize, for all leases of 12 months or more, a liability to make lease payments and a right-of-use asset representing the right to use the underlying asset for the lease term. Additionally, the guidance requires improved disclosures to help users of financial statements better understand the nature of an entity’s leasing activities. This ASU is effective for public reporting companies for interim and annual periods beginning after December 15, 2018, with early adoption permitted, and must be adopted using a modified retrospective approach. The standard will be effective for the Company on January 1, 2019. The Company is in the process of evaluating the effect of the new guidance on the Company’s consolidated financial statements and related disclosures.</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ASU 2014-09 supersedes the revenue recognition requirements of FASB Accounting Standards Codification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most industry-specific guidance throughout the Accounting Standards Codification, resulting in the creation of FASB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ASU 2014-09 requires entities to recognize revenue in a way that depicts the transfer of promised goods or services to customers in an amount that reflects the consideration to which the entity expects to be entitled to in exchange for those goods or services. Adoption will be permitted using either a retrospective or modified retrospective approach. In July 2015, FASB voted to delay the effective date of the standard by one year to the first quarter of 2018 to provide companies sufficient time to implement the standard. Early adoption will be permitted. The Company plans to adopt ASU 2014-09 on January 1, 2018. We currently have one revenue arrangement. In preparation for adoption of ASC 606, we have formed a project team and engaged a third-party professional services firm to assist us with our preliminary evaluation. We have completed the assessment phase and are working through the final phases of the adoption project. We are continuing to evaluate which transition approach to use and assessing the effect the adoption of ASC 606 will have on our results of operations, financial position and related disclosures. Although substantial work has been completed, our analysis of the impact upon adoption is not finalized as we continue to analyze certain aspects of the arrangement, such as the recently attained development milestone under the KHK agreement discussed in Note 5 to these condensed consolidated financial statements. Therefore, at this time it is too early to make a final determination of the transition method and the effect of adoption given the many facets of this adoption that need to be considered. In addition, during 2017 the Company is underway with identifying and implementing appropriate changes to controls to support recognition and disclosure under the new standard. We expect to finalize our assessment in the fourth quarter of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 Attributable to Common Stockholders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4"/>
              </w:rPr>
              <w:t>Three Months Ended September 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00" w:type="dxa"/>
            <w:vAlign w:val="bottom"/>
            <w:gridSpan w:val="8"/>
          </w:tcPr>
          <w:p>
            <w:pPr>
              <w:jc w:val="right"/>
              <w:ind w:right="200"/>
              <w:spacing w:after="0" w:line="142" w:lineRule="exact"/>
              <w:rPr>
                <w:sz w:val="20"/>
                <w:szCs w:val="20"/>
                <w:color w:val="auto"/>
              </w:rPr>
            </w:pPr>
            <w:r>
              <w:rPr>
                <w:rFonts w:ascii="Arial" w:cs="Arial" w:eastAsia="Arial" w:hAnsi="Arial"/>
                <w:sz w:val="14"/>
                <w:szCs w:val="14"/>
                <w:b w:val="1"/>
                <w:bCs w:val="1"/>
                <w:color w:val="auto"/>
                <w:w w:val="96"/>
              </w:rPr>
              <w:t>(In thousands, except share and per share data)</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Numerator—basic and diluted: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(15,088)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(14,969)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(41,699)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(33,657)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dividends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w w:val="96"/>
              </w:rPr>
              <w:t>Net loss attributable to common stockholders—basic and</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(15,088)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(14,969)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(41,699)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(36,255)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6"/>
              </w:rPr>
              <w:t>Net loss per share attributable to common stockholders—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Denominator—basic and diluted:</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common shares used to compute net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per share—basic and diluted</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22,239,996</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17,899,481</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20,004,409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13,419,919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274"/>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940" w:type="dxa"/>
            <w:vAlign w:val="bottom"/>
            <w:gridSpan w:val="4"/>
          </w:tcPr>
          <w:p>
            <w:pPr>
              <w:ind w:left="5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7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3,286,936</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2,508,083</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Common stock warrant</w:t>
            </w:r>
          </w:p>
        </w:tc>
        <w:tc>
          <w:tcPr>
            <w:tcW w:w="780" w:type="dxa"/>
            <w:vAlign w:val="bottom"/>
          </w:tcPr>
          <w:p>
            <w:pPr>
              <w:jc w:val="right"/>
              <w:spacing w:after="0"/>
              <w:rPr>
                <w:sz w:val="20"/>
                <w:szCs w:val="20"/>
                <w:color w:val="auto"/>
              </w:rPr>
            </w:pPr>
            <w:r>
              <w:rPr>
                <w:rFonts w:ascii="Arial" w:cs="Arial" w:eastAsia="Arial" w:hAnsi="Arial"/>
                <w:sz w:val="18"/>
                <w:szCs w:val="18"/>
                <w:color w:val="auto"/>
              </w:rPr>
              <w:t>357,840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357,840</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subject to future vesting</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w:t>
            </w:r>
          </w:p>
        </w:tc>
        <w:tc>
          <w:tcPr>
            <w:tcW w:w="60" w:type="dxa"/>
            <w:vAlign w:val="bottom"/>
            <w:shd w:val="clear" w:color="auto" w:fill="CCEEFF"/>
          </w:tcPr>
          <w:p>
            <w:pPr>
              <w:spacing w:after="0"/>
              <w:rPr>
                <w:sz w:val="18"/>
                <w:szCs w:val="18"/>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780" w:type="dxa"/>
            <w:vAlign w:val="bottom"/>
          </w:tcPr>
          <w:p>
            <w:pPr>
              <w:jc w:val="right"/>
              <w:spacing w:after="0"/>
              <w:rPr>
                <w:sz w:val="20"/>
                <w:szCs w:val="20"/>
                <w:color w:val="auto"/>
              </w:rPr>
            </w:pPr>
            <w:r>
              <w:rPr>
                <w:rFonts w:ascii="Arial" w:cs="Arial" w:eastAsia="Arial" w:hAnsi="Arial"/>
                <w:sz w:val="18"/>
                <w:szCs w:val="18"/>
                <w:color w:val="auto"/>
              </w:rPr>
              <w:t>11,321</w:t>
            </w:r>
          </w:p>
        </w:tc>
        <w:tc>
          <w:tcPr>
            <w:tcW w:w="320" w:type="dxa"/>
            <w:vAlign w:val="bottom"/>
          </w:tcPr>
          <w:p>
            <w:pPr>
              <w:spacing w:after="0"/>
              <w:rPr>
                <w:sz w:val="20"/>
                <w:szCs w:val="20"/>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Significant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Vitae Pharmaceuticals, Inc.</w:t>
      </w:r>
    </w:p>
    <w:p>
      <w:pPr>
        <w:spacing w:after="0" w:line="12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In October 2017, the Company entered into a license agreement with Vitae Pharmaceuticals, Inc., a subsidiary of Allergan (the “Allergan License Agreement”), under which Allergan granted the Company an exclusive, sublicenseable, worldwide license to, the Menin Assets. The Company made a nonrefundable upfront payment of $5.0 million to Allergan in the fourth quarter of 2017. Additionally, subject to the achievement of certain milestone events, the Company may be required to pay Allergan up to $99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UCB Biopharma Sprl</w:t>
      </w:r>
    </w:p>
    <w:p>
      <w:pPr>
        <w:spacing w:after="0" w:line="12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In July 2016, the Company entered into a license agreement (the “UCB License Agreement”) with UCB Biopharma Sprl (“UCB”), under which UCB granted to the Company a worldwide, sublicenseable, exclusive license to UCB6352, which the Company refers to as SNDX-6352, an IND-ready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of these findings, in the second quarter of 2016, the upfront payment of $5.0 million has been recorded as research and development expense in the condensed consolidated statement of comprehensive loss.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Kyowa Hakko Kirin Co., Ltd.</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December 19, 2014 (the “Effective Date”), the Company entered into a license agreement (the “KHK License Agreement”) with Kyowa Hakko Kirin Co., Ltd. (“KHK”),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Lastly, to the extent additional intellectual property is developed during the term of the agreement, KHK will receive the right to the intellectual property when and if available. KHK will conduct the development, regulatory approval filings, and commercialization activities of entinostat in Japan and Korea. KHK paid the Company $25.0 million upfront, which included a $7.5 million equity investment of 536,049 shares of Series B-1 convertible preferred stock and a $17.5 million non-refundable cash payment. In addition, to the extent certain development and commercial milestones are achieved, KHK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purchase of the Series B-1 and the up-front payment of the license fee were accounted for separately. The Company allocated the amount of consideration related to Series B-1 equal to the fair value of the Series B-1 shares on the Effective Date based on a share price of $14.39 per share, which resulted in $7.7 million of proceeds allocated to the Series B-1 and the remaining consideration of $17.3 million allocated to the up-front license fee. The fair value of the Series B-1 of $14.39 per share was based on a contemporaneous valuation. The Company received $7.5 million and issued the Series B-1 in January 2015 and received the remaining $17.5 million in February 2015. On the date of issuance, the Company recorded accretion of $5.4 million to record the Series B-1 at its redemption value.</w:t>
      </w:r>
    </w:p>
    <w:p>
      <w:pPr>
        <w:spacing w:after="0" w:line="19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The Company has concluded that this agreement is within the scope of ASC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Pursuant to this guidance, the Company identified the following deliverables: (i) licenses, (ii) clinical supply and manufacturing obligations, (iii) rights to access and use materials and data, and (iv) rights to additional intellectual property. All other potential deliverables included in the arrangement have been deemed either contingent or inconsequential or perfunctory, individually and in the aggregate. Moreover, the Company has evaluated all deliverables included in the KHK License Agreement and determined that there are two units of accounting in connection with its obligations at inception under the KHK License Agreement:</w:t>
      </w:r>
    </w:p>
    <w:p>
      <w:pPr>
        <w:spacing w:after="0" w:line="2" w:lineRule="exact"/>
        <w:rPr>
          <w:sz w:val="20"/>
          <w:szCs w:val="20"/>
          <w:color w:val="auto"/>
        </w:rPr>
      </w:pPr>
    </w:p>
    <w:p>
      <w:pPr>
        <w:ind w:right="60" w:firstLine="8"/>
        <w:spacing w:after="0" w:line="255"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license unit of accounting and (ii) rights to additional intellectual property. The first three deliverables identified above comprise the license unit of accounting. The Company concluded that the stand-alone selling price for the rights to additional intellectual property unit of account is immaterial. As such, the entire $17.3 million allocated to the upfront payment was allocated to the license unit of accounting.</w:t>
      </w:r>
    </w:p>
    <w:p>
      <w:pPr>
        <w:spacing w:after="0" w:line="1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arrangement consideration allocated to the license unit of accounting will be recognized as revenue ratably over the Company’s expected services period (currently expected to be through 2029) commencing on the date of the first delivery of the clinical trial materials. In June 2015, the Company began delivering clinical materials to KHK and commenced recognizing revenue from the upfront consideration of $17.3 million. During the nine months ended September 30, 2017 and 2016, the Company recognized $0.9 million of revenue associated with the KHK License Agreement. As of September 30, 2017, there was $14.5 million of deferred revenue related to the KHK License Agreement, which is classified as current or long-term in the condensed consolidated balance sheets.</w:t>
      </w:r>
    </w:p>
    <w:p>
      <w:pPr>
        <w:spacing w:after="0" w:line="19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October 2016, the Company entered into a clinical trial co-funding agreement with KHK under which the Company will expand its clinical trial agreement with Eastern Cooperative Oncology Group (the “ECOG Agreement”) to include enrollments from sites in Korea.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0" w:firstLine="456"/>
        <w:spacing w:after="0" w:line="286" w:lineRule="auto"/>
        <w:rPr>
          <w:sz w:val="20"/>
          <w:szCs w:val="20"/>
          <w:color w:val="auto"/>
        </w:rPr>
      </w:pPr>
      <w:r>
        <w:rPr>
          <w:rFonts w:ascii="Arial" w:cs="Arial" w:eastAsia="Arial" w:hAnsi="Arial"/>
          <w:sz w:val="17"/>
          <w:szCs w:val="17"/>
          <w:color w:val="auto"/>
        </w:rPr>
        <w:t>In October 2017, the Company announced that its partner KHK enrolled the first Japanese patient into a local pivotal study of entinostat for the treatment of hormone receptor positive, human epidermal growth factor receptor 2 negative breast cancer. In accordance with the terms of the license agreement, KHK is obligated to pay the Company a $5 million milestone payment within 30 days of enrollment of the first patient.</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Eastern Cooperative Oncology Group</w:t>
      </w:r>
    </w:p>
    <w:p>
      <w:pPr>
        <w:spacing w:after="0" w:line="121"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will provide a fixed level of financial support for the clinical trial through an upfront payment of $695,000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During the second quarter of 2016, the ECOG Agreement was amended to provide additional study activities and the contractual obligation increased by $0.8 million. During the first quarter of 2017, the ECOG Agreement was amended to expand the study to include enrollments from sites in Korea and to provide additional study activities and the contractual obligation increased by $2.0 million. As of September 30, 2017, the Company’s aggregate payment obligations under this agreement were approximately $23.4 million; and its remaining payment obligations are approximately $12.3 million over an estimated period of approximately four years.</w:t>
      </w:r>
    </w:p>
    <w:p>
      <w:pPr>
        <w:spacing w:after="0" w:line="173"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78"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is exercised or the closing of the IPO. The warrant contains anti-dilution protection to maintain Bayer’s potential ownership at 1.75% of the shares of common stock outstanding on a fully diluted basis, which requires that the actual number of shares of common stock issuable pursuant to the warrant be increased or decreased for any changes in the fully diluted shares of common stock outstanding. The warrant is exercisable at an exercise price of $1.54 per share and expires upon the earlier of the</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10-year anniversary of the closing of the IPO or the 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using current assumptions just prior to the reclassification.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20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that are accessible at the market date for identical unrestricted assets or liabilities.</w:t>
      </w:r>
    </w:p>
    <w:p>
      <w:pPr>
        <w:spacing w:after="0" w:line="117" w:lineRule="exact"/>
        <w:rPr>
          <w:sz w:val="20"/>
          <w:szCs w:val="20"/>
          <w:color w:val="auto"/>
        </w:rPr>
      </w:pPr>
    </w:p>
    <w:p>
      <w:pPr>
        <w:ind w:left="1520" w:right="580" w:hanging="1052"/>
        <w:spacing w:after="0" w:line="264" w:lineRule="auto"/>
        <w:tabs>
          <w:tab w:leader="none" w:pos="15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ind w:left="1520" w:right="880" w:hanging="1052"/>
        <w:spacing w:after="0" w:line="277" w:lineRule="auto"/>
        <w:tabs>
          <w:tab w:leader="none" w:pos="15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2"/>
              </w:rPr>
              <w:t>Fair Value Measurements Using</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Quoted</w:t>
            </w:r>
          </w:p>
        </w:tc>
        <w:tc>
          <w:tcPr>
            <w:tcW w:w="12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Prices</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 Active</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6"/>
              </w:rPr>
              <w:t>Value</w:t>
            </w: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5"/>
          </w:tcPr>
          <w:p>
            <w:pPr>
              <w:jc w:val="right"/>
              <w:ind w:right="90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September 30, 2017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Assets:</w:t>
            </w: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20,732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2"/>
              </w:rPr>
              <w:t>$20,732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99,862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99,862</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120,594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20,732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99,862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23,844</w:t>
            </w:r>
          </w:p>
        </w:tc>
        <w:tc>
          <w:tcPr>
            <w:tcW w:w="500" w:type="dxa"/>
            <w:vAlign w:val="bottom"/>
          </w:tcPr>
          <w:p>
            <w:pPr>
              <w:spacing w:after="0"/>
              <w:rPr>
                <w:sz w:val="18"/>
                <w:szCs w:val="18"/>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$17,089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6,755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81,486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81,486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3"/>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105,330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17,089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88,241</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Cash equivalents of $20.7 million as of September 30, 2017 and $17.1 million as of December 31, 2016 consisted of overnight investments and money market funds and are classified within Level 1 of the fair value hierarchy because they are valued using quoted market prices in active markets. Cash equivalents of $6.8 million as of December 31, 2016 consisted of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 Short-term investments of $99.9 million as of September 30, 2017 and</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$81.5 million as of December 31, 2016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short-term investments are classified as available-for-sale securities. As of September 30, 2017,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nine months ended September 30, 2017 and 2016. As a result, the Company did not reclassify any amounts out of accumulated other comprehensive income for the same periods. The Company has a limited number of available-for-sale securities in insignificant loss positions as of September 30, 2017, which the Company does not intend to sell and has concluded it will not be required to sell before recovery of the amortized cost for the investment at maturity. The following table summarizes the available-for-sale securities: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5"/>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2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September 30, 2017</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gridSpan w:val="3"/>
          </w:tcPr>
          <w:p>
            <w:pPr>
              <w:ind w:left="360"/>
              <w:spacing w:after="0"/>
              <w:rPr>
                <w:sz w:val="20"/>
                <w:szCs w:val="20"/>
                <w:color w:val="auto"/>
              </w:rPr>
            </w:pPr>
            <w:r>
              <w:rPr>
                <w:rFonts w:ascii="Arial" w:cs="Arial" w:eastAsia="Arial" w:hAnsi="Arial"/>
                <w:sz w:val="18"/>
                <w:szCs w:val="18"/>
                <w:color w:val="auto"/>
              </w:rPr>
              <w:t>Commercial paper</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$ 30,555</w:t>
            </w:r>
          </w:p>
        </w:tc>
        <w:tc>
          <w:tcPr>
            <w:tcW w:w="4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45</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$ 30,600</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69,279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69,262</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$ 99,834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45</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w w:val="72"/>
              </w:rPr>
              <w:t>(17)</w:t>
            </w: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$ 99,862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8"/>
              </w:rPr>
              <w:t>December 31, 2016</w:t>
            </w:r>
          </w:p>
        </w:tc>
        <w:tc>
          <w:tcPr>
            <w:tcW w:w="4780" w:type="dxa"/>
            <w:vAlign w:val="bottom"/>
            <w:tcBorders>
              <w:bottom w:val="single" w:sz="8" w:color="CCEEFF"/>
            </w:tcBorders>
            <w:gridSpan w:val="2"/>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360"/>
              <w:spacing w:after="0"/>
              <w:rPr>
                <w:sz w:val="20"/>
                <w:szCs w:val="20"/>
                <w:color w:val="auto"/>
              </w:rPr>
            </w:pPr>
            <w:r>
              <w:rPr>
                <w:rFonts w:ascii="Arial" w:cs="Arial" w:eastAsia="Arial" w:hAnsi="Arial"/>
                <w:sz w:val="18"/>
                <w:szCs w:val="18"/>
                <w:color w:val="auto"/>
              </w:rPr>
              <w:t>Commercial paper</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$ 30,125</w:t>
            </w:r>
          </w:p>
        </w:tc>
        <w:tc>
          <w:tcPr>
            <w:tcW w:w="4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61</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$ 30,186</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51,305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51,300</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$ 81,430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67</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color w:val="auto"/>
                <w:w w:val="70"/>
              </w:rPr>
              <w:t>(11)</w:t>
            </w: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$ 81,486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roll-forward of the recurring fair value measurements of the common stock warrant liability and the derivative liability categorized with Level 3 inputs is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6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1"/>
              </w:rPr>
              <w:t>Common Stock</w:t>
            </w:r>
          </w:p>
        </w:tc>
        <w:tc>
          <w:tcPr>
            <w:tcW w:w="8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Warrant</w:t>
            </w:r>
          </w:p>
        </w:tc>
        <w:tc>
          <w:tcPr>
            <w:tcW w:w="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7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1,703</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(4,551)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Balance — December 31, 2016</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common stock warrant liability was recorded at fair value determined by using the Black-Scholes option-pricing model. This method of valuation involves using inputs such as the fair value of the Company’s common stock, stock price volatility, the contractual term of the warrant, risk-free interest rates, and dividend yields. Due to the nature of these inputs, the valuation of the warrants was considered a Level 3 measurement. Upon the closing of the IPO, the warrant was reclassified to additional paid-in capital. See Note 5 for further discussion of the accounting for the Bayer common stock warrant as well as for a summary of the significant inputs and assumptions used to determine the fair value of the warrant. The derivative liability related to the contingent success fee owed under the term loans. Upon the completion of an IPO or upon the occurrence of certain change of control or liquidation events, the Company was required to pay a $0.2 million success fee. The Company had recorded the success fee as a derivative financial liability. The initial fair value of the derivative of $0.1 million had been recorded as a debt discount. The term loans were paid in full in October 2015; however, the liability for the success fee survived the repayment of the term loans. Upon completion of the IPO this is no longer accounted for as a derivative, and the success fee of $0.2 million that was payable in June 2018 was included in other long-term liabilities. The success fee was paid in full in March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Prepaid Expenses and Other Current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2017</w:t>
            </w:r>
          </w:p>
        </w:tc>
        <w:tc>
          <w:tcPr>
            <w:tcW w:w="2180" w:type="dxa"/>
            <w:vAlign w:val="bottom"/>
            <w:gridSpan w:val="3"/>
          </w:tcPr>
          <w:p>
            <w:pPr>
              <w:ind w:left="960"/>
              <w:spacing w:after="0"/>
              <w:rPr>
                <w:sz w:val="20"/>
                <w:szCs w:val="20"/>
                <w:color w:val="auto"/>
              </w:rPr>
            </w:pPr>
            <w:r>
              <w:rPr>
                <w:rFonts w:ascii="Arial" w:cs="Arial" w:eastAsia="Arial" w:hAnsi="Arial"/>
                <w:sz w:val="14"/>
                <w:szCs w:val="14"/>
                <w:b w:val="1"/>
                <w:bCs w:val="1"/>
                <w:color w:val="auto"/>
                <w:w w:val="95"/>
              </w:rPr>
              <w:t>December 31, 2016</w:t>
            </w:r>
          </w:p>
        </w:tc>
      </w:tr>
      <w:tr>
        <w:trPr>
          <w:trHeight w:val="142"/>
        </w:trPr>
        <w:tc>
          <w:tcPr>
            <w:tcW w:w="3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2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Prepaid insurance</w:t>
            </w: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w:t>
            </w:r>
          </w:p>
        </w:tc>
        <w:tc>
          <w:tcPr>
            <w:tcW w:w="1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 on short-term investments</w:t>
            </w:r>
          </w:p>
        </w:tc>
        <w:tc>
          <w:tcPr>
            <w:tcW w:w="1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r>
      <w:tr>
        <w:trPr>
          <w:trHeight w:val="365"/>
        </w:trPr>
        <w:tc>
          <w:tcPr>
            <w:tcW w:w="3740" w:type="dxa"/>
            <w:vAlign w:val="bottom"/>
          </w:tcPr>
          <w:p>
            <w:pPr>
              <w:spacing w:after="0"/>
              <w:rPr>
                <w:sz w:val="24"/>
                <w:szCs w:val="24"/>
                <w:color w:val="auto"/>
              </w:rPr>
            </w:pPr>
          </w:p>
        </w:tc>
        <w:tc>
          <w:tcPr>
            <w:tcW w:w="1540" w:type="dxa"/>
            <w:vAlign w:val="bottom"/>
          </w:tcPr>
          <w:p>
            <w:pPr>
              <w:jc w:val="right"/>
              <w:ind w:right="776"/>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80" w:type="dxa"/>
            <w:vAlign w:val="bottom"/>
            <w:gridSpan w:val="3"/>
          </w:tcPr>
          <w:p>
            <w:pPr>
              <w:ind w:left="480"/>
              <w:spacing w:after="0"/>
              <w:rPr>
                <w:sz w:val="20"/>
                <w:szCs w:val="20"/>
                <w:color w:val="auto"/>
              </w:rPr>
            </w:pPr>
            <w:r>
              <w:rPr>
                <w:rFonts w:ascii="Arial" w:cs="Arial" w:eastAsia="Arial" w:hAnsi="Arial"/>
                <w:sz w:val="14"/>
                <w:szCs w:val="14"/>
                <w:b w:val="1"/>
                <w:bCs w:val="1"/>
                <w:color w:val="auto"/>
                <w:w w:val="90"/>
              </w:rPr>
              <w:t>September 30, 2017</w:t>
            </w:r>
          </w:p>
        </w:tc>
        <w:tc>
          <w:tcPr>
            <w:tcW w:w="2160" w:type="dxa"/>
            <w:vAlign w:val="bottom"/>
            <w:gridSpan w:val="4"/>
          </w:tcPr>
          <w:p>
            <w:pPr>
              <w:ind w:left="94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Reimbursable costs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Prepaid clinical supplies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9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ind w:left="1380"/>
              <w:spacing w:after="0"/>
              <w:rPr>
                <w:sz w:val="20"/>
                <w:szCs w:val="20"/>
                <w:color w:val="auto"/>
              </w:rPr>
            </w:pPr>
            <w:r>
              <w:rPr>
                <w:rFonts w:ascii="Arial" w:cs="Arial" w:eastAsia="Arial" w:hAnsi="Arial"/>
                <w:sz w:val="18"/>
                <w:szCs w:val="18"/>
                <w:color w:val="auto"/>
              </w:rPr>
              <w:t>Total prepaid expenses and other current assets</w:t>
            </w:r>
          </w:p>
        </w:tc>
        <w:tc>
          <w:tcPr>
            <w:tcW w:w="48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w:t>
            </w:r>
          </w:p>
        </w:tc>
        <w:tc>
          <w:tcPr>
            <w:tcW w:w="94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2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20" w:type="dxa"/>
            <w:vAlign w:val="bottom"/>
            <w:gridSpan w:val="2"/>
          </w:tcPr>
          <w:p>
            <w:pPr>
              <w:ind w:left="460"/>
              <w:spacing w:after="0"/>
              <w:rPr>
                <w:sz w:val="20"/>
                <w:szCs w:val="20"/>
                <w:color w:val="auto"/>
              </w:rPr>
            </w:pPr>
            <w:r>
              <w:rPr>
                <w:rFonts w:ascii="Arial" w:cs="Arial" w:eastAsia="Arial" w:hAnsi="Arial"/>
                <w:sz w:val="18"/>
                <w:szCs w:val="18"/>
                <w:color w:val="auto"/>
                <w:w w:val="99"/>
              </w:rPr>
              <w:t>Accrued expenses and other current liabilities consisted of the following:</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80" w:type="dxa"/>
            <w:vAlign w:val="bottom"/>
            <w:gridSpan w:val="3"/>
          </w:tcPr>
          <w:p>
            <w:pPr>
              <w:ind w:left="480"/>
              <w:spacing w:after="0"/>
              <w:rPr>
                <w:sz w:val="20"/>
                <w:szCs w:val="20"/>
                <w:color w:val="auto"/>
              </w:rPr>
            </w:pPr>
            <w:r>
              <w:rPr>
                <w:rFonts w:ascii="Arial" w:cs="Arial" w:eastAsia="Arial" w:hAnsi="Arial"/>
                <w:sz w:val="14"/>
                <w:szCs w:val="14"/>
                <w:b w:val="1"/>
                <w:bCs w:val="1"/>
                <w:color w:val="auto"/>
                <w:w w:val="90"/>
              </w:rPr>
              <w:t>September 30, 2017</w:t>
            </w:r>
          </w:p>
        </w:tc>
        <w:tc>
          <w:tcPr>
            <w:tcW w:w="2160" w:type="dxa"/>
            <w:vAlign w:val="bottom"/>
            <w:gridSpan w:val="4"/>
          </w:tcPr>
          <w:p>
            <w:pPr>
              <w:ind w:left="94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Accrued compensation and related costs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1,802</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costs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9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January 2017, the number of shares of common stock available for issuance under the 2015 Omnibus Incentive Plan (“2015 Plan”), was increased by 728,948 shares due to the automatic increase provision of the 2015 Plan. As of September 30, 2017, the total number of shares of common stock available for issuance under the 2015 Plan was 1,421,401. The Company recognized stock-based compensation expense related to the issuance of stock option awards to employees and non-employees in the condensed consolidated statements of comprehensive loss as follows: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1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99"/>
              </w:rPr>
              <w:t>Three Months Ended September 30,</w:t>
            </w:r>
          </w:p>
        </w:tc>
        <w:tc>
          <w:tcPr>
            <w:tcW w:w="160" w:type="dxa"/>
            <w:vAlign w:val="bottom"/>
          </w:tcPr>
          <w:p>
            <w:pPr>
              <w:spacing w:after="0"/>
              <w:rPr>
                <w:sz w:val="14"/>
                <w:szCs w:val="14"/>
                <w:color w:val="auto"/>
              </w:rPr>
            </w:pPr>
          </w:p>
        </w:tc>
        <w:tc>
          <w:tcPr>
            <w:tcW w:w="24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0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584</w:t>
            </w:r>
          </w:p>
        </w:tc>
        <w:tc>
          <w:tcPr>
            <w:tcW w:w="1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3,185</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1,346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expense by type of award in the three and nine months ended September 30, 2017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8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4"/>
          </w:tcPr>
          <w:p>
            <w:pPr>
              <w:ind w:left="4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9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1,329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792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4,153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3,761</w:t>
            </w: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2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1,346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792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3,761</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During the nine months ended September 30, 2017, the Company granted 860,490 stock options to certain executives and employees. The grant date fair value of these options was $5.6 million, or $6.54 per share on a weighted-average basis, and will be recognized as compensation expense over the requisite service period of three to four years.</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There were 46,577 options exercised during the nine months ended September 30, 2017, resulting in total proceeds of $0.3 million. The intrinsic value of the options exercised was $0.2 million. In accordance with the Company’s policy, the shares were issued from a pool of shares reserved for issuance under the 2007 and 2015 Plans.</w:t>
      </w:r>
    </w:p>
    <w:p>
      <w:pPr>
        <w:spacing w:after="0" w:line="18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As of September 30, 2017, there was $9.3 million of unrecognized compensation cost related to employee and non-employee unvested stock options and unvested restricted stock share-based compensation arrangements granted under the 2015 and 2007 Plans, which is expected to be recognized over a weighted-average remaining service period of 2.5 years. Stock compensation costs have not been capitalized by the Company.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Upon the closing of the IPO on March 8, 2016, the vesting of certain options granted to two of the Company’s executives immediately vested, in accordance with their employment agreements. The Company recorded $0.7 million of additional stock compensation expense related to this accelerated vesting in March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Stock Purchase Plan</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January 2017, the number of shares of common stock available for issuance under the 2015 Employee Stock Purchase Plan (“ESPP”), was increased by 182,237 shares as a result of the automatic increase provision of the ESPP. As of September 30, 2017, the total number of shares of common stock available for issuance under the ESPP was 432,237. The first offering period commenced on August 1, 2017 and the first purchase will take place on January 31, 2018.</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ESPP is considered a compensatory plan with the related compensation cost expensed over the six-month offering period. As of September 30, 2017, approximately $39,000 of employee payroll deductions which have been withheld since August 1, 2017 and are included in additional paid in capital in the accompanying condensed consolidated balance sheet. The compensation expense related to the ESPP for the three and nine months ended September 30, 2017 was approximately $17,000.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stockholders’ equity for the nine months ended September 30, 2017:</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00" w:type="dxa"/>
            <w:vAlign w:val="bottom"/>
            <w:gridSpan w:val="4"/>
          </w:tcPr>
          <w:p>
            <w:pPr>
              <w:jc w:val="center"/>
              <w:ind w:left="235"/>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180" w:type="dxa"/>
            <w:vAlign w:val="bottom"/>
            <w:gridSpan w:val="2"/>
          </w:tcPr>
          <w:p>
            <w:pPr>
              <w:jc w:val="center"/>
              <w:ind w:left="455"/>
              <w:spacing w:after="0" w:line="149" w:lineRule="exact"/>
              <w:rPr>
                <w:sz w:val="20"/>
                <w:szCs w:val="20"/>
                <w:color w:val="auto"/>
              </w:rPr>
            </w:pPr>
            <w:r>
              <w:rPr>
                <w:rFonts w:ascii="Arial" w:cs="Arial" w:eastAsia="Arial" w:hAnsi="Arial"/>
                <w:sz w:val="14"/>
                <w:szCs w:val="14"/>
                <w:b w:val="1"/>
                <w:bCs w:val="1"/>
                <w:color w:val="auto"/>
                <w:w w:val="94"/>
              </w:rPr>
              <w:t>$0.0001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80" w:type="dxa"/>
            <w:vAlign w:val="bottom"/>
            <w:tcBorders>
              <w:bottom w:val="single" w:sz="8" w:color="auto"/>
            </w:tcBorders>
            <w:gridSpan w:val="2"/>
          </w:tcPr>
          <w:p>
            <w:pPr>
              <w:jc w:val="center"/>
              <w:ind w:left="455"/>
              <w:spacing w:after="0"/>
              <w:rPr>
                <w:sz w:val="20"/>
                <w:szCs w:val="20"/>
                <w:color w:val="auto"/>
              </w:rPr>
            </w:pPr>
            <w:r>
              <w:rPr>
                <w:rFonts w:ascii="Arial" w:cs="Arial" w:eastAsia="Arial" w:hAnsi="Arial"/>
                <w:sz w:val="14"/>
                <w:szCs w:val="14"/>
                <w:b w:val="1"/>
                <w:bCs w:val="1"/>
                <w:color w:val="auto"/>
                <w:w w:val="93"/>
              </w:rPr>
              <w:t>Par Value</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1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360" w:type="dxa"/>
            <w:vAlign w:val="bottom"/>
          </w:tcPr>
          <w:p>
            <w:pPr>
              <w:spacing w:after="0"/>
              <w:rPr>
                <w:sz w:val="12"/>
                <w:szCs w:val="12"/>
                <w:color w:val="auto"/>
              </w:rPr>
            </w:pPr>
          </w:p>
        </w:tc>
        <w:tc>
          <w:tcPr>
            <w:tcW w:w="8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18,215,181</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$389,374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(305,293)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Proceeds from follow on offering, net of offering cost of</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jc w:val="right"/>
              <w:ind w:right="4010"/>
              <w:spacing w:after="0"/>
              <w:rPr>
                <w:sz w:val="20"/>
                <w:szCs w:val="20"/>
                <w:color w:val="auto"/>
              </w:rPr>
            </w:pPr>
            <w:r>
              <w:rPr>
                <w:rFonts w:ascii="Arial" w:cs="Arial" w:eastAsia="Arial" w:hAnsi="Arial"/>
                <w:sz w:val="18"/>
                <w:szCs w:val="18"/>
                <w:color w:val="auto"/>
              </w:rPr>
              <w:t>$3,665</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3,950,190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48,675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46,576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8,543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Proceeds from “At-the-market” offering, net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92,511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short-term investments</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adjustment of adoption ASU 2016-09</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(41,699)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(41,699)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22,313,001</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443,692</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(347,008)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Company’s chief executive officer and member of the board of directors is also a managing director at MPM Asset Management, LLC, which holds an investment in the Company’s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considers events and transactions that occur after the balance sheet date but prior to the issuance of the financial statements to provide additional evidence relative to certain estimates or to identify matters that require additional disclosure. Company has completed an evaluation all subsequent events through the date of this filing of this Quarterly Report on Form 10-Q.</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14,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are a clinical stage biopharmaceutical company developing an innovative pipeline of combination therapies in multiple cancer indications. Our lead product candidate, entinostat, is currently being evaluated in a Phase 3 clinical trial for advanced hormone receptor positive, human epidermal growth factor receptor 2 negative breast cancer. The U.S. Food and Drug Administration, or FDA, granted Breakthrough Therapy designation to entinostat when given in combination with exemestane following positive results from the Company’s ENCORE 301 Phase 2b clinical trial. Given its potential ability to block the function of immune suppressive cells in the tumor microenvironment, we are evaluating entinostat as a combination therapeutic in Phase 1b/2 clinical trials with Merck &amp; Co., Inc., or Merck, for non-small cell lung cancer, or NSCLC, melanoma and microsatellite stable colorectal cancer; with Genentech, Inc., or Genentech, for triple negative breast cancer, or TNBC; and with Merck KGaA, Darmstadt, Germany, or Merck KGaA, and Pfizer Inc., or Pfizer, for ovarian cancer. Our second product candidate, SNDX-6352, is a monoclonal antibody that targets the colony stimulating factor-1 receptor to enhance the body’s immune response against tumors that have shown sensitivity to immunotherapy. We are evaluating SNDX-6352 in a multiple ascending dose Phase 1 clinical trial in cancer patients. We plan to continue to leverage the technical and business expertise of our management team and scientific collaborators to license, acquire and develop additional cancer therapies to expand our pipeline.</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October 13, 2017, the Company entered into a license agreement with Vitae Pharmaceuticals, Inc., a subsidiary of Allergan plc, or Allergan License Agreement, under which Allergan granted to the Company a worldwide, sublicenseable, exclusive license to a portfolio of preclinical, orally-available, small molecule inhibitors of the interaction of Menin with the Mixed Lineage Leukemia, or MLL, protein, or the Menin Assets. Concurrent with the development of entinostat and SNDX-6352, the Company is also developing the Menin Assets to potentially treat MLL-r driven malignancies. The Company believes that the Menin Assets have the potential to be used to treat a genetically-defined subset of acute leukemias with chromosomal rearrangements in the MLL gene, or MLL-r. We expect to begin preclinical studies of the Menin Assets during the fourth quarter of 2017.</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three months ended September 30, 2017, the Company sold an aggregate of 92,511 shares of common stock in a series of one or more at-the-market equity offerings with Cowen and Company, LLC (“Cowen”) acting as the agent (the “ATM Program”), at an average price of $12.49 per share. We received net proceeds of approximately $1.1 million after deducting sales commissions and offering expenses. As of September 30, 2017, $48.8 million of common stock remained available for sale under the ATM Program.</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February 24, 2016, we effected a 1-for-1.25 reverse stock split of our outstanding common stock and convertible preferred stock. Stockholders entitled to fractional shares as a result of the reverse stock splits received a cash payment in lieu of receiving fractional shares. All of our historical share and per share information shown in the accompanying financial statements and related notes have been retroactively adjusted to give effect to the reverse stock splits.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nine months ended September 30, 2017 and 2016, we reported a net loss of $41.7 million and $33.7 million, respectively. As of September 30, 2017, we had an accumulated deficit of $347.0 million, which included non-cash charges for stock-based compensation, preferred stock accretion and extinguishment charges. As of September 30, 2017, we had cash, cash equivalents and short-term investments of $120.6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35" w:lineRule="exact"/>
        <w:rPr>
          <w:sz w:val="20"/>
          <w:szCs w:val="20"/>
          <w:color w:val="auto"/>
        </w:rPr>
      </w:pPr>
    </w:p>
    <w:p>
      <w:pPr>
        <w:ind w:left="900" w:right="200" w:hanging="325"/>
        <w:spacing w:after="0" w:line="276"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Phase 3 registration trial of entinostat plus exemestane in advanced HR+, HER2- breast cancer, E2112, is 83% enrolled as of the end of October. ECOG-ACRIN Cancer Research Group, the trial sponsor, has notified the Company that the Data Safety Monitoring Committee (DSMC) completed the final progression free survival analysis and the first interim analysis for overall survival. The results of this analysis are held confidentially by the ECOG-ACRIN study statistician and the DSMC. No communication regarding this analysis will be released until completion of enrollment, which ECOG-ACRIN expects will occur in the first half of 2018.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ENCORE 601 cohort enrolling NSCLC patients naïve to PD-(L)1 therapy has satisfied the pre-specified efficacy criteria for advancement to the second stage, with ³ 4 responses out of 17.</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Enrollment in the second stage of the ENCORE 601 cohort enrolling patients with PD-(L)1 refractory NSCLC is complete. Data from this cohort is expected to be available in the first half of 2018.</w:t>
      </w:r>
    </w:p>
    <w:p>
      <w:pPr>
        <w:spacing w:after="0" w:line="75"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a meeting with the U.S. Food and Drug Administration (FDA) in June, we are continuing to meet with individual regulatory agencies in Europe to align on a global registration plan for entinostat in combination with a PD-1 inhibitor for patients with PD-(L)1 refractory melanoma. We anticipate being in a position to outline a regulatory strategy for this indication around the time that full Phase 2 data from the melanoma cohort of ENCORE 601 are available in the first half of 2018.</w:t>
      </w:r>
    </w:p>
    <w:p>
      <w:pPr>
        <w:spacing w:after="0" w:line="9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oral presentation highlighting the data from stage one of both the ENCORE 601 NSCLC cohorts, as well as a poster presentation covering the biomarker data from the ENCORE 601 melanoma cohort, will be presented at the November 2017 Society of Immunotherapy of Cancer (SITC) Annual Meeting. We anticipate sharing full Phase 2 trial data from both the PD-(L)1 refractory NSCLC and melanoma cohorts at a medical congress in the first half of 2018.</w:t>
      </w:r>
    </w:p>
    <w:p>
      <w:pPr>
        <w:spacing w:after="0" w:line="92"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Enrollment in the first stage of the cohort enrolling patients with microsatellite stable (MSS)-CRC is complete, and a decision on whether to advance to the second stage is expected in the first half of 2018. At least 2 confirmed objective responses are required to proceed to the second stage.</w:t>
      </w:r>
    </w:p>
    <w:p>
      <w:pPr>
        <w:spacing w:after="0" w:line="86" w:lineRule="exact"/>
        <w:rPr>
          <w:rFonts w:ascii="Arial" w:cs="Arial" w:eastAsia="Arial" w:hAnsi="Arial"/>
          <w:sz w:val="18"/>
          <w:szCs w:val="18"/>
          <w:color w:val="auto"/>
        </w:rPr>
      </w:pPr>
    </w:p>
    <w:p>
      <w:pPr>
        <w:ind w:left="900" w:right="6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Enrollment continues in the ENCORE 602 and ENCORE 603 trials, both of which are aimed at exploring the ability of entinostat to enhance the efficacy of checkpoint (PD-L1) inhibitor therapies. ENCORE 602, the Phase 1b/2 clinical trial evaluating the combination of entinostat plus Genentech’s PD-L1 inhibitor, TECENTRIQ</w:t>
      </w:r>
      <w:r>
        <w:rPr>
          <w:rFonts w:ascii="Arial" w:cs="Arial" w:eastAsia="Arial" w:hAnsi="Arial"/>
          <w:sz w:val="15"/>
          <w:szCs w:val="15"/>
          <w:color w:val="auto"/>
        </w:rPr>
        <w:t>®</w:t>
      </w:r>
      <w:r>
        <w:rPr>
          <w:rFonts w:ascii="Arial" w:cs="Arial" w:eastAsia="Arial" w:hAnsi="Arial"/>
          <w:sz w:val="18"/>
          <w:szCs w:val="18"/>
          <w:color w:val="auto"/>
        </w:rPr>
        <w:t>, in patients with triple negative breast cancer, is now expected to complete enrollment in the Phase 2 portion in the first half of 2018. ENCORE 603, the Phase 1b/2 clinical trial evaluating entinostat in combination with Pfizer/Merck KGaA’s BAVENCIO</w:t>
      </w:r>
      <w:r>
        <w:rPr>
          <w:rFonts w:ascii="Arial" w:cs="Arial" w:eastAsia="Arial" w:hAnsi="Arial"/>
          <w:sz w:val="15"/>
          <w:szCs w:val="15"/>
          <w:color w:val="auto"/>
        </w:rPr>
        <w:t>®</w:t>
      </w:r>
      <w:r>
        <w:rPr>
          <w:rFonts w:ascii="Arial" w:cs="Arial" w:eastAsia="Arial" w:hAnsi="Arial"/>
          <w:sz w:val="18"/>
          <w:szCs w:val="18"/>
          <w:color w:val="auto"/>
        </w:rPr>
        <w:t xml:space="preserve"> in patients with ovarian cancer, continues to enroll patients into the Phase 2 portion and is on track to complete enrollment in the first half of 2018.</w:t>
      </w:r>
    </w:p>
    <w:p>
      <w:pPr>
        <w:spacing w:after="0" w:line="98" w:lineRule="exact"/>
        <w:rPr>
          <w:rFonts w:ascii="Arial" w:cs="Arial" w:eastAsia="Arial" w:hAnsi="Arial"/>
          <w:sz w:val="18"/>
          <w:szCs w:val="18"/>
          <w:color w:val="auto"/>
        </w:rPr>
      </w:pPr>
    </w:p>
    <w:p>
      <w:pPr>
        <w:jc w:val="both"/>
        <w:ind w:left="900" w:right="140" w:hanging="325"/>
        <w:spacing w:after="0" w:line="286"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Dosing of patients with solid tumors in the Phase 1 multiple ascending dose (MAD) clinical trial of SNDX-6352, our anti-CSF-1R monoclonal antibody, has commenced. A poster highlighting the safety, pharmacokinetic and pharmacodynamic data from the single ascending dose (SAD) trial of SNDX-6352 in healthy volunteers will be presented at the November 2017 SITC Annual Meeting.</w:t>
      </w:r>
    </w:p>
    <w:p>
      <w:pPr>
        <w:spacing w:after="0" w:line="70" w:lineRule="exact"/>
        <w:rPr>
          <w:rFonts w:ascii="Arial" w:cs="Arial" w:eastAsia="Arial" w:hAnsi="Arial"/>
          <w:sz w:val="17"/>
          <w:szCs w:val="17"/>
          <w:color w:val="auto"/>
        </w:rPr>
      </w:pPr>
    </w:p>
    <w:p>
      <w:pPr>
        <w:ind w:left="900" w:right="18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entered into an exclusive worldwide license agreement with Vitae Pharmaceuticals, Inc., a subsidiary of Allergan plc, for a portfolio of preclinical, orally-available small molecule inhibitors of the interaction of Menin with the MLL protein. These compounds have potential application in the treatment of a genetically-defined subset of acute leukemias with chromosomal rearrangements in the MLL gene (“MLL-r”). We expect to initiate clinical trials in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date, we have not generated any product revenues. Our ability to generate revenue and become profitable depends upon our ability to obtain marketing approval of and successfully commercialize our product candidates. Our revenues for the three and nine months ended September 30, 2017 and 2016 have been solely derived from our license agreement with Kyowa Hakko Kirin Co., Ltd., or KHK, under which we granted KHK an exclusive license to develop and commercialize entinostat in Japan and Korea, or the KHK license agreement. In 2015, we received a $25.0 million upfront payment from KHK, inclusive of an equity investment. We allocated $17.3 million of the upfront payment to the license fee, and such fee is being recognized as revenue ratably over our expected service period (currently expected to be through 2029) commencing on the date of the first delivery of the clinical trial materials, which occurred in June 2015. The balance of the upfront payment of $7.7 million was allocated to KHK’s purchase of shares of our Series B-1 convertible preferred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76" w:lineRule="exact"/>
        <w:rPr>
          <w:sz w:val="20"/>
          <w:szCs w:val="20"/>
          <w:color w:val="auto"/>
        </w:rPr>
      </w:pPr>
    </w:p>
    <w:p>
      <w:pPr>
        <w:ind w:left="900" w:right="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15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September 30, 2017, we have incurred $135.1 million in research and development expenses.</w:t>
      </w:r>
    </w:p>
    <w:p>
      <w:pPr>
        <w:spacing w:after="0" w:line="7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8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15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primarily of interest expense on capital 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change in fair value of the common stock warrant liability was associated with a warrant to purchase common stock issued in connection with a license agreement and consisted of the calculated change in value based upon the fair value of the underlying security at the end of each reporting period as calculated using the Black-Scholes option pricing model. Gains and losses arising from changes in fair value were recognized in other income (expense) in the consolidated statement of operations. As of the closing of our initial public offering, or IPO, the anti-dilution provision of the warrant expired; and the warrant liability was reclassified to additional paid-in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79"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6"/>
          <w:szCs w:val="16"/>
          <w:color w:val="auto"/>
        </w:rPr>
        <w:t>Our critical accounting policies are more fully described in Note 3 of the accompanying unaudited condensed consolidated financial statements and in Note 3 to the audited consolidated financial statements contained in our Annual Report on Form 10-K for the year ended December 31, 2016, filed with the SEC on March 14, 2017. There have been no material changes to our critical accounting policies from those described in Note 3 to the audited consolidated financial statements and in the “Management’s Discussion and Analysis of Financial Condition and Results of Operations” contained in our Annual Report.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2017 and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Three Months Ended September 30,</w:t>
            </w:r>
          </w:p>
        </w:tc>
        <w:tc>
          <w:tcPr>
            <w:tcW w:w="120" w:type="dxa"/>
            <w:vAlign w:val="bottom"/>
          </w:tcPr>
          <w:p>
            <w:pPr>
              <w:spacing w:after="0"/>
              <w:rPr>
                <w:sz w:val="14"/>
                <w:szCs w:val="14"/>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3"/>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23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305</w:t>
            </w: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 —</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12,188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12,274</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3,563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3,269</w:t>
            </w:r>
          </w:p>
        </w:tc>
        <w:tc>
          <w:tcPr>
            <w:tcW w:w="26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294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15,751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15,543</w:t>
            </w: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2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(15,446)</w:t>
            </w:r>
          </w:p>
        </w:tc>
        <w:tc>
          <w:tcPr>
            <w:tcW w:w="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(15,238)</w:t>
            </w:r>
          </w:p>
        </w:tc>
        <w:tc>
          <w:tcPr>
            <w:tcW w:w="2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208</w:t>
            </w:r>
          </w:p>
        </w:tc>
        <w:tc>
          <w:tcPr>
            <w:tcW w:w="42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268</w:t>
            </w: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143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Total other income (expense)</w:t>
            </w:r>
          </w:p>
        </w:tc>
        <w:tc>
          <w:tcPr>
            <w:tcW w:w="2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w:t>
            </w:r>
          </w:p>
        </w:tc>
        <w:tc>
          <w:tcPr>
            <w:tcW w:w="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w:t>
            </w:r>
          </w:p>
        </w:tc>
        <w:tc>
          <w:tcPr>
            <w:tcW w:w="2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420" w:type="dxa"/>
            <w:vAlign w:val="bottom"/>
            <w:vMerge w:val="continue"/>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(14,969)</w:t>
            </w: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119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300" w:type="dxa"/>
            <w:vAlign w:val="bottom"/>
            <w:vMerge w:val="restart"/>
          </w:tcPr>
          <w:p>
            <w:pPr>
              <w:jc w:val="right"/>
              <w:ind w:right="730"/>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the three months ended September 30, 2017 and 2016, we recognized license fees of $0.3 million derived from the KHK license agreement. In 2015, arrangement consideration of $17.3 million related to the KHK license agreement was allocated to the license unit of accounting and is being recognized as revenue ratably over our expected service period (currently expected to be through 2029), commencing on the date of the first delivery of the clinical trial materials, which occurred in June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the three months ended September 30, 2017, our total research and development expenses decreased $0.1 million, or 1%, to $12.2 million from $12.3 million for the comparable quarter in the prior year due to an increase in clinical trial activities of $3.9 million and increased employee compensation expense of $0.9 million, offset by a $5.0 million nonrefundable upfront payment related to the UCB License Agreement in 2016. The increase in clinical trial activities was primarily due to increases in spending related the additional cohorts added to ENCORE 601, increased activities in ENCORE 602 and ENCORE 603, costs related to SNDX-6352, Phase 1 clinical pharmacology trials and CMC activities. The increase in employee compensation costs was primarily due to increased headcount. We expect our research and development expenses for the foreseeable future to increase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9"/>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10,408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256</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12,188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12,274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three months September June 30, 2017, our total general and administrative expenses increased $0.3 million, or 9%, to $3.6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$3.3 million for the comparable period in the prior year. The increase in general and administrative expenses was primarily due to an increase in 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of $0.6 million offset by decreased legal fees of $0.3 million. The increase in employee compensation of $0.6 million was primarily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in non-cash stock-based compensation of $0.4 million, combined with an increase in salary expense of $0.2 million due to increased headcount.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three months ended September 30, 2017, interest income, net, increased $143,000 from the comparable period in the prior year. The increase was primarily due to increased yield on our cash, cash equivalents and short-term investments.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2017 and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5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4"/>
                <w:szCs w:val="14"/>
                <w:color w:val="auto"/>
              </w:rPr>
            </w:pP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915</w:t>
            </w: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23,191</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8,412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11,777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10,349</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1,428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33,540</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9,840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(42,465)</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(32,625)</w:t>
            </w:r>
          </w:p>
        </w:tc>
        <w:tc>
          <w:tcPr>
            <w:tcW w:w="2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9,840</w:t>
            </w:r>
          </w:p>
        </w:tc>
        <w:tc>
          <w:tcPr>
            <w:tcW w:w="380" w:type="dxa"/>
            <w:vAlign w:val="bottom"/>
            <w:vMerge w:val="continue"/>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688</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271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(1,703)</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(1,703)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176</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(1,032)</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(1,798)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2"/>
            <w:vMerge w:val="continue"/>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(41,699</w:t>
            </w:r>
          </w:p>
        </w:tc>
        <w:tc>
          <w:tcPr>
            <w:tcW w:w="42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(33,657</w:t>
            </w:r>
          </w:p>
        </w:tc>
        <w:tc>
          <w:tcPr>
            <w:tcW w:w="2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$ 8,042</w:t>
            </w:r>
          </w:p>
        </w:tc>
        <w:tc>
          <w:tcPr>
            <w:tcW w:w="380" w:type="dxa"/>
            <w:vAlign w:val="bottom"/>
            <w:vMerge w:val="continue"/>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the nine months ended September 30, 2017 and 2016, we recognized license fees of $0.9 million derived from the KHK license agreement. In 2015, arrangement consideration of $17.3 million related to the KHK license agreement was allocated to the license unit of accounting and is being recognized as revenue ratably over our expected service period (currently expected to be through 2029), commencing on the date of the first delivery of the clinical trial materials, which occurred in June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nine months ended September 30, 2017, our total research and development expenses increased $8.4 million, or 36%, to $31.6 million from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$23.1 million for the comparable period in the prior year due to increases in clinical trial activities of $9.0 million, employee compensation expense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 million, legal and consultant expenses of $1.6 million and facility costs of $0.2 million, offset by a $5.0 million nonrefundable upfront payment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UCB License Agreement in 2016. The increase in clinical trial activities was primarily due to increases in spending related the additional cohorts added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ENCORE 601, increased activities in ENCORE 602 and ENCORE 603, costs related to SNDX-6352, Phase 1 clinical pharmacology trials and CMC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activities. The increase in employee compensation costs was primarily due to increased headcount. We expect our research and development expenses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foreseeable future to increase as we continue to advance the development of our product candidates. The amount of research and development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allocated to external spending will continue to grow, while we expect our internal spending to grow at a slower and more controlled pace.</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9"/>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24,846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18,526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6,757</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2,092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31,603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23,191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00" w:type="dxa"/>
            <w:vAlign w:val="bottom"/>
            <w:vMerge w:val="restart"/>
          </w:tcPr>
          <w:p>
            <w:pPr>
              <w:jc w:val="right"/>
              <w:ind w:right="67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nine months ended September 30, 2017, our total general and administrative expenses increased $1.4 million, or 14%, to $11.8 million, from $10.3 million for the comparable period in the prior year. The increase in general and administrative expenses was primarily due to an increase in employee compensation of $0.9 million, increases in legal and consulting expenses of $0.2 million, increased rent and facilities expenses of $0.2 million and costs related D&amp;O insurance and other costs related to being a public company of $0.1 million. The increase in employee compensation of $0.9 million was primarily due to an increase in salary expense of $0.9 million, offset in part by decreases in bonus expense of $0.1 million and increases in non-cash stock-based compensation of $0.1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the nine months ended September 30, 2017, interest income, net, increased $0.3 million from the comparable period in the prior year. The increase was primarily due to increased yield on our cash, cash equivalents and short-term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change in fair value of common stock warrant liability for the nine months ended September 30, 2016 decreased $1.7 million. There is no common stock warrant liability outstanding during the nine months ended September 30, 2017. At each period end until the closing of our IPO, the fair value of the outstanding common stock warrant liability was re-measured; and the change in the fair value was recorded in other expense in the condensed consolidated statement of comprehensive loss. Upon the closing of our IPO, the anti-dilution provision of the warrant expired; and the warrant liability was reclassified to additional paid-in capital. Just prior to the reclassification, the warrant was re-measured using current assumptions on that date, and the change in fair value was recorded in other expense.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As of September 30, 2017, we had cash, cash equivalents and short-term investments totaling $120.6 million. Since our inception, our operations have been primarily financed by net proceeds from our IPO, our follow-on stock offering, sale of convertible preferred stock and convertible debt securities and proceeds from our license agreements. We believe that our existing cash, cash equivalents and short-term investments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October 2017, we entered into a purchase agreement with Biotechnology Value Fund, L.P. (“BVF”) and certain entities affiliated with BVF (the “Purchase Agreement”). Pursuant to the Purchase Agreement, the Company issued directly to BVF in a registered direct offering (the “Offering”), 2,021,018 shares of the Company’s common stock at a price of $12.37 per share, representing the closing price of the Company’s shares on the Nasdaq Global Select Market on Friday, October 13, 2017. The net proceeds from the Offering, after deducting estimated expenses, are expected to be approximately $24.8 million. Upon completion of the Offering, we expect to have cash, cash equivalents and short-term investments totaling approximately $138.6 as of October 20, 2017.</w:t>
      </w:r>
    </w:p>
    <w:p>
      <w:pPr>
        <w:spacing w:after="0" w:line="15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May 2017, we completed our follow-on offering whereby we sold 3,950,190 shares of our common stock at $13.25 per share, resulting in total net proceeds of $48.6 million, after deducting underwriting discounts and commissions and offering expenses.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April 2017, we entered into a sales agreement with Cowen under which we may issue and sell shares of our common stock having aggregate sales proceeds of up to $50.0 million from time to time pursuant to the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 (Registration No. 333-217172), which was declared effective on April 20, 2017. Our common stock will be sold at prevailing market prices at the time of the sale; and as a result, prices may vary. We will pay Cowen up to 3% of the gross proceeds from any common stock sold through the sales agreement. The proceeds from the offerings, if any, will be used for general corporate purposes, including expenditures for research and development of the Company’s drug products. During the three months ended September 30, 2017, the Company sold an aggregate of 92,511 shares of Common Stock pursuant to the ATM program, at an average price of $12.49 per share, for gross proceeds of $1.2 million, resulting in net proceeds of approximately $1.1 million after deducting sales commissions and offering expenses. As of September 30, 2017, $48.8 million of common stock remained available for sale under the ATM program.</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March 2016, we completed our IPO whereby we sold 4,809,475 shares of our common stock at $12.00 per share, resulting in total net proceeds of $50.5 million, after deducting underwriting discounts and commissions and offering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 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9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drug candidates;</w:t>
      </w:r>
    </w:p>
    <w:p>
      <w:pPr>
        <w:spacing w:after="0" w:line="130" w:lineRule="exact"/>
        <w:rPr>
          <w:rFonts w:ascii="Arial" w:cs="Arial" w:eastAsia="Arial" w:hAnsi="Arial"/>
          <w:sz w:val="18"/>
          <w:szCs w:val="18"/>
          <w:color w:val="auto"/>
        </w:rPr>
      </w:pPr>
    </w:p>
    <w:p>
      <w:pPr>
        <w:ind w:left="900" w:right="620" w:hanging="325"/>
        <w:spacing w:after="0" w:line="308"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1" w:lineRule="exact"/>
        <w:rPr>
          <w:rFonts w:ascii="Arial" w:cs="Arial" w:eastAsia="Arial" w:hAnsi="Arial"/>
          <w:sz w:val="17"/>
          <w:szCs w:val="17"/>
          <w:color w:val="auto"/>
        </w:rPr>
      </w:pPr>
    </w:p>
    <w:p>
      <w:pPr>
        <w:jc w:val="both"/>
        <w:ind w:left="900" w:right="56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our drug candidates;</w:t>
      </w:r>
    </w:p>
    <w:p>
      <w:pPr>
        <w:spacing w:after="0" w:line="130" w:lineRule="exact"/>
        <w:rPr>
          <w:rFonts w:ascii="Arial" w:cs="Arial" w:eastAsia="Arial" w:hAnsi="Arial"/>
          <w:sz w:val="18"/>
          <w:szCs w:val="18"/>
          <w:color w:val="auto"/>
        </w:rPr>
      </w:pPr>
    </w:p>
    <w:p>
      <w:pPr>
        <w:ind w:left="900" w:right="8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42"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become a public company.</w:t>
      </w:r>
    </w:p>
    <w:p>
      <w:pPr>
        <w:spacing w:after="0" w:line="2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and as of September 30, 2017, we had an accumulated deficit of $347.0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cash flows: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(34,649)</w:t>
            </w:r>
          </w:p>
        </w:tc>
        <w:tc>
          <w:tcPr>
            <w:tcW w:w="4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(24,741)</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(18,571)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(39,711)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54,026</w:t>
            </w:r>
          </w:p>
        </w:tc>
        <w:tc>
          <w:tcPr>
            <w:tcW w:w="120" w:type="dxa"/>
            <w:vAlign w:val="bottom"/>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cash used in operating activities for the nine months ended September 30, 2017 was $34.6 million and primarily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$41.7 million adjusted for non-cash items including stock-based compensation of $4.2 million and a net increase in operating assets and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 million. The increase in our net loss was primarily due to the increase in our clinical trial activities and increase in headcount. The significant items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operating assets and liabilities included an increase in prepaid expenses and other assets of $0.2 million and a decrease in deferred revenue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$0.9 million offset by an increase in accrued expenses and other liabilities of $4.0 million.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cash used in operating activities for the nine months ended September 30, 2016 was $24.8 million and primarily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$33.7 million adjusted for non-cash items including stock-based compensation of $3.8 million and the change in the fair value of the warrant of $1.7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operating assets and liabilities included an increase in accounts payable of $0.6 million and a decrease in deferred revenue of $0.9 million and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accrued expenses and other current liabilities of $3.9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Net cash used in investing activities for the nine months ended September 30, 2017 was $18.6 million and was primarily due to the $94.4 million of proceeds from the maturities of available-for-sale securities partially offset by the purchase of $113.0 million of available-for-sale marketable securities.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cash used in investing activities for the nine months ended September 30, 2016 was $39.7 million and was primarily due to the purchase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$131.8 million of available-for-sale marketable securities partially offset by $92.4 million of proceeds from the maturities of available-for-sale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purchases of property and equipment of $0.3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Net cash provided by financing activities for the nine months ended September 30, 2017 of $50.1 million was primarily due to proceeds from our follow-on offering, net of underwriting discounts and commissions of $48.7 million, proceeds from sales of shares of common stock under our at-the-market offering, net of discounts and commissions of $1.1 million, and the exercise of stock options of $0.3 million.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2016 of $54.0 million was primarily due to the proceeds from our IPO, net of underwriting discounts and commissions of $52.2 million and $1.9 million from the exercise of stock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that was filed with the SEC on March 14,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September 30, 2017, we had cash equivalents of $20.7 million, consisting of overnight investments and interest-bearing money market funds and short-term investments of $99.9 million, consisting of commercial paper and highly rated corporate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do not believe that inflation and changing prices had a significant impact on our results of operations for any periods presented herein.</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right="300" w:firstLine="456"/>
        <w:spacing w:after="0" w:line="273" w:lineRule="auto"/>
        <w:rPr>
          <w:sz w:val="20"/>
          <w:szCs w:val="20"/>
          <w:color w:val="auto"/>
        </w:rPr>
      </w:pPr>
      <w:r>
        <w:rPr>
          <w:rFonts w:ascii="Arial" w:cs="Arial" w:eastAsia="Arial" w:hAnsi="Arial"/>
          <w:sz w:val="17"/>
          <w:szCs w:val="17"/>
          <w:color w:val="auto"/>
        </w:rPr>
        <w:t>As of September 30, 2017,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2017, our disclosure controls and procedures were effective at the reasonable assurance level.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materially affected, or is reasonably likely to materially affect, our internal control over financial reporting.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September 30, 2017, we were not party to any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3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9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nine months ended September 30, 2017, we reported a net loss of $41.7 million; and as of September 30, 2017, we had an accumulated deficit of $347.0 million, which included non-cash charges for stock-based compensation, preferred stock accretion and extinguishment charges. We expect to continue to incur significant losses for the foreseeable future, and we expect these losses to increase as we continue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87" w:lineRule="exact"/>
        <w:rPr>
          <w:sz w:val="20"/>
          <w:szCs w:val="20"/>
          <w:color w:val="auto"/>
        </w:rPr>
      </w:pPr>
    </w:p>
    <w:p>
      <w:pPr>
        <w:ind w:left="5620" w:right="1580" w:hanging="5045"/>
        <w:spacing w:after="0" w:line="449" w:lineRule="auto"/>
        <w:tabs>
          <w:tab w:leader="none" w:pos="8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 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30"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 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19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181"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w:t>
      </w:r>
    </w:p>
    <w:p>
      <w:pPr>
        <w:spacing w:after="0" w:line="323" w:lineRule="auto"/>
        <w:rPr>
          <w:sz w:val="20"/>
          <w:szCs w:val="20"/>
          <w:color w:val="auto"/>
        </w:rPr>
      </w:pPr>
      <w:r>
        <w:rPr>
          <w:rFonts w:ascii="Arial" w:cs="Arial" w:eastAsia="Arial" w:hAnsi="Arial"/>
          <w:sz w:val="16"/>
          <w:szCs w:val="16"/>
          <w:color w:val="auto"/>
        </w:rPr>
        <w:t>Unexpected circumstances may cause us to consume capital more rapidly than we currently anticipate. For example, we may discover that we need to conduct additional activities that exceed our current budget to achieve appropriate rates of patient enrollment, which would increase our development costs.</w:t>
      </w:r>
    </w:p>
    <w:p>
      <w:pPr>
        <w:spacing w:after="0" w:line="13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9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scale back or discontinue the development or commercialization of our product candidates or cease operations altogether;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harm our business, operating results and prospects.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31" w:lineRule="exact"/>
        <w:rPr>
          <w:sz w:val="20"/>
          <w:szCs w:val="20"/>
          <w:color w:val="auto"/>
        </w:rPr>
      </w:pPr>
    </w:p>
    <w:p>
      <w:pPr>
        <w:ind w:left="5620" w:right="3960" w:hanging="5045"/>
        <w:spacing w:after="0" w:line="449" w:lineRule="auto"/>
        <w:tabs>
          <w:tab w:leader="none" w:pos="8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 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20" w:hanging="325"/>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1" w:lineRule="exact"/>
        <w:rPr>
          <w:rFonts w:ascii="Arial" w:cs="Arial" w:eastAsia="Arial" w:hAnsi="Arial"/>
          <w:sz w:val="17"/>
          <w:szCs w:val="17"/>
          <w:color w:val="auto"/>
        </w:rPr>
      </w:pPr>
    </w:p>
    <w:p>
      <w:pPr>
        <w:jc w:val="both"/>
        <w:ind w:left="900" w:right="56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30" w:lineRule="exact"/>
        <w:rPr>
          <w:rFonts w:ascii="Arial" w:cs="Arial" w:eastAsia="Arial" w:hAnsi="Arial"/>
          <w:sz w:val="18"/>
          <w:szCs w:val="18"/>
          <w:color w:val="auto"/>
        </w:rPr>
      </w:pPr>
    </w:p>
    <w:p>
      <w:pPr>
        <w:ind w:left="900" w:right="8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42"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either candidate receives regulatory approval and we determine to commercialize it ourselves;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need to implement additional internal systems and infrastructure, including financial and reporting systems, as we grow our company.</w:t>
      </w:r>
    </w:p>
    <w:p>
      <w:pPr>
        <w:spacing w:after="0" w:line="23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April 30, 2016 and determined that on March 30, 2007 and August 21, 2015 ownership changes had occurred. We may have experienced an ownership change subsequent to April 30, 2016; and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Entinostat, SNDX-6352 and the Menin Assets are currently our only product candidates. 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92" w:lineRule="exact"/>
        <w:rPr>
          <w:sz w:val="20"/>
          <w:szCs w:val="20"/>
          <w:color w:val="auto"/>
        </w:rPr>
      </w:pPr>
    </w:p>
    <w:p>
      <w:pPr>
        <w:ind w:left="900" w:right="6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timely commencement and completion of the planned Phase 1b/2 clinical trials of entinostat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Bavencio </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(avelumab) and the Phase 1 clinical trial of SNDX-6352;</w:t>
      </w:r>
    </w:p>
    <w:p>
      <w:pPr>
        <w:spacing w:after="0" w:line="7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patient enrollment and completion of the Phase 3 clinical trial in advanced HR+, HER2- breast cancer, which may be significantly slower than we currently anticipate and will depend substantially upon the satisfactory performance of ECOG-ACRIN and the NCI and other third-party contractors for entinostat;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in any of our clinical trials;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entinostat and SNDX-6352 for their proposed indications and the timely receipt of necessary marketing approvals from the FDA and foreign regulatory authorities;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75" w:lineRule="exact"/>
        <w:rPr>
          <w:rFonts w:ascii="Arial" w:cs="Arial" w:eastAsia="Arial" w:hAnsi="Arial"/>
          <w:sz w:val="18"/>
          <w:szCs w:val="18"/>
          <w:color w:val="auto"/>
        </w:rPr>
      </w:pPr>
    </w:p>
    <w:p>
      <w:pPr>
        <w:ind w:left="900" w:right="620" w:hanging="325"/>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our third-party contract manufacturers to produce trial supplies and to develop, validate and maintain a commercially viable manufacturing process that is compliant with current Good Manufacturing Practice regulations, or cGMP;</w:t>
      </w:r>
    </w:p>
    <w:p>
      <w:pPr>
        <w:spacing w:after="0" w:line="51" w:lineRule="exact"/>
        <w:rPr>
          <w:rFonts w:ascii="Arial" w:cs="Arial" w:eastAsia="Arial" w:hAnsi="Arial"/>
          <w:sz w:val="17"/>
          <w:szCs w:val="17"/>
          <w:color w:val="auto"/>
        </w:rPr>
      </w:pPr>
    </w:p>
    <w:p>
      <w:pPr>
        <w:ind w:left="900" w:right="38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availability of commercial supplies of therapeutics, including </w:t>
      </w:r>
      <w:r>
        <w:rPr>
          <w:rFonts w:ascii="Arial" w:cs="Arial" w:eastAsia="Arial" w:hAnsi="Arial"/>
          <w:sz w:val="18"/>
          <w:szCs w:val="18"/>
          <w:i w:val="1"/>
          <w:iCs w:val="1"/>
          <w:color w:val="auto"/>
        </w:rPr>
        <w:t>exemestane, Keytruda, Tecentriq</w:t>
      </w:r>
      <w:r>
        <w:rPr>
          <w:rFonts w:ascii="Arial" w:cs="Arial" w:eastAsia="Arial" w:hAnsi="Arial"/>
          <w:sz w:val="18"/>
          <w:szCs w:val="18"/>
          <w:color w:val="auto"/>
        </w:rPr>
        <w:t xml:space="preserve"> and </w:t>
      </w:r>
      <w:r>
        <w:rPr>
          <w:rFonts w:ascii="Arial" w:cs="Arial" w:eastAsia="Arial" w:hAnsi="Arial"/>
          <w:sz w:val="18"/>
          <w:szCs w:val="18"/>
          <w:i w:val="1"/>
          <w:iCs w:val="1"/>
          <w:color w:val="auto"/>
        </w:rPr>
        <w:t>Bavencio</w:t>
      </w:r>
      <w:r>
        <w:rPr>
          <w:rFonts w:ascii="Arial" w:cs="Arial" w:eastAsia="Arial" w:hAnsi="Arial"/>
          <w:sz w:val="18"/>
          <w:szCs w:val="18"/>
          <w:color w:val="auto"/>
        </w:rPr>
        <w:t>, and clinical supplies of investigational drugs, to support the development and marketing of the entinostat therapy as a component of a combination drug regimen for entinostat;</w:t>
      </w:r>
    </w:p>
    <w:p>
      <w:pPr>
        <w:spacing w:after="0" w:line="86"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strategy of combining entinostat with immune checkpoint inhibitors is clinically untested and we may fail to show that the combination is safe and well tolerated and demonstrates additional clinical benefit from the combination.</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Preclinical studies conducted by us and others suggest a strong rationale for combining entinostat with immune checkpoint inhibitors to enhance the immune system’s ability to detect and eliminate tumor cells. Our approach is to conduct Phase 1 and 2 clinical trials in patients with tumors that are known to be responsive to immune checkpoint inhibitors and assess both the safety and efficacy of the combination of entinostat plus a checkpoint inhibitor. However, we have not yet demonstrated the safety or the benefit of this combination in humans and we may be unable to establish a clinically meaningful benefit for patient without added toxicity.</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Although the NCI has entered into a SPA, agreement with the FDA relating to the pivotal Phase 3 clinical trial of entinostat for advanced HR+, HER2- breast cancer, this agreement does not guarantee any particular outcome with respect to regulatory review of the trial or any associated NDA for entinostat.</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protocol for the pivotal Phase 3 trial of entinostat in combination with exemestane in advanced HR+, HER2- breast cancer was reviewed and agreed upon by the FDA under an SPA agreement with the NCI. The SPA agreement allows for FDA evaluation of whether a clinical trial protocol could form the primary basis of an efficacy 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Further, obtaining clinical trial data meeting the clinical endpoints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If the Phase 3 clinical trial of entinostat in combination with exemestane in advanced HR+, HER2-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exemestane in advanced HR+, HER2- breast cancer patients. The trial will measure two primary endpoints of progression free survival, or PFS, and overall survival. Based on information received from ECOG-ACRIN to date, PFS data is expected in the first half of 2018 and overall survival data no sooner than the second half of 2019. If the Phase 3 clinical trial meets the PFS endpoint and the interim analysis of overall survival demonstrates a favorable trend, we expect to submit an NDA based on this data in 2018. However, if the trial does not meet the PFS endpoint, we will not be able to submit an NDA unless and until we receive data demonstrating that the primary endpoint for overall survival has been achieved. In addition, based on scientific advice from the European Medicines Agency, the current Phase 3 clinical trial is not likely to be sufficient to receive regulatory approval in Europe for entinostat to treat advanced HR+, HER2- breast cancer, and it is unclear whether we would be able to complete an alternate clinical trial that would be sufficient.</w:t>
      </w:r>
    </w:p>
    <w:p>
      <w:pPr>
        <w:spacing w:after="0" w:line="19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Despite the results reported in our Phase 2b clinical trial for entinostat in advanced estrogen receptor positive, or ER+, breast cancer, we do not know whether the Phase 3 clinical trial in advanced HR+, HER2- breast cancer will demonstrate adequate efficacy and safety to result in regulatory approval to market entinostat in any particular cancer indications or jurisdiction. Additionally, while we do not expect that there will be overlapping toxicities between entinostat and exemestane, we cannot be certain that we will not observe these toxicities or unexpected side effects in the Phase 3 clinical trial.</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8"/>
          <w:szCs w:val="18"/>
          <w:i w:val="1"/>
          <w:iCs w:val="1"/>
          <w:color w:val="auto"/>
        </w:rPr>
        <w:t xml:space="preserve">Kisqali </w:t>
      </w:r>
      <w:r>
        <w:rPr>
          <w:rFonts w:ascii="Arial" w:cs="Arial" w:eastAsia="Arial" w:hAnsi="Arial"/>
          <w:sz w:val="18"/>
          <w:szCs w:val="18"/>
          <w:color w:val="auto"/>
        </w:rPr>
        <w:t>and</w:t>
      </w:r>
      <w:r>
        <w:rPr>
          <w:rFonts w:ascii="Arial" w:cs="Arial" w:eastAsia="Arial" w:hAnsi="Arial"/>
          <w:sz w:val="18"/>
          <w:szCs w:val="18"/>
          <w:i w:val="1"/>
          <w:iCs w:val="1"/>
          <w:color w:val="auto"/>
        </w:rPr>
        <w:t xml:space="preserve"> Ibrance</w:t>
      </w:r>
      <w:r>
        <w:rPr>
          <w:rFonts w:ascii="Arial" w:cs="Arial" w:eastAsia="Arial" w:hAnsi="Arial"/>
          <w:sz w:val="18"/>
          <w:szCs w:val="18"/>
          <w:color w:val="auto"/>
        </w:rPr>
        <w:t>, patients enrolled in the Phase 3 clinical trial may be different than those enrolled in our previous Phase 2b clinical trial in that they may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received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and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189"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The failure of ECOG-ACRIN or the NCI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01"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We have entered into an arrangement with ECOG-ACRIN, pursuant to which it, with sponsorship and funding support by the NCI, is conducting the Phase 3 clinical trial of entinostat in combination with exemestane in advanced HR+, HER2- breast cancer patients. While we provide operational and logistical support for the trial, we have limited control of their activities. We cannot control whether or not ECOG-ACRIN will devote sufficient time and resources to the trial, including as a result of any reduction or delay in government funding or sponsorship of the activities of ECOG-ACRIN or the NCI. If ECOG-ACRIN or the NCI does not successfully carry out its obligations and responsibilities or meet expected deadlines or if the quality or accuracy of the clinical data that ECOG-ACRIN obtains is compromised due to the failure to adhere to cGMPs,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that upon inspection by a given regulatory authority, such regulatory authority will determine that any of our trials comply with GCP requirements. In addition, we must conduct our trials with products produced under cGMP requirements. Failure to comply with any of these regulations may require us to repeat preclinical and clinical trials, which would delay the regulatory development process.</w:t>
      </w:r>
    </w:p>
    <w:p>
      <w:pPr>
        <w:spacing w:after="0" w:line="1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HER2- breast cancer, we will be delayed in commercializing entinostat, our development costs may increase and our business may be harmed.</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Phase 3 clinical trial of entinostat in combination with exemestane in advanced HR+, HER2- breast cancer commenced in the second quarter of 2014, and ECOG-ACRIN expects to have PFS data from this trial in the first half of 2018. However, to date, ECOG-ACRIN’s enrollment of patients in this trial has been slower than expected. We do not know whether this trial will need to be restructured, or will be completed on schedule or at all. Our product development costs could increase if we experience delays in clinical testing.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which may result in a delay or unsuccessful completion of clinical development of entinostat include, among other things:</w:t>
      </w:r>
    </w:p>
    <w:p>
      <w:pPr>
        <w:spacing w:after="0" w:line="83"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ECOG-ACRIN to timely identify and enroll patients in the Phase 3 clinical trial;</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75" w:lineRule="exact"/>
        <w:rPr>
          <w:rFonts w:ascii="Arial" w:cs="Arial" w:eastAsia="Arial" w:hAnsi="Arial"/>
          <w:sz w:val="18"/>
          <w:szCs w:val="18"/>
          <w:color w:val="auto"/>
        </w:rPr>
      </w:pPr>
    </w:p>
    <w:p>
      <w:pPr>
        <w:ind w:left="900" w:right="44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deviations from the trial protocol by clinical trial sites and investigators or failure to conduct the trial in accordance with regulatory requirements;</w:t>
      </w:r>
    </w:p>
    <w:p>
      <w:pPr>
        <w:spacing w:after="0" w:line="153"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sponsorship of the NCI because of a failure of ECOG-ACRIN to meet certain performance metrics in the clinical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unexpectedly high rate of patients withdrawing consent or being lost to follow-up;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side effects;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clinical trial sites, many of which may already be engaged in other clinical trial programs, including some that may be for the same indication;</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trials;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3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perception about the relative efficacy of our product candidates versus other compounds in clinical development or commercially available;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 with immuno-oncology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above factors, there is a risk that our or our collaborators’ clinical trials may not be completed on a timely basis or at all.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Merck, Genentech, Merck KGaA and Pfizer and any future collaborators to perform satisfactorily under our agreements.</w:t>
      </w:r>
    </w:p>
    <w:p>
      <w:pPr>
        <w:spacing w:after="0" w:line="24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agreements with Merck, Genentech, Merck KGaA and Pfizer and any future collaborations, we will be dependent on our collaborators’ performance of their responsibilities and their cooperation with us. Our collaborators may not perform their obligations under our agreements with them or otherwise cooperate with us. We cannot control whether our collaborators will devote the necessary resources to the activities contemplated by our collaborative agreements, nor can we control the timing of their performance. Our collaborators may choose to pursue existing or alternative technologies in preference to those being developed in collaboration with us. Disputes may arise between us and our collaborators that delay the development and commercialization of our product candidates, disputes that may be difficult and costly to resolve, or may not be resolved. In addition, a collaborator for the potential product may have the right to terminate the collaboration at its discretion and, for example, Merck has the right to terminate the Merck agreement for any reason after a specified advance notice period. Any termination may require us to seek a new collaborator, which we may not be able to do on a timely basis, if at all, or may require us to delay or scale back the commercialization efforts or spend additional money to complete the clinical trial. The occurrence of any of these events could adversely affect the commercialization of entinostat and materially harm our business.</w:t>
      </w:r>
    </w:p>
    <w:p>
      <w:pPr>
        <w:spacing w:after="0" w:line="16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If we are unable to enter into additional clinical collaborations with developers of immune checkpoint inhibitors or other combination therapies to explore the same or additional indications, the commercial potential of entinostat could be limited. Such collaborations are complex, and any potential discussions may not result in a definitive agreement for many reasons. For example, whether we reach a definitive agreement for a clinical collaboration will depend, among other things, upon our respective assessments of the other party’s resources and expertise, the terms and conditions of the proposed collaboration, and the proposed collaborator’s evaluation of a number of factors. Those factors may include the design or results of our clinical trials, the potential market for the combination therapy, the costs and complexities of manufacturing and delivering the potential product to patients, the potential of competing products, and industry and market conditions generally.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actions of KHK and any other current or future sublicensees could adversely affect our business.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It is possible that any clinical trials conducted by KHK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to comply with the terms of our license agreement for SNDX-6352.</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commercial success also depends upon our ability to develop, manufacture, market and sell SNDX-6352. In July 2016, we entered into the UCB license agreement pursuant to which we obtained a worldwide, sublicenseable, exclusive license to SNDX-6352,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For example, under the UCB license agreement, UCB is transferring to us certain data and materials, providing limited technical assistance and certain transitional services, and manufacturing and suppling us with a preliminary supply of SNDX-6352, which we expect will assist us with the development, manufacture and commercialization of SNDX-6352. If UCB fails to complete such technology transfer or to supply us with sufficient quantities of SNDX-6352, our efforts to develop and commercialization SNDX-6352 may be delayed or may fail.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is terminated, certain of our rights to develop, manufacture, commercialize or sell SNDX-6352 may be terminated as well. The occurrence of any of these events could adversely affect the development and commercialization of SNDX-6352, and materially harm our business.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3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75"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5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foreign regulatory authorities for many reasons, including but not limited to:</w:t>
      </w:r>
    </w:p>
    <w:p>
      <w:pPr>
        <w:spacing w:after="0" w:line="7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product candidates.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are not developing entinostat as a monotherapy. A shortage in the supply of exemestane, Keytruda, Tecentriq, Bavencio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18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exemestane</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Keytruda</w:t>
      </w:r>
      <w:r>
        <w:rPr>
          <w:rFonts w:ascii="Arial" w:cs="Arial" w:eastAsia="Arial" w:hAnsi="Arial"/>
          <w:sz w:val="16"/>
          <w:szCs w:val="16"/>
          <w:color w:val="auto"/>
        </w:rPr>
        <w:t>,</w:t>
      </w:r>
      <w:r>
        <w:rPr>
          <w:rFonts w:ascii="Arial" w:cs="Arial" w:eastAsia="Arial" w:hAnsi="Arial"/>
          <w:sz w:val="16"/>
          <w:szCs w:val="16"/>
          <w:i w:val="1"/>
          <w:iCs w:val="1"/>
          <w:color w:val="auto"/>
        </w:rPr>
        <w:t xml:space="preserve"> Tecentriq</w:t>
      </w:r>
      <w:r>
        <w:rPr>
          <w:rFonts w:ascii="Arial" w:cs="Arial" w:eastAsia="Arial" w:hAnsi="Arial"/>
          <w:sz w:val="16"/>
          <w:szCs w:val="16"/>
          <w:color w:val="auto"/>
        </w:rPr>
        <w:t>,</w:t>
      </w:r>
      <w:r>
        <w:rPr>
          <w:rFonts w:ascii="Arial" w:cs="Arial" w:eastAsia="Arial" w:hAnsi="Arial"/>
          <w:sz w:val="16"/>
          <w:szCs w:val="16"/>
          <w:i w:val="1"/>
          <w:iCs w:val="1"/>
          <w:color w:val="auto"/>
        </w:rPr>
        <w:t xml:space="preserve"> Bavencio </w:t>
      </w:r>
      <w:r>
        <w:rPr>
          <w:rFonts w:ascii="Arial" w:cs="Arial" w:eastAsia="Arial" w:hAnsi="Arial"/>
          <w:sz w:val="16"/>
          <w:szCs w:val="16"/>
          <w:color w:val="auto"/>
        </w:rPr>
        <w:t>or other drugs that we are testing in combination with entinostat could adversely affect our ability to timely conduct the Phase</w:t>
      </w:r>
    </w:p>
    <w:p>
      <w:pPr>
        <w:jc w:val="both"/>
        <w:ind w:right="20"/>
        <w:spacing w:after="0" w:line="254" w:lineRule="auto"/>
        <w:rPr>
          <w:sz w:val="20"/>
          <w:szCs w:val="20"/>
          <w:color w:val="auto"/>
        </w:rPr>
      </w:pPr>
      <w:r>
        <w:rPr>
          <w:rFonts w:ascii="Arial" w:cs="Arial" w:eastAsia="Arial" w:hAnsi="Arial"/>
          <w:sz w:val="18"/>
          <w:szCs w:val="18"/>
          <w:color w:val="auto"/>
        </w:rPr>
        <w:t>3 clinical trial in advanced HR+, HER2- breast cancer and the Phase 1b/2 clinical trials in NSCLC, melanoma, microsatellite stable colorectal cancer, ovarian cancer, and TNBC, and if entinostat receives regulatory approval, to commercialize entinostat for treatment of advanced HR+, HER2- breast cancer, NSCLC, melanoma, microsatellite stable colorectal cancer, ovarian cancer or TNBC. A shortage of supply may also result in an increase, which could be significant, in our costs of procuring exemestane.</w:t>
      </w:r>
    </w:p>
    <w:p>
      <w:pPr>
        <w:spacing w:after="0" w:line="1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77"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p>
    <w:p>
      <w:pPr>
        <w:spacing w:after="0" w:line="17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received breakthrough therapy designation from the FDA for entinostat when used in combination with exemestane based on the overall survival results from our completed Phase 2b clinical trial in advanced HR+, HER2- breast cancer.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The Phase 2b trial showed statistically significant improvements in PFS, the primary endpoint, and OS,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if results from the Phase 3 clinical trial do not confirm the improvements in PFS or overall survival observed in our Phase 2b clinical trial, the FDA may rescind our breakthrough therapy designation.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22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6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30" w:lineRule="exact"/>
        <w:rPr>
          <w:rFonts w:ascii="Arial" w:cs="Arial" w:eastAsia="Arial" w:hAnsi="Arial"/>
          <w:sz w:val="18"/>
          <w:szCs w:val="18"/>
          <w:color w:val="auto"/>
        </w:rPr>
      </w:pPr>
    </w:p>
    <w:p>
      <w:pPr>
        <w:ind w:left="5620" w:right="1680" w:hanging="5045"/>
        <w:spacing w:after="0" w:line="449" w:lineRule="auto"/>
        <w:tabs>
          <w:tab w:leader="none" w:pos="8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 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have a material adverse effect on our business, financial condition and results of operations.</w:t>
      </w:r>
    </w:p>
    <w:p>
      <w:pPr>
        <w:spacing w:after="0" w:line="29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HER2-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9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7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from the European Medicines Agency, the current Phase 3 clinical trial is likely to be insufficient to receive regulatory approval in Europe for entinostat to treat advanced HR+, HER2- breast cancer.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29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 xml:space="preserve">The pharmacologic treatment of NSCLC, melanoma, microsatellite stable colorectal cancer, ovarian cancer, TNBC patients includes chemotherapies and therapies targeting specific gene mutations. More recently, immune checkpoint inhibitors have been approved for NSCLC, melanoma and ovarian cancer and are under investigation for TNBC and microsatellite stable colorectal cancer. Currently there are few approved combination immuno-oncology therapies although numerous drugs are undergoing active clinical investigation. We believe that if entinostat in combination with either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w:t>
      </w:r>
      <w:r>
        <w:rPr>
          <w:rFonts w:ascii="Arial" w:cs="Arial" w:eastAsia="Arial" w:hAnsi="Arial"/>
          <w:sz w:val="16"/>
          <w:szCs w:val="16"/>
          <w:i w:val="1"/>
          <w:iCs w:val="1"/>
          <w:color w:val="auto"/>
        </w:rPr>
        <w:t>Tecentriq</w:t>
      </w:r>
      <w:r>
        <w:rPr>
          <w:rFonts w:ascii="Arial" w:cs="Arial" w:eastAsia="Arial" w:hAnsi="Arial"/>
          <w:sz w:val="16"/>
          <w:szCs w:val="16"/>
          <w:color w:val="auto"/>
        </w:rPr>
        <w:t xml:space="preserve"> or </w:t>
      </w:r>
      <w:r>
        <w:rPr>
          <w:rFonts w:ascii="Arial" w:cs="Arial" w:eastAsia="Arial" w:hAnsi="Arial"/>
          <w:sz w:val="16"/>
          <w:szCs w:val="16"/>
          <w:i w:val="1"/>
          <w:iCs w:val="1"/>
          <w:color w:val="auto"/>
        </w:rPr>
        <w:t xml:space="preserve">Bavencio </w:t>
      </w:r>
      <w:r>
        <w:rPr>
          <w:rFonts w:ascii="Arial" w:cs="Arial" w:eastAsia="Arial" w:hAnsi="Arial"/>
          <w:sz w:val="16"/>
          <w:szCs w:val="16"/>
          <w:color w:val="auto"/>
        </w:rPr>
        <w:t>were approved for the treatment of NSCLC, melanoma, microsatellite stable colorectal cancer, ovarian cancer or TNBC, it would face competition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standard-of-care approaches and other investigational drugs being tested in combination with any of these approaches.</w:t>
      </w:r>
    </w:p>
    <w:p>
      <w:pPr>
        <w:spacing w:after="0" w:line="16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If entinostat in combination with exemestane were approved for treatment of advanced HR+, HER2-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w:t>
      </w:r>
      <w:r>
        <w:rPr>
          <w:rFonts w:ascii="Arial" w:cs="Arial" w:eastAsia="Arial" w:hAnsi="Arial"/>
          <w:sz w:val="18"/>
          <w:szCs w:val="18"/>
          <w:i w:val="1"/>
          <w:iCs w:val="1"/>
          <w:color w:val="auto"/>
        </w:rPr>
        <w:t>Afinitor</w:t>
      </w:r>
      <w:r>
        <w:rPr>
          <w:rFonts w:ascii="Arial" w:cs="Arial" w:eastAsia="Arial" w:hAnsi="Arial"/>
          <w:sz w:val="18"/>
          <w:szCs w:val="18"/>
          <w:color w:val="auto"/>
        </w:rPr>
        <w:t>, and other therapies currently in Phase 3 clinical development such as abemaciclib, being developed by Eli Lilly and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3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acceptance of entinostat in combination with exemestane</w:t>
      </w:r>
      <w:r>
        <w:rPr>
          <w:rFonts w:ascii="Arial" w:cs="Arial" w:eastAsia="Arial" w:hAnsi="Arial"/>
          <w:sz w:val="18"/>
          <w:szCs w:val="18"/>
          <w:i w:val="1"/>
          <w:iCs w:val="1"/>
          <w:color w:val="auto"/>
        </w:rPr>
        <w:t>, Keytruda, Tecentriq, Bavencio</w:t>
      </w:r>
      <w:r>
        <w:rPr>
          <w:rFonts w:ascii="Arial" w:cs="Arial" w:eastAsia="Arial" w:hAnsi="Arial"/>
          <w:sz w:val="18"/>
          <w:szCs w:val="18"/>
          <w:color w:val="auto"/>
        </w:rPr>
        <w:t xml:space="preserve"> and other drugs by physicians and other healthcare providers.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24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22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government healthcare programs, private health insurers, managed care plans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8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Private payors often follow the Centers for Medicare and Medicaid Services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8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9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order to market any approved product candidate in the future, we must build our sales, marketing, managerial and other non-technical capabilities or make arrangements with third parties to perform these services, as we do not presently have such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77"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8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our ability to market the product candidate.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260"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have been judicial and Congressional challenges to certain aspects of the Affordable Care Act, and we expect there will be additional challenges and amendments in the future. Some of the provisions of the Affordable Care Act have yet to be implemented, while certain provisions have been subject to judicial and Congressional challenges, as well as recent efforts by the Trump administration to repeal or replace certain aspects of the Affordable Care Act. Since January 2017, President Trump has signed two Executive Orders designed to delay the implementation of certain provisions of the Affordable Care Act or otherwise circumvent some of the requirements for health insurance mandated by the Affordable Care Act. The Trump administration has also announced that it will discontinue the payment of cost-sharing reduction, or CSR, payments to insurance companies until Congress approves the appropriation of funds for the CSR payments. The loss of the CSR payments is expected to increase premiums on certain policies issued by qualified health plans under the Affordable Care Act. A bipartisan bill to appropriate funds for CSR payments has been introduced in the Senate, but the future of that bill is uncertain. Further, each chamber of Congress has put forth multiple bills this year designed to repeal of replace portions of the Affordable Care Act. Although none of these measures has been enacted by Congress to date, Congress may consider other legislation to repeal and replace elements of the Affordable Care Act. We continue to evaluate the effect that the Affordable Care Act and its possible repeal and replacement has on our business.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has extended the 2% reduction to 2025.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 Further,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review the relationship between pricing and manufacturer patient programs, reduce the cost of drugs under Medicare, and reform government program reimbursement methodologies for drugs.</w:t>
      </w:r>
    </w:p>
    <w:p>
      <w:pPr>
        <w:spacing w:after="0" w:line="183"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94"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17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78" w:lineRule="exact"/>
        <w:rPr>
          <w:sz w:val="20"/>
          <w:szCs w:val="20"/>
          <w:color w:val="auto"/>
        </w:rPr>
      </w:pPr>
    </w:p>
    <w:p>
      <w:pPr>
        <w:ind w:left="90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right="180" w:hanging="325"/>
        <w:spacing w:after="0" w:line="273"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as amended by the Health Information Technology for Economic and Clinical Health Act, and their implementing regulations, or HIPAA, imposes civil and criminal liability for, among other things, knowingly and willfully executing a scheme to defraud any healthcare benefit program, knowingly and willfully embezzling or stealing any money or other assets of a health care benefit program, willfully obstructing a criminal investigation of a health care fraud offense, knowingly and willfully making false statements relating to healthcare matters, or knowingly obtaining or disclosing individually identifiable health information maintained by a HIPAA-covered entity in a manner that is not authorized or permitted by HIPAA;</w:t>
      </w:r>
    </w:p>
    <w:p>
      <w:pPr>
        <w:spacing w:after="0" w:line="83" w:lineRule="exact"/>
        <w:rPr>
          <w:rFonts w:ascii="Arial" w:cs="Arial" w:eastAsia="Arial" w:hAnsi="Arial"/>
          <w:sz w:val="17"/>
          <w:szCs w:val="17"/>
          <w:color w:val="auto"/>
        </w:rPr>
      </w:pPr>
    </w:p>
    <w:p>
      <w:pPr>
        <w:ind w:left="900" w:right="32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ind w:left="900" w:right="80" w:hanging="325"/>
        <w:spacing w:after="0" w:line="25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Open Payments program, created as part of the Physician Payments Sunshine Act under Section 6002 of the Affordable Care Act and its implementing regulations,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94" w:lineRule="exact"/>
        <w:rPr>
          <w:rFonts w:ascii="Arial" w:cs="Arial" w:eastAsia="Arial" w:hAnsi="Arial"/>
          <w:sz w:val="18"/>
          <w:szCs w:val="18"/>
          <w:color w:val="auto"/>
        </w:rPr>
      </w:pPr>
    </w:p>
    <w:p>
      <w:pPr>
        <w:ind w:left="900" w:hanging="325"/>
        <w:spacing w:after="0" w:line="288"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18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in September 2017, a competitor may develop a competing polymorphic form other than based on polymorph B, which could compete with polymorph B.</w:t>
      </w:r>
    </w:p>
    <w:p>
      <w:pPr>
        <w:spacing w:after="0" w:line="18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portfolio we licensed from UCB includes patent applications with pending claims directed to the composition of matter of SNDX-6352 (a humanized, full-length IgG4 (kappa light chain) antibody with high affinity for the CSF-1R) as well as claims directed to methods of use of SNDX-6352. There is no guarantee that any patents will be granted based on the pending applications we licensed from UCB or even if one or more patents are granted that the claims issued in those patents would cover SNDX-6352 or methods of using SNDX-6352.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obligated to pay Bayer up to approximately $50.0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$100.0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6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SNDX-6352 or if the UCB license agreement is otherwise terminated, we could lose the ability to continue the development and commercialization of SNDX-6352.</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SNDX-6352. 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SNDX-6352,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SNDX-6352 have occurred and the last-to-expire relevant patent covering SNDX-6352 in a given country may change in the future.</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SNDX-6352 and would need to negotiate a new or reinstated agreement, which may not be available to us on equally favorable terms, or at all.</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breach the Allergan license agreement related to the Menin Assets or if the Allergan license agreement is otherwise terminated, we could lose the ability to continue the development and commercialization of the Menin Assets.</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commercial success depends upon our ability to develop, manufacture, market and sell one or more of the Menin Assets. Subject to the achievement of certain milestone events, we may be required to pay Allergan up to $99 million in one-time development and regulatory milestone payments over the term of the Allergan license agreement. In the event that we or any of our affiliates or sublicensees commercializes any of the Menin Assets, we will also be obligated to pay Allergan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Allergan.</w:t>
      </w:r>
    </w:p>
    <w:p>
      <w:pPr>
        <w:spacing w:after="0" w:line="16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Either party may terminate the Allergan license agreement in its entirety or with respect to certain countries in the event of an uncured material breach by the other party. Either party may terminate the Allergan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Allergan may terminate the Allergan license agreement if we seek to revoke or challenge the validity of any patent licensed to us by Allergan under the Allergan license agreement or if we procure or assist a third party to take any such action.</w:t>
      </w:r>
    </w:p>
    <w:p>
      <w:pPr>
        <w:spacing w:after="0" w:line="17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Allergan would expire because no commercial sales of the Menin Assets have occurred and the last-to-expire relevant patent covering the Menin Assets in a given country may change in the future.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the Allergan license agreement is terminated, we would not be able to develop, manufacture, market or sell any of the Menin Assets and would need to negotiate a new or reinstated agreement, which may not be available to us on equally favorable terms,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82"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8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6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for some of our in-licensed patents and patent applications, we do not have access to any patent assignments or employee agreements demonstrating that all inventors have assigned their rights to the inventions or related patents. As a result, we may be subject to claims of ownership by such inventors.</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rely significantly on information technology and any failure, inadequacy, interruption or security lapse of that technology, including any cyber security incidents, could harm our ability to operate our business effectively.</w:t>
      </w:r>
    </w:p>
    <w:p>
      <w:pPr>
        <w:spacing w:after="0" w:line="17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System failures, accidents or security breaches could cause interruptions in our operations, and could result in a material disruption of our clinical and commercialization activities and business operations, in addition to possibly requiring substantial expenditures of resources to remedy. The loss of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our product research, development and commercialization efforts could be delayed.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225"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5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00" w:right="10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17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Until we can generate a sufficient amount of revenue from our products, if ever, we expect to finance future cash needs through public or private equity or debt offerings. In April 2017, we filed a shelf registration statement on Form S-3 (Registration No. 333-217172) that allows us to sell up to an aggregate of $200 million of our common stock, which includes up to $50.0 million designated in the prospectus supplement for an at-the-market offering program. As of September 30, 2017, $48.8 million of common stock remained available for sale under the program. 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no or few securities or industry analysts commence coverage of us, the trading price for our stock could be negatively impacted. In the event we obtain securities or industry analyst coverage, if any of the analysts who cover us issue an adverse or misleading opinion regarding us, our business model, our intellectual property or our stock performance, or if our trials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As of September 30, 2017, our executive officers, directors, holders of 5% or more of our capital stock and their respective affiliates beneficially own approximately 54% of our outstanding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78"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0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76" w:lineRule="exact"/>
        <w:rPr>
          <w:sz w:val="20"/>
          <w:szCs w:val="20"/>
          <w:color w:val="auto"/>
        </w:rPr>
      </w:pPr>
    </w:p>
    <w:p>
      <w:pPr>
        <w:ind w:left="900" w:right="1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75"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92"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29" w:lineRule="exact"/>
        <w:rPr>
          <w:rFonts w:ascii="Arial" w:cs="Arial" w:eastAsia="Arial" w:hAnsi="Arial"/>
          <w:sz w:val="16"/>
          <w:szCs w:val="16"/>
          <w:color w:val="auto"/>
        </w:rPr>
      </w:pPr>
    </w:p>
    <w:p>
      <w:pPr>
        <w:ind w:left="900" w:right="58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intend to take advantage of some, but not all, of the reduced regulatory and reporting requirements that will be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costs as a result of operating as a public company, and our management will devote substantial time to compliance initiatives.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completed our initial public offering on March 8, 2016. 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Some of the holders of our securities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 material adverse effect on the trading price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0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2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87" w:lineRule="exact"/>
        <w:rPr>
          <w:sz w:val="20"/>
          <w:szCs w:val="20"/>
          <w:color w:val="auto"/>
        </w:rPr>
      </w:pPr>
    </w:p>
    <w:p>
      <w:pPr>
        <w:ind w:left="900" w:right="56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34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March 8, 2016, we completed our IPO and sold 4,400,000 shares of common stock at the initial public offering price of $12.00 per share.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11, 2016, we sold an additional 409,475 shares of our common stock at the initial public offering price of $12.00 per share as a result of the partial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exercise by the underwriters of their option purchase additional shares of common stock. We received net proceeds from the IPO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$50.5 million, after deducting underwriting discounts, commissions and offering expenses. None of these expenses consisted of payments made by us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officers or persons owning 10% or more of our common stock or to their associates, or to our affiliates. The offer and sale of the shares in our IPO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registered pursuant to our Registration Statement on Form S-1 (File No. 333-208861), which was declared effective by the SEC on March 2,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and Citigroup acted as joint book-running managers for the offering, and JMP Securities and Oppenheimer &amp; Co. acted as co-managers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offering. There has been no material change in the planned use of proceeds from our IPO as described in our final prospectus filed with the SEC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 2016, pursuant to Rule 424. We invested the funds received in cash equivalents and other short-term investments in accordance with our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policy. As of September 30, 2017, we have not used any of the proceeds from the IPO and as such, the entire amount of the net proceeds is included as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and short-term investments.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60" w:type="dxa"/>
            <w:vAlign w:val="bottom"/>
            <w:gridSpan w:val="14"/>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380" w:type="dxa"/>
            <w:vAlign w:val="bottom"/>
            <w:gridSpan w:val="13"/>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Amended and Restated Certificate of Incorporation of the Company (incorporated herein by reference to Exhibit 3.1 to the Company’s Current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Report on Form 8-K (File No. 001-37708), as filed with the SEC on March 8, 2016).</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tcBorders>
              <w:right w:val="single" w:sz="8" w:color="0000EE"/>
            </w:tcBorders>
            <w:gridSpan w:val="3"/>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80" w:type="dxa"/>
            <w:vAlign w:val="bottom"/>
            <w:tcBorders>
              <w:bottom w:val="single" w:sz="8" w:color="0000EE"/>
            </w:tcBorders>
            <w:gridSpan w:val="13"/>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Amended and Restated Bylaws of the Company (incorporated herein by reference to Exhibit 3.2 to the Company’s Current Report on Form 8-K</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380" w:type="dxa"/>
            <w:vAlign w:val="bottom"/>
            <w:gridSpan w:val="13"/>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(File No. 001-37708), as filed with the SEC on March 8, 2016).</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80" w:type="dxa"/>
            <w:vAlign w:val="bottom"/>
            <w:tcBorders>
              <w:bottom w:val="single" w:sz="8" w:color="0000EE"/>
            </w:tcBorders>
            <w:gridSpan w:val="13"/>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Specimen Common Stock Certificate of the Company (incorporated herein by reference to Exhibit 4.1 to the Company’s Registration Statement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on Form S-1/A (File No. 333-208861), as filed with the SEC on February 10, 2016).</w:t>
              </w:r>
            </w:hyperlink>
          </w:p>
        </w:tc>
        <w:tc>
          <w:tcPr>
            <w:tcW w:w="4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80" w:type="dxa"/>
            <w:vAlign w:val="bottom"/>
            <w:gridSpan w:val="13"/>
          </w:tcPr>
          <w:p>
            <w:pPr>
              <w:spacing w:after="0"/>
              <w:rPr>
                <w:rFonts w:ascii="Arial" w:cs="Arial" w:eastAsia="Arial" w:hAnsi="Arial"/>
                <w:sz w:val="18"/>
                <w:szCs w:val="18"/>
                <w:color w:val="0000EE"/>
                <w:w w:val="93"/>
              </w:rPr>
            </w:pPr>
            <w:hyperlink r:id="rId77">
              <w:r>
                <w:rPr>
                  <w:rFonts w:ascii="Arial" w:cs="Arial" w:eastAsia="Arial" w:hAnsi="Arial"/>
                  <w:sz w:val="18"/>
                  <w:szCs w:val="18"/>
                  <w:color w:val="0000EE"/>
                  <w:w w:val="93"/>
                </w:rPr>
                <w:t>Form of Warrant to purchase Common Stock issued pursuant to the Warrant Agreement by and between the Company and Bayer Schering</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580" w:type="dxa"/>
            <w:vAlign w:val="bottom"/>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380" w:type="dxa"/>
            <w:vAlign w:val="bottom"/>
            <w:gridSpan w:val="13"/>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Pharma AG, dated March 26, 2007 (incorporated herein by reference to Exhibit 4.2 to the Company’s Registration Statement on Form S-1 (File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3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No. 333-208861), as filed with the SEC on January 4, 2016).</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Certification of Principal Executive Officer pursuant to Rules 13a-14(a) and 15d-14(a) promulgated under the Securities Exchange Act of 1934,</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9">
              <w:r>
                <w:rPr>
                  <w:rFonts w:ascii="Arial" w:cs="Arial" w:eastAsia="Arial" w:hAnsi="Arial"/>
                  <w:sz w:val="18"/>
                  <w:szCs w:val="18"/>
                  <w:color w:val="0000EE"/>
                  <w:w w:val="84"/>
                </w:rPr>
                <w:t>as amended.</w:t>
              </w:r>
            </w:hyperlink>
          </w:p>
        </w:tc>
        <w:tc>
          <w:tcPr>
            <w:tcW w:w="9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Certification of Principal Financial Officer pursuant to Rules 13a-14(a) and 15d-14(a) promulgated under the Securities Exchange Act of 1934,</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0">
              <w:r>
                <w:rPr>
                  <w:rFonts w:ascii="Arial" w:cs="Arial" w:eastAsia="Arial" w:hAnsi="Arial"/>
                  <w:sz w:val="18"/>
                  <w:szCs w:val="18"/>
                  <w:color w:val="0000EE"/>
                  <w:w w:val="84"/>
                </w:rPr>
                <w:t>as amended.</w:t>
              </w:r>
            </w:hyperlink>
          </w:p>
        </w:tc>
        <w:tc>
          <w:tcPr>
            <w:tcW w:w="9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80" w:type="dxa"/>
            <w:vAlign w:val="bottom"/>
            <w:gridSpan w:val="13"/>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Certifications of Chief Executive Officer and Chief Financial Officer pursuant to 18 U.S.C. Section 1350, as adopted pursuant to Section 906 of</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3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20" w:right="300" w:hanging="1012"/>
        <w:spacing w:after="0" w:line="259"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September 30, 2017, formatted in XBRL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220" w:right="80" w:hanging="212"/>
        <w:spacing w:after="0" w:line="286" w:lineRule="auto"/>
        <w:tabs>
          <w:tab w:leader="none" w:pos="2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Briggs W. Morrison, M.D.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Richard P. Shea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(Principal Executive Officer and Principal Accounting</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225"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7"/>
          <w:szCs w:val="17"/>
          <w:color w:val="auto"/>
        </w:rPr>
        <w:t>By:  /s/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Briggs W. Morrison, M.D.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P. Shea, certify that:</w:t>
      </w:r>
    </w:p>
    <w:p>
      <w:pPr>
        <w:spacing w:after="0" w:line="225"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6"/>
          <w:szCs w:val="16"/>
          <w:color w:val="auto"/>
        </w:rPr>
        <w:t>By:  /s/ 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P. Shea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September 30, 2017, as filed with the Securities and Exchange Commission on the date hereof (the “Report”), each of the undersigned officers of the Company hereby certifies, pursuant to 18 U.S.C. Section 1350, that to his or her knowledge:</w:t>
      </w:r>
    </w:p>
    <w:p>
      <w:pPr>
        <w:spacing w:after="0" w:line="181" w:lineRule="exact"/>
        <w:rPr>
          <w:sz w:val="20"/>
          <w:szCs w:val="20"/>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Date: November 8, 2017</w:t>
            </w:r>
          </w:p>
        </w:tc>
        <w:tc>
          <w:tcPr>
            <w:tcW w:w="240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209"/>
        </w:trPr>
        <w:tc>
          <w:tcPr>
            <w:tcW w:w="38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Briggs W. Morrison, M.D.</w:t>
            </w:r>
          </w:p>
        </w:tc>
      </w:tr>
      <w:tr>
        <w:trPr>
          <w:trHeight w:val="230"/>
        </w:trPr>
        <w:tc>
          <w:tcPr>
            <w:tcW w:w="38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46"/>
        </w:trPr>
        <w:tc>
          <w:tcPr>
            <w:tcW w:w="3880" w:type="dxa"/>
            <w:vAlign w:val="bottom"/>
          </w:tcPr>
          <w:p>
            <w:pPr>
              <w:spacing w:after="0"/>
              <w:rPr>
                <w:sz w:val="20"/>
                <w:szCs w:val="20"/>
                <w:color w:val="auto"/>
              </w:rPr>
            </w:pPr>
            <w:r>
              <w:rPr>
                <w:rFonts w:ascii="Arial" w:cs="Arial" w:eastAsia="Arial" w:hAnsi="Arial"/>
                <w:sz w:val="18"/>
                <w:szCs w:val="18"/>
                <w:color w:val="auto"/>
              </w:rPr>
              <w:t>Date: November 8, 2017</w:t>
            </w:r>
          </w:p>
        </w:tc>
        <w:tc>
          <w:tcPr>
            <w:tcW w:w="240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209"/>
        </w:trPr>
        <w:tc>
          <w:tcPr>
            <w:tcW w:w="38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Richard P. Shea</w:t>
            </w:r>
          </w:p>
        </w:tc>
      </w:tr>
      <w:tr>
        <w:trPr>
          <w:trHeight w:val="230"/>
        </w:trPr>
        <w:tc>
          <w:tcPr>
            <w:tcW w:w="38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3"/>
    </w:lvl>
  </w:abstractNum>
  <w:abstractNum w:abstractNumId="4">
    <w:nsid w:val="2D1D5AE9"/>
    <w:multiLevelType w:val="hybridMultilevel"/>
    <w:lvl w:ilvl="0">
      <w:lvlJc w:val="left"/>
      <w:lvlText w:val="(%1)"/>
      <w:numFmt w:val="lowerRoman"/>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0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74" Type="http://schemas.openxmlformats.org/officeDocument/2006/relationships/hyperlink" Target="http://www.sec.gov/Archives/edgar/data/1395937/000119312516496764/d119516dex31.htm" TargetMode="External"/><Relationship Id="rId75" Type="http://schemas.openxmlformats.org/officeDocument/2006/relationships/hyperlink" Target="http://www.sec.gov/Archives/edgar/data/1395937/000119312516496764/d119516dex32.htm" TargetMode="External"/><Relationship Id="rId76" Type="http://schemas.openxmlformats.org/officeDocument/2006/relationships/hyperlink" Target="http://www.sec.gov/Archives/edgar/data/1395937/000119312516457615/d117131dex41.htm" TargetMode="External"/><Relationship Id="rId77" Type="http://schemas.openxmlformats.org/officeDocument/2006/relationships/hyperlink" Target="http://www.sec.gov/Archives/edgar/data/1395937/000119312516420122/d3928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2019-12-29T03:25:13Z</dcterms:created>
  <dcterms:modified xsi:type="dcterms:W3CDTF">2019-12-29T03:25:13Z</dcterms:modified>
</cp:coreProperties>
</file>