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Syndax Pharmaceuticals,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6100" w:type="dxa"/>
            <w:vAlign w:val="bottom"/>
          </w:tcPr>
          <w:p>
            <w:pPr>
              <w:jc w:val="center"/>
              <w:ind w:right="351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32-0162505</w:t>
            </w:r>
          </w:p>
        </w:tc>
      </w:tr>
      <w:tr>
        <w:trPr>
          <w:trHeight w:val="149"/>
        </w:trPr>
        <w:tc>
          <w:tcPr>
            <w:tcW w:w="6100" w:type="dxa"/>
            <w:vAlign w:val="bottom"/>
          </w:tcPr>
          <w:p>
            <w:pPr>
              <w:jc w:val="center"/>
              <w:ind w:right="3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00" w:type="dxa"/>
            <w:vAlign w:val="bottom"/>
          </w:tcPr>
          <w:p>
            <w:pPr>
              <w:jc w:val="center"/>
              <w:ind w:right="3519"/>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tcPr>
          <w:p>
            <w:pPr>
              <w:jc w:val="center"/>
              <w:ind w:right="3519"/>
              <w:spacing w:after="0"/>
              <w:rPr>
                <w:sz w:val="20"/>
                <w:szCs w:val="20"/>
                <w:color w:val="auto"/>
              </w:rPr>
            </w:pPr>
            <w:r>
              <w:rPr>
                <w:rFonts w:ascii="Arial" w:cs="Arial" w:eastAsia="Arial" w:hAnsi="Arial"/>
                <w:sz w:val="18"/>
                <w:szCs w:val="18"/>
                <w:b w:val="1"/>
                <w:bCs w:val="1"/>
                <w:color w:val="auto"/>
                <w:w w:val="89"/>
              </w:rPr>
              <w:t>400 Totten Pond Road, Suite 110</w:t>
            </w:r>
          </w:p>
        </w:tc>
        <w:tc>
          <w:tcPr>
            <w:tcW w:w="1480" w:type="dxa"/>
            <w:vAlign w:val="bottom"/>
          </w:tcPr>
          <w:p>
            <w:pPr>
              <w:spacing w:after="0"/>
              <w:rPr>
                <w:sz w:val="24"/>
                <w:szCs w:val="24"/>
                <w:color w:val="auto"/>
              </w:rPr>
            </w:pPr>
          </w:p>
        </w:tc>
      </w:tr>
      <w:tr>
        <w:trPr>
          <w:trHeight w:val="225"/>
        </w:trPr>
        <w:tc>
          <w:tcPr>
            <w:tcW w:w="6100" w:type="dxa"/>
            <w:vAlign w:val="bottom"/>
          </w:tcPr>
          <w:p>
            <w:pPr>
              <w:jc w:val="center"/>
              <w:ind w:right="3519"/>
              <w:spacing w:after="0"/>
              <w:rPr>
                <w:sz w:val="20"/>
                <w:szCs w:val="20"/>
                <w:color w:val="auto"/>
              </w:rPr>
            </w:pPr>
            <w:r>
              <w:rPr>
                <w:rFonts w:ascii="Arial" w:cs="Arial" w:eastAsia="Arial" w:hAnsi="Arial"/>
                <w:sz w:val="18"/>
                <w:szCs w:val="18"/>
                <w:b w:val="1"/>
                <w:bCs w:val="1"/>
                <w:color w:val="auto"/>
                <w:w w:val="88"/>
              </w:rPr>
              <w:t>Waltham, Massachusetts</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6100" w:type="dxa"/>
            <w:vAlign w:val="bottom"/>
          </w:tcPr>
          <w:p>
            <w:pPr>
              <w:jc w:val="center"/>
              <w:ind w:right="35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79"/>
              <w:spacing w:after="0"/>
              <w:rPr>
                <w:sz w:val="20"/>
                <w:szCs w:val="20"/>
                <w:color w:val="auto"/>
              </w:rPr>
            </w:pPr>
            <w:r>
              <w:rPr>
                <w:rFonts w:ascii="Arial" w:cs="Arial" w:eastAsia="Arial" w:hAnsi="Arial"/>
                <w:sz w:val="18"/>
                <w:szCs w:val="18"/>
                <w:b w:val="1"/>
                <w:bCs w:val="1"/>
                <w:color w:val="auto"/>
              </w:rPr>
              <w:t>(781) 419-1400</w:t>
            </w:r>
          </w:p>
        </w:tc>
        <w:tc>
          <w:tcPr>
            <w:tcW w:w="1480" w:type="dxa"/>
            <w:vAlign w:val="bottom"/>
          </w:tcPr>
          <w:p>
            <w:pPr>
              <w:spacing w:after="0"/>
              <w:rPr>
                <w:sz w:val="24"/>
                <w:szCs w:val="24"/>
                <w:color w:val="auto"/>
              </w:rPr>
            </w:pPr>
          </w:p>
        </w:tc>
      </w:tr>
      <w:tr>
        <w:trPr>
          <w:trHeight w:val="186"/>
        </w:trPr>
        <w:tc>
          <w:tcPr>
            <w:tcW w:w="6100" w:type="dxa"/>
            <w:vAlign w:val="bottom"/>
          </w:tcPr>
          <w:p>
            <w:pPr>
              <w:jc w:val="center"/>
              <w:ind w:left="19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80"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3">
            <w:col w:w="8640" w:space="180"/>
            <w:col w:w="520" w:space="180"/>
            <w:col w:w="190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November 7, 2016, there were 18,193,360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commencement, progress and receipt of data from the planned Phase 1b/2 clinical trials of entinostat in lung cancer, melanoma, ovarian cancer and triple negative breast cancer;</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commencement, progress and receipt of data from the planned Phase 3 clinical trial of entinostat in advanced HR+, HER2-breast cancer;</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related to the clinical development of SNDX-6352 and the potential use of SNDX-6352 to treat various cancer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commencement, progress and receipt of data from any other clinical trials that we and our collaborators may conduct;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 including head and neck, bladder and renal cells;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and UCB Biopharma Sprl;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including, without limitation, the risks set forth in Part II, Item 1A, “Risk Factors” in this Quarterly Report on Form 10-Q and in our other filings with the Securities and Exchange Commission, or the SEC. You should not rely upon forward-looking statements as predictions of future events.</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1020" w:type="dxa"/>
            <w:vAlign w:val="bottom"/>
            <w:gridSpan w:val="15"/>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44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2016 and December 31, 2015</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85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nine months ended September 30, 2016 and 2015</w:t>
              </w:r>
            </w:hyperlink>
          </w:p>
        </w:tc>
        <w:tc>
          <w:tcPr>
            <w:tcW w:w="13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Comprehensive Loss for the three and nine months ended September 30, 2016 and 2015</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922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2016 and 2015</w:t>
              </w:r>
            </w:hyperlink>
          </w:p>
        </w:tc>
        <w:tc>
          <w:tcPr>
            <w:tcW w:w="5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840" w:type="dxa"/>
            <w:vAlign w:val="bottom"/>
            <w:tcBorders>
              <w:top w:val="single" w:sz="8" w:color="0000EE"/>
            </w:tcBorders>
            <w:gridSpan w:val="5"/>
          </w:tcPr>
          <w:p>
            <w:pPr>
              <w:spacing w:after="0"/>
              <w:rPr>
                <w:sz w:val="24"/>
                <w:szCs w:val="24"/>
                <w:color w:val="auto"/>
              </w:rPr>
            </w:pPr>
          </w:p>
        </w:tc>
        <w:tc>
          <w:tcPr>
            <w:tcW w:w="19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40" w:type="dxa"/>
            <w:vAlign w:val="bottom"/>
            <w:gridSpan w:val="5"/>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8020" w:type="dxa"/>
            <w:vAlign w:val="bottom"/>
            <w:gridSpan w:val="10"/>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345"/>
        </w:trPr>
        <w:tc>
          <w:tcPr>
            <w:tcW w:w="1102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8460" w:type="dxa"/>
            <w:vAlign w:val="bottom"/>
            <w:gridSpan w:val="11"/>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5440" w:type="dxa"/>
            <w:vAlign w:val="bottom"/>
            <w:gridSpan w:val="7"/>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this report, unless otherwise stated or as the context otherwise requires, references to “Syndax,” “the Company,” “we,” “us,” “our” and similar references refer to Syndax Pharmaceuticals, Inc. and its wholly owned subsidiaries.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9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center"/>
              <w:ind w:left="1930"/>
              <w:spacing w:after="0"/>
              <w:rPr>
                <w:sz w:val="20"/>
                <w:szCs w:val="20"/>
                <w:color w:val="auto"/>
              </w:rPr>
            </w:pPr>
            <w:r>
              <w:rPr>
                <w:rFonts w:ascii="Arial" w:cs="Arial" w:eastAsia="Arial" w:hAnsi="Arial"/>
                <w:sz w:val="18"/>
                <w:szCs w:val="18"/>
                <w:b w:val="1"/>
                <w:bCs w:val="1"/>
                <w:color w:val="auto"/>
              </w:rPr>
              <w:t>SYNDAX PHARMACEUTICALS, INC.</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91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jc w:val="center"/>
              <w:ind w:left="19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42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6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2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12,753</w:t>
            </w:r>
          </w:p>
        </w:tc>
        <w:tc>
          <w:tcPr>
            <w:tcW w:w="7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23,179</w:t>
            </w:r>
          </w:p>
        </w:tc>
      </w:tr>
      <w:tr>
        <w:trPr>
          <w:trHeight w:val="216"/>
        </w:trPr>
        <w:tc>
          <w:tcPr>
            <w:tcW w:w="20" w:type="dxa"/>
            <w:vAlign w:val="bottom"/>
          </w:tcPr>
          <w:p>
            <w:pPr>
              <w:spacing w:after="0"/>
              <w:rPr>
                <w:sz w:val="18"/>
                <w:szCs w:val="18"/>
                <w:color w:val="auto"/>
              </w:rPr>
            </w:pPr>
          </w:p>
        </w:tc>
        <w:tc>
          <w:tcPr>
            <w:tcW w:w="8040" w:type="dxa"/>
            <w:vAlign w:val="bottom"/>
            <w:gridSpan w:val="3"/>
          </w:tcPr>
          <w:p>
            <w:pPr>
              <w:ind w:left="3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154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102,814</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63,310</w:t>
            </w:r>
          </w:p>
        </w:tc>
      </w:tr>
      <w:tr>
        <w:trPr>
          <w:trHeight w:val="223"/>
        </w:trPr>
        <w:tc>
          <w:tcPr>
            <w:tcW w:w="20" w:type="dxa"/>
            <w:vAlign w:val="bottom"/>
          </w:tcPr>
          <w:p>
            <w:pPr>
              <w:spacing w:after="0"/>
              <w:rPr>
                <w:sz w:val="19"/>
                <w:szCs w:val="19"/>
                <w:color w:val="auto"/>
              </w:rPr>
            </w:pPr>
          </w:p>
        </w:tc>
        <w:tc>
          <w:tcPr>
            <w:tcW w:w="804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117,267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88,007</w:t>
            </w: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179</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w:t>
            </w: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117,729</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04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(DEFICIT)</w:t>
            </w:r>
          </w:p>
        </w:tc>
        <w:tc>
          <w:tcPr>
            <w:tcW w:w="240" w:type="dxa"/>
            <w:vAlign w:val="bottom"/>
            <w:shd w:val="clear" w:color="auto" w:fill="CCEEFF"/>
          </w:tcPr>
          <w:p>
            <w:pPr>
              <w:spacing w:after="0"/>
              <w:rPr>
                <w:sz w:val="20"/>
                <w:szCs w:val="20"/>
                <w:color w:val="auto"/>
              </w:rPr>
            </w:pPr>
          </w:p>
        </w:tc>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2,010</w:t>
            </w:r>
          </w:p>
        </w:tc>
        <w:tc>
          <w:tcPr>
            <w:tcW w:w="7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r>
      <w:tr>
        <w:trPr>
          <w:trHeight w:val="216"/>
        </w:trPr>
        <w:tc>
          <w:tcPr>
            <w:tcW w:w="20" w:type="dxa"/>
            <w:vAlign w:val="bottom"/>
          </w:tcPr>
          <w:p>
            <w:pPr>
              <w:spacing w:after="0"/>
              <w:rPr>
                <w:sz w:val="18"/>
                <w:szCs w:val="18"/>
                <w:color w:val="auto"/>
              </w:rPr>
            </w:pPr>
          </w:p>
        </w:tc>
        <w:tc>
          <w:tcPr>
            <w:tcW w:w="804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5,917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1,220</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30"/>
        </w:trPr>
        <w:tc>
          <w:tcPr>
            <w:tcW w:w="806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ind w:left="340"/>
              <w:spacing w:after="0"/>
              <w:rPr>
                <w:sz w:val="20"/>
                <w:szCs w:val="20"/>
                <w:color w:val="auto"/>
              </w:rPr>
            </w:pPr>
            <w:r>
              <w:rPr>
                <w:rFonts w:ascii="Arial" w:cs="Arial" w:eastAsia="Arial" w:hAnsi="Arial"/>
                <w:sz w:val="18"/>
                <w:szCs w:val="18"/>
                <w:color w:val="auto"/>
              </w:rPr>
              <w:t>Common stock warrant liability</w:t>
            </w:r>
          </w:p>
        </w:tc>
        <w:tc>
          <w:tcPr>
            <w:tcW w:w="3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 less current portion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15,440</w:t>
            </w:r>
          </w:p>
        </w:tc>
      </w:tr>
      <w:tr>
        <w:trPr>
          <w:trHeight w:val="223"/>
        </w:trPr>
        <w:tc>
          <w:tcPr>
            <w:tcW w:w="20" w:type="dxa"/>
            <w:vAlign w:val="bottom"/>
          </w:tcPr>
          <w:p>
            <w:pPr>
              <w:spacing w:after="0"/>
              <w:rPr>
                <w:sz w:val="19"/>
                <w:szCs w:val="19"/>
                <w:color w:val="auto"/>
              </w:rPr>
            </w:pPr>
          </w:p>
        </w:tc>
        <w:tc>
          <w:tcPr>
            <w:tcW w:w="8040" w:type="dxa"/>
            <w:vAlign w:val="bottom"/>
            <w:gridSpan w:val="3"/>
          </w:tcPr>
          <w:p>
            <w:pPr>
              <w:ind w:left="3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14,748</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18,358</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w w:val="97"/>
              </w:rPr>
              <w:t>Total liabilities</w:t>
            </w: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23,895</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Commitments</w:t>
            </w: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Convertible preferred stock</w:t>
            </w:r>
          </w:p>
        </w:tc>
        <w:tc>
          <w:tcPr>
            <w:tcW w:w="3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319,113</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Series A convertible preferred stock, $0.001 par value, 0 and 3,512,194 shares authorized; 0</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ind w:left="520"/>
              <w:spacing w:after="0"/>
              <w:rPr>
                <w:sz w:val="20"/>
                <w:szCs w:val="20"/>
                <w:color w:val="auto"/>
              </w:rPr>
            </w:pPr>
            <w:r>
              <w:rPr>
                <w:rFonts w:ascii="Arial" w:cs="Arial" w:eastAsia="Arial" w:hAnsi="Arial"/>
                <w:sz w:val="18"/>
                <w:szCs w:val="18"/>
                <w:color w:val="auto"/>
              </w:rPr>
              <w:t>and 700,435 shares issued and outstanding at September 30, 2016 and December 31, 2015,</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40" w:type="dxa"/>
            <w:vAlign w:val="bottom"/>
            <w:gridSpan w:val="3"/>
          </w:tcPr>
          <w:p>
            <w:pPr>
              <w:ind w:left="52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7,231</w:t>
            </w:r>
          </w:p>
        </w:tc>
      </w:tr>
      <w:tr>
        <w:trPr>
          <w:trHeight w:val="202"/>
        </w:trPr>
        <w:tc>
          <w:tcPr>
            <w:tcW w:w="20" w:type="dxa"/>
            <w:vAlign w:val="bottom"/>
          </w:tcPr>
          <w:p>
            <w:pPr>
              <w:spacing w:after="0"/>
              <w:rPr>
                <w:sz w:val="17"/>
                <w:szCs w:val="17"/>
                <w:color w:val="auto"/>
              </w:rPr>
            </w:pPr>
          </w:p>
        </w:tc>
        <w:tc>
          <w:tcPr>
            <w:tcW w:w="80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$0.001 par value, 10,000,000 and 0 shares authorized and outstanding at</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September 30, 2016 and December 31, 2015, respectively</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0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Common stock, $0.0001 par value, 100,000,000 and 20,800,000 shares authorized; 18,179,803</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40" w:type="dxa"/>
            <w:vAlign w:val="bottom"/>
            <w:gridSpan w:val="3"/>
          </w:tcPr>
          <w:p>
            <w:pPr>
              <w:ind w:left="520"/>
              <w:spacing w:after="0"/>
              <w:rPr>
                <w:sz w:val="20"/>
                <w:szCs w:val="20"/>
                <w:color w:val="auto"/>
              </w:rPr>
            </w:pPr>
            <w:r>
              <w:rPr>
                <w:rFonts w:ascii="Arial" w:cs="Arial" w:eastAsia="Arial" w:hAnsi="Arial"/>
                <w:sz w:val="18"/>
                <w:szCs w:val="18"/>
                <w:color w:val="auto"/>
              </w:rPr>
              <w:t>and 85,440 shares outstanding at September 30, 2016 and December 31, 2015, respectively</w:t>
            </w:r>
          </w:p>
        </w:tc>
        <w:tc>
          <w:tcPr>
            <w:tcW w:w="32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388,210</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(294,478)</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(259,675)</w:t>
            </w:r>
          </w:p>
        </w:tc>
      </w:tr>
      <w:tr>
        <w:trPr>
          <w:trHeight w:val="230"/>
        </w:trPr>
        <w:tc>
          <w:tcPr>
            <w:tcW w:w="8060" w:type="dxa"/>
            <w:vAlign w:val="bottom"/>
            <w:gridSpan w:val="4"/>
          </w:tcPr>
          <w:p>
            <w:pPr>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93,834</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117,729</w:t>
            </w:r>
          </w:p>
        </w:tc>
        <w:tc>
          <w:tcPr>
            <w:tcW w:w="7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23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10,349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16,156</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(14,969)</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(95,066)</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(1,500.34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number of common shares used to compute net loss per share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17,899,481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71,639</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13,419,919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380" w:type="dxa"/>
            <w:vAlign w:val="bottom"/>
            <w:gridSpan w:val="7"/>
          </w:tcPr>
          <w:p>
            <w:pPr>
              <w:ind w:left="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(losses) gains on marketable securities</w:t>
            </w:r>
          </w:p>
        </w:tc>
        <w:tc>
          <w:tcPr>
            <w:tcW w:w="2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(15,061)</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(18,839)</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(33,657)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Change in fair value of warrants and derivative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(915)</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(24,741)</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restricted cash</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(131,752)</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and maturities of short-term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92,402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(39,711)</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in initial public stock offering, net</w:t>
            </w:r>
          </w:p>
        </w:tc>
        <w:tc>
          <w:tcPr>
            <w:tcW w:w="2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52,177</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stock option exercises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debt issuance and financing costs</w:t>
            </w:r>
          </w:p>
        </w:tc>
        <w:tc>
          <w:tcPr>
            <w:tcW w:w="2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54,026</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2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23,179</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12,753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54,214</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Supplement disclosures of cash flow information (Note 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Syndax Pharmaceuticals, Inc. (the “Company”) is a clinical stage biopharmaceutical company focused on developing an innovative pipeline of combination therapies in multiple cancer indications. The Company was incorporated under the laws of the State of Delaware on October 11, 2005 (date of inception) and is headquartered in Waltham, Massachusetts.</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Company’s lead product candidate, entinostat was granted Breakthrough Therapy designation by the U.S. Food and Drug Administration (“FDA”) following positive results from its Phase 2b clinical trial, ENCORE 301. Syndax is developing entinostat, which has direct effects on both cancer cells and immune regulatory cells, to potentially enhance the body’s immune response on tumors that have shown sensitivity to immunotherapy. The Company is also evaluating entinostat as a combination therapeutic in Phase 1b/2 clinical trials with Merck &amp; Co., Inc. (“Merck”) for non-small cell lung cancer and melanoma, with Genentech, Inc. for triple negative breast cancer (“TNBC”), and with Pfizer Inc. and Merck KGaA, Darmstadt, Germany, for ovarian cancer.</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1, 2016, the Company entered into a license agreement with UCB Biopharma Sprl (“UCB”) under which UCB granted to the Company a worldwide, sublicenseable, exclusive license to UCB6352, which the Company will refer to as SNDX-6352, an IND-ready anti-CSF-1R monoclonal antibody. Concurrently with the development of entinostat, the Company is also developing SNDX-6352 to potentially enhance the body’s immune response on tumors that have shown sensitivity to immunotherapy. The Company believes that SNDX-6352 has the potential to be used to treat a variety of cancer indications in combination with other oncology agents, including immune checkpoint inhibitors, radiation, chemotherapy and entinostat. During the fourth quarter of 2016, the Company began evaluating SNDX-6352 in a single ascending dose Phase 1 clinical trial. The Company believes that SNDX-6352 has the potential to be used to treat a variety of cancers in combination with other oncology agents, including immune checkpoint inhibitors, radiation, chemotherapy and entinostat.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March 2016, the Company completed its initial public offering (“IPO”) whereby it sold 4,809,475 shares of common stock at the initial public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offering price of $12.00 per share, which included 409,475 shares issued pursuant to the underwriters’ partial exercise of their over-allotment option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additional shares of common stock. The aggregate net proceeds received by the Company from the offering were $50.5 million, net of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discounts and commissions of $4.0 million and offering expenses of $3.1 million. Upon the closing of the IPO, all outstanding shares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convertible preferred stock converted into 12,872,551 shares of common stock; and the Company’s outstanding warrant liability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357,840 shares of the Company’s common stock valued at $4.6 million was reclassified to additional paid-in capital. The shares trade on the Nasdaq Global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Select Market under the symbol “SNDX.” In connection with the closing of the Company’s IPO, the Company filed an amended and restated 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incorporation and adopted amended and restated bylaws, both of which were approved by the Company’s board of directors and stockholders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28, 2015 and February 24, 2016, respectively. Pursuant to the amended and restated certificate of incorporation, the Company is now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 100,000,000 shares of common stock and 10,000,000 shares of preferred stock.</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either entinostat or SNDX-6352 is approved, if ever, and the Company begins to generate revenue from sales of entinostat and SNDX-6352. Accordingly, management expects to incur substantial losses on the ongoing development of entinostat and SNDX-6352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Company’s management believes that the cash, cash equivalents and short-term investments balances as of September 30, 2016 should enable the Company to maintain its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2016, and the results of operations, comprehensive loss, and cash flows for the nine months ended September 30, 2016 and 2015. The results for the three and nine months ended September 30, 2016 are not necessarily indicative of the results to be expected for the year ending December 31, 2016, any other interim periods, or any future year or period. These interim financial statements should be read in conjunction with the audited financial statements as of and for the year ended December 31, 2015, and the notes thereto, which are included in the Company’s Prospectus that forms a part of the Company’s Registration Statement on Form S-1 (File No. 333-208861), which was filed with the Securities and Exchange Commission (the “SEC”) pursuant to Rule 424 on March 3, 2016 (the “Prospectus”).</w:t>
      </w:r>
    </w:p>
    <w:p>
      <w:pPr>
        <w:spacing w:after="0" w:line="17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2011, the Company established a wholly owned subsidiary in the United Kingdom. There has been no activity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16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February 24, 2016, the Company effected a 1-for-1.25 reverse stock split of the Company’s outstanding common stock and convertible preferred stock. Stockholders entitled to fractional shares as a result of the reverse stock split received a cash payment in lieu of receiving fractional shares. All of the Company’s historical share and per share information shown in the accompanying financial statements and related notes have been retroactively adjusted to give effect to this reverse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i w:val="1"/>
          <w:iCs w:val="1"/>
          <w:color w:val="auto"/>
        </w:rPr>
        <w:t>Significant Accounting Policies</w:t>
      </w:r>
      <w:r>
        <w:rPr>
          <w:rFonts w:ascii="Arial" w:cs="Arial" w:eastAsia="Arial" w:hAnsi="Arial"/>
          <w:sz w:val="18"/>
          <w:szCs w:val="18"/>
          <w:b w:val="1"/>
          <w:bCs w:val="1"/>
          <w:color w:val="auto"/>
        </w:rPr>
        <w:t>—</w:t>
      </w:r>
      <w:r>
        <w:rPr>
          <w:rFonts w:ascii="Arial" w:cs="Arial" w:eastAsia="Arial" w:hAnsi="Arial"/>
          <w:sz w:val="18"/>
          <w:szCs w:val="18"/>
          <w:color w:val="auto"/>
        </w:rPr>
        <w:t>There have been no significant or material changes to the Company’s significant accounting policies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2016, from those disclosed in the Company’s audited consolidated financial statements for the year ended December 31, 2015 and the notes thereto, which are included in the Prospectus.</w:t>
      </w:r>
    </w:p>
    <w:p>
      <w:pPr>
        <w:spacing w:after="0" w:line="18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condensed consolidated financial statements in conformity with U.S. GAAP requires management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Other assets consist of deferred issuance costs, long-term security deposits and noncurrent restricted cash. Deferred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primarily of direct incremental legal and accounting fees relating to the IPO and issuance of debt. As of December 31, 2015, the Company had capitalized deferred IPO issuance costs of $1.6 million. Upon the closing of the IPO, these costs were reclassified to additional paid-in capital as a reduction of the IPO proceeds.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In May 2014, the Financial Accounting Standards Board (the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2014-09”). ASU 2014-09 supersedes the revenue recognition requirements of the FASB’s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Codification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most industry-specific guidance throughout the ASC, resulting in the creation of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ASU 2014-09 requires entities to recognize revenue in a way that depicts the transfer of promised goods or services to customers in an amount that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reflects the consideration to which the entity expects to be entitled to in exchange for those goods or services. In March 2016, the FASB issued ASU 2016-08, </w:t>
      </w:r>
      <w:r>
        <w:rPr>
          <w:rFonts w:ascii="Arial" w:cs="Arial" w:eastAsia="Arial" w:hAnsi="Arial"/>
          <w:sz w:val="17"/>
          <w:szCs w:val="17"/>
          <w:i w:val="1"/>
          <w:iCs w:val="1"/>
          <w:color w:val="auto"/>
        </w:rPr>
        <w:t xml:space="preserve">Revenue from Contracts with Customers (Topic 606): Principal versus Agent Considerations (Reporting Revenue Gross versus Net), </w:t>
      </w:r>
      <w:r>
        <w:rPr>
          <w:rFonts w:ascii="Arial" w:cs="Arial" w:eastAsia="Arial" w:hAnsi="Arial"/>
          <w:sz w:val="17"/>
          <w:szCs w:val="17"/>
          <w:color w:val="auto"/>
        </w:rPr>
        <w:t>(“ASU 2016-08”),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amends ASU 2014-09 to clarify the implementation guidance on principal versus agent considerations (gross versus net revenue presentation). ASU 2016-08 does not change the core principle of the guidance stated in ASU 2014-09, instead, the amendments in this ASU are intended to improve the operability and understandability of the implementation guidance on principal versus agent considerations and whether an entity reports revenue on a gross or net basis. Adoption of both ASU 2016-08 and 2014-09 will be permitted using either a retrospective or modified retrospective approach. In July 2015, the FASB voted to delay the effective date of the standard by one year to the first quarter of 2018 to provide companies sufficient time to implement the standard. The collective guidance will be effective for the Company on January 1, 2018, with early adoption permitted but not before January 1, 2017. The Company is currently evaluating the method by which it will implement these standards and the impact that the adoption of these standards will have on the Company’s consolidated financial statements.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Company is in the process of evaluating the effect of the new guidance on the Company’s consolidated financial statements and disclosures.</w:t>
      </w:r>
    </w:p>
    <w:p>
      <w:pPr>
        <w:spacing w:after="0" w:line="19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ASU 2016-09 will be effective for the Company on January 1, 2017 with early adoption permitted. The Company does not expect the adoption of this standard to have a material impact on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Attributable to Common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23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gridSpan w:val="9"/>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(14,969)</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(7,731)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(33,657)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(46,108)</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(14,969)</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(95,066)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(790.85</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(1,500.34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89"/>
              </w:rPr>
              <w:t>Weighted-average common shares used to compute net loss per share—basic</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17,899,481</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71,639</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13,419,919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63,363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00" w:type="dxa"/>
            <w:vAlign w:val="bottom"/>
            <w:vMerge w:val="restart"/>
          </w:tcPr>
          <w:p>
            <w:pPr>
              <w:jc w:val="right"/>
              <w:ind w:right="250"/>
              <w:spacing w:after="0"/>
              <w:rPr>
                <w:sz w:val="20"/>
                <w:szCs w:val="20"/>
                <w:color w:val="auto"/>
              </w:rPr>
            </w:pPr>
            <w:r>
              <w:rPr>
                <w:rFonts w:ascii="Arial" w:cs="Arial" w:eastAsia="Arial" w:hAnsi="Arial"/>
                <w:sz w:val="18"/>
                <w:szCs w:val="18"/>
                <w:color w:val="auto"/>
              </w:rPr>
              <w:t>7</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0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100" w:type="dxa"/>
            <w:vAlign w:val="bottom"/>
            <w:gridSpan w:val="4"/>
          </w:tcPr>
          <w:p>
            <w:pPr>
              <w:ind w:lef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5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12,872,551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2,508,083</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2,589,138</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357,840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277,152</w:t>
            </w:r>
          </w:p>
        </w:tc>
        <w:tc>
          <w:tcPr>
            <w:tcW w:w="100" w:type="dxa"/>
            <w:vAlign w:val="bottom"/>
            <w:shd w:val="clear" w:color="auto" w:fill="CCEEFF"/>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Restricted stock subject to future vesting</w:t>
            </w:r>
          </w:p>
        </w:tc>
        <w:tc>
          <w:tcPr>
            <w:tcW w:w="780" w:type="dxa"/>
            <w:vAlign w:val="bottom"/>
          </w:tcPr>
          <w:p>
            <w:pPr>
              <w:jc w:val="right"/>
              <w:spacing w:after="0"/>
              <w:rPr>
                <w:sz w:val="20"/>
                <w:szCs w:val="20"/>
                <w:color w:val="auto"/>
              </w:rPr>
            </w:pPr>
            <w:r>
              <w:rPr>
                <w:rFonts w:ascii="Arial" w:cs="Arial" w:eastAsia="Arial" w:hAnsi="Arial"/>
                <w:sz w:val="18"/>
                <w:szCs w:val="18"/>
                <w:color w:val="auto"/>
              </w:rPr>
              <w:t>10,077</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16,219</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Agreements</w:t>
      </w:r>
    </w:p>
    <w:p>
      <w:pPr>
        <w:spacing w:after="0" w:line="117"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b w:val="1"/>
          <w:bCs w:val="1"/>
          <w:color w:val="auto"/>
        </w:rPr>
        <w:t xml:space="preserve">UCB Biopharma Sprl – </w:t>
      </w:r>
      <w:r>
        <w:rPr>
          <w:rFonts w:ascii="Arial" w:cs="Arial" w:eastAsia="Arial" w:hAnsi="Arial"/>
          <w:sz w:val="17"/>
          <w:szCs w:val="17"/>
          <w:color w:val="auto"/>
        </w:rPr>
        <w:t>On July 1, 2016, the Company entered into a license agreement (the “UCB License Agreement”) with UCB Biopharma</w:t>
      </w:r>
      <w:r>
        <w:rPr>
          <w:rFonts w:ascii="Arial" w:cs="Arial" w:eastAsia="Arial" w:hAnsi="Arial"/>
          <w:sz w:val="17"/>
          <w:szCs w:val="17"/>
          <w:b w:val="1"/>
          <w:bCs w:val="1"/>
          <w:color w:val="auto"/>
        </w:rPr>
        <w:t xml:space="preserve"> </w:t>
      </w:r>
      <w:r>
        <w:rPr>
          <w:rFonts w:ascii="Arial" w:cs="Arial" w:eastAsia="Arial" w:hAnsi="Arial"/>
          <w:sz w:val="17"/>
          <w:szCs w:val="17"/>
          <w:color w:val="auto"/>
        </w:rPr>
        <w:t>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SNDX-6352, except that UCB will perform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the date of the UCB License Agreement, the asset acquired had no alternative future use nor had it reached a</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stage of technological feasibility. As the processes or activities that were acquired along with the license do not constitute a “business,” the transaction has been accounted for as an asset acquisition. As a result of these findings, the upfront payment of $5.0 million has been recorded as research and development expense.</w:t>
      </w:r>
    </w:p>
    <w:p>
      <w:pPr>
        <w:spacing w:after="0" w:line="18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Kyowa Hakko Kirin Co., Ltd. – </w:t>
      </w:r>
      <w:r>
        <w:rPr>
          <w:rFonts w:ascii="Arial" w:cs="Arial" w:eastAsia="Arial" w:hAnsi="Arial"/>
          <w:sz w:val="17"/>
          <w:szCs w:val="17"/>
          <w:color w:val="auto"/>
        </w:rPr>
        <w:t>On December 19, 2014 (the “Effective Date”), the Company entered into a license agreement (the “KHK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To the extent additional intellectual property is developed during the term of the agreement, KHK will receive a license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Unless terminated earlier in accordance with the terms of the agreement, it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40" w:firstLine="8"/>
        <w:spacing w:after="0" w:line="253"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will be allocated to the license unit of accounting. The arrangement consideration allocated to the license unit of accounting will be recognized as revenue ratably over the Company’s expected services period (currently expected to be through 2029) commencing on the date of the first delivery of the clinical trial materials.</w:t>
      </w:r>
    </w:p>
    <w:p>
      <w:pPr>
        <w:spacing w:after="0" w:line="19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June 2015, the Company began delivering clinical materials to KHK and commenced recognizing revenue from the upfront consideration of $17.3 million. For the three and nine months ended September 30, 2016, the Company recognized $0.3 million and $0.9 million, respectively, of revenue associated with the KHK License Agreement. As of September 30, 2016, there was $15.7 million of deferred revenue related to the KHK License Agreement, which is classified as current or long-term in the condensed consolidated balance sheets.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 xml:space="preserve">Eastern Cooperative Oncology Group </w:t>
      </w:r>
      <w:r>
        <w:rPr>
          <w:rFonts w:ascii="Arial" w:cs="Arial" w:eastAsia="Arial" w:hAnsi="Arial"/>
          <w:sz w:val="18"/>
          <w:szCs w:val="18"/>
          <w:color w:val="auto"/>
        </w:rPr>
        <w:t>– In March 2014, the Company entered into a clinical trial agreement (the “ECOG Agreement”) with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Cooperative Oncology Group, a contracting entity for the Eastern Cooperative Oncology Group—American College of Radiology Imaging Network Cancer Research Group (“ECOG-ACRIN”), that describes the parties’ obligations with respect to the National Cancer Institute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As of September 30, 2016, the Company’s aggregate payment obligations under this agreement were approximately $21.4 million; and the Company’s remaining payment obligation is approximately $15.0 million over an estimated period of approximately 4.45 years.</w:t>
      </w:r>
    </w:p>
    <w:p>
      <w:pPr>
        <w:spacing w:after="0" w:line="19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5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Bayer Pharma AG (formerly known as Bayer Schering Pharma AG) </w:t>
      </w:r>
      <w:r>
        <w:rPr>
          <w:rFonts w:ascii="Arial" w:cs="Arial" w:eastAsia="Arial" w:hAnsi="Arial"/>
          <w:sz w:val="17"/>
          <w:szCs w:val="17"/>
          <w:color w:val="auto"/>
        </w:rPr>
        <w:t>– In March 2007, the Company entered into a license agreement (the “Bayer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Bayer AG (formerly known as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6"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Upon the closing of the IPO, the total number of shares of the Company’s common stock issuable upon exercise of the warrant was set at 357,840. Prior to the closing of the IPO, the warrant contained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on March 8, 2016, using current assumptions just prior to the reclassification.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total shares exercisable under the warrant, the fair value associated with the warrant and the Black-Scholes option-pricing model assumptions used to value the shares of common stock issuable pursuant to the warrant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Total Shares of</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9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Risk-Free</w:t>
            </w: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Estimated</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of</w:t>
            </w:r>
          </w:p>
        </w:tc>
        <w:tc>
          <w:tcPr>
            <w:tcW w:w="10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Estimated</w:t>
            </w:r>
          </w:p>
        </w:tc>
        <w:tc>
          <w:tcPr>
            <w:tcW w:w="11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Issuable Under</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Dividend</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Life</w:t>
            </w: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Warrant</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the Warrant</w:t>
            </w:r>
          </w:p>
        </w:tc>
        <w:tc>
          <w:tcPr>
            <w:tcW w:w="10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68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right"/>
              <w:ind w:right="239"/>
              <w:spacing w:after="0"/>
              <w:rPr>
                <w:sz w:val="20"/>
                <w:szCs w:val="20"/>
                <w:color w:val="auto"/>
              </w:rPr>
            </w:pPr>
            <w:r>
              <w:rPr>
                <w:rFonts w:ascii="Arial" w:cs="Arial" w:eastAsia="Arial" w:hAnsi="Arial"/>
                <w:sz w:val="14"/>
                <w:szCs w:val="14"/>
                <w:b w:val="1"/>
                <w:bCs w:val="1"/>
                <w:color w:val="auto"/>
              </w:rPr>
              <w:t>Volatility</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Rate</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Yield</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years)</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5"/>
          </w:tcPr>
          <w:p>
            <w:pPr>
              <w:ind w:left="180"/>
              <w:spacing w:after="0" w:line="142"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4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10.90</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March 8, 2016</w:t>
            </w:r>
          </w:p>
        </w:tc>
        <w:tc>
          <w:tcPr>
            <w:tcW w:w="960" w:type="dxa"/>
            <w:vAlign w:val="bottom"/>
          </w:tcPr>
          <w:p>
            <w:pPr>
              <w:jc w:val="right"/>
              <w:spacing w:after="0"/>
              <w:rPr>
                <w:sz w:val="20"/>
                <w:szCs w:val="20"/>
                <w:color w:val="auto"/>
              </w:rPr>
            </w:pPr>
            <w:r>
              <w:rPr>
                <w:rFonts w:ascii="Arial" w:cs="Arial" w:eastAsia="Arial" w:hAnsi="Arial"/>
                <w:sz w:val="18"/>
                <w:szCs w:val="18"/>
                <w:color w:val="auto"/>
              </w:rPr>
              <w:t>357,840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9"/>
              <w:spacing w:after="0"/>
              <w:rPr>
                <w:sz w:val="20"/>
                <w:szCs w:val="20"/>
                <w:color w:val="auto"/>
              </w:rPr>
            </w:pPr>
            <w:r>
              <w:rPr>
                <w:rFonts w:ascii="Arial" w:cs="Arial" w:eastAsia="Arial" w:hAnsi="Arial"/>
                <w:sz w:val="18"/>
                <w:szCs w:val="18"/>
                <w:color w:val="auto"/>
              </w:rPr>
              <w:t>1.54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9"/>
              <w:spacing w:after="0"/>
              <w:rPr>
                <w:sz w:val="20"/>
                <w:szCs w:val="20"/>
                <w:color w:val="auto"/>
              </w:rPr>
            </w:pPr>
            <w:r>
              <w:rPr>
                <w:rFonts w:ascii="Arial" w:cs="Arial" w:eastAsia="Arial" w:hAnsi="Arial"/>
                <w:sz w:val="18"/>
                <w:szCs w:val="18"/>
                <w:color w:val="auto"/>
              </w:rPr>
              <w:t>13.55</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69%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ind w:left="1380" w:right="260" w:hanging="1017"/>
        <w:spacing w:after="0" w:line="264"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w w:val="99"/>
              </w:rPr>
              <w:t>Fair Value Measurements Using</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Quoted</w:t>
            </w:r>
          </w:p>
        </w:tc>
        <w:tc>
          <w:tcPr>
            <w:tcW w:w="10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Prices</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 Active</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2015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46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23,154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13,946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3"/>
          </w:tcPr>
          <w:p>
            <w:pPr>
              <w:ind w:left="100"/>
              <w:spacing w:after="0"/>
              <w:rPr>
                <w:sz w:val="20"/>
                <w:szCs w:val="20"/>
                <w:color w:val="auto"/>
              </w:rPr>
            </w:pPr>
            <w:r>
              <w:rPr>
                <w:rFonts w:ascii="Arial" w:cs="Arial" w:eastAsia="Arial" w:hAnsi="Arial"/>
                <w:sz w:val="18"/>
                <w:szCs w:val="18"/>
                <w:color w:val="auto"/>
              </w:rPr>
              <w:t>63,310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63,310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86,464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77,256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Arial" w:cs="Arial" w:eastAsia="Arial" w:hAnsi="Arial"/>
                <w:sz w:val="18"/>
                <w:szCs w:val="18"/>
                <w:color w:val="auto"/>
              </w:rPr>
              <w:t>Common stock warrant liability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September 30, 2016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ind w:left="100"/>
              <w:spacing w:after="0"/>
              <w:rPr>
                <w:sz w:val="20"/>
                <w:szCs w:val="20"/>
                <w:color w:val="auto"/>
              </w:rPr>
            </w:pPr>
            <w:r>
              <w:rPr>
                <w:rFonts w:ascii="Arial" w:cs="Arial" w:eastAsia="Arial" w:hAnsi="Arial"/>
                <w:sz w:val="18"/>
                <w:szCs w:val="18"/>
                <w:color w:val="auto"/>
              </w:rPr>
              <w:t>12,753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12,753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102,814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102,814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3"/>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115,567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12,753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102,814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Cash equivalents of $12.8 million as of September 30, 2016 and $9.2 million as of December 31, 2015 consisted of money market funds and are classified within Level 1 of the fair value hierarchy because they are valued using quoted market prices in active markets. Cash equivalents of $13.9 million as of December 31, 2015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Short-term investments of $102.8 million as of September 30, 2016 and $63.3 million as of December 31, 2015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September 30, 2016,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and nine months ended September 30, 2016 and 2015; and as a result, the Company did not reclassify any amounts out of accumulated other comprehensive income for the same periods. The Company has a limited number of available-for-sale securities in insignificant loss positions as of September 30, 2016, which the Company does not intend to sell and has concluded it will not be required to sell before recovery of the amortized cost for the investment at maturity. The following table summarizes the available-for-sale securities: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0"/>
              </w:rPr>
              <w:t>Unrealized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28,980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29,028</w:t>
            </w:r>
          </w:p>
        </w:tc>
        <w:tc>
          <w:tcPr>
            <w:tcW w:w="0" w:type="dxa"/>
            <w:vAlign w:val="bottom"/>
          </w:tcPr>
          <w:p>
            <w:pPr>
              <w:spacing w:after="0"/>
              <w:rPr>
                <w:sz w:val="1"/>
                <w:szCs w:val="1"/>
                <w:color w:val="auto"/>
              </w:rPr>
            </w:pPr>
          </w:p>
        </w:tc>
      </w:tr>
      <w:tr>
        <w:trPr>
          <w:trHeight w:val="216"/>
        </w:trPr>
        <w:tc>
          <w:tcPr>
            <w:tcW w:w="6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34,282</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September 30, 2016</w:t>
            </w:r>
          </w:p>
        </w:tc>
        <w:tc>
          <w:tcPr>
            <w:tcW w:w="4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58,344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58,461</w:t>
            </w:r>
          </w:p>
        </w:tc>
        <w:tc>
          <w:tcPr>
            <w:tcW w:w="0" w:type="dxa"/>
            <w:vAlign w:val="bottom"/>
          </w:tcPr>
          <w:p>
            <w:pPr>
              <w:spacing w:after="0"/>
              <w:rPr>
                <w:sz w:val="1"/>
                <w:szCs w:val="1"/>
                <w:color w:val="auto"/>
              </w:rPr>
            </w:pPr>
          </w:p>
        </w:tc>
      </w:tr>
      <w:tr>
        <w:trPr>
          <w:trHeight w:val="216"/>
        </w:trPr>
        <w:tc>
          <w:tcPr>
            <w:tcW w:w="6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44,353</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102,714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is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1"/>
              </w:rPr>
              <w:t>Common Stock</w:t>
            </w:r>
          </w:p>
        </w:tc>
        <w:tc>
          <w:tcPr>
            <w:tcW w:w="8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Warrant</w:t>
            </w:r>
          </w:p>
        </w:tc>
        <w:tc>
          <w:tcPr>
            <w:tcW w:w="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8"/>
              </w:rPr>
              <w:t>Liability</w:t>
            </w:r>
          </w:p>
        </w:tc>
        <w:tc>
          <w:tcPr>
            <w:tcW w:w="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1"/>
              </w:rPr>
              <w:t>Common Stock</w:t>
            </w:r>
          </w:p>
        </w:tc>
        <w:tc>
          <w:tcPr>
            <w:tcW w:w="8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Warrant</w:t>
            </w:r>
          </w:p>
        </w:tc>
        <w:tc>
          <w:tcPr>
            <w:tcW w:w="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8"/>
              </w:rPr>
              <w:t>Liability</w:t>
            </w:r>
          </w:p>
        </w:tc>
        <w:tc>
          <w:tcPr>
            <w:tcW w:w="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1,703</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Balance—September 30, 2016</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derivative liability related to the contingent success fee owed under the term loans. Upon the completion of an IPO or upon the occurrence of certain change of control or liquidation events, the Company is required to pay a $0.2 million success fee. The 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and the success fee of $0.2 million that is payable in June 2018 is included in other long-term liabilities.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7"/>
          </w:tcPr>
          <w:p>
            <w:pPr>
              <w:ind w:left="60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ind w:right="41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9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0" w:type="dxa"/>
            <w:vAlign w:val="bottom"/>
            <w:gridSpan w:val="4"/>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Prepaid insurance</w:t>
            </w:r>
          </w:p>
        </w:tc>
        <w:tc>
          <w:tcPr>
            <w:tcW w:w="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clinical supplies</w:t>
            </w:r>
          </w:p>
        </w:tc>
        <w:tc>
          <w:tcPr>
            <w:tcW w:w="9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5"/>
          </w:tcPr>
          <w:p>
            <w:pPr>
              <w:spacing w:after="0"/>
              <w:rPr>
                <w:sz w:val="20"/>
                <w:szCs w:val="20"/>
                <w:color w:val="auto"/>
              </w:rPr>
            </w:pPr>
            <w:r>
              <w:rPr>
                <w:rFonts w:ascii="Arial" w:cs="Arial" w:eastAsia="Arial" w:hAnsi="Arial"/>
                <w:sz w:val="18"/>
                <w:szCs w:val="18"/>
                <w:color w:val="auto"/>
              </w:rPr>
              <w:t>Interest receivable on short-term investments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60" w:type="dxa"/>
            <w:vAlign w:val="bottom"/>
            <w:gridSpan w:val="6"/>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20" w:type="dxa"/>
            <w:vAlign w:val="bottom"/>
            <w:gridSpan w:val="7"/>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20" w:type="dxa"/>
            <w:vAlign w:val="bottom"/>
            <w:gridSpan w:val="7"/>
          </w:tcPr>
          <w:p>
            <w:pPr>
              <w:ind w:left="44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7"/>
          </w:tcPr>
          <w:p>
            <w:pPr>
              <w:ind w:left="60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ind w:right="41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clinical costs</w:t>
            </w:r>
          </w:p>
        </w:tc>
        <w:tc>
          <w:tcPr>
            <w:tcW w:w="9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400" w:type="dxa"/>
            <w:vAlign w:val="bottom"/>
            <w:gridSpan w:val="4"/>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3"/>
              </w:rPr>
              <w:t>Accrued professional fees</w:t>
            </w:r>
          </w:p>
        </w:tc>
        <w:tc>
          <w:tcPr>
            <w:tcW w:w="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Accrued compensation and related costs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9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400" w:type="dxa"/>
            <w:vAlign w:val="bottom"/>
            <w:gridSpan w:val="4"/>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9. Convertible Preferred Stock</w:t>
            </w: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360" w:type="dxa"/>
            <w:vAlign w:val="bottom"/>
            <w:gridSpan w:val="6"/>
            <w:vMerge w:val="continue"/>
          </w:tcPr>
          <w:p>
            <w:pPr>
              <w:spacing w:after="0"/>
              <w:rPr>
                <w:sz w:val="24"/>
                <w:szCs w:val="24"/>
                <w:color w:val="auto"/>
              </w:rPr>
            </w:pPr>
          </w:p>
        </w:tc>
        <w:tc>
          <w:tcPr>
            <w:tcW w:w="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20" w:type="dxa"/>
            <w:vAlign w:val="bottom"/>
            <w:gridSpan w:val="7"/>
          </w:tcPr>
          <w:p>
            <w:pPr>
              <w:ind w:left="440"/>
              <w:spacing w:after="0"/>
              <w:rPr>
                <w:sz w:val="20"/>
                <w:szCs w:val="20"/>
                <w:color w:val="auto"/>
              </w:rPr>
            </w:pPr>
            <w:r>
              <w:rPr>
                <w:rFonts w:ascii="Arial" w:cs="Arial" w:eastAsia="Arial" w:hAnsi="Arial"/>
                <w:sz w:val="18"/>
                <w:szCs w:val="18"/>
                <w:color w:val="auto"/>
                <w:w w:val="93"/>
              </w:rPr>
              <w:t>Convertible preferred stock consisted of the following as of December 31, 2015: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6"/>
              </w:rPr>
              <w:t>Preferred</w:t>
            </w:r>
          </w:p>
        </w:tc>
        <w:tc>
          <w:tcPr>
            <w:tcW w:w="960" w:type="dxa"/>
            <w:vAlign w:val="bottom"/>
          </w:tcPr>
          <w:p>
            <w:pPr>
              <w:spacing w:after="0"/>
              <w:rPr>
                <w:sz w:val="24"/>
                <w:szCs w:val="24"/>
                <w:color w:val="auto"/>
              </w:rPr>
            </w:pPr>
          </w:p>
        </w:tc>
        <w:tc>
          <w:tcPr>
            <w:tcW w:w="212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0"/>
              </w:rPr>
              <w:t>Issuance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320" w:type="dxa"/>
            <w:vAlign w:val="bottom"/>
          </w:tcPr>
          <w:p>
            <w:pPr>
              <w:spacing w:after="0"/>
              <w:rPr>
                <w:sz w:val="24"/>
                <w:szCs w:val="24"/>
                <w:color w:val="auto"/>
              </w:rPr>
            </w:pPr>
          </w:p>
        </w:tc>
        <w:tc>
          <w:tcPr>
            <w:tcW w:w="10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2"/>
              </w:rPr>
              <w:t>Liquidation</w:t>
            </w: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center"/>
              <w:ind w:right="1220"/>
              <w:spacing w:after="0" w:line="145" w:lineRule="exact"/>
              <w:rPr>
                <w:sz w:val="20"/>
                <w:szCs w:val="20"/>
                <w:color w:val="auto"/>
              </w:rPr>
            </w:pPr>
            <w:r>
              <w:rPr>
                <w:rFonts w:ascii="Arial" w:cs="Arial" w:eastAsia="Arial" w:hAnsi="Arial"/>
                <w:sz w:val="14"/>
                <w:szCs w:val="14"/>
                <w:b w:val="1"/>
                <w:bCs w:val="1"/>
                <w:color w:val="auto"/>
                <w:w w:val="89"/>
              </w:rPr>
              <w:t>Shares</w:t>
            </w:r>
          </w:p>
        </w:tc>
        <w:tc>
          <w:tcPr>
            <w:tcW w:w="96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8"/>
              </w:rPr>
              <w:t>Shares Issued</w:t>
            </w:r>
          </w:p>
        </w:tc>
        <w:tc>
          <w:tcPr>
            <w:tcW w:w="3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Designated</w:t>
            </w:r>
          </w:p>
        </w:tc>
        <w:tc>
          <w:tcPr>
            <w:tcW w:w="960" w:type="dxa"/>
            <w:vAlign w:val="bottom"/>
          </w:tcPr>
          <w:p>
            <w:pPr>
              <w:spacing w:after="0"/>
              <w:rPr>
                <w:sz w:val="15"/>
                <w:szCs w:val="15"/>
                <w:color w:val="auto"/>
              </w:rPr>
            </w:pPr>
          </w:p>
        </w:tc>
        <w:tc>
          <w:tcPr>
            <w:tcW w:w="2120" w:type="dxa"/>
            <w:vAlign w:val="bottom"/>
          </w:tcPr>
          <w:p>
            <w:pPr>
              <w:jc w:val="center"/>
              <w:ind w:right="215"/>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and Outstanding</w:t>
            </w:r>
          </w:p>
        </w:tc>
        <w:tc>
          <w:tcPr>
            <w:tcW w:w="320" w:type="dxa"/>
            <w:vAlign w:val="bottom"/>
          </w:tcPr>
          <w:p>
            <w:pPr>
              <w:spacing w:after="0"/>
              <w:rPr>
                <w:sz w:val="15"/>
                <w:szCs w:val="15"/>
                <w:color w:val="auto"/>
              </w:rPr>
            </w:pPr>
          </w:p>
        </w:tc>
        <w:tc>
          <w:tcPr>
            <w:tcW w:w="10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Preference</w:t>
            </w: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920" w:type="dxa"/>
            <w:vAlign w:val="bottom"/>
            <w:tcBorders>
              <w:top w:val="single" w:sz="8" w:color="auto"/>
            </w:tcBorders>
            <w:gridSpan w:val="4"/>
          </w:tcPr>
          <w:p>
            <w:pPr>
              <w:jc w:val="right"/>
              <w:ind w:right="85"/>
              <w:spacing w:after="0" w:line="129" w:lineRule="exact"/>
              <w:rPr>
                <w:sz w:val="20"/>
                <w:szCs w:val="20"/>
                <w:color w:val="auto"/>
              </w:rPr>
            </w:pPr>
            <w:r>
              <w:rPr>
                <w:rFonts w:ascii="Arial" w:cs="Arial" w:eastAsia="Arial" w:hAnsi="Arial"/>
                <w:sz w:val="14"/>
                <w:szCs w:val="14"/>
                <w:b w:val="1"/>
                <w:bCs w:val="1"/>
                <w:color w:val="auto"/>
              </w:rPr>
              <w:t>(In thousands, except share and per share data)</w:t>
            </w: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3,160,975</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right="215"/>
              <w:spacing w:after="0"/>
              <w:rPr>
                <w:sz w:val="20"/>
                <w:szCs w:val="20"/>
                <w:color w:val="auto"/>
              </w:rPr>
            </w:pPr>
            <w:r>
              <w:rPr>
                <w:rFonts w:ascii="Arial" w:cs="Arial" w:eastAsia="Arial" w:hAnsi="Arial"/>
                <w:sz w:val="18"/>
                <w:szCs w:val="18"/>
                <w:color w:val="auto"/>
                <w:w w:val="90"/>
              </w:rPr>
              <w:t>March 2013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2,801,745</w:t>
            </w:r>
          </w:p>
        </w:tc>
        <w:tc>
          <w:tcPr>
            <w:tcW w:w="13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$48,032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3,382,113</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20" w:type="dxa"/>
            <w:vAlign w:val="bottom"/>
          </w:tcPr>
          <w:p>
            <w:pPr>
              <w:jc w:val="center"/>
              <w:ind w:right="215"/>
              <w:spacing w:after="0"/>
              <w:rPr>
                <w:sz w:val="20"/>
                <w:szCs w:val="20"/>
                <w:color w:val="auto"/>
              </w:rPr>
            </w:pPr>
            <w:r>
              <w:rPr>
                <w:rFonts w:ascii="Arial" w:cs="Arial" w:eastAsia="Arial" w:hAnsi="Arial"/>
                <w:sz w:val="18"/>
                <w:szCs w:val="18"/>
                <w:color w:val="auto"/>
                <w:w w:val="91"/>
              </w:rPr>
              <w:t>March and August 2013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272,240</w:t>
            </w:r>
          </w:p>
        </w:tc>
        <w:tc>
          <w:tcPr>
            <w:tcW w:w="1360" w:type="dxa"/>
            <w:vAlign w:val="bottom"/>
            <w:gridSpan w:val="5"/>
          </w:tcPr>
          <w:p>
            <w:pPr>
              <w:jc w:val="right"/>
              <w:ind w:right="320"/>
              <w:spacing w:after="0"/>
              <w:rPr>
                <w:sz w:val="20"/>
                <w:szCs w:val="20"/>
                <w:color w:val="auto"/>
              </w:rPr>
            </w:pPr>
            <w:r>
              <w:rPr>
                <w:rFonts w:ascii="Arial" w:cs="Arial" w:eastAsia="Arial" w:hAnsi="Arial"/>
                <w:sz w:val="18"/>
                <w:szCs w:val="18"/>
                <w:color w:val="auto"/>
              </w:rPr>
              <w:t>$2,933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w:t>
            </w:r>
          </w:p>
        </w:tc>
        <w:tc>
          <w:tcPr>
            <w:tcW w:w="10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3,965,411</w:t>
            </w:r>
          </w:p>
        </w:tc>
        <w:tc>
          <w:tcPr>
            <w:tcW w:w="90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jc w:val="center"/>
              <w:ind w:right="165"/>
              <w:spacing w:after="0" w:line="201" w:lineRule="exact"/>
              <w:rPr>
                <w:sz w:val="20"/>
                <w:szCs w:val="20"/>
                <w:color w:val="auto"/>
              </w:rPr>
            </w:pPr>
            <w:r>
              <w:rPr>
                <w:rFonts w:ascii="Arial" w:cs="Arial" w:eastAsia="Arial" w:hAnsi="Arial"/>
                <w:sz w:val="18"/>
                <w:szCs w:val="18"/>
                <w:color w:val="auto"/>
                <w:w w:val="92"/>
              </w:rPr>
              <w:t>March, April, July, August and November 2013</w:t>
            </w:r>
          </w:p>
        </w:tc>
        <w:tc>
          <w:tcPr>
            <w:tcW w:w="56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3,568,020</w:t>
            </w:r>
          </w:p>
        </w:tc>
        <w:tc>
          <w:tcPr>
            <w:tcW w:w="1360" w:type="dxa"/>
            <w:vAlign w:val="bottom"/>
            <w:gridSpan w:val="5"/>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$96,348</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$96,348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January 2015</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Series C-1</w:t>
            </w: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6,090,481</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20" w:type="dxa"/>
            <w:vAlign w:val="bottom"/>
          </w:tcPr>
          <w:p>
            <w:pPr>
              <w:jc w:val="center"/>
              <w:ind w:right="215"/>
              <w:spacing w:after="0"/>
              <w:rPr>
                <w:sz w:val="20"/>
                <w:szCs w:val="20"/>
                <w:color w:val="auto"/>
              </w:rPr>
            </w:pPr>
            <w:r>
              <w:rPr>
                <w:rFonts w:ascii="Arial" w:cs="Arial" w:eastAsia="Arial" w:hAnsi="Arial"/>
                <w:sz w:val="18"/>
                <w:szCs w:val="18"/>
                <w:color w:val="auto"/>
                <w:w w:val="89"/>
              </w:rPr>
              <w:t>June and August 2015</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6,090,461</w:t>
            </w:r>
          </w:p>
        </w:tc>
        <w:tc>
          <w:tcPr>
            <w:tcW w:w="1360" w:type="dxa"/>
            <w:vAlign w:val="bottom"/>
            <w:gridSpan w:val="5"/>
          </w:tcPr>
          <w:p>
            <w:pPr>
              <w:jc w:val="right"/>
              <w:ind w:right="320"/>
              <w:spacing w:after="0"/>
              <w:rPr>
                <w:sz w:val="20"/>
                <w:szCs w:val="20"/>
                <w:color w:val="auto"/>
              </w:rPr>
            </w:pPr>
            <w:r>
              <w:rPr>
                <w:rFonts w:ascii="Arial" w:cs="Arial" w:eastAsia="Arial" w:hAnsi="Arial"/>
                <w:sz w:val="18"/>
                <w:szCs w:val="18"/>
                <w:color w:val="auto"/>
              </w:rPr>
              <w:t>$152,015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152,015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319,113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Series A</w:t>
            </w: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auto"/>
              </w:rPr>
              <w:t>3,512,194</w:t>
            </w: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vMerge w:val="restart"/>
          </w:tcPr>
          <w:p>
            <w:pPr>
              <w:jc w:val="center"/>
              <w:ind w:right="215"/>
              <w:spacing w:after="0"/>
              <w:rPr>
                <w:sz w:val="20"/>
                <w:szCs w:val="20"/>
                <w:color w:val="auto"/>
              </w:rPr>
            </w:pPr>
            <w:r>
              <w:rPr>
                <w:rFonts w:ascii="Arial" w:cs="Arial" w:eastAsia="Arial" w:hAnsi="Arial"/>
                <w:sz w:val="18"/>
                <w:szCs w:val="18"/>
                <w:color w:val="auto"/>
                <w:w w:val="91"/>
              </w:rPr>
              <w:t>March and August 2013</w:t>
            </w: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8"/>
                <w:szCs w:val="18"/>
                <w:color w:val="auto"/>
              </w:rPr>
              <w:t>700,435</w:t>
            </w:r>
          </w:p>
        </w:tc>
        <w:tc>
          <w:tcPr>
            <w:tcW w:w="320" w:type="dxa"/>
            <w:vAlign w:val="bottom"/>
          </w:tcPr>
          <w:p>
            <w:pPr>
              <w:spacing w:after="0" w:line="20" w:lineRule="exact"/>
              <w:rPr>
                <w:sz w:val="1"/>
                <w:szCs w:val="1"/>
                <w:color w:val="auto"/>
              </w:rPr>
            </w:pPr>
          </w:p>
        </w:tc>
        <w:tc>
          <w:tcPr>
            <w:tcW w:w="1040" w:type="dxa"/>
            <w:vAlign w:val="bottom"/>
            <w:gridSpan w:val="4"/>
            <w:vMerge w:val="restart"/>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2"/>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Upon the closing of the IPO, all of the outstanding shares of the Company’s convertible preferred stock were converted into 12,872,551 shares of its common stock. As of September 30, 2016, the Company does not have any convertible preferred stock issued or outstanding.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September 2015, the Company’s board of directors adopted its 2015 Omnibus Incentive Plan (“2015 Plan”), which was subsequently approved by its stockholders and became effective upon the closing of the IPO on March 8, 2016. The 2015 Plan replaces the 2007 Stock Plan (“2007 Plan”). The 2015 Plan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As of September 30, 2016, there were 1,551,726 shares available for issuance under the 2015 Plan.</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in the condensed consolidated statements of operations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3,074</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the nine months ended September 30, 2016, the Company granted options to purchase 390,680 shares of its common stock to certain executives and employees. The grant date fair value of these options was $3.1 million, or $7.97 per share on a weighted-average basis, and will be recognized as compensation expense over the requisite service period of three to four years.</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There were 407,730 shares of common stock issued upon the exercise of outstanding stock options for the nine months ended September 30, 2016, resulting in total proceeds of $1.9 million. In accordance with Company policy, the shares were issued from a pool of shares reserved for issuance under the stock plans described above. The intrinsic value of options exercised for the nine months ended September 30, 2016 was $3.7 million.</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the closing of the IPO in March 2016, the Company recorded $0.7 million of additional stock compensation expense related to certain options granted to two of the Company’s executives.</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As of September 30, 2016, there was $8.2 million of unrecognized compensation cost related to employee and non-employee unvested stock options and unvested restricted stock share-based compensation arrangements granted under the 2007 Plan and 2015 Plan, which is expected to be recognized over a weighted-average remaining service period of 2.7 years. Stock compensation costs have not been capitalized by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(Deficit)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in convertible preferred stock and stockholders’ equity (deficit)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76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Convertible</w:t>
            </w:r>
          </w:p>
        </w:tc>
        <w:tc>
          <w:tcPr>
            <w:tcW w:w="92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89"/>
              </w:rPr>
              <w:t>Series A</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7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18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rPr>
              <w:t>$0.0001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$0.001 Par Value</w:t>
            </w: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$0.001 Par Value</w:t>
            </w:r>
          </w:p>
        </w:tc>
        <w:tc>
          <w:tcPr>
            <w:tcW w:w="1180" w:type="dxa"/>
            <w:vAlign w:val="bottom"/>
            <w:gridSpan w:val="3"/>
          </w:tcPr>
          <w:p>
            <w:pPr>
              <w:ind w:left="400"/>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79"/>
              <w:spacing w:after="0" w:line="142" w:lineRule="exact"/>
              <w:rPr>
                <w:sz w:val="20"/>
                <w:szCs w:val="20"/>
                <w:color w:val="auto"/>
              </w:rPr>
            </w:pPr>
            <w:r>
              <w:rPr>
                <w:rFonts w:ascii="Arial" w:cs="Arial" w:eastAsia="Arial" w:hAnsi="Arial"/>
                <w:sz w:val="14"/>
                <w:szCs w:val="14"/>
                <w:b w:val="1"/>
                <w:bCs w:val="1"/>
                <w:color w:val="auto"/>
              </w:rPr>
              <w:t>Deficit</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gridSpan w:val="11"/>
          </w:tcPr>
          <w:p>
            <w:pPr>
              <w:ind w:left="600"/>
              <w:spacing w:after="0" w:line="142"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12,732,466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319,113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700,435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7,231</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85,440</w:t>
            </w:r>
          </w:p>
        </w:tc>
        <w:tc>
          <w:tcPr>
            <w:tcW w:w="280" w:type="dxa"/>
            <w:vAlign w:val="bottom"/>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76"/>
              </w:rPr>
              <w:t>28</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(259,675)</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(252,415)</w:t>
            </w:r>
          </w:p>
        </w:tc>
        <w:tc>
          <w:tcPr>
            <w:tcW w:w="0" w:type="dxa"/>
            <w:vAlign w:val="bottom"/>
          </w:tcPr>
          <w:p>
            <w:pPr>
              <w:spacing w:after="0"/>
              <w:rPr>
                <w:sz w:val="1"/>
                <w:szCs w:val="1"/>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Accretion for convertible preferred</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160"/>
              <w:spacing w:after="0"/>
              <w:rPr>
                <w:sz w:val="20"/>
                <w:szCs w:val="20"/>
                <w:color w:val="auto"/>
              </w:rPr>
            </w:pPr>
            <w:r>
              <w:rPr>
                <w:rFonts w:ascii="Arial" w:cs="Arial" w:eastAsia="Arial" w:hAnsi="Arial"/>
                <w:sz w:val="14"/>
                <w:szCs w:val="14"/>
                <w:color w:val="auto"/>
              </w:rPr>
              <w:t>stock dividends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2,598</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(1,452)</w:t>
            </w:r>
          </w:p>
        </w:tc>
        <w:tc>
          <w:tcPr>
            <w:tcW w:w="80" w:type="dxa"/>
            <w:vAlign w:val="bottom"/>
          </w:tcPr>
          <w:p>
            <w:pPr>
              <w:spacing w:after="0"/>
              <w:rPr>
                <w:sz w:val="14"/>
                <w:szCs w:val="14"/>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19"/>
              <w:spacing w:after="0"/>
              <w:rPr>
                <w:sz w:val="20"/>
                <w:szCs w:val="20"/>
                <w:color w:val="auto"/>
              </w:rPr>
            </w:pPr>
            <w:r>
              <w:rPr>
                <w:rFonts w:ascii="Arial" w:cs="Arial" w:eastAsia="Arial" w:hAnsi="Arial"/>
                <w:sz w:val="14"/>
                <w:szCs w:val="14"/>
                <w:color w:val="auto"/>
              </w:rPr>
              <w:t>(1,146)</w:t>
            </w:r>
          </w:p>
        </w:tc>
        <w:tc>
          <w:tcPr>
            <w:tcW w:w="2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from IPO, net of offering</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costs of $7,186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4,809,475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50,527</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50,527</w:t>
            </w:r>
          </w:p>
        </w:tc>
        <w:tc>
          <w:tcPr>
            <w:tcW w:w="0" w:type="dxa"/>
            <w:vAlign w:val="bottom"/>
          </w:tcPr>
          <w:p>
            <w:pPr>
              <w:spacing w:after="0"/>
              <w:rPr>
                <w:sz w:val="1"/>
                <w:szCs w:val="1"/>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Conversion of preferred stock into</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(12,732,466)</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(321,711)</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(700,435)</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(7,231)</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12,872,551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328,941</w:t>
            </w:r>
          </w:p>
        </w:tc>
        <w:tc>
          <w:tcPr>
            <w:tcW w:w="80" w:type="dxa"/>
            <w:vAlign w:val="bottom"/>
          </w:tcPr>
          <w:p>
            <w:pPr>
              <w:spacing w:after="0"/>
              <w:rPr>
                <w:sz w:val="14"/>
                <w:szCs w:val="14"/>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321,711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of common stock</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4,551</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4,551</w:t>
            </w: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407,730</w:t>
            </w:r>
          </w:p>
        </w:tc>
        <w:tc>
          <w:tcPr>
            <w:tcW w:w="280" w:type="dxa"/>
            <w:vAlign w:val="bottom"/>
          </w:tcPr>
          <w:p>
            <w:pPr>
              <w:spacing w:after="0"/>
              <w:rPr>
                <w:sz w:val="12"/>
                <w:szCs w:val="12"/>
                <w:color w:val="auto"/>
              </w:rPr>
            </w:pPr>
          </w:p>
        </w:tc>
        <w:tc>
          <w:tcPr>
            <w:tcW w:w="4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1,852</w:t>
            </w:r>
          </w:p>
        </w:tc>
        <w:tc>
          <w:tcPr>
            <w:tcW w:w="8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4,607</w:t>
            </w:r>
          </w:p>
        </w:tc>
        <w:tc>
          <w:tcPr>
            <w:tcW w:w="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3,761</w:t>
            </w:r>
          </w:p>
        </w:tc>
        <w:tc>
          <w:tcPr>
            <w:tcW w:w="8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3,761</w:t>
            </w: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76"/>
              </w:rPr>
              <w:t>72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Repurchase of fractional shares</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160"/>
              <w:spacing w:after="0"/>
              <w:rPr>
                <w:sz w:val="20"/>
                <w:szCs w:val="20"/>
                <w:color w:val="auto"/>
              </w:rPr>
            </w:pPr>
            <w:r>
              <w:rPr>
                <w:rFonts w:ascii="Arial" w:cs="Arial" w:eastAsia="Arial" w:hAnsi="Arial"/>
                <w:sz w:val="14"/>
                <w:szCs w:val="14"/>
                <w:color w:val="auto"/>
              </w:rPr>
              <w:t>resulting from reverse stock splits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(33,657)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(33,657)</w:t>
            </w:r>
          </w:p>
        </w:tc>
        <w:tc>
          <w:tcPr>
            <w:tcW w:w="0" w:type="dxa"/>
            <w:vAlign w:val="bottom"/>
          </w:tcPr>
          <w:p>
            <w:pPr>
              <w:spacing w:after="0"/>
              <w:rPr>
                <w:sz w:val="1"/>
                <w:szCs w:val="1"/>
                <w:color w:val="auto"/>
              </w:rPr>
            </w:pPr>
          </w:p>
        </w:tc>
      </w:tr>
      <w:tr>
        <w:trPr>
          <w:trHeight w:val="156"/>
        </w:trPr>
        <w:tc>
          <w:tcPr>
            <w:tcW w:w="2400" w:type="dxa"/>
            <w:vAlign w:val="bottom"/>
          </w:tcPr>
          <w:p>
            <w:pPr>
              <w:spacing w:after="0" w:line="155" w:lineRule="exact"/>
              <w:rPr>
                <w:sz w:val="20"/>
                <w:szCs w:val="20"/>
                <w:color w:val="auto"/>
              </w:rPr>
            </w:pPr>
            <w:r>
              <w:rPr>
                <w:rFonts w:ascii="Arial" w:cs="Arial" w:eastAsia="Arial" w:hAnsi="Arial"/>
                <w:sz w:val="14"/>
                <w:szCs w:val="14"/>
                <w:color w:val="auto"/>
              </w:rPr>
              <w:t>Balance as of September 30, 2016</w:t>
            </w:r>
          </w:p>
        </w:tc>
        <w:tc>
          <w:tcPr>
            <w:tcW w:w="7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18,179,803</w:t>
            </w: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388,210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ind w:left="660"/>
              <w:spacing w:after="0" w:line="155" w:lineRule="exact"/>
              <w:rPr>
                <w:sz w:val="20"/>
                <w:szCs w:val="20"/>
                <w:color w:val="auto"/>
              </w:rPr>
            </w:pPr>
            <w:r>
              <w:rPr>
                <w:rFonts w:ascii="Arial" w:cs="Arial" w:eastAsia="Arial" w:hAnsi="Arial"/>
                <w:sz w:val="14"/>
                <w:szCs w:val="14"/>
                <w:color w:val="auto"/>
                <w:w w:val="85"/>
              </w:rPr>
              <w:t>100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(294,478</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8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8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paid</w:t>
            </w: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69,715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2,598</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Conversion of convertible notes and accrued interest into Series C-1 convertible preferred stock</w:t>
            </w: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common stock warrant liability to additional paid-in capital</w:t>
            </w: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4,551</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Conversion of preferred stock to common stock upon closing of initial public offering</w:t>
            </w: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328,941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350"/>
        </w:trPr>
        <w:tc>
          <w:tcPr>
            <w:tcW w:w="8440" w:type="dxa"/>
            <w:vAlign w:val="bottom"/>
          </w:tcPr>
          <w:p>
            <w:pPr>
              <w:ind w:left="5620"/>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information should be read in conjunction with the unaudited condensed financial information and the notes thereto included in this Quarterly Report on Form 10-Q and the audited consolidated financial information for the year ended December 31, 2015 and the notes thereto included in the Prospectus that forms a part of our Registration Statement on Form S-1 (File No. 333-208861), which was filed with the SEC, pursuant to Rule 424 on March 3,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Syndax is a clinical stage biopharmaceutical company focused on developing an innovative pipeline of combination therapies in multiple cancer indications. Our lead product candidate, entinostat, was granted Breakthrough Therapy designation by the U.S. Food and Drug Administration, or FDA, following positive results from our Phase 2b clinical trial, ENCORE 301. We are currently evaluating entinostat in combination with </w:t>
      </w:r>
      <w:r>
        <w:rPr>
          <w:rFonts w:ascii="Arial" w:cs="Arial" w:eastAsia="Arial" w:hAnsi="Arial"/>
          <w:sz w:val="16"/>
          <w:szCs w:val="16"/>
          <w:i w:val="1"/>
          <w:iCs w:val="1"/>
          <w:color w:val="auto"/>
        </w:rPr>
        <w:t>Keytruda</w:t>
      </w:r>
      <w:r>
        <w:rPr>
          <w:rFonts w:ascii="Arial" w:cs="Arial" w:eastAsia="Arial" w:hAnsi="Arial"/>
          <w:sz w:val="13"/>
          <w:szCs w:val="13"/>
          <w:color w:val="auto"/>
        </w:rPr>
        <w:t>®</w:t>
      </w:r>
      <w:r>
        <w:rPr>
          <w:rFonts w:ascii="Arial" w:cs="Arial" w:eastAsia="Arial" w:hAnsi="Arial"/>
          <w:sz w:val="16"/>
          <w:szCs w:val="16"/>
          <w:color w:val="auto"/>
        </w:rPr>
        <w:t xml:space="preserve"> (pembrolizumab) in a Phase 1b/2 clinical trial with Merck &amp; Co., Inc., ENCORE 601, for non-small cell lung cancer, or NSCLC, and melanoma. We have also entered into a collaboration with Genentech, Inc., or Genentech, to evaluate the safety, tolerability and preliminary efficacy of entinostat in combination with Genentech’s investigational immune checkpoint inhibitor, Tecentriq</w:t>
      </w:r>
      <w:r>
        <w:rPr>
          <w:rFonts w:ascii="Arial" w:cs="Arial" w:eastAsia="Arial" w:hAnsi="Arial"/>
          <w:sz w:val="13"/>
          <w:szCs w:val="13"/>
          <w:color w:val="auto"/>
        </w:rPr>
        <w:t>TM</w:t>
      </w:r>
      <w:r>
        <w:rPr>
          <w:rFonts w:ascii="Arial" w:cs="Arial" w:eastAsia="Arial" w:hAnsi="Arial"/>
          <w:sz w:val="16"/>
          <w:szCs w:val="16"/>
          <w:color w:val="auto"/>
        </w:rPr>
        <w:t xml:space="preserve"> (atezolizumab), in a Phase 1b/2 clinical trial, ENCORE 602, of patients with triple negative breast cancer, or TNBC. Additionally, in collaboration with Ares Trading S.A., a subsidiary of Merck KGaA, Darmstadt, Germany, or Merck KGaA, and Pfizer Inc., we plan to evaluate the safety, tolerability and preliminary efficacy of entinostat in combination with an investigational monoclonal antibody targeting PDL-1, avelumab, in a Phase 1b/2 clinical trial, ENCORE 603, of patients with ovarian cancer. We are also developing entinostat for use in advanced hormone receptor positive, or HR+, and human epidermal growth factor receptor 2 negative, or HER2-, breast cancer in a Phase 3 clinical trial. This Phase 3 registration clinical trial of entinostat plus Aromasin</w:t>
      </w:r>
      <w:r>
        <w:rPr>
          <w:rFonts w:ascii="Arial" w:cs="Arial" w:eastAsia="Arial" w:hAnsi="Arial"/>
          <w:sz w:val="13"/>
          <w:szCs w:val="13"/>
          <w:color w:val="auto"/>
        </w:rPr>
        <w:t>®</w:t>
      </w:r>
      <w:r>
        <w:rPr>
          <w:rFonts w:ascii="Arial" w:cs="Arial" w:eastAsia="Arial" w:hAnsi="Arial"/>
          <w:sz w:val="16"/>
          <w:szCs w:val="16"/>
          <w:color w:val="auto"/>
        </w:rPr>
        <w:t xml:space="preserve"> (exemestane tablets) is being conducted in collaboration with Eastern Cooperative Oncology Group-American College of Radiology Imaging Network Cancer Research Group, or ECOG, and the National Cancer Institute under a special protocol assessment, or SPA, with the FDA. We believe that, based on its mechanism of action, entinostat may have broad applications in additional tumor types, including head and neck, bladder and renal cell, which are immuno-responsive, or sensitive to immunotherapy.</w:t>
      </w:r>
    </w:p>
    <w:p>
      <w:pPr>
        <w:spacing w:after="0" w:line="17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July 1, 2016, we expanded our pipeline by entering into a license agreement with UCB Biopharma Sprl, or UCB, under which UCB granted us a worldwide, sublicenseable, exclusive license to UCB6352, which we refer to as SNDX-6352, an IND-ready anti-CSF-1R monoclonal antibody. Concurrently with the development of entinostat, we are also developing SNDX-6352 to potentially enhance the body’s immune response on tumors that have shown sensitivity to immunotherapy. We believe that SNDX-6352 has the potential to be used to treat a variety of cancer indications in combination with other oncology agents, including immune checkpoint inhibitors, radiation, chemotherapy and entinostat.</w:t>
      </w:r>
    </w:p>
    <w:p>
      <w:pPr>
        <w:spacing w:after="0" w:line="17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February 24, 2016, we effected a 1-for-1.25 reverse stock split of our outstanding common stock and convertible preferred stock. Stockholders entitled to fractional shares as a result of the reverse stock split received a cash payment in lieu of receiving fractional shares. All of our historical share and per share information shown in the accompanying financial statements and related notes have been retroactively adjusted to give effect to this reverse stock split.</w:t>
      </w:r>
    </w:p>
    <w:p>
      <w:pPr>
        <w:spacing w:after="0" w:line="18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In March 2016, we completed our initial public offering, or the IPO, whereby we sold 4,809,475 shares of common stock shares at the initial public offering price of $12.00 per share, which included 409,475 shares issued pursuant to the underwriters’ partial exercise of their over-allotment option to purchase additional shares of common stock. We received net proceeds of $50.5 million from the offering, after deducting underwriting discounts and commissions and other offering costs. Our shares trade on the Nasdaq Global Select Market under the symbol “SNDX.”</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and we continue to incur significant research and development and other expenses related to our ongoing operations. As a result, we are not and have never been profitable and have incurred losses in each period since our inception in 2005. For the three and nine months ended September 30, 2016, we reported a net loss of $15.0 million and $33.7 million, respectively. As of September 30, 2016, we had an accumulated deficit of $294.5 million, which included non-cash charges for stock-based compensation, preferred stock accretion and extinguishment charges. As of September 30, 2016, we had cash, cash equivalents and short-term investments of $115.6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Updates</w:t>
      </w:r>
    </w:p>
    <w:p>
      <w:pPr>
        <w:spacing w:after="0" w:line="135" w:lineRule="exact"/>
        <w:rPr>
          <w:sz w:val="20"/>
          <w:szCs w:val="20"/>
          <w:color w:val="auto"/>
        </w:rPr>
      </w:pPr>
    </w:p>
    <w:p>
      <w:pPr>
        <w:ind w:left="900" w:right="8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E2112 is now 60% enrolled as patient accrual has continued at an accelerated pace. ECOG expects enrollment will be complete by the end of the second half of 2017 and that the final analysis of the progression free survival endpoint will be available by the end of the second half of 2017.</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fourth quarter of 2016, we commenced the single ascending dose in the Phase 1 clinical trial of SNDX-6352 in healthy volunteers to determine the safety and pharmacokinetics of the anti-CSF-1R monoclonal antibody.</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2016, we initiated enrollment of the three cohorts in the first stage of the Phase 2 component of ENCORE 601 in patients with NSCLC and melanoma. Previously, we announced the completion of enrollment for the dose confirmation stage of ENCORE 601 in patients with NSCLC. We anticipate making a go/no go decision to progress each arm of ENCORE 601 to Stage 2 in patients with advanced metastatic or recurrent NSCLC or melanoma by the end of the first quarter of 2017.</w:t>
      </w:r>
    </w:p>
    <w:p>
      <w:pPr>
        <w:spacing w:after="0" w:line="92"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2016, we initiated the Phase 1b portion of ENCORE 602 in patients with TNBC, which continues to enroll on schedule. The trial’s open label Phase 1b portion is designed to assess the safety of a 5 mg dose. We anticipate safety data from the Phase 1b dose determination portion of ENCORE 602 in patients with TNBC during the first half of 2017.</w:t>
      </w:r>
    </w:p>
    <w:p>
      <w:pPr>
        <w:spacing w:after="0" w:line="86"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collaboration with Merck KGaA, Darmstadt, Germany, and Pfizer Inc. we began prescreening patients for enrollment in the Phase 1b portion of ENCORE 603 in patients with ovarian cancer. We expect to initiate ENCORE 603 during the fourth quarter of 2016. We anticipate safety data from the Phase 1b safety portion of ENCORE 603 in patients with ovarian cancer during the first half of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 marketing approval of and successfully commercialize our product candidates. Our revenues for the nine months ended September 30, 2016 and 2015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service period (currently expected to be through 2029) commencing on the date of the first delivery of the clinical trial materials, which occurred in June 2015. The balance of the upfront payment of $7.7 million was allocated to KHK’s purchase of shares of our Series B-1 convertible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include:</w:t>
      </w:r>
    </w:p>
    <w:p>
      <w:pPr>
        <w:spacing w:after="0" w:line="131" w:lineRule="exact"/>
        <w:rPr>
          <w:sz w:val="20"/>
          <w:szCs w:val="20"/>
          <w:color w:val="auto"/>
        </w:rPr>
      </w:pPr>
    </w:p>
    <w:p>
      <w:pPr>
        <w:ind w:left="900" w:right="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related to our research and development activities, including salaries, benefits, travel and stock-based compensation expenses;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Internal and external research and development costs are expensed as they are incurred. Costs for certain development activities, such as clinical trials, are recognized based on an evaluation of the progress to completion of specific tasks using data such as patient enrollment, clinical site activations or other information provided to us by our vendors. As we expand the clinical development of our product candidates, the amount of research and development expenses allocated to external spending will continue to grow, while we expect our internal spending to grow at a slower and more controlled pace.</w:t>
      </w:r>
    </w:p>
    <w:p>
      <w:pPr>
        <w:spacing w:after="0" w:line="15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Conducting a significant amount of research and development is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seek to seek and develop our product candidates. The successful development of our product candidates is highly uncertain. At this time, we cannot reasonably estimate the nature, timing or costs of the efforts that will be necessary to complete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 and administrative expenses consist primarily of salaries and related benefits, including non-cash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legal services. We anticipate that our general and administrative expenses will increase in future periods, reflecting both increased costs in connection with the potential future commercialization of our product candidates, an expanding infrastructure and increased professional fees associated with being a public reporting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amounts borrowed under our term loan facility, capital leases and convertible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common stock warrant liability is associated with a warrant to purchase common stock issued in connection with a license agreement. The change in fair value consisted of the calculated change in value based upon the fair value of the underlying security at the end of each reporting period as calculated using the Black-Scholes option pricing model. Gains and losses arising from changes in fair value were recognized in other income (expense) in the condensed consolidated statements of operations. As of the closing of our IPO, the anti-dilution provision of the warrant expired and the warrant liability was reclassified to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Prospectus that forms part of our Registration Statement on Form S-1 (File No. 333-208861), which was filed with the SEC pursuant to Rule 424.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2016 and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20" w:type="dxa"/>
            <w:vAlign w:val="bottom"/>
            <w:gridSpan w:val="2"/>
          </w:tcPr>
          <w:p>
            <w:pPr>
              <w:jc w:val="right"/>
              <w:ind w:right="79"/>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15,543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(15,238)</w:t>
            </w: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(5,858)</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9,380</w:t>
            </w:r>
          </w:p>
        </w:tc>
        <w:tc>
          <w:tcPr>
            <w:tcW w:w="30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497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(1,607)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7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(14,969)</w:t>
            </w:r>
          </w:p>
        </w:tc>
        <w:tc>
          <w:tcPr>
            <w:tcW w:w="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(7,731)</w:t>
            </w:r>
          </w:p>
        </w:tc>
        <w:tc>
          <w:tcPr>
            <w:tcW w:w="3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7,238</w:t>
            </w:r>
          </w:p>
        </w:tc>
        <w:tc>
          <w:tcPr>
            <w:tcW w:w="30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September 30, 2016, we recognized license fees of $0.3 million under the KHK license agreement. In 2015, arrangement consideration of $17.3 million was allocated to the license unit of accounting and is being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For the three months ended September 30, 2016, our total research and development expenses increased $9.3 million, or 314%, to $12.3 million from $3.0 million for the comparable quarter in the prior year. This increase in spending was primarily due to the nonrefundable upfront payment related to the UCB License Agreement of $5.0 million and increases in clinical and research activities of $3.5 million, employee compensation costs of $0.5 million, legal and consulting activities of $0.2 million and facilities costs of $0.1 million. The increase in employee compensation costs was primarily due to on-boarding expenses of $0.6 million related to 12 new employees slightly offset by a decrease in noncash stock-based compensation expense of $0.1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Three Months Ended September 30,</w:t>
            </w: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2,014</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$ 8,736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954</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2,968</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$ 9,306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For the three months ended September 30, 2016, our total general and administrative expenses of $3.3 million remained relatively level to the comparable quarter in the prior year of $3.2 million and the increase was primarily due to increases in costs related to operating as a public company of $0.3 million and facilities costs of $0.1 million that were almost entirely offset by decreases in employee compensation of $0.2 million and legal and consulting expenses of $0.1 million. The decrease in employee compensation was primarily due to 2015 restructuring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the three months ended September 30, 2016, interest income (expense), net, increased $0.5 million from the comparable period in the prior year. The increase was primarily due to interest earned on our cash, cash equivalents and short-term investments, which increased as a result of the $50.5 million of net proceeds from our IPO in March 2016 and $79.6 million of net proceeds from our Series C-1 preferred stock financing during the second and third quarters of 2015. In addition, for the three months ended September 30, 2015, interest income (expense), net, included interest expense on the $9.0 million of term loans that were funded in December 2014. There was no interest-bearing debt outstanding as of September 30, 2016 and December 31, 2015.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decrease in expense of $1.6 million in the change in fair value of common stock warrant liability for the three months ended September 30, 2016, compared to the comparable period in the prior year was due to the expiration of the anti-dilution provision contained in the Bayer warrant as a result of the closing of our IPO during the first quarter of 2016, upon which the warrant liability was reclassified to additional paid-in capital.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5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4"/>
                <w:szCs w:val="14"/>
                <w:color w:val="auto"/>
              </w:rPr>
            </w:pP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   593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593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16,229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9,194</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1,155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16,156</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17,384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(32,625)</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(15,834)</w:t>
            </w:r>
          </w:p>
        </w:tc>
        <w:tc>
          <w:tcPr>
            <w:tcW w:w="2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16,791</w:t>
            </w:r>
          </w:p>
        </w:tc>
        <w:tc>
          <w:tcPr>
            <w:tcW w:w="380" w:type="dxa"/>
            <w:vAlign w:val="bottom"/>
            <w:vMerge w:val="continue"/>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(890)</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1,578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(2,085)</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(30)</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(3,022)</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(1,990)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(33,657</w:t>
            </w:r>
          </w:p>
        </w:tc>
        <w:tc>
          <w:tcPr>
            <w:tcW w:w="4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(18,856</w:t>
            </w:r>
          </w:p>
        </w:tc>
        <w:tc>
          <w:tcPr>
            <w:tcW w:w="2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14,801</w:t>
            </w:r>
          </w:p>
        </w:tc>
        <w:tc>
          <w:tcPr>
            <w:tcW w:w="380" w:type="dxa"/>
            <w:vAlign w:val="bottom"/>
            <w:vMerge w:val="continue"/>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the nine months ended September 30, 2016, we recognized license fees of $0.9 million derived under the KHK license agreement. In 2015, arrangement consideration of $17.3 million was allocated to the license unit of accounting and is being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nine months ended September 30, 2016, our total research and development expenses increased $16.2 million, or 233%, to $23.2 million from $7.0 million for the comparable period in the prior year. This increase in spending was primarily due to the nonrefundable upfront payment related to the UCB License Agreement of $5.0 million and increases in clinical and research activities of $8.9 million, employee compensation costs of $1.7 million, facilities and office expense of $0.3 million, legal and consulting costs of $0.2 million and travel of $0.1 million. The increase in employee compensation costs was primarily due to on-boarding expenses related to 12 new employees of $1.9 million that was slightly offset by restructuring costs of $0.2 million incurred in the prior year.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4"/>
                <w:szCs w:val="1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18,526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4,367</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$ 14,159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2,070</w:t>
            </w:r>
          </w:p>
        </w:tc>
        <w:tc>
          <w:tcPr>
            <w:tcW w:w="4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23,191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6,962</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$ 16,229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40" w:type="dxa"/>
            <w:vAlign w:val="bottom"/>
            <w:vMerge w:val="restart"/>
          </w:tcPr>
          <w:p>
            <w:pPr>
              <w:jc w:val="right"/>
              <w:ind w:right="61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For the nine months ended September 30, 2016, our total general and administrative expenses increased $1.2 million, or 13%, to $10.3 million, from $9.2 million for the comparable period in the prior year. The increase in general and administrative expenses was primarily due to increases in employee compensation of $1.0 million, D&amp;O insurance and other costs related to being a public company of $0.8 million, and facilities costs of $0.1 million. These increases were partially offset by decreases in legal and consulting expenses of $0.8 million primarily due to lower patent legal costs and lower spending related to market research during the first nine months of 2016 compared to the first nine months of 2015. The increase in employee compensation of $1.0 million was due to non-cash charges related to stock-based compensation of $1.0 million, increased bonus expense of $0.3 million and increased salary expense of $0.4 million due to increased headcount. These increases were partially offset by a decrease in restructuring costs of $0.6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the nine months ended September 30, 2016, interest income (expense), net, increased $1.6 million from the comparable period in the prior year. The increase was primarily due to interest earned on our cash, cash equivalents and short-term investments, which increased as a result of the $50.5 million of net proceeds from our IPO in March 2016 and $79.6 million of net proceeds from our Series C-1 preferred stock financings during the second and third quarters of 2015. For the nine months ended September 30, 2015, interest income (expense), net, included interest expense on the $5.0 million of convertible notes that were issued during the third quarter of 2014 as well as interest on the $9.0 million of term loans that were funded in December of 2014. There was no interest-bearing debt outstanding as of September 30, 2016 and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decrease in expense of $0.4 million in the change in fair value of common stock warrant liability for the nine months ended September 30, 2016, compared to the comparable period in the prior year was due to the expiration of the anti-dilution provision contained in the Bayer warrant as a result of the closing of our IPO upon which the warrant liability was reclassified to additional paid-in capital. Just prior to the reclassification, the warrant was re-measured using current assumptions on that date, and the change in fair value was recorded in other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During March 2016, we completed our IPO whereby we sold 4,809,475 shares of our common stock at the price of $12.00 per share, resulting in total net proceeds of $50.5 million, after deducting underwriting discounts and commissions and offering expenses.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Since our inception and through September 30, 2016, our operations have been financed primarily by net proceeds from the sale of convertible preferred stock and convertible debt securities and proceeds from our license agreements. As of September 30, 2016, our cash, cash equivalents and short-term investments were $115.6 million. We believe that our existing cash, cash equivalents and short-term investments will be sufficient to fund our projected operating expenses and capital expenditure requirements for at least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8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0"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September 30, 2016, we had an accumulated deficit of $294.5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(24,741)</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(39,711)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(44,111)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86,449</w:t>
            </w:r>
          </w:p>
        </w:tc>
        <w:tc>
          <w:tcPr>
            <w:tcW w:w="1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44,205</w:t>
            </w:r>
          </w:p>
        </w:tc>
        <w:tc>
          <w:tcPr>
            <w:tcW w:w="12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Net cash used in operating activities for the nine months ended September 30, 2016 was $24.7 million compared to $1.9 million of net cash provided by operating activities for the nine months ended September 30, 2015. The increase of $26.6 million in cash used in operating activities for the nine months ended September 30, 2016 was primarily due to a decrease in deferred revenue of $17.9 million and an increase in our net loss of $14.6 million (adjusted for non-cash items), partially offset by increases in accrued expenses and other liabilities of $5.1 million and accounts payable of $0.1 million and a decrease in prepaid expenses and other assets of $0.6 million. The decrease in deferred revenue of $17.9 million was due to the proceeds we received during the first quarter of 2015 under the KHK license agreement related to the upfront license fee of $17.3 million, net of license fee revenue recognized during the nine months ended September 30, 2016. Our net loss for the nine months ended September 30, 2016, adjusted for non-cash items such as stock-based compensation, change in fair value of warrants and derivative and depreciation, amortization and accretion, was $28.2 million, compared to $13.6 million for nine months ended September 30, 2015.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Net cash used in investing activities for the nine months ended September 30, 2016 was $39.7 million compared to net cash used in investing activities of $44.1 million for the nine months ended September 30, 2015. The decrease in cash used in investing activities of $4.4 million was primarily the result of greater purchases of short-term investments partially offset by greater sales and maturities of short-term investments for the nine months ended September 30, 2016, as a result of the $52.2 million of net proceeds received from our IPO in March 2016. In addition, purchases of property and equipment increased $0.2 million and restricted cash increased $0.1 million for the nine months ended September 30, 2016 compared to the comparable period in the prior year.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400" w:firstLine="456"/>
        <w:spacing w:after="0" w:line="271" w:lineRule="auto"/>
        <w:rPr>
          <w:sz w:val="20"/>
          <w:szCs w:val="20"/>
          <w:color w:val="auto"/>
        </w:rPr>
      </w:pPr>
      <w:r>
        <w:rPr>
          <w:rFonts w:ascii="Arial" w:cs="Arial" w:eastAsia="Arial" w:hAnsi="Arial"/>
          <w:sz w:val="17"/>
          <w:szCs w:val="17"/>
          <w:color w:val="auto"/>
        </w:rPr>
        <w:t>Net cash provided by financing activities for the nine months ended September 30, 2016 was $54.0 million compared to $86.4 million for the nine months ended September 30, 2015. During the nine months ended September 30, 2016, we received $52.2 million of proceeds from our IPO, net of underwriting discounts and commissions of $4.0 million and other direct costs of $1.5 million, and $1.9 million of proceeds from stock option</w:t>
      </w:r>
    </w:p>
    <w:p>
      <w:pPr>
        <w:ind w:right="60"/>
        <w:spacing w:after="0" w:line="254" w:lineRule="auto"/>
        <w:rPr>
          <w:sz w:val="20"/>
          <w:szCs w:val="20"/>
          <w:color w:val="auto"/>
        </w:rPr>
      </w:pPr>
      <w:r>
        <w:rPr>
          <w:rFonts w:ascii="Arial" w:cs="Arial" w:eastAsia="Arial" w:hAnsi="Arial"/>
          <w:sz w:val="18"/>
          <w:szCs w:val="18"/>
          <w:color w:val="auto"/>
        </w:rPr>
        <w:t>exercises. During the nine months ended September 30, 2015, we received the proceeds from the KHK license and stock purchase agreements, of which $7.7 million related to the issuance of the Series B-1 convertible preferred stock, net proceeds from the Series C-1 financing of $79.6 million, and $0.2 million of proceeds from stock option exercises, which were partially offset by $0.8 million of payments on our term loan, which was paid off in the fourth quarter of 2015, and debt issuance and financing costs of $0.3 million.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Prospectus that forms a part of our Registration Statement on Form S-1 (File No. 333-208861), which was filed with the SEC pursuant to Rule 424 on March 3,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2016, we had cash equivalents of $12.8 million, consisting of interest-bearing money market funds, and short-term investments of $102.8 million, consisting of commercial paper and highly rated corporate bonds. Our primary exposure to market risk is interest rate sensitivity, which is affected by changes in the general level of U.S. interest rates.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of September 30, 2016, our management, with the participation of our principal executive officer and principal financial officer, evaluated the effectiveness of our disclosure controls and procedures (as defined in Rules 13a-15(e) and 15d-15(e) under the Exchange Act) and concluded based upon the evaluation described above that, as of September 30, 2016,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2016. As a result, this Quarterly Report on Form 10-Q does not address whether there have been any changes in our internal control over financial reporting.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2016, we were not party to any legal or arbitration proceedings that may have, or have had in the recent past, material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nine months ended September 30, 2016, we reported a net loss of $33.7 million. As of September 30, 2016, we had an accumulated deficit of $294.5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two product candidates, entinostat and SNDX-6352.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and any other product candidates we may develop.</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jc w:val="both"/>
        <w:ind w:right="120"/>
        <w:spacing w:after="0" w:line="381" w:lineRule="auto"/>
        <w:rPr>
          <w:sz w:val="20"/>
          <w:szCs w:val="20"/>
          <w:color w:val="auto"/>
        </w:rPr>
      </w:pPr>
      <w:r>
        <w:rPr>
          <w:rFonts w:ascii="Arial" w:cs="Arial" w:eastAsia="Arial" w:hAnsi="Arial"/>
          <w:sz w:val="15"/>
          <w:szCs w:val="15"/>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entinostat or SNDX-6352 or develop new product candidates.</w:t>
      </w:r>
    </w:p>
    <w:p>
      <w:pPr>
        <w:spacing w:after="0" w:line="10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w:t>
      </w:r>
    </w:p>
    <w:p>
      <w:pPr>
        <w:spacing w:after="0" w:line="323" w:lineRule="auto"/>
        <w:rPr>
          <w:sz w:val="20"/>
          <w:szCs w:val="20"/>
          <w:color w:val="auto"/>
        </w:rPr>
      </w:pPr>
      <w:r>
        <w:rPr>
          <w:rFonts w:ascii="Arial" w:cs="Arial" w:eastAsia="Arial" w:hAnsi="Arial"/>
          <w:sz w:val="16"/>
          <w:szCs w:val="16"/>
          <w:color w:val="auto"/>
        </w:rPr>
        <w:t>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3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entinostat and SNDX-6352 and any future product candidates. Any efforts to secure additional financing may divert our management from our day-to-day activities, which may adversely affect our ability to develop and commercialize entinostat and SNDX-6352. In addition, we cannot guarantee that future financing will be available in sufficient amounts or on terms acceptable to us, if at all. If we do not raise additional capital when required or on acceptable terms, we may need to:</w:t>
      </w:r>
    </w:p>
    <w:p>
      <w:pPr>
        <w:spacing w:after="0" w:line="9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strategic alliances for entinostat on terms less favorable than might otherwise be available; or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31" w:lineRule="exact"/>
        <w:rPr>
          <w:sz w:val="20"/>
          <w:szCs w:val="20"/>
          <w:color w:val="auto"/>
        </w:rPr>
      </w:pPr>
    </w:p>
    <w:p>
      <w:pPr>
        <w:ind w:left="5620" w:right="3960" w:hanging="5045"/>
        <w:spacing w:after="0" w:line="449" w:lineRule="auto"/>
        <w:tabs>
          <w:tab w:leader="none" w:pos="8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 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4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April 30, 2016 and determined that on March 30, 2007 and August 21, 2015 ownership changes had occurred. We may have experienced an ownership change subsequent to April 30, 2016;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Entinostat and SNDX-6352 are currently our only product candidates. If we are unable to successfully complete clinical development of, obtain regulatory approval for and commercialize entinostat or SNDX-6352, our business prospects will be significantly harmed.</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Entinostat and SNDX-6352 are currently our only product candidates. Our financial success will depend substantially on our ability to effectively and profitably commercialize entinostat and SNDX-6352. In order to commercialize entinostat and SNDX-6352, we will be required to obtain regulatory approvals by establishing that each of them is sufficiently safe and effective. The clinical and commercial success of entinostat and SNDX-6352 will depend on a number of factors, including the following:</w:t>
      </w:r>
    </w:p>
    <w:p>
      <w:pPr>
        <w:spacing w:after="0" w:line="92" w:lineRule="exact"/>
        <w:rPr>
          <w:sz w:val="20"/>
          <w:szCs w:val="20"/>
          <w:color w:val="auto"/>
        </w:rPr>
      </w:pPr>
    </w:p>
    <w:p>
      <w:pPr>
        <w:ind w:left="900" w:right="5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commencement and completion of the planned Phase 1b/2 clinical trial of entinostat in combination with avelumab and the Phase 1 clinical trial of SNDX-6352;</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completion of the planned Phase 1b/2 clinical trials of entinostat in combination with </w:t>
      </w:r>
      <w:r>
        <w:rPr>
          <w:rFonts w:ascii="Arial" w:cs="Arial" w:eastAsia="Arial" w:hAnsi="Arial"/>
          <w:sz w:val="18"/>
          <w:szCs w:val="18"/>
          <w:i w:val="1"/>
          <w:iCs w:val="1"/>
          <w:color w:val="auto"/>
        </w:rPr>
        <w:t>Keytruda</w:t>
      </w:r>
      <w:r>
        <w:rPr>
          <w:rFonts w:ascii="Arial" w:cs="Arial" w:eastAsia="Arial" w:hAnsi="Arial"/>
          <w:sz w:val="15"/>
          <w:szCs w:val="15"/>
          <w:color w:val="auto"/>
        </w:rPr>
        <w:t>®</w:t>
      </w:r>
      <w:r>
        <w:rPr>
          <w:rFonts w:ascii="Arial" w:cs="Arial" w:eastAsia="Arial" w:hAnsi="Arial"/>
          <w:sz w:val="18"/>
          <w:szCs w:val="18"/>
          <w:color w:val="auto"/>
        </w:rPr>
        <w:t xml:space="preserve"> (pembrolizumab) and atezolizumab;</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hormone receptor, or HR+, HER2- breast cancer, which may be significantly slower than we currently anticipate and will depend substantially upon the satisfactory performance of the ECOG-ACRIN and the NCI and other third-party contractors for entinostat;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entinostat and SNDX-6352 for their proposed indications and the timely receipt of necessary marketing approvals from the FDA and foreign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of entinostat and SNDX-6352, and to develop, validate and maintain a commercially viable manufacturing process that is compliant with current Good Manufacturing Practices, or cGMP;</w:t>
      </w:r>
    </w:p>
    <w:p>
      <w:pPr>
        <w:spacing w:after="0" w:line="75"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availability of commercial supplies of therapeutics, including </w:t>
      </w:r>
      <w:r>
        <w:rPr>
          <w:rFonts w:ascii="Arial" w:cs="Arial" w:eastAsia="Arial" w:hAnsi="Arial"/>
          <w:sz w:val="18"/>
          <w:szCs w:val="18"/>
          <w:i w:val="1"/>
          <w:iCs w:val="1"/>
          <w:color w:val="auto"/>
        </w:rPr>
        <w:t>Aromasin</w:t>
      </w:r>
      <w:r>
        <w:rPr>
          <w:rFonts w:ascii="Arial" w:cs="Arial" w:eastAsia="Arial" w:hAnsi="Arial"/>
          <w:sz w:val="15"/>
          <w:szCs w:val="15"/>
          <w:color w:val="auto"/>
        </w:rPr>
        <w:t>®</w:t>
      </w:r>
      <w:r>
        <w:rPr>
          <w:rFonts w:ascii="Arial" w:cs="Arial" w:eastAsia="Arial" w:hAnsi="Arial"/>
          <w:sz w:val="18"/>
          <w:szCs w:val="18"/>
          <w:color w:val="auto"/>
        </w:rPr>
        <w:t xml:space="preserve"> (exemestane tablets) and </w:t>
      </w:r>
      <w:r>
        <w:rPr>
          <w:rFonts w:ascii="Arial" w:cs="Arial" w:eastAsia="Arial" w:hAnsi="Arial"/>
          <w:sz w:val="18"/>
          <w:szCs w:val="18"/>
          <w:i w:val="1"/>
          <w:iCs w:val="1"/>
          <w:color w:val="auto"/>
        </w:rPr>
        <w:t>Keytruda</w:t>
      </w:r>
      <w:r>
        <w:rPr>
          <w:rFonts w:ascii="Arial" w:cs="Arial" w:eastAsia="Arial" w:hAnsi="Arial"/>
          <w:sz w:val="18"/>
          <w:szCs w:val="18"/>
          <w:color w:val="auto"/>
        </w:rPr>
        <w:t>, and clinical supplies of investigational drugs, to support the development and marketing of the entinostat therapy as a component of a combination drug regimen for entinostat;</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entinostat and SNDX-6352.</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demonstrated the safety or the benefit of this combination in humans and we may be unable to establish a clinically meaningful benefit for patient without added toxicity.</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New Drug Application, or NDA, for entinostat.</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protocol for the pivotal Phase 3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was reviewed and agreed upon by the FDA under an SPA agreement with the NCI. The SPA agreement allows for FDA evaluation of whether a clinical trial protocol could form the primary basis of an efficacy claim in support of a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If the Phase 3 clinical trial of entinostat in combination with Aromasin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6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patients. The trial will measure two primary endpoints of progression-free survival, or PFS, and overall survival or OS. Based on information received from ECOG-ACRIN to date, PFS data is expected no sooner than the second half of 2017 and OS data no sooner than the second half of 2019. If the Phase 3 clinical trial meets the PFS endpoint and the interim analysis of OS demonstrates a favorable trend, we expect to submit an NDA based on this data. However, if the trial does not meet the PFS endpoint, we will not be able to submit an NDA unless and until we receive data demonstrating that the primary endpoint for OS has been achieved. In addition, based on scientific advice from the European Medicines Agency,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6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 xml:space="preserve">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w:t>
      </w:r>
      <w:r>
        <w:rPr>
          <w:rFonts w:ascii="Arial" w:cs="Arial" w:eastAsia="Arial" w:hAnsi="Arial"/>
          <w:sz w:val="16"/>
          <w:szCs w:val="16"/>
          <w:i w:val="1"/>
          <w:iCs w:val="1"/>
          <w:color w:val="auto"/>
        </w:rPr>
        <w:t>Aromasin</w:t>
      </w:r>
      <w:r>
        <w:rPr>
          <w:rFonts w:ascii="Arial" w:cs="Arial" w:eastAsia="Arial" w:hAnsi="Arial"/>
          <w:sz w:val="16"/>
          <w:szCs w:val="16"/>
          <w:color w:val="auto"/>
        </w:rPr>
        <w:t>, we cannot be certain that we will not observe these toxicities or unexpected side effects in the Phase 3 clinical trial.</w:t>
      </w:r>
    </w:p>
    <w:p>
      <w:pPr>
        <w:spacing w:after="0" w:line="154"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7"/>
          <w:szCs w:val="17"/>
          <w:i w:val="1"/>
          <w:iCs w:val="1"/>
          <w:color w:val="auto"/>
        </w:rPr>
        <w:t>Faslodex</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(fulvestrant) and</w:t>
      </w:r>
      <w:r>
        <w:rPr>
          <w:rFonts w:ascii="Arial" w:cs="Arial" w:eastAsia="Arial" w:hAnsi="Arial"/>
          <w:sz w:val="17"/>
          <w:szCs w:val="17"/>
          <w:i w:val="1"/>
          <w:iCs w:val="1"/>
          <w:color w:val="auto"/>
        </w:rPr>
        <w:t xml:space="preserve"> Ibrance </w:t>
      </w:r>
      <w:r>
        <w:rPr>
          <w:rFonts w:ascii="Arial" w:cs="Arial" w:eastAsia="Arial" w:hAnsi="Arial"/>
          <w:sz w:val="17"/>
          <w:szCs w:val="17"/>
          <w:color w:val="auto"/>
        </w:rPr>
        <w:t>(palbociclib), patients enrolled in the Phase 3 clinical trial may be different than those enrolled in our previous Phase 2b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clinical trial in that they may have received </w:t>
      </w:r>
      <w:r>
        <w:rPr>
          <w:rFonts w:ascii="Arial" w:cs="Arial" w:eastAsia="Arial" w:hAnsi="Arial"/>
          <w:sz w:val="17"/>
          <w:szCs w:val="17"/>
          <w:i w:val="1"/>
          <w:iCs w:val="1"/>
          <w:color w:val="auto"/>
        </w:rPr>
        <w:t>Faslodex</w:t>
      </w:r>
      <w:r>
        <w:rPr>
          <w:rFonts w:ascii="Arial" w:cs="Arial" w:eastAsia="Arial" w:hAnsi="Arial"/>
          <w:sz w:val="17"/>
          <w:szCs w:val="17"/>
          <w:color w:val="auto"/>
        </w:rPr>
        <w:t xml:space="preserve"> and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78"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0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have entered into an arrangement with ECOG-ACRIN, pursuant to which it, with sponsorship and funding support by the NCI, is conducting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HER2-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 NCI. If ECOG-ACRIN does not successfully carry out its obligations and responsibilities or meet expected deadlines or if the quality or accuracy of the clinical data it obtains is compromised due to the failure to adhere to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66" w:lineRule="exact"/>
        <w:rPr>
          <w:sz w:val="20"/>
          <w:szCs w:val="20"/>
          <w:color w:val="auto"/>
        </w:rPr>
      </w:pPr>
    </w:p>
    <w:p>
      <w:pPr>
        <w:ind w:right="240" w:firstLine="456"/>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you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The Phase 3 clinical trial of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in advanced HR+, HER2- breast cancer commenced in the second quarter of 2014, and ECOG-ACRIN expects to have PFS data from this trial no sooner than the second half of 2017. However,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6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perception about the relative efficacy of our product candidates versus other compounds in clinical development or commercially available;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dependent on Merck &amp; Co., Inc., or Merck, Genentech Inc., or Genentech, Ares Trading S.A., or Merck KGaA, and Pfizer Inc., or Pfizer, and any future collaborators to perform satisfactorily under our agreements.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actions of KHK and any other current or future sublicensees could adversely affect our business.</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commercial success also depends upon our ability to develop, manufacture, market and sell SNDX-6352. In July 2016, we entered into a license agreement, or the UCB license agreement, with UCB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is required to transfer to us certain data and materials, provide limited technical assistance and certain transitional services, and manufacture and supply us with a preliminary supply of SNDX-6352, which we expect will assist us with the development, manufacture and commercialization of SNDX-6352. If UCB fails to provide such technology transfer or to supply us with sufficient quantities of SNDX-6352, our efforts to develop and commercialization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is terminated,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75"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 NDA or other submission or to obtain regulatory approval;</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and/or SNDX-6352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drug products.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Aromasin, Keytruda, atezolizumab, avelumab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w:t>
      </w:r>
      <w:r>
        <w:rPr>
          <w:rFonts w:ascii="Arial" w:cs="Arial" w:eastAsia="Arial" w:hAnsi="Arial"/>
          <w:sz w:val="17"/>
          <w:szCs w:val="17"/>
          <w:i w:val="1"/>
          <w:iCs w:val="1"/>
          <w:color w:val="auto"/>
        </w:rPr>
        <w:t>Aromasin,</w:t>
      </w:r>
      <w:r>
        <w:rPr>
          <w:rFonts w:ascii="Arial" w:cs="Arial" w:eastAsia="Arial" w:hAnsi="Arial"/>
          <w:sz w:val="17"/>
          <w:szCs w:val="17"/>
          <w:color w:val="auto"/>
        </w:rPr>
        <w:t xml:space="preserve"> </w:t>
      </w:r>
      <w:r>
        <w:rPr>
          <w:rFonts w:ascii="Arial" w:cs="Arial" w:eastAsia="Arial" w:hAnsi="Arial"/>
          <w:sz w:val="17"/>
          <w:szCs w:val="17"/>
          <w:i w:val="1"/>
          <w:iCs w:val="1"/>
          <w:color w:val="auto"/>
        </w:rPr>
        <w:t>Keytruda</w:t>
      </w:r>
      <w:r>
        <w:rPr>
          <w:rFonts w:ascii="Arial" w:cs="Arial" w:eastAsia="Arial" w:hAnsi="Arial"/>
          <w:sz w:val="17"/>
          <w:szCs w:val="17"/>
          <w:color w:val="auto"/>
        </w:rPr>
        <w:t>, atezolizumab, avelumab or other drugs that we are testing in combination with entinostat could adversely affect our ability to timely conduct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Phase 3 clinical trial in advanced HR+, HER2- breast cancer and the Phase 1b/2 clinical trials in NSCLC, melanoma, ovarian cancer and TNBC, and if entinostat receives regulatory approval, to commercialize entinostat for treatment of advanced HR+, HER2- breast cancer, NSCLC, melanoma, ovarian cancer or TNBC. A shortage of supply may also result in an increase, which could be significant, in our costs of procuring </w:t>
      </w:r>
      <w:r>
        <w:rPr>
          <w:rFonts w:ascii="Arial" w:cs="Arial" w:eastAsia="Arial" w:hAnsi="Arial"/>
          <w:sz w:val="17"/>
          <w:szCs w:val="17"/>
          <w:i w:val="1"/>
          <w:iCs w:val="1"/>
          <w:color w:val="auto"/>
        </w:rPr>
        <w:t>Aromasin</w:t>
      </w:r>
      <w:r>
        <w:rPr>
          <w:rFonts w:ascii="Arial" w:cs="Arial" w:eastAsia="Arial" w:hAnsi="Arial"/>
          <w:sz w:val="17"/>
          <w:szCs w:val="17"/>
          <w:color w:val="auto"/>
        </w:rPr>
        <w:t>.</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entinostat and SNDX-6352.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have received breakthrough therapy designation for entinostat.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Entinostat when used in combination with </w:t>
      </w:r>
      <w:r>
        <w:rPr>
          <w:rFonts w:ascii="Arial" w:cs="Arial" w:eastAsia="Arial" w:hAnsi="Arial"/>
          <w:sz w:val="16"/>
          <w:szCs w:val="16"/>
          <w:i w:val="1"/>
          <w:iCs w:val="1"/>
          <w:color w:val="auto"/>
        </w:rPr>
        <w:t xml:space="preserve">Aromasin </w:t>
      </w:r>
      <w:r>
        <w:rPr>
          <w:rFonts w:ascii="Arial" w:cs="Arial" w:eastAsia="Arial" w:hAnsi="Arial"/>
          <w:sz w:val="16"/>
          <w:szCs w:val="16"/>
          <w:color w:val="auto"/>
        </w:rPr>
        <w:t>received a breakthrough therapy designation from the FDA based on the OS results from our completed Phase 2b clinical trial in advanced HR+,</w:t>
      </w:r>
      <w:r>
        <w:rPr>
          <w:rFonts w:ascii="Arial" w:cs="Arial" w:eastAsia="Arial" w:hAnsi="Arial"/>
          <w:sz w:val="16"/>
          <w:szCs w:val="16"/>
          <w:i w:val="1"/>
          <w:iCs w:val="1"/>
          <w:color w:val="auto"/>
        </w:rPr>
        <w:t xml:space="preserve"> </w:t>
      </w:r>
      <w:r>
        <w:rPr>
          <w:rFonts w:ascii="Arial" w:cs="Arial" w:eastAsia="Arial" w:hAnsi="Arial"/>
          <w:sz w:val="16"/>
          <w:szCs w:val="16"/>
          <w:color w:val="auto"/>
        </w:rPr>
        <w:t>HER2- breast cancer. The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OS observed in our Phase 2b clinical trial, the FDA may rescind our breakthrough therapy designation.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do not lawfully promote our approved products, we may become subject to such litigation, which have a material adverse effect on our business, financial condition and results of operations.</w:t>
      </w:r>
    </w:p>
    <w:p>
      <w:pPr>
        <w:spacing w:after="0" w:line="188"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its regulatory approval, limit the commercial scope of its approved use, or result in significant negative consequences following any marketing approval.</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from the European Medicines Agency,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The pharmacologic treatment of NSCLC, melanoma, ovarian cancer and TNBC patients includes chemotherapies and therapies targeting specific gene mutations. More recently, immune checkpoint inhibitors have been approved for NSCLC and melanoma and are under investigation for ovarian cancer and TNBC. There are currently no approved combination immuno-oncology therapies although numerous drugs are undergoing active clinical investigation. We believe that if entinostat in combination with either </w:t>
      </w:r>
      <w:r>
        <w:rPr>
          <w:rFonts w:ascii="Arial" w:cs="Arial" w:eastAsia="Arial" w:hAnsi="Arial"/>
          <w:sz w:val="18"/>
          <w:szCs w:val="18"/>
          <w:i w:val="1"/>
          <w:iCs w:val="1"/>
          <w:color w:val="auto"/>
        </w:rPr>
        <w:t>Keytruda</w:t>
      </w:r>
      <w:r>
        <w:rPr>
          <w:rFonts w:ascii="Arial" w:cs="Arial" w:eastAsia="Arial" w:hAnsi="Arial"/>
          <w:sz w:val="18"/>
          <w:szCs w:val="18"/>
          <w:color w:val="auto"/>
        </w:rPr>
        <w:t>, atezolizumab or avelumab were approved for the treatment of NSCLC, melanoma, TNBC or ovarian cancer, it would face competition from these standard-of-care approaches and other investigational drugs being tested in combination with any of these approaches.</w:t>
      </w:r>
    </w:p>
    <w:p>
      <w:pPr>
        <w:spacing w:after="0" w:line="19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developed by Pfizer, </w:t>
      </w:r>
      <w:r>
        <w:rPr>
          <w:rFonts w:ascii="Arial" w:cs="Arial" w:eastAsia="Arial" w:hAnsi="Arial"/>
          <w:sz w:val="18"/>
          <w:szCs w:val="18"/>
          <w:i w:val="1"/>
          <w:iCs w:val="1"/>
          <w:color w:val="auto"/>
        </w:rPr>
        <w:t>Afinitor</w:t>
      </w:r>
      <w:r>
        <w:rPr>
          <w:rFonts w:ascii="Arial" w:cs="Arial" w:eastAsia="Arial" w:hAnsi="Arial"/>
          <w:sz w:val="18"/>
          <w:szCs w:val="18"/>
          <w:color w:val="auto"/>
        </w:rPr>
        <w:t>, developed by Novartis, and other therapies currently in Phase 3 clinical development such as abemaciclib, being developed by Eli Lilly and Company, and ribociclib and buparlisib, both of which are being developed by Novartis.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and other drugs by physicians and other healthcare providers.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24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Alternatively, we may rely on third parties to launch and market our drug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drug candidate.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26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181" w:lineRule="exact"/>
        <w:rPr>
          <w:sz w:val="20"/>
          <w:szCs w:val="20"/>
          <w:color w:val="auto"/>
        </w:rPr>
      </w:pPr>
    </w:p>
    <w:p>
      <w:pPr>
        <w:ind w:right="560" w:firstLine="456"/>
        <w:spacing w:after="0" w:line="302" w:lineRule="auto"/>
        <w:rPr>
          <w:sz w:val="20"/>
          <w:szCs w:val="20"/>
          <w:color w:val="auto"/>
        </w:rPr>
      </w:pPr>
      <w:r>
        <w:rPr>
          <w:rFonts w:ascii="Arial" w:cs="Arial" w:eastAsia="Arial" w:hAnsi="Arial"/>
          <w:sz w:val="16"/>
          <w:szCs w:val="16"/>
          <w:color w:val="auto"/>
        </w:rPr>
        <w:t>For example, President Obama signed into law the Patient Protection and Affordable Care Act, as amended by the Health Care and Education Reconciliation Act of 2010, or, collectively,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2024. In January 2013,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6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9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but are not limited to, the following:</w:t>
      </w:r>
    </w:p>
    <w:p>
      <w:pPr>
        <w:spacing w:after="0" w:line="94" w:lineRule="exact"/>
        <w:rPr>
          <w:sz w:val="20"/>
          <w:szCs w:val="20"/>
          <w:color w:val="auto"/>
        </w:rPr>
      </w:pPr>
    </w:p>
    <w:p>
      <w:pPr>
        <w:ind w:left="9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from a health care benefit program, willfully obstructing a criminal investigation of a health care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98"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94" w:lineRule="exact"/>
        <w:rPr>
          <w:rFonts w:ascii="Arial" w:cs="Arial" w:eastAsia="Arial" w:hAnsi="Arial"/>
          <w:sz w:val="18"/>
          <w:szCs w:val="18"/>
          <w:color w:val="auto"/>
        </w:rPr>
      </w:pPr>
    </w:p>
    <w:p>
      <w:pPr>
        <w:ind w:left="900" w:hanging="325"/>
        <w:spacing w:after="0" w:line="28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ours. Entinostat composition of matter U.S. Patent RE39,754, which we licensed from Bayer, covers the chemical entity of entinostat and any crystalline or non-crystalline form of entinostat and expires in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 Even if we submit the NDA before the expiration of U.S. Patent RE39,754 and are successful in obtaining an extension of the term of U.S. Patent RE39,754 based on FDA regulatory delays, such extension will only extend the term of RE39,754 for a few additional years (up to a maximum of five additional years for patent claims covering a new chemical entity).</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2029. After expiry of RE39,754 in 2017, a competitor may develop a competing polymorphic form other than based on polymorph B, which could compete with polymorph B.</w:t>
      </w:r>
    </w:p>
    <w:p>
      <w:pPr>
        <w:spacing w:after="0" w:line="1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portfolio we licensed from UCB includes patent applications with pending claims directed to the composition of matter of SNDX-6352 (a humanized, full-length IgG4 (kappa light chain) antibody with high affinity for the CSF-1 Receptor)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66"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2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As of September 30, 2016, our executive officers, directors, holders of 5% or more of our capital stock and their respective affiliates beneficially own approximately 74%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0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6" w:lineRule="exact"/>
        <w:rPr>
          <w:sz w:val="20"/>
          <w:szCs w:val="20"/>
          <w:color w:val="auto"/>
        </w:rPr>
      </w:pPr>
    </w:p>
    <w:p>
      <w:pPr>
        <w:ind w:left="900" w:right="1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75"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92"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29"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take advantage of these exemptions until we are no longer an “emerging growth company.” We would cease to be an “emerging growth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upon the earliest of: (i) the first fiscal year following the fifth anniversary of our IPO; (ii) the first fiscal year after our annual gross revenues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or more; (iii) the date on which we have, during the previous three-year period, issued more than $1.0 billion in non-convertible debt securities; or</w:t>
      </w:r>
    </w:p>
    <w:p>
      <w:pPr>
        <w:spacing w:after="0" w:line="32" w:lineRule="exact"/>
        <w:rPr>
          <w:sz w:val="20"/>
          <w:szCs w:val="20"/>
          <w:color w:val="auto"/>
        </w:rPr>
      </w:pPr>
    </w:p>
    <w:p>
      <w:pPr>
        <w:ind w:right="180" w:firstLine="8"/>
        <w:spacing w:after="0" w:line="261" w:lineRule="auto"/>
        <w:tabs>
          <w:tab w:leader="none" w:pos="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the end of any fiscal year in which the market value of our common stock held by non-affiliates exceeded $700 million as of the end of the second quarter of that fiscal year.</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6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needs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these rules and regulations have made it more difficult and more expensive for us to obtain director and officer liability insurance and we were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Holders of an aggregate of 6,839,601 shares of our common stock and warrants to purchase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0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2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87" w:lineRule="exact"/>
        <w:rPr>
          <w:sz w:val="20"/>
          <w:szCs w:val="20"/>
          <w:color w:val="auto"/>
        </w:rPr>
      </w:pPr>
    </w:p>
    <w:p>
      <w:pPr>
        <w:ind w:left="900" w:right="5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3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March 8, 2016, we closed our IPO and sold 4,400,000 shares of common stock at the initial public offering price of $12.00 per share. On March 11, 2016, we sold an additional 409,475 shares of our common stock at the initial public offering price of $12.00 per share as a result of the partial exercise by the underwriters of their option to purchase additional shares of common stock. We received net proceeds from the IPO of approximately $50.5 million, after deducting underwriting discounts, commissions and offering expenses. None of these expenses consisted of payments made by us to directors, officers or persons owning 10% or more of our common stock or to their associates, or to our affiliates.</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offer and sale of the shares in our IPO were registered pursuant to our Registration Statement on Form S-1 (File No. 333-208861), which was declared effective by the SEC on March 2, 2016. Morgan Stanley &amp; Co. LLC and Citigroup Global Markets Inc. acted as joint book-running managers for the offering, and JMP Securities LLC and Oppenheimer &amp; Co. Inc. acted as co-managers for the offering.</w:t>
      </w:r>
    </w:p>
    <w:p>
      <w:pPr>
        <w:spacing w:after="0" w:line="18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March 3, 2016, pursuant to Rule 424. We invested the funds received in cash equivalents and other short-term investments in accordance with our investment policy. As of September 30, 2016, we have not used any of the proceeds from the IPO and as such, the entire amount of the net proceeds is included as cash, cash equivalents and short-term investments.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 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Briggs W. Morrison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Allan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Allan Shaw</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00"/>
          </w:cols>
          <w:pgMar w:left="240" w:top="459" w:right="259" w:bottom="1440" w:gutter="0" w:footer="0" w:header="0"/>
        </w:sectPr>
      </w:pPr>
    </w:p>
    <w:p>
      <w:pPr>
        <w:spacing w:after="0" w:line="248" w:lineRule="exact"/>
        <w:rPr>
          <w:sz w:val="20"/>
          <w:szCs w:val="20"/>
          <w:color w:val="auto"/>
        </w:rPr>
      </w:pPr>
    </w:p>
    <w:p>
      <w:pPr>
        <w:jc w:val="center"/>
        <w:ind w:left="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5080</wp:posOffset>
            </wp:positionV>
            <wp:extent cx="2832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Amended and Restated Certificate of Incorporation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sectPr>
          <w:pgSz w:w="11900" w:h="16838" w:orient="portrait"/>
          <w:cols w:equalWidth="0" w:num="2">
            <w:col w:w="520" w:space="400"/>
            <w:col w:w="10480"/>
          </w:cols>
          <w:pgMar w:left="240" w:top="459" w:right="259" w:bottom="1440" w:gutter="0" w:footer="0" w:header="0"/>
          <w:type w:val="continuous"/>
        </w:sectPr>
      </w:pPr>
    </w:p>
    <w:p>
      <w:pPr>
        <w:ind w:left="920" w:right="10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ind w:left="920" w:right="100" w:hanging="737"/>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of the Company (incorporated herein by reference to Exhibit 4.1 to the Company’s Registration Statement on Form S-1/A (File No. 333-208861), as filed with the SEC on February 20, 2016).</w:t>
      </w:r>
    </w:p>
    <w:p>
      <w:pPr>
        <w:spacing w:after="0" w:line="62" w:lineRule="exact"/>
        <w:rPr>
          <w:sz w:val="20"/>
          <w:szCs w:val="20"/>
          <w:color w:val="auto"/>
        </w:rPr>
      </w:pPr>
    </w:p>
    <w:p>
      <w:pPr>
        <w:ind w:left="920" w:right="120" w:hanging="737"/>
        <w:spacing w:after="0" w:line="264"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to purchase Common Stock issued pursuant to the Warrant Agreement by and between the Company and Bayer Schering Pharma AG, dated as of March 26, 2007 (incorporated herein by reference to Exhibit 4.2 to the Company’s Registration Statement on Form S-1 (File No. 333-208861), as filed with the SEC on January 4, 2016).</w:t>
      </w:r>
    </w:p>
    <w:p>
      <w:pPr>
        <w:spacing w:after="0" w:line="7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License Agreement by and between the Company and UCB Biopharma Sprl, dated as of July 1, 2016 (incorporated herein by reference to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Exhibit 10.1 to the Company’s Current Report on Form 8-K (File No. 001- 37708), as filed with the SEC on October 7, 2016).</w:t>
      </w:r>
    </w:p>
    <w:p>
      <w:pPr>
        <w:spacing w:after="0" w:line="103" w:lineRule="exact"/>
        <w:rPr>
          <w:sz w:val="20"/>
          <w:szCs w:val="20"/>
          <w:color w:val="auto"/>
        </w:rPr>
      </w:pPr>
    </w:p>
    <w:p>
      <w:pPr>
        <w:ind w:left="920" w:right="100" w:hanging="827"/>
        <w:spacing w:after="0" w:line="277"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pursuant to Rules 13a-14(a) and 15d-14(a) promulgated under the Securities Exchange Act of 1934, as amended.</w:t>
      </w:r>
    </w:p>
    <w:p>
      <w:pPr>
        <w:spacing w:after="0" w:line="62"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pursuant to Rules 13a-14(a) and 15d-14(a) promulgated under the Securities Exchange Act of 1934, as amended.</w:t>
      </w:r>
    </w:p>
    <w:p>
      <w:pPr>
        <w:spacing w:after="0" w:line="62" w:lineRule="exact"/>
        <w:rPr>
          <w:sz w:val="20"/>
          <w:szCs w:val="20"/>
          <w:color w:val="auto"/>
        </w:rPr>
      </w:pPr>
    </w:p>
    <w:p>
      <w:pPr>
        <w:ind w:left="920" w:right="100" w:hanging="827"/>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Chief Executive Officer and Chief Financial Officer pursuant to 18 U.S.C. Section 1350, as adopted pursuant to Section 906 of the Sarbanes-Oxley Act of 2002.</w:t>
      </w:r>
    </w:p>
    <w:p>
      <w:pPr>
        <w:spacing w:after="0" w:line="62" w:lineRule="exact"/>
        <w:rPr>
          <w:sz w:val="20"/>
          <w:szCs w:val="20"/>
          <w:color w:val="auto"/>
        </w:rPr>
      </w:pPr>
    </w:p>
    <w:p>
      <w:pPr>
        <w:ind w:left="920" w:hanging="912"/>
        <w:spacing w:after="0" w:line="259"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September 30, 2016, formatted in XBRL (eXtensible Business Reporting Language): (i) the Condensed Consolidated Balance Sheets; (ii) the Condensed Consolidated Statements of Operations; (iii) the Condensed Consolidated Statements of Comprehensive Loss; (iv) the Condensed Consolidated Statements of Cash Flows; and (v)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3" w:lineRule="exact"/>
        <w:rPr>
          <w:sz w:val="20"/>
          <w:szCs w:val="20"/>
          <w:color w:val="auto"/>
        </w:rPr>
      </w:pPr>
    </w:p>
    <w:p>
      <w:pPr>
        <w:ind w:left="220" w:right="80" w:hanging="219"/>
        <w:spacing w:after="0" w:line="271" w:lineRule="auto"/>
        <w:tabs>
          <w:tab w:leader="none" w:pos="200" w:val="left"/>
        </w:tabs>
        <w:rPr>
          <w:sz w:val="20"/>
          <w:szCs w:val="20"/>
          <w:color w:val="auto"/>
        </w:rPr>
      </w:pPr>
      <w:r>
        <w:rPr>
          <w:rFonts w:ascii="Arial" w:cs="Arial" w:eastAsia="Arial" w:hAnsi="Arial"/>
          <w:sz w:val="17"/>
          <w:szCs w:val="17"/>
          <w:color w:val="auto"/>
        </w:rPr>
        <w:t>*</w:t>
        <w:tab/>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jc w:val="center"/>
        <w:ind w:left="5620" w:right="660" w:hanging="5612"/>
        <w:spacing w:after="0" w:line="433"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portions of this exhibit. These portions have been omitted and filed separately with the SEC. 53</w:t>
      </w:r>
    </w:p>
    <w:p>
      <w:pPr>
        <w:sectPr>
          <w:pgSz w:w="11900" w:h="16838" w:orient="portrait"/>
          <w:cols w:equalWidth="0" w:num="1">
            <w:col w:w="11400"/>
          </w:cols>
          <w:pgMar w:left="240" w:top="459" w:right="25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certify that:</w:t>
      </w:r>
    </w:p>
    <w:p>
      <w:pPr>
        <w:spacing w:after="0" w:line="225"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464"/>
        <w:spacing w:after="0" w:line="277"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53"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7"/>
          <w:szCs w:val="17"/>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Briggs W. Morrison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Allan Shaw, certify that:</w:t>
      </w:r>
    </w:p>
    <w:p>
      <w:pPr>
        <w:spacing w:after="0" w:line="225"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464"/>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5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7"/>
          <w:szCs w:val="17"/>
          <w:color w:val="auto"/>
        </w:rPr>
        <w:t>By:  /s/ Allan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Allan Shaw</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September 30, 2016,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November 14, 2016</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w:t>
            </w:r>
          </w:p>
        </w:tc>
      </w:tr>
      <w:tr>
        <w:trPr>
          <w:trHeight w:val="209"/>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Briggs W. Morrison</w:t>
            </w:r>
          </w:p>
        </w:tc>
      </w:tr>
      <w:tr>
        <w:trPr>
          <w:trHeight w:val="230"/>
        </w:trPr>
        <w:tc>
          <w:tcPr>
            <w:tcW w:w="3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6"/>
        </w:trPr>
        <w:tc>
          <w:tcPr>
            <w:tcW w:w="3920" w:type="dxa"/>
            <w:vAlign w:val="bottom"/>
          </w:tcPr>
          <w:p>
            <w:pPr>
              <w:spacing w:after="0"/>
              <w:rPr>
                <w:sz w:val="20"/>
                <w:szCs w:val="20"/>
                <w:color w:val="auto"/>
              </w:rPr>
            </w:pPr>
            <w:r>
              <w:rPr>
                <w:rFonts w:ascii="Arial" w:cs="Arial" w:eastAsia="Arial" w:hAnsi="Arial"/>
                <w:sz w:val="18"/>
                <w:szCs w:val="18"/>
                <w:color w:val="auto"/>
              </w:rPr>
              <w:t>Date: November 14, 2016</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Shaw</w:t>
            </w:r>
          </w:p>
        </w:tc>
      </w:tr>
      <w:tr>
        <w:trPr>
          <w:trHeight w:val="209"/>
        </w:trPr>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Allan Shaw</w:t>
            </w:r>
          </w:p>
        </w:tc>
      </w:tr>
      <w:tr>
        <w:trPr>
          <w:trHeight w:val="230"/>
        </w:trPr>
        <w:tc>
          <w:tcPr>
            <w:tcW w:w="3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Roman"/>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Roman"/>
      <w:start w:val="4"/>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0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2019-12-29T08:18:28Z</dcterms:created>
  <dcterms:modified xsi:type="dcterms:W3CDTF">2019-12-29T08:18:28Z</dcterms:modified>
</cp:coreProperties>
</file>