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3641090</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0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48"/>
        </w:trPr>
        <w:tc>
          <w:tcPr>
            <w:tcW w:w="6020" w:type="dxa"/>
            <w:vAlign w:val="bottom"/>
          </w:tcPr>
          <w:p>
            <w:pPr>
              <w:jc w:val="center"/>
              <w:ind w:right="348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0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730 Third Avenue, 9th Floor</w:t>
            </w:r>
          </w:p>
        </w:tc>
        <w:tc>
          <w:tcPr>
            <w:tcW w:w="1400" w:type="dxa"/>
            <w:vAlign w:val="bottom"/>
          </w:tcPr>
          <w:p>
            <w:pPr>
              <w:spacing w:after="0"/>
              <w:rPr>
                <w:sz w:val="24"/>
                <w:szCs w:val="24"/>
                <w:color w:val="auto"/>
              </w:rPr>
            </w:pPr>
          </w:p>
        </w:tc>
      </w:tr>
      <w:tr>
        <w:trPr>
          <w:trHeight w:val="194"/>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40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0"/>
        </w:trPr>
        <w:tc>
          <w:tcPr>
            <w:tcW w:w="6020" w:type="dxa"/>
            <w:vAlign w:val="bottom"/>
          </w:tcPr>
          <w:p>
            <w:pPr>
              <w:jc w:val="center"/>
              <w:ind w:right="3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6020" w:type="dxa"/>
            <w:vAlign w:val="bottom"/>
          </w:tcPr>
          <w:p>
            <w:pPr>
              <w:jc w:val="right"/>
              <w:ind w:right="142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00" w:type="dxa"/>
            <w:vAlign w:val="bottom"/>
          </w:tcPr>
          <w:p>
            <w:pPr>
              <w:spacing w:after="0"/>
              <w:rPr>
                <w:sz w:val="23"/>
                <w:szCs w:val="23"/>
                <w:color w:val="auto"/>
              </w:rPr>
            </w:pPr>
          </w:p>
        </w:tc>
      </w:tr>
      <w:tr>
        <w:trPr>
          <w:trHeight w:val="190"/>
        </w:trPr>
        <w:tc>
          <w:tcPr>
            <w:tcW w:w="6020" w:type="dxa"/>
            <w:vAlign w:val="bottom"/>
          </w:tcPr>
          <w:p>
            <w:pPr>
              <w:jc w:val="center"/>
              <w:ind w:left="19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19"/>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9"/>
        </w:trPr>
        <w:tc>
          <w:tcPr>
            <w:tcW w:w="33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88" w:lineRule="exact"/>
        <w:rPr>
          <w:sz w:val="24"/>
          <w:szCs w:val="24"/>
          <w:color w:val="auto"/>
        </w:rPr>
      </w:pPr>
    </w:p>
    <w:p>
      <w:pPr>
        <w:ind w:right="18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2025, there were 86,047,449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LLC, a subsidiary of AbbVie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our other product candidates by physicians and patients;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tariffs, war or the perception that hostilities may be imminent (such as the ongoing war between Russia and Ukraine),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2025 and December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months ended March 31, 2025 and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8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months ended March 31, 2025 and 2024</w:t>
            </w:r>
          </w:p>
        </w:tc>
        <w:tc>
          <w:tcPr>
            <w:tcW w:w="1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6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31, 2025 and 2024</w:t>
            </w:r>
          </w:p>
        </w:tc>
        <w:tc>
          <w:tcPr>
            <w:tcW w:w="268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04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24"/>
                <w:szCs w:val="24"/>
                <w:color w:val="auto"/>
              </w:rPr>
            </w:pPr>
          </w:p>
        </w:tc>
        <w:tc>
          <w:tcPr>
            <w:tcW w:w="29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81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 w:type="dxa"/>
            <w:vAlign w:val="bottom"/>
            <w:tcBorders>
              <w:top w:val="single" w:sz="8" w:color="0000FF"/>
              <w:bottom w:val="single" w:sz="8" w:color="0000EE"/>
            </w:tcBorders>
          </w:tcPr>
          <w:p>
            <w:pPr>
              <w:spacing w:after="0"/>
              <w:rPr>
                <w:sz w:val="24"/>
                <w:szCs w:val="24"/>
                <w:color w:val="auto"/>
              </w:rPr>
            </w:pPr>
          </w:p>
        </w:tc>
        <w:tc>
          <w:tcPr>
            <w:tcW w:w="680" w:type="dxa"/>
            <w:vAlign w:val="bottom"/>
            <w:tcBorders>
              <w:top w:val="single" w:sz="8" w:color="0000FF"/>
            </w:tcBorders>
            <w:gridSpan w:val="3"/>
          </w:tcPr>
          <w:p>
            <w:pPr>
              <w:spacing w:after="0"/>
              <w:rPr>
                <w:sz w:val="24"/>
                <w:szCs w:val="24"/>
                <w:color w:val="auto"/>
              </w:rPr>
            </w:pPr>
          </w:p>
        </w:tc>
        <w:tc>
          <w:tcPr>
            <w:tcW w:w="812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deposits</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receivable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603,057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3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Royalty payable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royalty interest financing liability</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94,551</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interest financing liability, less current portion</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329,644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331,565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331,097</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425,648</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436,692</w:t>
            </w:r>
          </w:p>
        </w:tc>
        <w:tc>
          <w:tcPr>
            <w:tcW w:w="100" w:type="dxa"/>
            <w:vAlign w:val="bottom"/>
          </w:tcPr>
          <w:p>
            <w:pPr>
              <w:spacing w:after="0"/>
              <w:rPr>
                <w:sz w:val="18"/>
                <w:szCs w:val="18"/>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2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40" w:type="dxa"/>
            <w:vAlign w:val="bottom"/>
            <w:shd w:val="clear" w:color="auto" w:fill="CFF0FC"/>
          </w:tcPr>
          <w:p>
            <w:pPr>
              <w:spacing w:after="0"/>
              <w:rPr>
                <w:sz w:val="20"/>
                <w:szCs w:val="20"/>
                <w:color w:val="auto"/>
              </w:rPr>
            </w:pPr>
          </w:p>
        </w:tc>
        <w:tc>
          <w:tcPr>
            <w:tcW w:w="1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86,047,032</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85,694,443 shares issued and outstanding at March 31, 2025 and</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1,520,527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(1,306,004)</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(1,221,158)</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215,059</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100" w:type="dxa"/>
            <w:vAlign w:val="bottom"/>
            <w:tcBorders>
              <w:top w:val="single" w:sz="8" w:color="CFF0FC"/>
            </w:tcBorders>
          </w:tcPr>
          <w:p>
            <w:pPr>
              <w:spacing w:after="0"/>
              <w:rPr>
                <w:sz w:val="18"/>
                <w:szCs w:val="18"/>
                <w:color w:val="auto"/>
              </w:rPr>
            </w:pPr>
          </w:p>
        </w:tc>
      </w:tr>
      <w:tr>
        <w:trPr>
          <w:trHeight w:val="2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640,707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724,816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78"/>
        </w:trPr>
        <w:tc>
          <w:tcPr>
            <w:tcW w:w="9380" w:type="dxa"/>
            <w:vAlign w:val="bottom"/>
            <w:gridSpan w:val="4"/>
          </w:tcPr>
          <w:p>
            <w:pPr>
              <w:ind w:left="2460"/>
              <w:spacing w:after="0" w:line="178" w:lineRule="exact"/>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73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7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-5425440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-5425440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-4585970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-4568190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-4585970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-3179445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-2613660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-1087755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-796290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-779145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1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 loss</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103,799</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(83,757)</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(79,514)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interest expense</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(8,049)</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(84,846)</w:t>
            </w: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180" w:type="dxa"/>
            <w:vAlign w:val="bottom"/>
            <w:gridSpan w:val="2"/>
            <w:shd w:val="clear" w:color="auto" w:fill="CFF0FC"/>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(84,846)</w:t>
            </w:r>
          </w:p>
        </w:tc>
        <w:tc>
          <w:tcPr>
            <w:tcW w:w="1000" w:type="dxa"/>
            <w:vAlign w:val="bottom"/>
            <w:gridSpan w:val="2"/>
            <w:shd w:val="clear" w:color="auto" w:fill="CFF0FC"/>
          </w:tcPr>
          <w:p>
            <w:pPr>
              <w:jc w:val="right"/>
              <w:ind w:right="7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196"/>
        </w:trPr>
        <w:tc>
          <w:tcPr>
            <w:tcW w:w="4920" w:type="dxa"/>
            <w:vAlign w:val="bottom"/>
            <w:tcBorders>
              <w:top w:val="single" w:sz="8" w:color="CFF0FC"/>
            </w:tcBorders>
          </w:tcPr>
          <w:p>
            <w:pPr>
              <w:spacing w:after="0"/>
              <w:rPr>
                <w:sz w:val="17"/>
                <w:szCs w:val="17"/>
                <w:color w:val="auto"/>
              </w:rPr>
            </w:pPr>
          </w:p>
        </w:tc>
        <w:tc>
          <w:tcPr>
            <w:tcW w:w="168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(0.98)</w:t>
            </w:r>
          </w:p>
        </w:tc>
        <w:tc>
          <w:tcPr>
            <w:tcW w:w="10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21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(0.98)</w:t>
            </w:r>
          </w:p>
        </w:tc>
        <w:tc>
          <w:tcPr>
            <w:tcW w:w="100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used in calculating:</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common stockholders</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86,171,889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common stockholders</w:t>
            </w:r>
          </w:p>
        </w:tc>
        <w:tc>
          <w:tcPr>
            <w:tcW w:w="1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86,171,889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85,213,200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gridSpan w:val="5"/>
          </w:tcPr>
          <w:p>
            <w:pPr>
              <w:ind w:left="2460"/>
              <w:spacing w:after="0" w:line="198" w:lineRule="exact"/>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-4178300</wp:posOffset>
            </wp:positionV>
            <wp:extent cx="1022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-4178300</wp:posOffset>
            </wp:positionV>
            <wp:extent cx="939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-3325495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-2202815</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-1893570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-1876425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388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tcPr>
          <w:p>
            <w:pPr>
              <w:spacing w:after="0"/>
              <w:rPr>
                <w:sz w:val="17"/>
                <w:szCs w:val="17"/>
                <w:color w:val="auto"/>
              </w:rPr>
            </w:pPr>
          </w:p>
        </w:tc>
        <w:tc>
          <w:tcPr>
            <w:tcW w:w="1740" w:type="dxa"/>
            <w:vAlign w:val="bottom"/>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500" w:type="dxa"/>
            <w:vAlign w:val="bottom"/>
            <w:gridSpan w:val="2"/>
          </w:tcPr>
          <w:p>
            <w:pPr>
              <w:jc w:val="center"/>
              <w:ind w:left="942"/>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740" w:type="dxa"/>
            <w:vAlign w:val="bottom"/>
            <w:tcBorders>
              <w:bottom w:val="single" w:sz="8" w:color="auto"/>
            </w:tcBorders>
            <w:gridSpan w:val="3"/>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0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1,509,110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00" w:type="dxa"/>
            <w:vAlign w:val="bottom"/>
            <w:vMerge w:val="continue"/>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85,694,443</w:t>
            </w: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86,047,032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3400" w:type="dxa"/>
            <w:vAlign w:val="bottom"/>
          </w:tcPr>
          <w:p>
            <w:pPr>
              <w:spacing w:after="0"/>
              <w:rPr>
                <w:sz w:val="24"/>
                <w:szCs w:val="24"/>
                <w:color w:val="auto"/>
              </w:rPr>
            </w:pPr>
          </w:p>
        </w:tc>
        <w:tc>
          <w:tcPr>
            <w:tcW w:w="388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0" w:type="dxa"/>
            <w:vAlign w:val="bottom"/>
          </w:tcPr>
          <w:p>
            <w:pPr>
              <w:spacing w:after="0"/>
              <w:rPr>
                <w:sz w:val="17"/>
                <w:szCs w:val="17"/>
                <w:color w:val="auto"/>
              </w:rPr>
            </w:pPr>
          </w:p>
        </w:tc>
        <w:tc>
          <w:tcPr>
            <w:tcW w:w="1740" w:type="dxa"/>
            <w:vAlign w:val="bottom"/>
            <w:gridSpan w:val="3"/>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500" w:type="dxa"/>
            <w:vAlign w:val="bottom"/>
            <w:gridSpan w:val="2"/>
          </w:tcPr>
          <w:p>
            <w:pPr>
              <w:jc w:val="center"/>
              <w:ind w:left="922"/>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740" w:type="dxa"/>
            <w:vAlign w:val="bottom"/>
            <w:tcBorders>
              <w:bottom w:val="single" w:sz="8" w:color="auto"/>
            </w:tcBorders>
            <w:gridSpan w:val="3"/>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50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-2082165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90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900" w:type="dxa"/>
            <w:vAlign w:val="bottom"/>
          </w:tcPr>
          <w:p>
            <w:pPr>
              <w:jc w:val="center"/>
              <w:ind w:right="64"/>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(1,221,158)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(84,846)</w:t>
            </w: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(84,846)</w:t>
            </w:r>
          </w:p>
        </w:tc>
        <w:tc>
          <w:tcPr>
            <w:tcW w:w="0" w:type="dxa"/>
            <w:vAlign w:val="bottom"/>
          </w:tcPr>
          <w:p>
            <w:pPr>
              <w:spacing w:after="0"/>
              <w:rPr>
                <w:sz w:val="1"/>
                <w:szCs w:val="1"/>
                <w:color w:val="auto"/>
              </w:rPr>
            </w:pP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(1,306,004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68" w:lineRule="exact"/>
        <w:rPr>
          <w:sz w:val="20"/>
          <w:szCs w:val="20"/>
          <w:color w:val="auto"/>
        </w:rPr>
      </w:pPr>
    </w:p>
    <w:p>
      <w:pPr>
        <w:sectPr>
          <w:pgSz w:w="11900" w:h="16838" w:orient="portrait"/>
          <w:cols w:equalWidth="0" w:num="2">
            <w:col w:w="7380" w:space="140"/>
            <w:col w:w="372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Balance as of December 31, 2023</w:t>
            </w: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84,826,632</w:t>
            </w:r>
          </w:p>
        </w:tc>
        <w:tc>
          <w:tcPr>
            <w:tcW w:w="620" w:type="dxa"/>
            <w:vAlign w:val="bottom"/>
            <w:gridSpan w:val="2"/>
            <w:shd w:val="clear" w:color="auto" w:fill="CFF0FC"/>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1,456,370</w:t>
            </w:r>
          </w:p>
        </w:tc>
        <w:tc>
          <w:tcPr>
            <w:tcW w:w="58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(902,400)</w:t>
            </w:r>
          </w:p>
        </w:tc>
        <w:tc>
          <w:tcPr>
            <w:tcW w:w="240" w:type="dxa"/>
            <w:vAlign w:val="bottom"/>
            <w:shd w:val="clear" w:color="auto" w:fill="CFF0FC"/>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554,196</w:t>
            </w:r>
          </w:p>
        </w:tc>
        <w:tc>
          <w:tcPr>
            <w:tcW w:w="100" w:type="dxa"/>
            <w:vAlign w:val="bottom"/>
            <w:shd w:val="clear" w:color="auto" w:fill="CFF0FC"/>
          </w:tcPr>
          <w:p>
            <w:pPr>
              <w:spacing w:after="0"/>
              <w:rPr>
                <w:sz w:val="16"/>
                <w:szCs w:val="16"/>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(72,400)</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r>
      <w:tr>
        <w:trPr>
          <w:trHeight w:val="20"/>
        </w:trPr>
        <w:tc>
          <w:tcPr>
            <w:tcW w:w="3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84,979,686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(974,800)</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100" w:type="dxa"/>
            <w:vAlign w:val="bottom"/>
            <w:shd w:val="clear" w:color="auto" w:fill="CFF0FC"/>
          </w:tcPr>
          <w:p>
            <w:pPr>
              <w:spacing w:after="0"/>
              <w:rPr>
                <w:sz w:val="21"/>
                <w:szCs w:val="21"/>
                <w:color w:val="auto"/>
              </w:rPr>
            </w:pPr>
          </w:p>
        </w:tc>
      </w:tr>
      <w:tr>
        <w:trPr>
          <w:trHeight w:val="413"/>
        </w:trPr>
        <w:tc>
          <w:tcPr>
            <w:tcW w:w="34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-796290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-779145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-796290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-779145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-796290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-779145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-796290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-779145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-796290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-779145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9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(84,846)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(3,599)</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(3,821)</w:t>
            </w: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(8,120)</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(4,191)</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Collaboration (payable) receivable, net</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(7,044)</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(6,073)</w:t>
            </w:r>
          </w:p>
        </w:tc>
      </w:tr>
      <w:tr>
        <w:trPr>
          <w:trHeight w:val="216"/>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(1,579)</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w:t>
            </w:r>
          </w:p>
        </w:tc>
      </w:tr>
      <w:tr>
        <w:trPr>
          <w:trHeight w:val="216"/>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(2,533)</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(6,709)</w:t>
            </w:r>
          </w:p>
        </w:tc>
      </w:tr>
      <w:tr>
        <w:trPr>
          <w:trHeight w:val="20"/>
        </w:trPr>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(95,162)</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(83,548)</w:t>
            </w:r>
          </w:p>
        </w:tc>
      </w:tr>
      <w:tr>
        <w:trPr>
          <w:trHeight w:val="209"/>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(10,538)</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(167,385)</w:t>
            </w: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94,142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(99,399)</w:t>
            </w:r>
          </w:p>
        </w:tc>
      </w:tr>
      <w:tr>
        <w:trPr>
          <w:trHeight w:val="210"/>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(180,779)</w:t>
            </w:r>
          </w:p>
        </w:tc>
      </w:tr>
      <w:tr>
        <w:trPr>
          <w:trHeight w:val="216"/>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154,300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114,832</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-1584960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-1019175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-453390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commercial-stage biopharmaceutical company advancing innovative cancer therapies. We currently have two commercially approved products and a robust slate of clinical development programs designed to unlock their full potential. We were incorporated in Delaware in 2005. We have operations in New York, NY, and we operate in one segment. References in these notes to consolidated financial statements to “Syndax,” “the Company,” “we,” “us” or “our” refer to Syndax Pharmaceuticals, Inc. and its wholly owned subsidiaries.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revenue generation from Revuforj and Niktimvo; obtaining regulatory approval of additional indications for our approved products;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spacing w:after="0" w:line="10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March 31, 2025 and its results of operations for the three months ended March 31, 2025 and 2024 and cash flows for the three months ended March 31, 2025 and 2024. Operating results for the three months ended March 31, 2025 are not necessarily indicative of the results that may be expected for the year ending December 31, 2025.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2024 contained in the Company’s annual report on Form 10-K, filed with the SEC on March 3, 2025.</w:t>
      </w:r>
    </w:p>
    <w:p>
      <w:pPr>
        <w:spacing w:after="0" w:line="11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which the Company was dissolved in June 2024. In 2014, the Company established a wholly owned U.S. subsidiary. In 2021, the Company established a wholly owned subsidiary in the Netherlands. To date, there have been no material activities for these entities.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2024, and the notes thereto are included in the Company’s Annual Report on Form 10-K that was filed with the SEC on March 3, 2025.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ind w:right="200"/>
        <w:spacing w:after="0" w:line="282" w:lineRule="auto"/>
        <w:rPr>
          <w:sz w:val="20"/>
          <w:szCs w:val="20"/>
          <w:color w:val="auto"/>
        </w:rPr>
      </w:pPr>
      <w:r>
        <w:rPr>
          <w:rFonts w:ascii="Times New Roman" w:cs="Times New Roman" w:eastAsia="Times New Roman" w:hAnsi="Times New Roman"/>
          <w:sz w:val="18"/>
          <w:szCs w:val="18"/>
          <w:color w:val="auto"/>
        </w:rPr>
        <w:t>in the consolidated financial statements as soon as they become known. Actual results could differ from those estimates and any such differences may be material to the Company’s consolidated financial statements.</w:t>
      </w:r>
    </w:p>
    <w:p>
      <w:pPr>
        <w:spacing w:after="0" w:line="200" w:lineRule="exact"/>
        <w:rPr>
          <w:sz w:val="20"/>
          <w:szCs w:val="20"/>
          <w:color w:val="auto"/>
        </w:rPr>
      </w:pPr>
    </w:p>
    <w:p>
      <w:pPr>
        <w:spacing w:after="0" w:line="3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Topic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and Topic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at the end of each interim period to determine the best estimate of its annual effective tax rate and then apply that rate in providing for income taxes on a current year-to-date (interim period) basis. For the three months ended March 31, 2025 and 2024, the Company recorded no tax expense or benefit due to the expected current year loss and its historical losses. As of March 31, 2025 and December 31, 2024, the Company concluded that a full valuation allowance would be necessary for all of its net deferred tax assets. The Company had no amounts recorded for uncertain tax positions, interest or penalties in the accompanying consolidated financial statements.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Incyte Collaboration for further details on the Incyte License and Collaboration Agreement.</w:t>
      </w:r>
    </w:p>
    <w:p>
      <w:pPr>
        <w:spacing w:after="0" w:line="178" w:lineRule="exact"/>
        <w:rPr>
          <w:sz w:val="20"/>
          <w:szCs w:val="20"/>
          <w:color w:val="auto"/>
        </w:rPr>
      </w:pPr>
    </w:p>
    <w:p>
      <w:pPr>
        <w:ind w:firstLine="794"/>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therefore, the Company will recognize its share of any profits or losses in the amount of net product sales less cost of goods sold and shared commercial and other expenses, in the period in which the underlying sales and costs are recognized. The Company’s share of net profits in connection with commercialization of products will be presented as “Collaboration revenue” and its share of net losses will be presented as “Collaboration loss” within operating expenses. The Company will continue to recognize the costs associated with ongoing development services in the R&amp;D operating expense line, including any cost-sharing components with Incyte.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6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(ASU “2024-03”)</w:t>
      </w:r>
      <w:r>
        <w:rPr>
          <w:rFonts w:ascii="Times New Roman" w:cs="Times New Roman" w:eastAsia="Times New Roman" w:hAnsi="Times New Roman"/>
          <w:sz w:val="18"/>
          <w:szCs w:val="18"/>
          <w:color w:val="auto"/>
        </w:rPr>
        <w:t>. Among other items, the requirements include expanded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employee compensation and selling expenses. ASU 2024-03 will be effective for the Company for the year ending December 31, 2027. The Company is still evaluating the impact of this new guidance on its consolidated financial statements but expect the adoption to result in disclosure changes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 w:right="6420" w:hanging="512"/>
        <w:spacing w:after="0" w:line="378" w:lineRule="auto"/>
        <w:tabs>
          <w:tab w:leader="none" w:pos="19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Collaborative Research and License Agreements Incyte Collaboration</w:t>
      </w: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 Niktimvo™ (axatilimab-csfr). The Company and Incyte share equally the profits and losses from co-commercialization efforts in the United States.</w:t>
      </w:r>
    </w:p>
    <w:p>
      <w:pPr>
        <w:spacing w:after="0" w:line="7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August 2024, the FDA approved Niktimvo for the treatment of cGVHD after failure of at least two prior lines of systemic therapy in adult and pediatric patients weighing at least 40 kg (88.2 lbs).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the Company has recognized a collaboration loss of $0.2 million. As of March 31, 2025, the Company has recorded approximately $10.3 million as a collaboration receivable due from Incyte related to the Company’s development and pre-commercialization costs under the Incyte Agreements and has recorded approximately $22.5 million as a collaboration payable due to Incyte for development and pre-commercialization costs incurred by Incyte as of March 31, 2025. R&amp;D expense and cost offset are recorded as part of operating expenses. The Company's share of Collaboration profit or loss is based on net sales of Niktimvo and the collaborative commercialization expenses.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Vitae License Agreement, with Vitae Pharmaceuticals, Inc., or Vitae, a subsidiary of AbbVie, Inc., under which the Company was granted an exclusive, sublicensable, worldwide license to a portfolio of preclinical, orally available, small molecule inhibitors of the Menin–KMT2A binding interaction, or the Menin Assets. Upon execution of the agreement, the Company agreed to pay Allergan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 w:name="page11"/>
    <w:bookmarkEnd w:id="1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In the first quarter of 2025, the Company paid a $10.0 million milestone as a result of the first patient dosed in a Phase III Study with the licensed compound in a combination with another agent for any indication.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Bayer Pharma AG (formerly known as Bayer Schering Pharma AG)</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Eddingpharm Investment Company Limited</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August 2016, the Company entered into a license agreement with Eddingpharm Investment Company Limited, or Eddingpharm, to develop and commercialize entinostat in China and certain other Asian countries. Eddingpharm will pay the Company royalties on a sliding scale based on net sales, if any, and make future milestone payments up to $10.0 million in the event that certain specified development and regulatory goals are achieved. In April 2024, a milestone was achieved under the Eddingpharm license agreement for the marketing approval of entinostat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820" w:type="dxa"/>
            <w:vAlign w:val="bottom"/>
          </w:tcPr>
          <w:p>
            <w:pPr>
              <w:spacing w:after="0"/>
              <w:rPr>
                <w:sz w:val="10"/>
                <w:szCs w:val="10"/>
                <w:color w:val="auto"/>
              </w:rPr>
            </w:pPr>
          </w:p>
        </w:tc>
        <w:tc>
          <w:tcPr>
            <w:tcW w:w="20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3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w w:val="90"/>
              </w:rPr>
              <w:t>except</w:t>
            </w:r>
          </w:p>
        </w:tc>
        <w:tc>
          <w:tcPr>
            <w:tcW w:w="1160" w:type="dxa"/>
            <w:vAlign w:val="bottom"/>
            <w:tcBorders>
              <w:top w:val="single" w:sz="8" w:color="auto"/>
            </w:tcBorders>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share and per</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gridSpan w:val="4"/>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(84,846)</w:t>
            </w:r>
          </w:p>
        </w:tc>
        <w:tc>
          <w:tcPr>
            <w:tcW w:w="1280" w:type="dxa"/>
            <w:vAlign w:val="bottom"/>
            <w:gridSpan w:val="2"/>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140" w:type="dxa"/>
            <w:vAlign w:val="bottom"/>
            <w:vMerge w:val="restart"/>
            <w:shd w:val="clear" w:color="auto" w:fill="CFF0FC"/>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(84,846)</w:t>
            </w:r>
          </w:p>
        </w:tc>
        <w:tc>
          <w:tcPr>
            <w:tcW w:w="1280" w:type="dxa"/>
            <w:vAlign w:val="bottom"/>
            <w:gridSpan w:val="2"/>
            <w:vMerge w:val="restart"/>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14"/>
        </w:trPr>
        <w:tc>
          <w:tcPr>
            <w:tcW w:w="68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1140" w:type="dxa"/>
            <w:vAlign w:val="bottom"/>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140" w:type="dxa"/>
            <w:vAlign w:val="bottom"/>
            <w:vMerge w:val="restart"/>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(0.98)</w:t>
            </w:r>
          </w:p>
        </w:tc>
        <w:tc>
          <w:tcPr>
            <w:tcW w:w="1280" w:type="dxa"/>
            <w:vAlign w:val="bottom"/>
            <w:gridSpan w:val="2"/>
            <w:vMerge w:val="restart"/>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194"/>
        </w:trPr>
        <w:tc>
          <w:tcPr>
            <w:tcW w:w="6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stockholders—basic and diluted</w:t>
            </w:r>
          </w:p>
        </w:tc>
        <w:tc>
          <w:tcPr>
            <w:tcW w:w="11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1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114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86,171,889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85,213,200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8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to common stockholders—basic and diluted</w:t>
            </w:r>
          </w:p>
        </w:tc>
        <w:tc>
          <w:tcPr>
            <w:tcW w:w="1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-847725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-830580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24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20" w:type="dxa"/>
            <w:vAlign w:val="bottom"/>
            <w:tcBorders>
              <w:top w:val="single" w:sz="8" w:color="auto"/>
              <w:bottom w:val="single" w:sz="8" w:color="auto"/>
            </w:tcBorders>
          </w:tcPr>
          <w:p>
            <w:pPr>
              <w:jc w:val="right"/>
              <w:ind w:right="10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13,528,527</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11,872,530</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100" w:type="dxa"/>
            <w:vAlign w:val="bottom"/>
          </w:tcPr>
          <w:p>
            <w:pPr>
              <w:spacing w:after="0"/>
              <w:rPr>
                <w:sz w:val="18"/>
                <w:szCs w:val="18"/>
                <w:color w:val="auto"/>
              </w:rPr>
            </w:pPr>
          </w:p>
        </w:tc>
      </w:tr>
      <w:tr>
        <w:trPr>
          <w:trHeight w:val="216"/>
        </w:trPr>
        <w:tc>
          <w:tcPr>
            <w:tcW w:w="7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2,593,981</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1,520,999</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12 — Stock Based Compensation.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April 2024, entinostat received marketing approval in China. As a result the Company recorded $3.5 million of milestone revenue in 2024. As of March 31, 2025, the Company recorded a $3.6 million milestone receivable related to achieved milestones under the license agreement with Eddingpharm. Full payment of the receivable is expected by December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p>
    <w:p>
      <w:pPr>
        <w:spacing w:after="0" w:line="117" w:lineRule="exact"/>
        <w:rPr>
          <w:sz w:val="20"/>
          <w:szCs w:val="20"/>
          <w:color w:val="auto"/>
        </w:rPr>
      </w:pPr>
    </w:p>
    <w:p>
      <w:pPr>
        <w:jc w:val="both"/>
        <w:ind w:left="1020" w:right="360" w:hanging="48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56"/>
        </w:trPr>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(unadjusted)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center"/>
              <w:ind w:right="73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4620" w:type="dxa"/>
            <w:vAlign w:val="bottom"/>
            <w:tcBorders>
              <w:top w:val="single" w:sz="8" w:color="CFF0FC"/>
            </w:tcBorders>
            <w:gridSpan w:val="2"/>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153,993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134,106</w:t>
            </w:r>
          </w:p>
        </w:tc>
        <w:tc>
          <w:tcPr>
            <w:tcW w:w="38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602,135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134,106</w:t>
            </w:r>
          </w:p>
        </w:tc>
        <w:tc>
          <w:tcPr>
            <w:tcW w:w="3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2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43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154,083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38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692,404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129,187</w:t>
            </w:r>
          </w:p>
        </w:tc>
        <w:tc>
          <w:tcPr>
            <w:tcW w:w="3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563,217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-1028065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-1028065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periods ended March 31, 2025 and 2024. In addition, there have been no changes in valuation techniques during the periods ended March 31, 2025 and 2024.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March 31, 2025, the remaining contractual maturities of the available-for-sale securities were 1 to 18 months, and the balance in the Company’s accumulated other comprehensive gain was comprised solely of activity related to the Company’s available-for-sale securities. There were no realized gains or losses recognized on the sale or maturity of available-for-sale securities, during the three months ended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March 31, 2025 and 2024. As a result, the Company did not reclassify any amounts out of accumulated other comprehensive gain for the same periods.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6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223,478</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29,444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194,694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447,616</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gridSpan w:val="5"/>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6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263,952</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5"/>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233,945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538,158</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6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51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88"/>
              </w:rPr>
              <w:t>968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subscriptions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329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88"/>
              </w:rPr>
              <w:t>538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7"/>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1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9. Inventory</w:t>
            </w:r>
          </w:p>
        </w:tc>
        <w:tc>
          <w:tcPr>
            <w:tcW w:w="6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-4071620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-4053840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-4071620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-4053840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-4071620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-4053840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-4071620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-3496945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-3496945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-3496945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-1517015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-1499870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on a first-in, first-out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80" w:type="dxa"/>
            <w:vAlign w:val="bottom"/>
          </w:tcPr>
          <w:p>
            <w:pPr>
              <w:spacing w:after="0"/>
              <w:rPr>
                <w:sz w:val="20"/>
                <w:szCs w:val="20"/>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3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 costs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milestone costs</w:t>
            </w: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royalty interest expense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55,981</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Royalty Interest Financing Liability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Syndax, its affiliates and its licensees in the United States and its respective territories, districts, commonwealths and possessions (including Guam and Puerto Rico) in exchange for an upfront fee of $350 million.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w:t>
      </w:r>
    </w:p>
    <w:p>
      <w:pPr>
        <w:spacing w:after="0" w:line="180"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w:t>
      </w:r>
    </w:p>
    <w:p>
      <w:pPr>
        <w:spacing w:after="0" w:line="15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Purchase and Sale Agreement and identified it as a sale of future revenue in the form of a debt instrument to be accounted for as a liability under Topic ASC 470, </w:t>
      </w:r>
      <w:r>
        <w:rPr>
          <w:rFonts w:ascii="Times New Roman" w:cs="Times New Roman" w:eastAsia="Times New Roman" w:hAnsi="Times New Roman"/>
          <w:sz w:val="18"/>
          <w:szCs w:val="18"/>
          <w:i w:val="1"/>
          <w:iCs w:val="1"/>
          <w:color w:val="auto"/>
        </w:rPr>
        <w:t>Borrower’s Accounting for Debt Modifications</w:t>
      </w:r>
      <w:r>
        <w:rPr>
          <w:rFonts w:ascii="Times New Roman" w:cs="Times New Roman" w:eastAsia="Times New Roman" w:hAnsi="Times New Roman"/>
          <w:sz w:val="18"/>
          <w:szCs w:val="18"/>
          <w:color w:val="auto"/>
        </w:rPr>
        <w:t>. The Company has elected to use the prospective method in its calculation of its effective interest rate and will update this calculation quarterly when there are changes in the projected sales. The debt is allocated on the balance sheet as short term and long term. The short term portion represents the royalty payments owed over the next 12 months. The long term portion is recorded on the balance sheet as net of issuance costs. Issuance costs pursuance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period ended March 31, 2025, the Company estimated an effective annual interest rate of approximately 9.22%.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months ended March 31, 2025, the Company recognized interest expense of $8.0 million related to the Purchase and Sale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royalty interest financing liability</w:t>
            </w:r>
          </w:p>
        </w:tc>
        <w:tc>
          <w:tcPr>
            <w:tcW w:w="338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Royalty interest financing liability, less current portion</w:t>
            </w:r>
          </w:p>
        </w:tc>
        <w:tc>
          <w:tcPr>
            <w:tcW w:w="2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0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(6,208)</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royalty interest financing liability, net</w:t>
            </w:r>
          </w:p>
        </w:tc>
        <w:tc>
          <w:tcPr>
            <w:tcW w:w="338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343,793</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-942340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January 2025, the number of shares of common stock available for issuance under the Company’s 2015 Omnibus Incentive Plan, or the 2015 Plan, was increased by 3,427,778 shares of common stock due to the automatic annual provision to increase shares of common stock available under the 2015 Plan. Additionally in July 2024 and in December 2024, the Company’s board of directors approved increases of 500,000 shares and 1,200,000 shares, respectively, of common stock available for issuance under the Company’s 2023 Inducement Plan, or the Inducement Plan..</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there were 4,766,261 shares of common stock available for issuance under the 2015 Plan and 1,171,768 shares of common stock available for issuance under the Inducement Plan.</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6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3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8"/>
                <w:szCs w:val="18"/>
                <w:color w:val="auto"/>
              </w:rPr>
            </w:pPr>
          </w:p>
        </w:tc>
      </w:t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22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19"/>
                <w:szCs w:val="19"/>
                <w:color w:val="auto"/>
              </w:rPr>
            </w:pP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months ended March 31, 2025 and 2024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9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32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3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-800735</wp:posOffset>
            </wp:positionV>
            <wp:extent cx="9398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-800735</wp:posOffset>
            </wp:positionV>
            <wp:extent cx="9398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addition, stock-based compensation expense of $107 was capitalized to inventory as of March 31, 2025, which represents the stock-based compensation expense incurred related to employees involved in the manufacturing process of finished goods and samples.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there were $102.6 million of unrecognized compensation costs related to employee and non-employee unvested stock options and RSUs granted under the Inducement Plan, 2015 Plan and the Company’s 2007 Stock Plan, which are expected to be recognized over a weighted-average remaining service period of 2.69 years.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401(k) retirement plan. As of March 31, 2025 and 2024, the Company made $2.3 million and $1.5 million of contributions to the plan, respectively. The Company’s contributions are made in cash.</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As of March 31, 2025, 285,714 pre-funded warrants were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Company is obligated to pay royalties pursuant to the Vitae License Agreement as a percentage of net product sales for direct licensed products, such as Revuforj. The obligation to pay royalties expires, on a country-by-country basis and licensed product-by-licensed product basis until the later (i) the expiration of all of the licensed patent rights in such country; (ii) the expiration of all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regulatory exclusivity applicable to the product in such country; and (iii) 10 years from the date of the first commercial sale of the product in such country.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fees were recorded as cost of product sales.</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March 31,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33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 as a single operating and reportable segment: Syndax Pharmaceuticals. The Company primarily derives revenue in the United States through milestone revenue and product sales on the recently approved products, Revuforj® (revumenib) and Niktimvo™ (axatilimab-csfr). The accounting policies of the segment are the same as those described in Note 3 – Summary of Significant Accounting Policies.</w:t>
      </w:r>
    </w:p>
    <w:p>
      <w:pPr>
        <w:spacing w:after="0" w:line="28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bases when making decisions about the allocation of operating and capital resources.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biopharmaceutical cancer therapeutics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1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1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440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March 31, 2025</w:t>
            </w:r>
          </w:p>
        </w:tc>
        <w:tc>
          <w:tcPr>
            <w:tcW w:w="300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0" w:type="dxa"/>
            <w:vAlign w:val="bottom"/>
            <w:tcBorders>
              <w:top w:val="single" w:sz="8" w:color="CFF0FC"/>
            </w:tcBorders>
          </w:tcPr>
          <w:p>
            <w:pPr>
              <w:spacing w:after="0"/>
              <w:rPr>
                <w:sz w:val="18"/>
                <w:szCs w:val="18"/>
                <w:color w:val="auto"/>
              </w:rPr>
            </w:pPr>
          </w:p>
        </w:tc>
        <w:tc>
          <w:tcPr>
            <w:tcW w:w="4060" w:type="dxa"/>
            <w:vAlign w:val="bottom"/>
            <w:tcBorders>
              <w:top w:val="single" w:sz="8" w:color="CFF0FC"/>
            </w:tcBorders>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2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Collaboration loss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Revumenib-related costs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Axatilimab-related costs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R&amp;D programs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SG&amp;A expenses</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Pr>
          <w:p>
            <w:pPr>
              <w:spacing w:after="0"/>
              <w:rPr>
                <w:sz w:val="18"/>
                <w:szCs w:val="18"/>
                <w:color w:val="auto"/>
              </w:rPr>
            </w:pPr>
          </w:p>
        </w:tc>
      </w:tr>
      <w:tr>
        <w:trPr>
          <w:trHeight w:val="216"/>
        </w:trPr>
        <w:tc>
          <w:tcPr>
            <w:tcW w:w="4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Royalty interest expense</w:t>
            </w:r>
          </w:p>
        </w:tc>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(7,181)</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(7,201)</w:t>
            </w:r>
          </w:p>
        </w:tc>
      </w:tr>
      <w:tr>
        <w:trPr>
          <w:trHeight w:val="216"/>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r>
      <w:tr>
        <w:trPr>
          <w:trHeight w:val="250"/>
        </w:trPr>
        <w:tc>
          <w:tcPr>
            <w:tcW w:w="4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Segment net loss</w:t>
            </w:r>
          </w:p>
        </w:tc>
        <w:tc>
          <w:tcPr>
            <w:tcW w:w="40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(84,846)</w:t>
            </w:r>
          </w:p>
        </w:tc>
        <w:tc>
          <w:tcPr>
            <w:tcW w:w="120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r>
      <w:tr>
        <w:trPr>
          <w:trHeight w:val="845"/>
        </w:trPr>
        <w:tc>
          <w:tcPr>
            <w:tcW w:w="120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3000" w:type="dxa"/>
            <w:vAlign w:val="bottom"/>
            <w:tcBorders>
              <w:top w:val="single" w:sz="8" w:color="CFF0FC"/>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12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-1070610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-1053465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3,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are a commercial-stage biopharmaceutical company advancing innovative cancer therapies. We currently have two commercially approved products, Revuforj</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(revumenib) and Niktimvo™ (axatilimab-csfr), and a robust slate of clinical development programs designed to unlock their full potential. Revuforj is our first-in-class menin inhibitor that was approved by the FDA in November 2024 for the treatment of relapsed or refractory, or R/R, acute leukemia with a lysine methyltransferase 2A gene, or KMT2A, translocation in adult and pediatric patients one year old and older. In April 2025, we completed the submission of a supplemental New Drug Application, or sNDA, for revumenib as a treatment for R/R acute myeloid leukemia, or AML, with a nucleophosmin 1 mutation, or mNPM1, based on the positive pivotal data from our AUGMENT-101 trial. We are also studying revumenib in combination with standard-of-care agents in mNPM1 AML or KMT2A-rearranged acute leukemia across the treatment landscape, including in newly diagnosed patients. Additionally, we are exploring the use of revumenib as a treatment in solid tumors, specifically its activity in metastatic colorectal cancer. 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 as well for the treatment of idiopathic pulmonary fibrosis, or IPF. We plan to continue to leverage the technical and business expertise of our management team and scientific collaborators to license, acquire and develop additional therapeutics to expand our pipeline.</w:t>
      </w:r>
    </w:p>
    <w:p>
      <w:pPr>
        <w:spacing w:after="0" w:line="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begun generating product revenue from sales of Revuforj and collaboration revenue from sales of Niktimvo and plan to continue to leverage the technical and business expertise of our management team and scientific collaborators to license, acquire and develop additional therapeutics to expand our pipeline. We continue to incur significant research and development and other expenses related to our ongoing operations. Except for 2021, we have not been profitable and have incurred losses in each period since our inception in 2005. For the three months ended March 31, 2025 and 2024, we reported a net loss of $84.8 million and $72.4 million, respectively. As of March 31, 2025, we had an accumulated deficit of $1.3 billion. As of March 31, 2025, we had cash, cash equivalents and short- and long-term investments of $602.1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w:t>
      </w:r>
    </w:p>
    <w:p>
      <w:pPr>
        <w:spacing w:after="0" w:line="121" w:lineRule="exact"/>
        <w:rPr>
          <w:sz w:val="20"/>
          <w:szCs w:val="20"/>
          <w:color w:val="auto"/>
        </w:rPr>
      </w:pPr>
    </w:p>
    <w:p>
      <w:pPr>
        <w:ind w:left="760" w:right="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$20.0 million in Revuforj net revenue in the first quarter of 2025, the first full quarter of the U.S. launch. Revuforj was launched in the U.S. in late November 2024 for the treatment of relapsed or refractory (R/R) acute leukemia with a KMT2A translocation in adult and pediatric patients one year and older.</w:t>
      </w:r>
    </w:p>
    <w:p>
      <w:pPr>
        <w:spacing w:after="0" w:line="172" w:lineRule="exact"/>
        <w:rPr>
          <w:sz w:val="20"/>
          <w:szCs w:val="20"/>
          <w:color w:val="auto"/>
        </w:rPr>
      </w:pPr>
    </w:p>
    <w:p>
      <w:pPr>
        <w:ind w:left="1500" w:right="200" w:hanging="369"/>
        <w:spacing w:after="0" w:line="262"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March 2025, 44%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high priority, Tier 1 and Tier 2, accounts have ordered, up from one-third of accounts as of the end of February 2025. These accounts are the centers of excellence and the medium to large academic institutions which represent two-thirds of the patient opportunity. Among all the accounts that have ordered, two-thirds have ordered multiple times.</w:t>
      </w:r>
    </w:p>
    <w:p>
      <w:pPr>
        <w:spacing w:after="0" w:line="180" w:lineRule="exact"/>
        <w:rPr>
          <w:rFonts w:ascii="Times New Roman" w:cs="Times New Roman" w:eastAsia="Times New Roman" w:hAnsi="Times New Roman"/>
          <w:sz w:val="18"/>
          <w:szCs w:val="18"/>
          <w:color w:val="auto"/>
        </w:rPr>
      </w:pPr>
    </w:p>
    <w:p>
      <w:pPr>
        <w:ind w:left="1500" w:right="120" w:hanging="369"/>
        <w:spacing w:after="0" w:line="266" w:lineRule="auto"/>
        <w:tabs>
          <w:tab w:leader="none" w:pos="15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Formulary coverage for Revuforj continues to build. As of the end of March 2025, formal coverage policies were in place for approximately 72% of all managed care lives, which includes commercially covered plus Medicare and Medicaid lives, up from 53% at the end of February 2025.</w:t>
      </w:r>
    </w:p>
    <w:p>
      <w:pPr>
        <w:spacing w:after="0" w:line="175"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submission of a supplemental New Drug Application (sNDA) to the U.S. FDA in April 2025, seeking Priority Review for the approval of Revuforj for the treatment of R/R mutant NPM1 (mNPM1) AML. The sNDA was submitted under the FDA’s Real-Time Oncology Review (RTOR) program, which allows for a more efficient review and close engagement between the sponsor and FDA throughout the submission process. The sNDA is supported by the previously reported positive pivotal data from the AUGMENT-101 trial.</w:t>
      </w:r>
    </w:p>
    <w:p>
      <w:pPr>
        <w:spacing w:after="0" w:line="179"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the pivotal R/R mNPM1 AML data from the AUGMENT-101 trial for publication. The manuscript has been accepted and the publication is expected imminently.</w:t>
      </w:r>
    </w:p>
    <w:p>
      <w:pPr>
        <w:spacing w:after="0" w:line="161"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enrollment in the EVOLVE-2 trial, a pivotal, randomized, double-blind, placebo-controlled trial of revumenib in combination with venetoclax and azacitidine in newly diagnosed mNPM1 or KMT2A-rearranged (KMT2Ar) AML patients who are unfit for intensive chemotherapy in the first quarter of 2025. The trial is being conducted in collaboration with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color w:val="auto"/>
        </w:rPr>
        <w:t>HOVON network, a leading cooperative clinical trial group with extensive experience studying novel therapies for hematologic malignancies.</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trials evaluating revumenib in mNPM1 and KMT2Ar acute leukemia across the treatment landscape are ongoing. These trials include:</w:t>
      </w:r>
    </w:p>
    <w:p>
      <w:pPr>
        <w:spacing w:after="0" w:line="225" w:lineRule="exact"/>
        <w:rPr>
          <w:rFonts w:ascii="Times New Roman" w:cs="Times New Roman" w:eastAsia="Times New Roman" w:hAnsi="Times New Roman"/>
          <w:sz w:val="18"/>
          <w:szCs w:val="18"/>
          <w:color w:val="auto"/>
        </w:rPr>
      </w:pPr>
    </w:p>
    <w:p>
      <w:pPr>
        <w:jc w:val="both"/>
        <w:ind w:left="1500" w:hanging="369"/>
        <w:spacing w:after="0" w:line="235"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 AML: A Phase 1 trial evaluating the combination of revumenib with venetoclax and azacitidine in newly diagnosed mNPM1 or KMT2Ar AML patients. The trial is being conducted as part of the Leukemia &amp; Lymphoma Society's Beat AML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Master Clinical Trial. Updated data that showed an overall response rate (ORR) of 100% (37/37) and a composite complete remission (CRc) rate of 95% (35/37) were reported at the Company’s investor event at the 66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ASH Annual Meeting. The Company anticipates that an update on the trial will be available at a medical meeting in the second quarter of 2025.</w:t>
      </w:r>
    </w:p>
    <w:p>
      <w:pPr>
        <w:spacing w:after="0" w:line="201" w:lineRule="exact"/>
        <w:rPr>
          <w:rFonts w:ascii="Times New Roman" w:cs="Times New Roman" w:eastAsia="Times New Roman" w:hAnsi="Times New Roman"/>
          <w:sz w:val="18"/>
          <w:szCs w:val="18"/>
          <w:color w:val="auto"/>
        </w:rPr>
      </w:pPr>
    </w:p>
    <w:p>
      <w:pPr>
        <w:jc w:val="both"/>
        <w:ind w:left="1500" w:hanging="369"/>
        <w:spacing w:after="0" w:line="24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 Phase 1/2 trial evaluating an all-oral combination of revumenib with venetoclax and decitabine/cedazuridine in pediatric and adult patients with R/R AML or mixed-lineage acute leukemia (MPAL) harboring either mNPM1, KMT2Ar, or NUP98r alterations. The trial is being conducted by investigators from MD Anderson Cancer Center. Updated data that showed an ORR of 82% (27/33) and a CR/CRh rate of 48% (16/33) were presented at the 66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ASH Annual Meeting. The trial is now enrolling a cohort of newly diagnosed patients.</w:t>
      </w:r>
    </w:p>
    <w:p>
      <w:pPr>
        <w:spacing w:after="0" w:line="19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Intensive chemotherapy: A Phase 1 trial evaluating the combination of revumenib with intensive chemotherapy (7+3) followed by revumenib maintenance treatment in newly diagnosed mNPM1 or KMT2Ar acute leukemia patients. The Company expects to report data in the fourth quarter of 2025.</w:t>
      </w:r>
    </w:p>
    <w:p>
      <w:pPr>
        <w:spacing w:after="0" w:line="173" w:lineRule="exact"/>
        <w:rPr>
          <w:rFonts w:ascii="Times New Roman" w:cs="Times New Roman" w:eastAsia="Times New Roman" w:hAnsi="Times New Roman"/>
          <w:sz w:val="18"/>
          <w:szCs w:val="18"/>
          <w:color w:val="auto"/>
        </w:rPr>
      </w:pPr>
    </w:p>
    <w:p>
      <w:pPr>
        <w:ind w:left="1500" w:right="40" w:hanging="369"/>
        <w:spacing w:after="0" w:line="267"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Phase 2 trial studying whether the combination of revumenib and venetoclax can eliminate MRD in patients with AML and extend progression-free survival. The trial is being conducted by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a collaboration between leading U.S. cancer research centers.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5" w:lineRule="auto"/>
        <w:tabs>
          <w:tab w:leader="none" w:pos="1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INTERCEPT: A Phase 1 trial evaluating the use of novel therapies, including revumenib, to target MRD and early relapse in AML. The trial is being conducted by the Australasian Leukaemia and Lymphoma Group as part of the INTERCEPT AML master clinical trial. Data that showed 54% (6/11) of patients had MRD reduction at any time, including 36% (4/11) who achieved MRD negativity, were presented at the 66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ASH Annual Meeting.</w:t>
      </w:r>
    </w:p>
    <w:p>
      <w:pPr>
        <w:spacing w:after="0" w:line="116"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to initiate multiple trials of revumenib in combination with standard of care regimens in newly diagnosed acute leukemia patients who are fit to receive intensive chemotherapy, starting in the second half of 2025.</w:t>
      </w:r>
    </w:p>
    <w:p>
      <w:pPr>
        <w:spacing w:after="0" w:line="161"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evaluating revumenib in patients with R/R metastatic microsatellite stable (MSS) colorectal cancer (CRC). The Phase 1b portion of this proof-of-concept trial is ongoing.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337" w:lineRule="exact"/>
        <w:rPr>
          <w:sz w:val="20"/>
          <w:szCs w:val="20"/>
          <w:color w:val="auto"/>
        </w:rPr>
      </w:pPr>
    </w:p>
    <w:p>
      <w:pPr>
        <w:jc w:val="both"/>
        <w:ind w:left="760" w:right="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Niktimvo achieved $13.6 million in net revenue in the first quarter of 2025, the first partial quarter of the U.S. launch. Niktimvo was launched in the U.S. in late January for the treatment of chronic graft-versus-host disease (GVHD) after failure of at least two prior lines of systemic therapy in adult and pediatric patients weighing at least 40 kg (88.2 lbs). Syndax and Incyte co-commercialize Niktimvo, and Syndax records 50% of the Niktimvo net profit/loss, defined as net product revenue minus the cost of sales and commercial expenses.</w:t>
      </w:r>
    </w:p>
    <w:p>
      <w:pPr>
        <w:spacing w:after="0" w:line="180" w:lineRule="exact"/>
        <w:rPr>
          <w:sz w:val="20"/>
          <w:szCs w:val="20"/>
          <w:color w:val="auto"/>
        </w:rPr>
      </w:pPr>
    </w:p>
    <w:p>
      <w:pPr>
        <w:ind w:left="1540" w:right="240" w:hanging="514"/>
        <w:spacing w:after="0" w:line="266" w:lineRule="auto"/>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1,250 infusions of Niktimvo have been administered year-to-date and approximately 95% of top accounts and more than 70% of all bone marrow transplant centers have ordered as of the end of March 2025. A permanent J-code was assigned by CMS effective April 1, 2025.</w:t>
      </w:r>
    </w:p>
    <w:p>
      <w:pPr>
        <w:spacing w:after="0" w:line="67" w:lineRule="exact"/>
        <w:rPr>
          <w:rFonts w:ascii="Times New Roman" w:cs="Times New Roman" w:eastAsia="Times New Roman" w:hAnsi="Times New Roman"/>
          <w:sz w:val="18"/>
          <w:szCs w:val="18"/>
          <w:color w:val="auto"/>
        </w:rPr>
      </w:pPr>
    </w:p>
    <w:p>
      <w:pPr>
        <w:ind w:left="760" w:right="6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 post-hoc analysis evaluating the effects of prior lines of therapy on clinical outcomes for patients with chronic GVHD in the AGAVE-201 trial of axatilimab. The data show that overall response rates were consistent with axatilimab</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8" w:name="page19"/>
    <w:bookmarkEnd w:id="18"/>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regardless of the number of prior lines of therapy and that organ-specific responses were noted regardless of the last prior therapy. The data were presented at the 2025 Tandem Meetings of the American Society for Transplantation and Cellular Therapy and the Center for International Blood and Marrow Transplantation Research.</w:t>
      </w:r>
    </w:p>
    <w:p>
      <w:pPr>
        <w:spacing w:after="0" w:line="176" w:lineRule="exact"/>
        <w:rPr>
          <w:sz w:val="20"/>
          <w:szCs w:val="20"/>
          <w:color w:val="auto"/>
        </w:rPr>
      </w:pPr>
    </w:p>
    <w:p>
      <w:pPr>
        <w:ind w:left="760" w:right="6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trials evaluating axatilimab in combination with standard of care therapies in newly diagnosed chronic GVHD patients are ongoing, including:</w:t>
      </w:r>
    </w:p>
    <w:p>
      <w:pPr>
        <w:spacing w:after="0" w:line="162" w:lineRule="exact"/>
        <w:rPr>
          <w:sz w:val="20"/>
          <w:szCs w:val="20"/>
          <w:color w:val="auto"/>
        </w:rPr>
      </w:pPr>
    </w:p>
    <w:p>
      <w:pPr>
        <w:ind w:left="1500" w:right="240" w:hanging="369"/>
        <w:spacing w:after="0" w:line="282"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open-label, randomized, multicenter trial of axatilimab in combination with ruxolitinib in patients ≥ 12 years of age with newly diagnosed chronic GVHD.</w:t>
      </w:r>
    </w:p>
    <w:p>
      <w:pPr>
        <w:spacing w:after="0" w:line="161" w:lineRule="exact"/>
        <w:rPr>
          <w:rFonts w:ascii="Times New Roman" w:cs="Times New Roman" w:eastAsia="Times New Roman" w:hAnsi="Times New Roman"/>
          <w:sz w:val="18"/>
          <w:szCs w:val="18"/>
          <w:color w:val="auto"/>
        </w:rPr>
      </w:pPr>
    </w:p>
    <w:p>
      <w:pPr>
        <w:ind w:left="1500" w:right="180" w:hanging="369"/>
        <w:spacing w:after="0" w:line="282"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pivotal Phase 3, randomized, double-blind, placebo-controlled, multi-center trial of axatilimab in combination with corticosteriods in patients ≥ 12 years of age with newly diagnosed chronic GVHD.</w:t>
      </w:r>
    </w:p>
    <w:p>
      <w:pPr>
        <w:spacing w:after="0" w:line="161"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the MAXPIRe trial, a Phase 2, 26-week randomized, double-blinded, placebo-controlled trial of axatilimab on top of standard of care in patients with idiopathic pulmonary fibrosis (IPF). The Company expects to complete enrollment in the trial in 2025 with topline data anticipated in the second half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Ongoing high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the ongoing wars between Russia and Ukraine and Israel and Hamas as well as other conflicts in the Middle East, including between Israel and Hezbollah, worsening macroeconomic conditions and employee availability and wage increases, which may result in additional stress on our working capital.</w:t>
      </w:r>
    </w:p>
    <w:p>
      <w:pPr>
        <w:spacing w:after="0" w:line="84"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second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no product revenue during the three months ended March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Revenue/Collaboration Loss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the Incyte License and Collaboration Agreement, or the Incyte License, with Incyte covering the worldwide development and commercialization of axatilimab. In August 2024, the FDA approved Niktimvo for the treatment of cGVHD after failure of at least two prior lines of systemic therapy in adult and pediatric patients weighing at least 40 kg (88.2 lbs).</w:t>
      </w:r>
    </w:p>
    <w:p>
      <w:pPr>
        <w:spacing w:after="0" w:line="66" w:lineRule="exact"/>
        <w:rPr>
          <w:sz w:val="20"/>
          <w:szCs w:val="20"/>
          <w:color w:val="auto"/>
        </w:rPr>
      </w:pPr>
    </w:p>
    <w:p>
      <w:pPr>
        <w:ind w:right="100" w:firstLine="45"/>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Topic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xml:space="preserve"> Incyte has been identified as the principal in product sales, therefore, we will recognize its 50% share of any profits or losses in the amount of net product sales less cost of goods sold and shared commercial and other expenses, in the period in which the underlying sales and costs are recognized. Our share of net profits in connection with commercialization of products will be presented as “Collaboration revenue” and its share of net losses will be presented as “Collaboration loss” within operating expenses. We will continue to recognize the costs associated with ongoing development services in the R&amp;D operating expense line, including any cost-sharing components with Incyte.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commercialization costs as well as employee-related expenses, including salaries, benefits, non-cash stock-based compensation and travel expenses, for our employees in executive, finance, human resources, information technology, business development and support functions, as well as sales and marketing expenses to support the launch and commercialization of Revuforj and Niktimvo. Other selling, general and administrative expenses include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t>facility-related costs not otherwise allocated to research and development expenses and accounting, tax, legal, information technology and consulting services. We anticipate that our selling, general and administrative expenses will further increase in the future as we continue to increase our headcount to support our continued research and development and anticipated commercialization of our products.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Royalty interest expense consists of interest expense related to the Purchase and Sale Agreement with Royalty Pharma.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interest expense consists of interest expense related to our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includes expense consisting of revaluation of foreign currency related to trade payables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please read Note 3 - Summary of Significant Accounting Policies to our unaudited consolidated financial statements included in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2024.</w:t>
      </w: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6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54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20" w:type="dxa"/>
            <w:vAlign w:val="bottom"/>
          </w:tcPr>
          <w:p>
            <w:pPr>
              <w:spacing w:after="0"/>
              <w:rPr>
                <w:sz w:val="18"/>
                <w:szCs w:val="18"/>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20,042</w:t>
            </w:r>
          </w:p>
        </w:tc>
        <w:tc>
          <w:tcPr>
            <w:tcW w:w="120" w:type="dxa"/>
            <w:vAlign w:val="bottom"/>
            <w:shd w:val="clear" w:color="auto" w:fill="CFF0FC"/>
          </w:tcPr>
          <w:p>
            <w:pPr>
              <w:spacing w:after="0"/>
              <w:rPr>
                <w:sz w:val="18"/>
                <w:szCs w:val="18"/>
                <w:color w:val="auto"/>
              </w:rPr>
            </w:pPr>
          </w:p>
        </w:tc>
      </w:tr>
      <w:tr>
        <w:trPr>
          <w:trHeight w:val="209"/>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41,031</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loss</w:t>
            </w:r>
          </w:p>
        </w:tc>
        <w:tc>
          <w:tcPr>
            <w:tcW w:w="15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r>
      <w:tr>
        <w:trPr>
          <w:trHeight w:val="20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103,799</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(83,757)</w:t>
            </w:r>
          </w:p>
        </w:tc>
        <w:tc>
          <w:tcPr>
            <w:tcW w:w="10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(79,514)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Royalty interest expense</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(8,049)</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interest expense</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428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(8,203)</w:t>
            </w:r>
          </w:p>
        </w:tc>
      </w:tr>
      <w:tr>
        <w:trPr>
          <w:trHeight w:val="20"/>
        </w:trPr>
        <w:tc>
          <w:tcPr>
            <w:tcW w:w="4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(84,846)</w:t>
            </w: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(72,400)</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-1988185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-1988185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-1148080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-1148080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-316230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In November 2024, we began to generate product revenue from sales of Revuforj in the United States. We record product revenue net of estimated discounts, chargebacks, rebates, product returns, and other gross-to-net revenue deductions. Product revenue, net from sales of Revuforj was $20.0 million for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Revenue/Collaboration Loss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February 2025, we began to generate sales of Niktimvo in the United States in collaboration with our partner Incyte. Our share of net profits in connection with commercialization of Niktimvo will be presented as “Collaboration revenue” and its share of net losses will be presented as “Collaboration loss” within operating expenses. Collaboration revenue or expense is made up of our share of the 50% profit with Incyte. We record collaboration revenue net of commercial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product sales includes the cost of goods sold and royalties associated with Revuforj sales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months ended March 31, 2025 and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10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24"/>
        </w:trPr>
        <w:tc>
          <w:tcPr>
            <w:tcW w:w="4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Revumenib-related costs</w:t>
            </w:r>
          </w:p>
        </w:tc>
        <w:tc>
          <w:tcPr>
            <w:tcW w:w="236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w:t>
            </w:r>
          </w:p>
        </w:tc>
        <w:tc>
          <w:tcPr>
            <w:tcW w:w="14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31,441</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(10,636)</w:t>
            </w: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Axatilimab-related costs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120" w:type="dxa"/>
            <w:vAlign w:val="bottom"/>
            <w:shd w:val="clear" w:color="auto" w:fill="CFF0FC"/>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16,531</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14,340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20" w:type="dxa"/>
            <w:vAlign w:val="bottom"/>
            <w:shd w:val="clear" w:color="auto" w:fill="CFF0FC"/>
          </w:tcPr>
          <w:p>
            <w:pPr>
              <w:spacing w:after="0"/>
              <w:rPr>
                <w:sz w:val="18"/>
                <w:szCs w:val="18"/>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4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56,492</w:t>
            </w:r>
          </w:p>
        </w:tc>
        <w:tc>
          <w:tcPr>
            <w:tcW w:w="5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20" w:type="dxa"/>
            <w:vAlign w:val="bottom"/>
            <w:shd w:val="clear" w:color="auto" w:fill="CFF0FC"/>
          </w:tcPr>
          <w:p>
            <w:pPr>
              <w:spacing w:after="0"/>
              <w:rPr>
                <w:sz w:val="18"/>
                <w:szCs w:val="18"/>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total research and development expenses increased $5.1 million from the comparable prior year period. The increase was primarily due to:</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ind w:left="1020" w:right="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revumenib-related costs, primarily driven by an $8.0 million milestone expense in the 2024 period paid to AbbVie and a reduction in CMC expense due to the capitalization of inventory for commercial use, offset by trial expenses to expand revumenib use across the mNPM1 and KMT2a acute leukemia landscape and medical affairs activities supporting the launch of Revuforj.</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axatilimab-related costs, primarily driven by the IPF trial, the frontline chronic GVHD trial with ruxolitinib being conducted in partnership with Incyte, and a $10.0 million milestone payment to UCB as a result of the first patient dosed in a Phase III study with the compound in combination with another agent for any indication</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and other expenses, and stock-based compensation, which includes salaries, overhead and related expenses compared to the prior period, have increased to support on-going clinical trials, sNDA activities and medical affairs in support of commercialization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months ended March 31, 2025 and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30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840" w:type="dxa"/>
            <w:vAlign w:val="bottom"/>
          </w:tcPr>
          <w:p>
            <w:pPr>
              <w:spacing w:after="0"/>
              <w:rPr>
                <w:sz w:val="12"/>
                <w:szCs w:val="12"/>
                <w:color w:val="auto"/>
              </w:rPr>
            </w:pPr>
          </w:p>
        </w:tc>
        <w:tc>
          <w:tcPr>
            <w:tcW w:w="102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24"/>
        </w:trPr>
        <w:tc>
          <w:tcPr>
            <w:tcW w:w="58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Commercial-related expenses</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20" w:type="dxa"/>
            <w:vAlign w:val="bottom"/>
          </w:tcPr>
          <w:p>
            <w:pPr>
              <w:spacing w:after="0"/>
              <w:rPr>
                <w:sz w:val="20"/>
                <w:szCs w:val="20"/>
                <w:color w:val="auto"/>
              </w:rPr>
            </w:pP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19,082</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20" w:type="dxa"/>
            <w:vAlign w:val="bottom"/>
          </w:tcPr>
          <w:p>
            <w:pPr>
              <w:spacing w:after="0"/>
              <w:rPr>
                <w:sz w:val="18"/>
                <w:szCs w:val="18"/>
                <w:color w:val="auto"/>
              </w:rPr>
            </w:pPr>
          </w:p>
        </w:tc>
      </w:tr>
      <w:tr>
        <w:trPr>
          <w:trHeight w:val="216"/>
        </w:trPr>
        <w:tc>
          <w:tcPr>
            <w:tcW w:w="584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41,031</w:t>
            </w:r>
          </w:p>
        </w:tc>
        <w:tc>
          <w:tcPr>
            <w:tcW w:w="14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23,022</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20" w:type="dxa"/>
            <w:vAlign w:val="bottom"/>
          </w:tcPr>
          <w:p>
            <w:pPr>
              <w:spacing w:after="0"/>
              <w:rPr>
                <w:sz w:val="18"/>
                <w:szCs w:val="18"/>
                <w:color w:val="auto"/>
              </w:rPr>
            </w:pPr>
          </w:p>
        </w:tc>
      </w:tr>
      <w:tr>
        <w:trPr>
          <w:trHeight w:val="20"/>
        </w:trPr>
        <w:tc>
          <w:tcPr>
            <w:tcW w:w="584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-153670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-153670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total selling, general and administrative expenses increased $18.0 million, from the comparable prior year period. The increase primarily is due to:</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commercial-related costs compared to the prior period, primarily due to the commercialization of Revuforj and Niktimvo</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 and other expenses, and stock-based compensation, which includes salaries, overhead and related expenses, compared to the prior period, was primarily due to increased headcount to support the commercialization of Revuforj and Niktimvo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Interest Expense</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royalty interest expense increased due to the interest expense recognized related to the Royalty Pharma Purchase and Sale Agreement signed in November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Interest Expense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other interest expense decreased from the comparable period due to less interest expense recognized related to capital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interest income decreased from the comparable period. The decrease of interest income was primarily due to the fluctuation of interest rates and average balance of cash equivalents and short and long-term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72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other expense increased from the comparable period primarily related to the current period amortization of debt issuance costs related to the Royalty Pharma Purchase and Sale Agreement.</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period set forth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2"/>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(95,162)</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(83,548)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94,142</w:t>
            </w:r>
          </w:p>
        </w:tc>
        <w:tc>
          <w:tcPr>
            <w:tcW w:w="9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(99,399)</w:t>
            </w: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cash, cash equivalents and restricted cash</w:t>
            </w:r>
          </w:p>
        </w:tc>
        <w:tc>
          <w:tcPr>
            <w:tcW w:w="10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(180,779)</w:t>
            </w: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from $83.5 million for the three months ended March 31, 2024 to $95.2 million for the three months ended March 31, 2025, primarily due to an increase in operating net loss, accounts receivable, and inventory, and decreases in prepaid expenses, and collaboration payables.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$94.1 million and was related to $104.7 million from the maturities of available-for-sale securities, offset by the purchase of $10.5 million of available-for-sale securities.</w:t>
      </w:r>
    </w:p>
    <w:p>
      <w:pPr>
        <w:spacing w:after="0" w:line="5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$99.4 million and was related to $68.0 million from the maturities of available-for-sale securities, offset by the purchase of $167.4 million of available-for-sale securities.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decreased by $1.2 million from the comparable prior year period primarily due to a decrease in proceeds from the exercise of stock options in the current period.</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 Agreement</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October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w:t>
      </w:r>
    </w:p>
    <w:p>
      <w:pPr>
        <w:spacing w:after="0" w:line="7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For additional details on our purchase and sale agreement with Royalty Pharma, see Note 11 - "Royalty Interest Financing Liability" to our consolidated financial statements in this Quarterly Report.</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combination of our available cash, cash equivalents, short-term and long-term investments as well as our Revuforj gross contribution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4" w:name="page25"/>
    <w:bookmarkEnd w:id="24"/>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product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sales, marketing and distribution capabilities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we have two FDA-approved products available for commercial sale in the U.S., we have not generated substantial product revenue to date. We believe that the combination of our available cash, cash equivalents, short-term and long-term investments as well as our Revuforj gross contribution and Niktimvo collaboration revenue is sufficient to fund our near-term existing and planned cash requirements. Until we generate substantial product revenue, we expect to finance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material contractual obligations and commitments as of March 31, 2025, primarily relate to our maturities of operating leases for office space and equipment and capital leases for office equipment. As of March 31, 2025, we have $0.9 million payable within 12 months.</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March 31, 2025, we had an accumulated deficit of $1.3 billion. We anticipate that we will likely continue to incur significant losses for at least the next couple years. We expect that our research and development and selling, general and administrative expenses will continue to increase. Although we have two FDA-approved products available for commercial sale in the U.S., we have not generated substantial product revenue to date. We believe that the combination of our available cash, cash equivalents, short-term and long-term investments as well as our Revuforj gross contribution and Niktimvo collaboration revenue is sufficient to fund our near-term existing and planned cash requirements. Until we generate substantial product revenue, we expect to finance our future cash needs through a combination of equity offerings, debt financings and additional funding from license and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months ended March 31, 2025, we did not sell any shares of common stock under the 2023 ATM Program. As of March 31, 2025, we had $157.9 million available under the 2023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2025, we had cash and cash equivalents of $154.0 million, consisting of overnight investments, interest-bearing money market funds and commercial paper, and short and long-term investments of $448.1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March 31, 2025. Based upon that evaluation, our principal executive officer and principal financial officer concluded that, as of the end of the period covered by this report, our disclosure controls and procedures are effective in ensuring that:</w:t>
      </w:r>
    </w:p>
    <w:p>
      <w:pPr>
        <w:spacing w:after="0" w:line="75" w:lineRule="exact"/>
        <w:rPr>
          <w:sz w:val="20"/>
          <w:szCs w:val="20"/>
          <w:color w:val="auto"/>
        </w:rPr>
      </w:pPr>
    </w:p>
    <w:p>
      <w:pPr>
        <w:ind w:left="900" w:right="1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appropriate to allow timely decisions regarding required disclosure.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ind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March 31, 2025, that has materially affected, or is reasonably likely to materially affect, our internal control over financial reporting.</w:t>
      </w: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20" w:right="59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2025,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elsewhere in this report, you should carefully consider the risks and uncertainties described in “Part I, Item 1A—Risk Factors” of our Annual Report on Form 10-K for the year ended December 31, 2024, or 2024 Form 10-K, filed with the Securities and Exchange Commission on March 3, 2025,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 factors disclosure in our 2024 Form 10-K is qualified by the information that is described in this Quarterly Report on Form 10-Q. The risks described in our 2024 Form 10-K are not our only risks. Additional risks and uncertainties not currently known to us or that we currently deem to be immaterial also may materially adversely affect our business, financial condition or future results. There have been no material changes in our risk factors previously disclosed in our 2024 Form 10-K.</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layoffs, funding shortages or global health concerns could negatively impact our business.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proposed clinical trials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including executive and congressional priorities, the impacts of which are inherently fluid and unpredictable. Disruptions at the FDA and other agencies may slow the time necessary for new product candidates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In addition, the current administration has proposed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2025, our directors and officers (as defined in Rule 16a-1(f) under the Exchange Act) adopted or terminated contracts, instructions or written plans for the purchase or sale of our securities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170180</wp:posOffset>
            </wp:positionV>
            <wp:extent cx="939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170180</wp:posOffset>
            </wp:positionV>
            <wp:extent cx="9398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6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20" w:type="dxa"/>
            <w:vAlign w:val="bottom"/>
            <w:tcBorders>
              <w:top w:val="single" w:sz="8" w:color="auto"/>
              <w:bottom w:val="single" w:sz="8" w:color="auto"/>
              <w:right w:val="single" w:sz="8" w:color="auto"/>
            </w:tcBorders>
          </w:tcPr>
          <w:p>
            <w:pPr>
              <w:spacing w:after="0"/>
              <w:rPr>
                <w:sz w:val="21"/>
                <w:szCs w:val="21"/>
                <w:color w:val="auto"/>
              </w:rPr>
            </w:pPr>
          </w:p>
        </w:tc>
        <w:tc>
          <w:tcPr>
            <w:tcW w:w="1520" w:type="dxa"/>
            <w:vAlign w:val="bottom"/>
            <w:tcBorders>
              <w:top w:val="single" w:sz="8" w:color="auto"/>
              <w:bottom w:val="single" w:sz="8" w:color="auto"/>
              <w:right w:val="single" w:sz="8" w:color="auto"/>
            </w:tcBorders>
          </w:tcPr>
          <w:p>
            <w:pPr>
              <w:spacing w:after="0"/>
              <w:rPr>
                <w:sz w:val="21"/>
                <w:szCs w:val="21"/>
                <w:color w:val="auto"/>
              </w:rPr>
            </w:pPr>
          </w:p>
        </w:tc>
        <w:tc>
          <w:tcPr>
            <w:tcW w:w="262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Trading Arrangement</w:t>
            </w: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1680" w:type="dxa"/>
            <w:vAlign w:val="bottom"/>
            <w:tcBorders>
              <w:left w:val="single" w:sz="8" w:color="auto"/>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120" w:type="dxa"/>
            <w:vAlign w:val="bottom"/>
            <w:tcBorders>
              <w:right w:val="single" w:sz="8" w:color="auto"/>
            </w:tcBorders>
          </w:tcPr>
          <w:p>
            <w:pPr>
              <w:spacing w:after="0"/>
              <w:rPr>
                <w:sz w:val="14"/>
                <w:szCs w:val="14"/>
                <w:color w:val="auto"/>
              </w:rPr>
            </w:pPr>
          </w:p>
        </w:tc>
        <w:tc>
          <w:tcPr>
            <w:tcW w:w="112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Total Shares</w:t>
            </w:r>
          </w:p>
        </w:tc>
        <w:tc>
          <w:tcPr>
            <w:tcW w:w="1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Borders>
              <w:right w:val="single" w:sz="8" w:color="auto"/>
            </w:tcBorders>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Adoption/Termina</w:t>
            </w: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Non- Rule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20" w:type="dxa"/>
            <w:vAlign w:val="bottom"/>
            <w:tcBorders>
              <w:right w:val="single" w:sz="8" w:color="auto"/>
            </w:tcBorders>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w:t>
            </w:r>
          </w:p>
        </w:tc>
        <w:tc>
          <w:tcPr>
            <w:tcW w:w="1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8"/>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tion Date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Rule 10b5-1*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10b5-1**</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20" w:type="dxa"/>
            <w:vAlign w:val="bottom"/>
            <w:tcBorders>
              <w:right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60" w:type="dxa"/>
            <w:vAlign w:val="bottom"/>
            <w:tcBorders>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191"/>
        </w:trPr>
        <w:tc>
          <w:tcPr>
            <w:tcW w:w="16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16"/>
        </w:trPr>
        <w:tc>
          <w:tcPr>
            <w:tcW w:w="1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Executive</w:t>
            </w:r>
          </w:p>
        </w:tc>
        <w:tc>
          <w:tcPr>
            <w:tcW w:w="15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34"/>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Officer, Director</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Amendment***</w:t>
            </w:r>
          </w:p>
        </w:tc>
        <w:tc>
          <w:tcPr>
            <w:tcW w:w="152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3/11/2025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157,307</w:t>
            </w:r>
          </w:p>
        </w:tc>
        <w:tc>
          <w:tcPr>
            <w:tcW w:w="120" w:type="dxa"/>
            <w:vAlign w:val="bottom"/>
            <w:tcBorders>
              <w:right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9/9/2025</w:t>
            </w:r>
          </w:p>
        </w:tc>
      </w:tr>
      <w:tr>
        <w:trPr>
          <w:trHeight w:val="191"/>
        </w:trPr>
        <w:tc>
          <w:tcPr>
            <w:tcW w:w="16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Dennis Podlesak</w:t>
            </w: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34"/>
        </w:trPr>
        <w:tc>
          <w:tcPr>
            <w:tcW w:w="1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2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3/5/2025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1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20" w:type="dxa"/>
            <w:vAlign w:val="bottom"/>
            <w:tcBorders>
              <w:right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3/31/2026</w:t>
            </w:r>
          </w:p>
        </w:tc>
      </w:tr>
    </w:tbl>
    <w:p>
      <w:pPr>
        <w:spacing w:after="0" w:line="90" w:lineRule="exact"/>
        <w:rPr>
          <w:sz w:val="20"/>
          <w:szCs w:val="20"/>
          <w:color w:val="auto"/>
        </w:rPr>
      </w:pPr>
    </w:p>
    <w:p>
      <w:pPr>
        <w:ind w:right="1380" w:firstLine="8"/>
        <w:spacing w:after="0" w:line="261"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instructions, or written plan intended to satisfy the affirmative defense conditions of Rule 10b5-1(c) under the Exchange Act. ** “Non-Rule 10b5-1 trading arrangement” as defined in Item 408(c) of Regulation S-K under the Exchange Act.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Mr. Metzger’s plan solely includes equity grants with expiration dates prior to September 10,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ind w:left="5532" w:right="2819" w:hanging="5532"/>
        <w:spacing w:after="0" w:line="282" w:lineRule="auto"/>
        <w:tabs>
          <w:tab w:leader="none" w:pos="4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Podlesak’s plan solely includes equity grants with expiration dates prior to March 31, 2026.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012"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0" w:type="dxa"/>
            <w:vAlign w:val="bottom"/>
            <w:gridSpan w:val="10"/>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Amended and Restated Certificate of Incorporation of the Company (incorporated herein by reference to Exhibit 3.1 to the Company’s</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Exhibit 3.1 to the Company’s Current Report on Form 8-K (File No. 001-37708), as filed with the SEC on May 18, 2023).</w:t>
              </w:r>
            </w:hyperlink>
          </w:p>
        </w:tc>
        <w:tc>
          <w:tcPr>
            <w:tcW w:w="20" w:type="dxa"/>
            <w:vAlign w:val="bottom"/>
            <w:tcBorders>
              <w:bottom w:val="single" w:sz="8" w:color="0000EE"/>
            </w:tcBorders>
          </w:tcPr>
          <w:p>
            <w:pPr>
              <w:spacing w:after="0"/>
              <w:rPr>
                <w:sz w:val="17"/>
                <w:szCs w:val="17"/>
                <w:color w:val="auto"/>
              </w:rPr>
            </w:pPr>
          </w:p>
        </w:tc>
        <w:tc>
          <w:tcPr>
            <w:tcW w:w="1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1934, as amended.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0" w:type="dxa"/>
            <w:vAlign w:val="bottom"/>
            <w:tcBorders>
              <w:bottom w:val="single" w:sz="8" w:color="0000EE"/>
            </w:tcBorders>
          </w:tcPr>
          <w:p>
            <w:pPr>
              <w:spacing w:after="0"/>
              <w:rPr>
                <w:sz w:val="17"/>
                <w:szCs w:val="17"/>
                <w:color w:val="auto"/>
              </w:rPr>
            </w:pPr>
          </w:p>
        </w:tc>
        <w:tc>
          <w:tcPr>
            <w:tcW w:w="7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right="120" w:firstLine="8"/>
        <w:spacing w:after="0" w:line="257" w:lineRule="auto"/>
        <w:tabs>
          <w:tab w:leader="none" w:pos="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2025</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Keith A. Goldan</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1" w:name="page32"/>
    <w:bookmarkEnd w:id="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71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Michael A. Metzger</w:t>
            </w:r>
          </w:p>
        </w:tc>
      </w:tr>
      <w:tr>
        <w:trPr>
          <w:trHeight w:val="191"/>
        </w:trPr>
        <w:tc>
          <w:tcPr>
            <w:tcW w:w="4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16"/>
        </w:trPr>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35"/>
        </w:trPr>
        <w:tc>
          <w:tcPr>
            <w:tcW w:w="4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517"/>
        <w:spacing w:after="0" w:line="266"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71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Keith A. Goldan</w:t>
            </w:r>
          </w:p>
        </w:tc>
      </w:tr>
      <w:tr>
        <w:trPr>
          <w:trHeight w:val="191"/>
        </w:trPr>
        <w:tc>
          <w:tcPr>
            <w:tcW w:w="4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16"/>
        </w:trPr>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40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40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1478"/>
        </w:trPr>
        <w:tc>
          <w:tcPr>
            <w:tcW w:w="40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March 31, 2025,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3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1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31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191"/>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235"/>
        </w:trPr>
        <w:tc>
          <w:tcPr>
            <w:tcW w:w="40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o"/>
      <w:numFmt w:val="bullet"/>
      <w:start w:val="1"/>
    </w:lvl>
  </w:abstractNum>
  <w:abstractNum w:abstractNumId="6">
    <w:nsid w:val="1BEFD79F"/>
    <w:multiLevelType w:val="hybridMultilevel"/>
    <w:lvl w:ilvl="0">
      <w:lvlJc w:val="left"/>
      <w:lvlText w:val="•"/>
      <w:numFmt w:val="bullet"/>
      <w:start w:val="1"/>
    </w:lvl>
    <w:lvl w:ilvl="1">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o"/>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o"/>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70" Type="http://schemas.openxmlformats.org/officeDocument/2006/relationships/hyperlink" Target="https://www.sec.gov/Archives/edgar/data/1395937/000119312516496764/d119516dex31.htm" TargetMode="External"/><Relationship Id="rId171" Type="http://schemas.openxmlformats.org/officeDocument/2006/relationships/hyperlink" Target="https://www.sec.gov/Archives/edgar/data/1395937/000095017023022802/sndx-ex3_1.htm" TargetMode="External"/><Relationship Id="rId172"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2025-05-05T15:16:47Z</dcterms:created>
  <dcterms:modified xsi:type="dcterms:W3CDTF">2025-05-05T15:16:47Z</dcterms:modified>
</cp:coreProperties>
</file>