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108585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8" w:lineRule="exact"/>
        <w:rPr>
          <w:rFonts w:ascii="MS PGothic" w:cs="MS PGothic" w:eastAsia="MS PGothic" w:hAnsi="MS PGothic"/>
          <w:sz w:val="18"/>
          <w:szCs w:val="18"/>
          <w:color w:val="auto"/>
        </w:rPr>
      </w:pPr>
    </w:p>
    <w:p>
      <w:pPr>
        <w:ind w:left="40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quarterly period ended March 31, 2022</w:t>
      </w:r>
    </w:p>
    <w:p>
      <w:pPr>
        <w:spacing w:after="0" w:line="12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2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1" w:lineRule="exact"/>
        <w:rPr>
          <w:sz w:val="24"/>
          <w:szCs w:val="24"/>
          <w:color w:val="auto"/>
        </w:rPr>
      </w:pPr>
    </w:p>
    <w:p>
      <w:pPr>
        <w:ind w:left="3620"/>
        <w:spacing w:after="0"/>
        <w:tabs>
          <w:tab w:leader="none" w:pos="66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3653155</wp:posOffset>
            </wp:positionH>
            <wp:positionV relativeFrom="paragraph">
              <wp:posOffset>-4445</wp:posOffset>
            </wp:positionV>
            <wp:extent cx="1189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10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001-37708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114300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Syndax Pharmaceuticals, Inc.</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94615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3" w:lineRule="exact"/>
        <w:rPr>
          <w:sz w:val="24"/>
          <w:szCs w:val="24"/>
          <w:color w:val="auto"/>
        </w:rPr>
      </w:pPr>
    </w:p>
    <w:tbl>
      <w:tblPr>
        <w:tblLayout w:type="fixed"/>
        <w:tblInd w:w="1820" w:type="dxa"/>
        <w:tblCellMar>
          <w:top w:w="0" w:type="dxa"/>
          <w:left w:w="0" w:type="dxa"/>
          <w:bottom w:w="0" w:type="dxa"/>
          <w:right w:w="0" w:type="dxa"/>
        </w:tblCellMar>
      </w:tblPr>
      <w:tr>
        <w:trPr>
          <w:trHeight w:val="193"/>
        </w:trPr>
        <w:tc>
          <w:tcPr>
            <w:tcW w:w="5580" w:type="dxa"/>
            <w:vAlign w:val="bottom"/>
          </w:tcPr>
          <w:p>
            <w:pPr>
              <w:jc w:val="center"/>
              <w:ind w:right="2744"/>
              <w:spacing w:after="0"/>
              <w:rPr>
                <w:sz w:val="20"/>
                <w:szCs w:val="20"/>
                <w:color w:val="auto"/>
              </w:rPr>
            </w:pPr>
            <w:r>
              <w:rPr>
                <w:rFonts w:ascii="Arial" w:cs="Arial" w:eastAsia="Arial" w:hAnsi="Arial"/>
                <w:sz w:val="16"/>
                <w:szCs w:val="16"/>
                <w:b w:val="1"/>
                <w:bCs w:val="1"/>
                <w:color w:val="auto"/>
                <w:w w:val="91"/>
              </w:rPr>
              <w:t>Delaware</w:t>
            </w:r>
          </w:p>
        </w:tc>
        <w:tc>
          <w:tcPr>
            <w:tcW w:w="1220" w:type="dxa"/>
            <w:vAlign w:val="bottom"/>
          </w:tcPr>
          <w:p>
            <w:pPr>
              <w:jc w:val="right"/>
              <w:ind w:right="105"/>
              <w:spacing w:after="0"/>
              <w:rPr>
                <w:sz w:val="20"/>
                <w:szCs w:val="20"/>
                <w:color w:val="auto"/>
              </w:rPr>
            </w:pPr>
            <w:r>
              <w:rPr>
                <w:rFonts w:ascii="Arial" w:cs="Arial" w:eastAsia="Arial" w:hAnsi="Arial"/>
                <w:sz w:val="16"/>
                <w:szCs w:val="16"/>
                <w:b w:val="1"/>
                <w:bCs w:val="1"/>
                <w:color w:val="auto"/>
              </w:rPr>
              <w:t>32-0162505</w:t>
            </w:r>
          </w:p>
        </w:tc>
      </w:tr>
      <w:tr>
        <w:trPr>
          <w:trHeight w:val="148"/>
        </w:trPr>
        <w:tc>
          <w:tcPr>
            <w:tcW w:w="5580" w:type="dxa"/>
            <w:vAlign w:val="bottom"/>
          </w:tcPr>
          <w:p>
            <w:pPr>
              <w:jc w:val="center"/>
              <w:ind w:right="276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jc w:val="center"/>
              <w:ind w:left="5"/>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5580" w:type="dxa"/>
            <w:vAlign w:val="bottom"/>
          </w:tcPr>
          <w:p>
            <w:pPr>
              <w:jc w:val="center"/>
              <w:ind w:right="2744"/>
              <w:spacing w:after="0"/>
              <w:rPr>
                <w:sz w:val="20"/>
                <w:szCs w:val="20"/>
                <w:color w:val="auto"/>
              </w:rPr>
            </w:pPr>
            <w:r>
              <w:rPr>
                <w:rFonts w:ascii="Arial" w:cs="Arial" w:eastAsia="Arial" w:hAnsi="Arial"/>
                <w:sz w:val="14"/>
                <w:szCs w:val="14"/>
                <w:b w:val="1"/>
                <w:bCs w:val="1"/>
                <w:color w:val="auto"/>
                <w:w w:val="94"/>
              </w:rPr>
              <w:t>Incorporation or Organization)</w:t>
            </w:r>
          </w:p>
        </w:tc>
        <w:tc>
          <w:tcPr>
            <w:tcW w:w="1220" w:type="dxa"/>
            <w:vAlign w:val="bottom"/>
          </w:tcPr>
          <w:p>
            <w:pPr>
              <w:jc w:val="center"/>
              <w:ind w:left="5"/>
              <w:spacing w:after="0"/>
              <w:rPr>
                <w:sz w:val="20"/>
                <w:szCs w:val="20"/>
                <w:color w:val="auto"/>
              </w:rPr>
            </w:pPr>
            <w:r>
              <w:rPr>
                <w:rFonts w:ascii="Arial" w:cs="Arial" w:eastAsia="Arial" w:hAnsi="Arial"/>
                <w:sz w:val="14"/>
                <w:szCs w:val="14"/>
                <w:b w:val="1"/>
                <w:bCs w:val="1"/>
                <w:color w:val="auto"/>
                <w:w w:val="96"/>
              </w:rPr>
              <w:t>Identification No.)</w:t>
            </w:r>
          </w:p>
        </w:tc>
      </w:tr>
      <w:tr>
        <w:trPr>
          <w:trHeight w:val="403"/>
        </w:trPr>
        <w:tc>
          <w:tcPr>
            <w:tcW w:w="5580" w:type="dxa"/>
            <w:vAlign w:val="bottom"/>
          </w:tcPr>
          <w:p>
            <w:pPr>
              <w:jc w:val="center"/>
              <w:ind w:right="2744"/>
              <w:spacing w:after="0"/>
              <w:rPr>
                <w:sz w:val="20"/>
                <w:szCs w:val="20"/>
                <w:color w:val="auto"/>
              </w:rPr>
            </w:pPr>
            <w:r>
              <w:rPr>
                <w:rFonts w:ascii="Arial" w:cs="Arial" w:eastAsia="Arial" w:hAnsi="Arial"/>
                <w:sz w:val="16"/>
                <w:szCs w:val="16"/>
                <w:b w:val="1"/>
                <w:bCs w:val="1"/>
                <w:color w:val="auto"/>
                <w:w w:val="91"/>
              </w:rPr>
              <w:t>35 Gatehouse Drive, Building D, Floor 3</w:t>
            </w:r>
          </w:p>
        </w:tc>
        <w:tc>
          <w:tcPr>
            <w:tcW w:w="1220" w:type="dxa"/>
            <w:vAlign w:val="bottom"/>
          </w:tcPr>
          <w:p>
            <w:pPr>
              <w:spacing w:after="0"/>
              <w:rPr>
                <w:sz w:val="24"/>
                <w:szCs w:val="24"/>
                <w:color w:val="auto"/>
              </w:rPr>
            </w:pPr>
          </w:p>
        </w:tc>
      </w:tr>
      <w:tr>
        <w:trPr>
          <w:trHeight w:val="207"/>
        </w:trPr>
        <w:tc>
          <w:tcPr>
            <w:tcW w:w="5580" w:type="dxa"/>
            <w:vAlign w:val="bottom"/>
          </w:tcPr>
          <w:p>
            <w:pPr>
              <w:jc w:val="center"/>
              <w:ind w:right="2744"/>
              <w:spacing w:after="0"/>
              <w:rPr>
                <w:sz w:val="20"/>
                <w:szCs w:val="20"/>
                <w:color w:val="auto"/>
              </w:rPr>
            </w:pPr>
            <w:r>
              <w:rPr>
                <w:rFonts w:ascii="Arial" w:cs="Arial" w:eastAsia="Arial" w:hAnsi="Arial"/>
                <w:sz w:val="16"/>
                <w:szCs w:val="16"/>
                <w:b w:val="1"/>
                <w:bCs w:val="1"/>
                <w:color w:val="auto"/>
                <w:w w:val="90"/>
              </w:rPr>
              <w:t>Waltham, Massachusetts</w:t>
            </w:r>
          </w:p>
        </w:tc>
        <w:tc>
          <w:tcPr>
            <w:tcW w:w="1220" w:type="dxa"/>
            <w:vAlign w:val="bottom"/>
          </w:tcPr>
          <w:p>
            <w:pPr>
              <w:jc w:val="right"/>
              <w:ind w:right="285"/>
              <w:spacing w:after="0"/>
              <w:rPr>
                <w:sz w:val="20"/>
                <w:szCs w:val="20"/>
                <w:color w:val="auto"/>
              </w:rPr>
            </w:pPr>
            <w:r>
              <w:rPr>
                <w:rFonts w:ascii="Arial" w:cs="Arial" w:eastAsia="Arial" w:hAnsi="Arial"/>
                <w:sz w:val="16"/>
                <w:szCs w:val="16"/>
                <w:b w:val="1"/>
                <w:bCs w:val="1"/>
                <w:color w:val="auto"/>
              </w:rPr>
              <w:t>02451</w:t>
            </w:r>
          </w:p>
        </w:tc>
      </w:tr>
      <w:tr>
        <w:trPr>
          <w:trHeight w:val="186"/>
        </w:trPr>
        <w:tc>
          <w:tcPr>
            <w:tcW w:w="5580" w:type="dxa"/>
            <w:vAlign w:val="bottom"/>
          </w:tcPr>
          <w:p>
            <w:pPr>
              <w:jc w:val="center"/>
              <w:ind w:right="2764"/>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20" w:type="dxa"/>
            <w:vAlign w:val="bottom"/>
          </w:tcPr>
          <w:p>
            <w:pPr>
              <w:jc w:val="center"/>
              <w:ind w:left="5"/>
              <w:spacing w:after="0"/>
              <w:rPr>
                <w:sz w:val="20"/>
                <w:szCs w:val="20"/>
                <w:color w:val="auto"/>
              </w:rPr>
            </w:pPr>
            <w:r>
              <w:rPr>
                <w:rFonts w:ascii="Arial" w:cs="Arial" w:eastAsia="Arial" w:hAnsi="Arial"/>
                <w:sz w:val="14"/>
                <w:szCs w:val="14"/>
                <w:b w:val="1"/>
                <w:bCs w:val="1"/>
                <w:color w:val="auto"/>
                <w:w w:val="95"/>
              </w:rPr>
              <w:t>(Zip Code)</w:t>
            </w:r>
          </w:p>
        </w:tc>
      </w:tr>
      <w:tr>
        <w:trPr>
          <w:trHeight w:val="272"/>
        </w:trPr>
        <w:tc>
          <w:tcPr>
            <w:tcW w:w="5580" w:type="dxa"/>
            <w:vAlign w:val="bottom"/>
          </w:tcPr>
          <w:p>
            <w:pPr>
              <w:jc w:val="right"/>
              <w:ind w:right="1204"/>
              <w:spacing w:after="0"/>
              <w:rPr>
                <w:sz w:val="20"/>
                <w:szCs w:val="20"/>
                <w:color w:val="auto"/>
              </w:rPr>
            </w:pPr>
            <w:r>
              <w:rPr>
                <w:rFonts w:ascii="Arial" w:cs="Arial" w:eastAsia="Arial" w:hAnsi="Arial"/>
                <w:sz w:val="16"/>
                <w:szCs w:val="16"/>
                <w:b w:val="1"/>
                <w:bCs w:val="1"/>
                <w:color w:val="auto"/>
              </w:rPr>
              <w:t>(781) 419-1400</w:t>
            </w:r>
          </w:p>
        </w:tc>
        <w:tc>
          <w:tcPr>
            <w:tcW w:w="1220" w:type="dxa"/>
            <w:vAlign w:val="bottom"/>
          </w:tcPr>
          <w:p>
            <w:pPr>
              <w:spacing w:after="0"/>
              <w:rPr>
                <w:sz w:val="23"/>
                <w:szCs w:val="23"/>
                <w:color w:val="auto"/>
              </w:rPr>
            </w:pPr>
          </w:p>
        </w:tc>
      </w:tr>
      <w:tr>
        <w:trPr>
          <w:trHeight w:val="186"/>
        </w:trPr>
        <w:tc>
          <w:tcPr>
            <w:tcW w:w="5580" w:type="dxa"/>
            <w:vAlign w:val="bottom"/>
          </w:tcPr>
          <w:p>
            <w:pPr>
              <w:jc w:val="center"/>
              <w:ind w:left="1944"/>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2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76200</wp:posOffset>
            </wp:positionV>
            <wp:extent cx="1430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11"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590" w:type="dxa"/>
        <w:tblCellMar>
          <w:top w:w="0" w:type="dxa"/>
          <w:left w:w="0" w:type="dxa"/>
          <w:bottom w:w="0" w:type="dxa"/>
          <w:right w:w="0" w:type="dxa"/>
        </w:tblCellMar>
      </w:tblPr>
      <w:tr>
        <w:trPr>
          <w:trHeight w:val="213"/>
        </w:trPr>
        <w:tc>
          <w:tcPr>
            <w:tcW w:w="3380" w:type="dxa"/>
            <w:vAlign w:val="bottom"/>
            <w:tcBorders>
              <w:top w:val="single" w:sz="8" w:color="auto"/>
              <w:left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16"/>
                <w:szCs w:val="16"/>
                <w:b w:val="1"/>
                <w:bCs w:val="1"/>
                <w:color w:val="auto"/>
              </w:rPr>
              <w:t>Title of each class</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9"/>
        </w:trPr>
        <w:tc>
          <w:tcPr>
            <w:tcW w:w="33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Common Stock</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SNDX</w:t>
            </w:r>
          </w:p>
        </w:tc>
        <w:tc>
          <w:tcPr>
            <w:tcW w:w="4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98" w:lineRule="exact"/>
        <w:rPr>
          <w:sz w:val="24"/>
          <w:szCs w:val="24"/>
          <w:color w:val="auto"/>
        </w:rPr>
      </w:pPr>
    </w:p>
    <w:p>
      <w:pPr>
        <w:ind w:right="220" w:firstLine="382"/>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b w:val="1"/>
          <w:bCs w:val="1"/>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87" w:lineRule="exact"/>
        <w:rPr>
          <w:sz w:val="24"/>
          <w:szCs w:val="24"/>
          <w:color w:val="auto"/>
        </w:rPr>
      </w:pPr>
    </w:p>
    <w:p>
      <w:pPr>
        <w:ind w:firstLine="382"/>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p>
    <w:p>
      <w:pPr>
        <w:spacing w:after="0" w:line="87" w:lineRule="exact"/>
        <w:rPr>
          <w:sz w:val="24"/>
          <w:szCs w:val="24"/>
          <w:color w:val="auto"/>
        </w:rPr>
      </w:pPr>
    </w:p>
    <w:p>
      <w:pPr>
        <w:ind w:right="280" w:firstLine="382"/>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460"/>
              <w:spacing w:after="0"/>
              <w:rPr>
                <w:sz w:val="20"/>
                <w:szCs w:val="20"/>
                <w:color w:val="auto"/>
              </w:rPr>
            </w:pPr>
            <w:r>
              <w:rPr>
                <w:rFonts w:ascii="Arial" w:cs="Arial" w:eastAsia="Arial" w:hAnsi="Arial"/>
                <w:sz w:val="16"/>
                <w:szCs w:val="16"/>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2"/>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ind w:left="2460"/>
              <w:spacing w:after="0"/>
              <w:rPr>
                <w:sz w:val="20"/>
                <w:szCs w:val="20"/>
                <w:color w:val="auto"/>
              </w:rPr>
            </w:pPr>
            <w:r>
              <w:rPr>
                <w:rFonts w:ascii="Arial" w:cs="Arial" w:eastAsia="Arial" w:hAnsi="Arial"/>
                <w:sz w:val="16"/>
                <w:szCs w:val="16"/>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84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40" w:type="dxa"/>
            <w:vAlign w:val="bottom"/>
          </w:tcPr>
          <w:p>
            <w:pPr>
              <w:spacing w:after="0"/>
              <w:rPr>
                <w:sz w:val="22"/>
                <w:szCs w:val="22"/>
                <w:color w:val="auto"/>
              </w:rPr>
            </w:pPr>
          </w:p>
        </w:tc>
        <w:tc>
          <w:tcPr>
            <w:tcW w:w="940" w:type="dxa"/>
            <w:vAlign w:val="bottom"/>
          </w:tcPr>
          <w:p>
            <w:pPr>
              <w:spacing w:after="0"/>
              <w:rPr>
                <w:sz w:val="22"/>
                <w:szCs w:val="22"/>
                <w:color w:val="auto"/>
              </w:rPr>
            </w:pPr>
          </w:p>
        </w:tc>
      </w:tr>
    </w:tbl>
    <w:p>
      <w:pPr>
        <w:spacing w:after="0" w:line="99" w:lineRule="exact"/>
        <w:rPr>
          <w:sz w:val="24"/>
          <w:szCs w:val="24"/>
          <w:color w:val="auto"/>
        </w:rPr>
      </w:pPr>
    </w:p>
    <w:p>
      <w:pPr>
        <w:ind w:right="180" w:firstLine="382"/>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380" w:right="220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w:t>
      </w:r>
      <w:r>
        <w:rPr>
          <w:rFonts w:ascii="Arial" w:cs="Arial" w:eastAsia="Arial" w:hAnsi="Arial"/>
          <w:sz w:val="15"/>
          <w:szCs w:val="15"/>
          <w:b w:val="1"/>
          <w:bCs w:val="1"/>
          <w:color w:val="auto"/>
        </w:rPr>
        <w:t>Yes</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No</w:t>
      </w:r>
      <w:r>
        <w:rPr>
          <w:rFonts w:ascii="Arial" w:cs="Arial" w:eastAsia="Arial" w:hAnsi="Arial"/>
          <w:sz w:val="15"/>
          <w:szCs w:val="15"/>
          <w:color w:val="auto"/>
        </w:rPr>
        <w:t xml:space="preserve">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6, 2022, there were 56,232,326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This Quarterly Report on Form 10-Q contains forward-looking statements and information within the meaning of Section 27A of the Securities Act and Section 21E of the Exchange Act, which are subject to the “safe harbor” created by those sections. In some cases, you can identify forward-looking statements by terminology such as “may,” “will,” “should,” “could,” “expect,” “would,” “plan,” “anticipate,” “believe,” “estimate,” “predict,” “potential,” “intend,” “project” or “continue,” or the negative or plural of these terms or other comparable terminology.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17" w:lineRule="exact"/>
        <w:rPr>
          <w:sz w:val="20"/>
          <w:szCs w:val="20"/>
          <w:color w:val="auto"/>
        </w:rPr>
      </w:pPr>
    </w:p>
    <w:p>
      <w:pPr>
        <w:ind w:left="1000" w:right="4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ongoing COVID-19 pandemic and its effects on our operations, research and development and clinical trials and potential disruption in the operations and business of third-party manufacturers, contract research organizations, or CROs, other service providers, and collaborators with whom we conduct business;</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143"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pivotal Phase 2 cohorts of the AUGMENT-101 trial of SNDX-5613 in patients with relapsed/refractory, or R/R, acute leukemias;</w:t>
      </w:r>
    </w:p>
    <w:p>
      <w:pPr>
        <w:spacing w:after="0" w:line="61" w:lineRule="exact"/>
        <w:rPr>
          <w:rFonts w:ascii="Arial" w:cs="Arial" w:eastAsia="Arial" w:hAnsi="Arial"/>
          <w:sz w:val="18"/>
          <w:szCs w:val="18"/>
          <w:color w:val="auto"/>
        </w:rPr>
      </w:pPr>
    </w:p>
    <w:p>
      <w:pPr>
        <w:ind w:left="1000" w:right="80" w:hanging="493"/>
        <w:spacing w:after="0" w:line="259"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AUGMENT-102 trial of SNDX-5613 in combination with chemotherapy in patients with R/R mutant nucleophosmin, NPM1, or mixed lineage leukemia rearranged, MLLr, acute leukemias, as well as the combination trials as part of the Leukemia &amp; Lymphoma Society’s Beat® AML Master Clinical Trial and as part of the Australian Leukemia and Lymphoma Group (ALLG) INTERCEPT Master Clinical Trial;</w:t>
      </w:r>
    </w:p>
    <w:p>
      <w:pPr>
        <w:spacing w:after="0" w:line="7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progress and receipt of data from the pivotal Phase 2 trial, AGAVE-201, of axatilimab in chronic Graft Versus Host Disease, or cGVHD;</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replicate results in future clinical trials;</w:t>
      </w:r>
    </w:p>
    <w:p>
      <w:pPr>
        <w:spacing w:after="0" w:line="143"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our product candidates as well as the potential use of our product candidates to treat various cancer indications and fibrotic diseases;</w:t>
      </w:r>
    </w:p>
    <w:p>
      <w:pPr>
        <w:spacing w:after="0" w:line="61"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our product candidates and the timing or likelihood of regulatory filings and approvals for such candidates;</w:t>
      </w:r>
    </w:p>
    <w:p>
      <w:pPr>
        <w:spacing w:after="0" w:line="61"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licenses with Bayer Pharma AG, Eddingpharm Investment Company Limited, UCB Biopharma Sprl, and Vitae Pharmaceuticals, Inc., a subsidiary of Allergan plc, which was acquired by AbbVie Inc.;</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collaboration with Incyte Corporation, or Incyte, to further develop and commercialize axatilimab;</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milestone and royalty payments under certain of our license agreements;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development of our product candidates;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our product candidates and our technology;</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adoption of our product candidates by physicians and patients;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43"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or the perception that hostilities may be imminent, including, the ongoing conflict in Ukraine and terrorism, or natural disasters and public health epidemics.</w:t>
      </w:r>
    </w:p>
    <w:p>
      <w:pPr>
        <w:spacing w:after="0" w:line="16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report in greater detail in the section titled “Risk Factors” and elsewhere in this report. You should not rely upon forward-looking statements as predictions of future events.</w:t>
      </w:r>
    </w:p>
    <w:p>
      <w:pPr>
        <w:spacing w:after="0" w:line="185"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Page</w:t>
            </w:r>
          </w:p>
        </w:tc>
      </w:tr>
      <w:tr>
        <w:trPr>
          <w:trHeight w:val="290"/>
        </w:trPr>
        <w:tc>
          <w:tcPr>
            <w:tcW w:w="308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38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23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Financial Statements:</w:t>
              </w:r>
            </w:hyperlink>
          </w:p>
        </w:tc>
        <w:tc>
          <w:tcPr>
            <w:tcW w:w="708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r>
      <w:tr>
        <w:trPr>
          <w:trHeight w:val="317"/>
        </w:trPr>
        <w:tc>
          <w:tcPr>
            <w:tcW w:w="1040" w:type="dxa"/>
            <w:vAlign w:val="bottom"/>
          </w:tcPr>
          <w:p>
            <w:pPr>
              <w:spacing w:after="0"/>
              <w:rPr>
                <w:sz w:val="24"/>
                <w:szCs w:val="24"/>
                <w:color w:val="auto"/>
              </w:rPr>
            </w:pPr>
          </w:p>
        </w:tc>
        <w:tc>
          <w:tcPr>
            <w:tcW w:w="94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2022 and December 31, 2021</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7"/>
        </w:trPr>
        <w:tc>
          <w:tcPr>
            <w:tcW w:w="1040" w:type="dxa"/>
            <w:vAlign w:val="bottom"/>
          </w:tcPr>
          <w:p>
            <w:pPr>
              <w:spacing w:after="0"/>
              <w:rPr>
                <w:sz w:val="24"/>
                <w:szCs w:val="24"/>
                <w:color w:val="auto"/>
              </w:rPr>
            </w:pPr>
          </w:p>
        </w:tc>
        <w:tc>
          <w:tcPr>
            <w:tcW w:w="63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Loss for the three months ended</w:t>
              </w:r>
            </w:hyperlink>
          </w:p>
        </w:tc>
        <w:tc>
          <w:tcPr>
            <w:tcW w:w="304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5"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March 31, 2022 and 2021</w:t>
              </w:r>
            </w:hyperlink>
          </w:p>
        </w:tc>
        <w:tc>
          <w:tcPr>
            <w:tcW w:w="7320" w:type="dxa"/>
            <w:vAlign w:val="bottom"/>
            <w:gridSpan w:val="10"/>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r>
      <w:tr>
        <w:trPr>
          <w:trHeight w:val="317"/>
        </w:trPr>
        <w:tc>
          <w:tcPr>
            <w:tcW w:w="1040" w:type="dxa"/>
            <w:vAlign w:val="bottom"/>
          </w:tcPr>
          <w:p>
            <w:pPr>
              <w:spacing w:after="0"/>
              <w:rPr>
                <w:sz w:val="24"/>
                <w:szCs w:val="24"/>
                <w:color w:val="auto"/>
              </w:rPr>
            </w:pPr>
          </w:p>
        </w:tc>
        <w:tc>
          <w:tcPr>
            <w:tcW w:w="69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2022</w:t>
              </w:r>
            </w:hyperlink>
          </w:p>
        </w:tc>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5"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and 2021</w:t>
              </w:r>
            </w:hyperlink>
          </w:p>
        </w:tc>
        <w:tc>
          <w:tcPr>
            <w:tcW w:w="8500" w:type="dxa"/>
            <w:vAlign w:val="bottom"/>
            <w:gridSpan w:val="15"/>
          </w:tcPr>
          <w:p>
            <w:pPr>
              <w:spacing w:after="0"/>
              <w:rPr>
                <w:sz w:val="17"/>
                <w:szCs w:val="17"/>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3</w:t>
            </w:r>
          </w:p>
        </w:tc>
      </w:tr>
      <w:tr>
        <w:trPr>
          <w:trHeight w:val="317"/>
        </w:trPr>
        <w:tc>
          <w:tcPr>
            <w:tcW w:w="1040" w:type="dxa"/>
            <w:vAlign w:val="bottom"/>
          </w:tcPr>
          <w:p>
            <w:pPr>
              <w:spacing w:after="0"/>
              <w:rPr>
                <w:sz w:val="24"/>
                <w:szCs w:val="24"/>
                <w:color w:val="auto"/>
              </w:rPr>
            </w:pPr>
          </w:p>
        </w:tc>
        <w:tc>
          <w:tcPr>
            <w:tcW w:w="942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24"/>
                <w:szCs w:val="24"/>
                <w:color w:val="auto"/>
              </w:rPr>
            </w:pPr>
          </w:p>
        </w:tc>
        <w:tc>
          <w:tcPr>
            <w:tcW w:w="2980" w:type="dxa"/>
            <w:vAlign w:val="bottom"/>
            <w:gridSpan w:val="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Controls and Procedures</w:t>
              </w:r>
            </w:hyperlink>
          </w:p>
        </w:tc>
        <w:tc>
          <w:tcPr>
            <w:tcW w:w="766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7"/>
        </w:trPr>
        <w:tc>
          <w:tcPr>
            <w:tcW w:w="27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OTHER INFORMATION</w:t>
              </w:r>
            </w:hyperlink>
          </w:p>
        </w:tc>
        <w:tc>
          <w:tcPr>
            <w:tcW w:w="768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10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Unregistered Sales of Equity Securities and Use of Proceeds</w:t>
              </w:r>
            </w:hyperlink>
          </w:p>
        </w:tc>
        <w:tc>
          <w:tcPr>
            <w:tcW w:w="5080" w:type="dxa"/>
            <w:vAlign w:val="bottom"/>
            <w:gridSpan w:val="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Defaults upon Senior Securities</w:t>
              </w:r>
            </w:hyperlink>
          </w:p>
        </w:tc>
        <w:tc>
          <w:tcPr>
            <w:tcW w:w="7140" w:type="dxa"/>
            <w:vAlign w:val="bottom"/>
            <w:gridSpan w:val="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7"/>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Exhibits</w:t>
              </w:r>
            </w:hyperlink>
          </w:p>
        </w:tc>
        <w:tc>
          <w:tcPr>
            <w:tcW w:w="8820" w:type="dxa"/>
            <w:vAlign w:val="bottom"/>
            <w:gridSpan w:val="1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spacing w:after="0"/>
        <w:tabs>
          <w:tab w:leader="none" w:pos="100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December 31, 2021</w:t>
            </w:r>
          </w:p>
        </w:tc>
      </w:tr>
      <w:tr>
        <w:trPr>
          <w:trHeight w:val="223"/>
        </w:trPr>
        <w:tc>
          <w:tcPr>
            <w:tcW w:w="6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7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188,773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221,965</w:t>
            </w:r>
          </w:p>
        </w:tc>
        <w:tc>
          <w:tcPr>
            <w:tcW w:w="100" w:type="dxa"/>
            <w:vAlign w:val="bottom"/>
            <w:shd w:val="clear" w:color="auto" w:fill="CFF0FC"/>
          </w:tcPr>
          <w:p>
            <w:pPr>
              <w:spacing w:after="0"/>
              <w:rPr>
                <w:sz w:val="19"/>
                <w:szCs w:val="19"/>
                <w:color w:val="auto"/>
              </w:rPr>
            </w:pPr>
          </w:p>
        </w:tc>
      </w:tr>
      <w:tr>
        <w:trPr>
          <w:trHeight w:val="229"/>
        </w:trPr>
        <w:tc>
          <w:tcPr>
            <w:tcW w:w="602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r>
      <w:tr>
        <w:trPr>
          <w:trHeight w:val="229"/>
        </w:trPr>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investments</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209,157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217,971</w:t>
            </w:r>
          </w:p>
        </w:tc>
        <w:tc>
          <w:tcPr>
            <w:tcW w:w="100" w:type="dxa"/>
            <w:vAlign w:val="bottom"/>
            <w:shd w:val="clear" w:color="auto" w:fill="CFF0FC"/>
          </w:tcPr>
          <w:p>
            <w:pPr>
              <w:spacing w:after="0"/>
              <w:rPr>
                <w:sz w:val="19"/>
                <w:szCs w:val="19"/>
                <w:color w:val="auto"/>
              </w:rPr>
            </w:pPr>
          </w:p>
        </w:tc>
      </w:tr>
      <w:tr>
        <w:trPr>
          <w:trHeight w:val="229"/>
        </w:trPr>
        <w:tc>
          <w:tcPr>
            <w:tcW w:w="6020" w:type="dxa"/>
            <w:vAlign w:val="bottom"/>
          </w:tcPr>
          <w:p>
            <w:pPr>
              <w:ind w:left="240"/>
              <w:spacing w:after="0"/>
              <w:rPr>
                <w:sz w:val="20"/>
                <w:szCs w:val="20"/>
                <w:color w:val="auto"/>
              </w:rPr>
            </w:pPr>
            <w:r>
              <w:rPr>
                <w:rFonts w:ascii="Arial" w:cs="Arial" w:eastAsia="Arial" w:hAnsi="Arial"/>
                <w:sz w:val="18"/>
                <w:szCs w:val="18"/>
                <w:color w:val="auto"/>
              </w:rPr>
              <w:t>Short-term deposits</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12,979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Pr>
          <w:p>
            <w:pPr>
              <w:spacing w:after="0"/>
              <w:rPr>
                <w:sz w:val="19"/>
                <w:szCs w:val="19"/>
                <w:color w:val="auto"/>
              </w:rPr>
            </w:pPr>
          </w:p>
        </w:tc>
      </w:tr>
      <w:tr>
        <w:trPr>
          <w:trHeight w:val="229"/>
        </w:trPr>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9,032</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1,451</w:t>
            </w:r>
          </w:p>
        </w:tc>
        <w:tc>
          <w:tcPr>
            <w:tcW w:w="100" w:type="dxa"/>
            <w:vAlign w:val="bottom"/>
            <w:shd w:val="clear" w:color="auto" w:fill="CFF0FC"/>
          </w:tcPr>
          <w:p>
            <w:pPr>
              <w:spacing w:after="0"/>
              <w:rPr>
                <w:sz w:val="19"/>
                <w:szCs w:val="19"/>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Total current assets</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420,056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448,396</w:t>
            </w:r>
          </w:p>
        </w:tc>
        <w:tc>
          <w:tcPr>
            <w:tcW w:w="100" w:type="dxa"/>
            <w:vAlign w:val="bottom"/>
          </w:tcPr>
          <w:p>
            <w:pPr>
              <w:spacing w:after="0"/>
              <w:rPr>
                <w:sz w:val="19"/>
                <w:szCs w:val="19"/>
                <w:color w:val="auto"/>
              </w:rPr>
            </w:pPr>
          </w:p>
        </w:tc>
      </w:tr>
      <w:tr>
        <w:trPr>
          <w:trHeight w:val="229"/>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FF0FC"/>
          </w:tcPr>
          <w:p>
            <w:pPr>
              <w:spacing w:after="0"/>
              <w:rPr>
                <w:sz w:val="19"/>
                <w:szCs w:val="19"/>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Right-of-use asset, net</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9"/>
                <w:szCs w:val="19"/>
                <w:color w:val="auto"/>
              </w:rPr>
            </w:pPr>
          </w:p>
        </w:tc>
      </w:tr>
      <w:tr>
        <w:trPr>
          <w:trHeight w:val="229"/>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5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422,222</w:t>
            </w:r>
          </w:p>
        </w:tc>
        <w:tc>
          <w:tcPr>
            <w:tcW w:w="2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449,657</w:t>
            </w:r>
          </w:p>
        </w:tc>
        <w:tc>
          <w:tcPr>
            <w:tcW w:w="100" w:type="dxa"/>
            <w:vAlign w:val="bottom"/>
            <w:tcBorders>
              <w:bottom w:val="single" w:sz="8" w:color="CFF0FC"/>
            </w:tcBorders>
          </w:tcPr>
          <w:p>
            <w:pPr>
              <w:spacing w:after="0"/>
              <w:rPr>
                <w:sz w:val="22"/>
                <w:szCs w:val="22"/>
                <w:color w:val="auto"/>
              </w:rPr>
            </w:pPr>
          </w:p>
        </w:tc>
      </w:tr>
      <w:tr>
        <w:trPr>
          <w:trHeight w:val="210"/>
        </w:trPr>
        <w:tc>
          <w:tcPr>
            <w:tcW w:w="6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7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5,669</w:t>
            </w:r>
          </w:p>
        </w:tc>
        <w:tc>
          <w:tcPr>
            <w:tcW w:w="100" w:type="dxa"/>
            <w:vAlign w:val="bottom"/>
            <w:shd w:val="clear" w:color="auto" w:fill="CFF0FC"/>
          </w:tcPr>
          <w:p>
            <w:pPr>
              <w:spacing w:after="0"/>
              <w:rPr>
                <w:sz w:val="19"/>
                <w:szCs w:val="19"/>
                <w:color w:val="auto"/>
              </w:rPr>
            </w:pPr>
          </w:p>
        </w:tc>
      </w:tr>
      <w:tr>
        <w:trPr>
          <w:trHeight w:val="229"/>
        </w:trPr>
        <w:tc>
          <w:tcPr>
            <w:tcW w:w="602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18,421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14,466</w:t>
            </w:r>
          </w:p>
        </w:tc>
        <w:tc>
          <w:tcPr>
            <w:tcW w:w="100" w:type="dxa"/>
            <w:vAlign w:val="bottom"/>
          </w:tcPr>
          <w:p>
            <w:pPr>
              <w:spacing w:after="0"/>
              <w:rPr>
                <w:sz w:val="19"/>
                <w:szCs w:val="19"/>
                <w:color w:val="auto"/>
              </w:rPr>
            </w:pPr>
          </w:p>
        </w:tc>
      </w:tr>
      <w:tr>
        <w:trPr>
          <w:trHeight w:val="229"/>
        </w:trPr>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term loan</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6020" w:type="dxa"/>
            <w:vAlign w:val="bottom"/>
          </w:tcPr>
          <w:p>
            <w:pPr>
              <w:ind w:left="240"/>
              <w:spacing w:after="0"/>
              <w:rPr>
                <w:sz w:val="20"/>
                <w:szCs w:val="20"/>
                <w:color w:val="auto"/>
              </w:rPr>
            </w:pPr>
            <w:r>
              <w:rPr>
                <w:rFonts w:ascii="Arial" w:cs="Arial" w:eastAsia="Arial" w:hAnsi="Arial"/>
                <w:sz w:val="18"/>
                <w:szCs w:val="18"/>
                <w:color w:val="auto"/>
              </w:rPr>
              <w:t>Current portion of right-of-use liability</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r>
      <w:tr>
        <w:trPr>
          <w:trHeight w:val="229"/>
        </w:trPr>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Derivative liability</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FF0FC"/>
          </w:tcPr>
          <w:p>
            <w:pPr>
              <w:spacing w:after="0"/>
              <w:rPr>
                <w:sz w:val="19"/>
                <w:szCs w:val="19"/>
                <w:color w:val="auto"/>
              </w:rPr>
            </w:pPr>
          </w:p>
        </w:tc>
      </w:tr>
      <w:tr>
        <w:trPr>
          <w:trHeight w:val="223"/>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liabilities</w:t>
            </w:r>
          </w:p>
        </w:tc>
        <w:tc>
          <w:tcPr>
            <w:tcW w:w="5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30,551</w:t>
            </w: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20,683</w:t>
            </w:r>
          </w:p>
        </w:tc>
        <w:tc>
          <w:tcPr>
            <w:tcW w:w="100" w:type="dxa"/>
            <w:vAlign w:val="bottom"/>
            <w:tcBorders>
              <w:bottom w:val="single" w:sz="8" w:color="CFF0FC"/>
            </w:tcBorders>
          </w:tcPr>
          <w:p>
            <w:pPr>
              <w:spacing w:after="0"/>
              <w:rPr>
                <w:sz w:val="19"/>
                <w:szCs w:val="19"/>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020" w:type="dxa"/>
            <w:vAlign w:val="bottom"/>
          </w:tcPr>
          <w:p>
            <w:pPr>
              <w:ind w:left="240"/>
              <w:spacing w:after="0"/>
              <w:rPr>
                <w:sz w:val="20"/>
                <w:szCs w:val="20"/>
                <w:color w:val="auto"/>
              </w:rPr>
            </w:pPr>
            <w:r>
              <w:rPr>
                <w:rFonts w:ascii="Arial" w:cs="Arial" w:eastAsia="Arial" w:hAnsi="Arial"/>
                <w:sz w:val="18"/>
                <w:szCs w:val="18"/>
                <w:color w:val="auto"/>
              </w:rPr>
              <w:t>Right-of-use liability, less current portion</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r>
      <w:tr>
        <w:trPr>
          <w:trHeight w:val="229"/>
        </w:trPr>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Term loan, less current portion</w:t>
            </w:r>
          </w:p>
        </w:tc>
        <w:tc>
          <w:tcPr>
            <w:tcW w:w="5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16,479</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19,895</w:t>
            </w:r>
          </w:p>
        </w:tc>
        <w:tc>
          <w:tcPr>
            <w:tcW w:w="100" w:type="dxa"/>
            <w:vAlign w:val="bottom"/>
            <w:shd w:val="clear" w:color="auto" w:fill="CFF0FC"/>
          </w:tcPr>
          <w:p>
            <w:pPr>
              <w:spacing w:after="0"/>
              <w:rPr>
                <w:sz w:val="19"/>
                <w:szCs w:val="19"/>
                <w:color w:val="auto"/>
              </w:rPr>
            </w:pPr>
          </w:p>
        </w:tc>
      </w:tr>
      <w:tr>
        <w:trPr>
          <w:trHeight w:val="223"/>
        </w:trPr>
        <w:tc>
          <w:tcPr>
            <w:tcW w:w="6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liabilities</w:t>
            </w:r>
          </w:p>
        </w:tc>
        <w:tc>
          <w:tcPr>
            <w:tcW w:w="5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17,122</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20,606</w:t>
            </w:r>
          </w:p>
        </w:tc>
        <w:tc>
          <w:tcPr>
            <w:tcW w:w="100" w:type="dxa"/>
            <w:vAlign w:val="bottom"/>
            <w:tcBorders>
              <w:bottom w:val="single" w:sz="8" w:color="CFF0FC"/>
            </w:tcBorders>
          </w:tcPr>
          <w:p>
            <w:pPr>
              <w:spacing w:after="0"/>
              <w:rPr>
                <w:sz w:val="19"/>
                <w:szCs w:val="19"/>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5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47,673</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41,289</w:t>
            </w:r>
          </w:p>
        </w:tc>
        <w:tc>
          <w:tcPr>
            <w:tcW w:w="100" w:type="dxa"/>
            <w:vAlign w:val="bottom"/>
            <w:shd w:val="clear" w:color="auto" w:fill="CFF0FC"/>
          </w:tcPr>
          <w:p>
            <w:pPr>
              <w:spacing w:after="0"/>
              <w:rPr>
                <w:sz w:val="19"/>
                <w:szCs w:val="19"/>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Commitment and contingencies (Note 13)</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6020" w:type="dxa"/>
            <w:vAlign w:val="bottom"/>
          </w:tcPr>
          <w:p>
            <w:pPr>
              <w:ind w:left="240"/>
              <w:spacing w:after="0"/>
              <w:rPr>
                <w:sz w:val="20"/>
                <w:szCs w:val="20"/>
                <w:color w:val="auto"/>
              </w:rPr>
            </w:pPr>
            <w:r>
              <w:rPr>
                <w:rFonts w:ascii="Arial" w:cs="Arial" w:eastAsia="Arial" w:hAnsi="Arial"/>
                <w:sz w:val="18"/>
                <w:szCs w:val="18"/>
                <w:color w:val="auto"/>
                <w:w w:val="97"/>
              </w:rPr>
              <w:t>Preferred stock, $0.001 par value, 10,000,000 shares authorized; 0 shares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020" w:type="dxa"/>
            <w:vAlign w:val="bottom"/>
          </w:tcPr>
          <w:p>
            <w:pPr>
              <w:ind w:left="380"/>
              <w:spacing w:after="0"/>
              <w:rPr>
                <w:sz w:val="20"/>
                <w:szCs w:val="20"/>
                <w:color w:val="auto"/>
              </w:rPr>
            </w:pPr>
            <w:r>
              <w:rPr>
                <w:rFonts w:ascii="Arial" w:cs="Arial" w:eastAsia="Arial" w:hAnsi="Arial"/>
                <w:sz w:val="18"/>
                <w:szCs w:val="18"/>
                <w:color w:val="auto"/>
              </w:rPr>
              <w:t>outstanding at March 31, 2022 and December 31, 2021</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$0.0001 par value, 100,000,000 shares authorized;</w:t>
            </w: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55,030,890 and 54,983,105 shares issued and outstanding at</w:t>
            </w: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March 31, 2022 and December 31, 2021, respectively</w:t>
            </w:r>
          </w:p>
        </w:tc>
        <w:tc>
          <w:tcPr>
            <w:tcW w:w="5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20"/>
                <w:szCs w:val="20"/>
                <w:color w:val="auto"/>
              </w:rPr>
            </w:pPr>
          </w:p>
        </w:tc>
      </w:tr>
      <w:tr>
        <w:trPr>
          <w:trHeight w:val="229"/>
        </w:trPr>
        <w:tc>
          <w:tcPr>
            <w:tcW w:w="602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956,054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952,019</w:t>
            </w:r>
          </w:p>
        </w:tc>
        <w:tc>
          <w:tcPr>
            <w:tcW w:w="100" w:type="dxa"/>
            <w:vAlign w:val="bottom"/>
          </w:tcPr>
          <w:p>
            <w:pPr>
              <w:spacing w:after="0"/>
              <w:rPr>
                <w:sz w:val="19"/>
                <w:szCs w:val="19"/>
                <w:color w:val="auto"/>
              </w:rPr>
            </w:pPr>
          </w:p>
        </w:tc>
      </w:tr>
      <w:tr>
        <w:trPr>
          <w:trHeight w:val="229"/>
        </w:trPr>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(640)</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9"/>
                <w:szCs w:val="19"/>
                <w:color w:val="auto"/>
              </w:rPr>
            </w:pPr>
          </w:p>
        </w:tc>
      </w:tr>
      <w:tr>
        <w:trPr>
          <w:trHeight w:val="229"/>
        </w:trPr>
        <w:tc>
          <w:tcPr>
            <w:tcW w:w="602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(580,871)</w:t>
            </w:r>
          </w:p>
        </w:tc>
        <w:tc>
          <w:tcPr>
            <w:tcW w:w="1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(543,702)</w:t>
            </w:r>
          </w:p>
        </w:tc>
      </w:tr>
      <w:tr>
        <w:trPr>
          <w:trHeight w:val="223"/>
        </w:trPr>
        <w:tc>
          <w:tcPr>
            <w:tcW w:w="6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5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374,549</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408,368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0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422,222</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449,657</w:t>
            </w:r>
          </w:p>
        </w:tc>
        <w:tc>
          <w:tcPr>
            <w:tcW w:w="100" w:type="dxa"/>
            <w:vAlign w:val="bottom"/>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553" w:right="89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39"/>
        </w:trPr>
        <w:tc>
          <w:tcPr>
            <w:tcW w:w="65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5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40"/>
              <w:spacing w:after="0"/>
              <w:rPr>
                <w:sz w:val="20"/>
                <w:szCs w:val="20"/>
                <w:color w:val="auto"/>
              </w:rPr>
            </w:pPr>
            <w:r>
              <w:rPr>
                <w:rFonts w:ascii="Arial" w:cs="Arial" w:eastAsia="Arial" w:hAnsi="Arial"/>
                <w:sz w:val="18"/>
                <w:szCs w:val="18"/>
                <w:color w:val="auto"/>
              </w:rPr>
              <w:t>License fees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(36,858)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9"/>
        </w:trPr>
        <w:tc>
          <w:tcPr>
            <w:tcW w:w="6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(37,169)</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40"/>
              <w:spacing w:after="0"/>
              <w:rPr>
                <w:sz w:val="20"/>
                <w:szCs w:val="20"/>
                <w:color w:val="auto"/>
              </w:rPr>
            </w:pPr>
            <w:r>
              <w:rPr>
                <w:rFonts w:ascii="Arial" w:cs="Arial" w:eastAsia="Arial" w:hAnsi="Arial"/>
                <w:sz w:val="18"/>
                <w:szCs w:val="18"/>
                <w:color w:val="auto"/>
              </w:rPr>
              <w:t>Unrealized (loss) gain on marketable securities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(37,854)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FF0FC"/>
            </w:tcBorders>
            <w:vMerge w:val="continue"/>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(37,169)</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(27,723)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65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 stockholders—basic</w:t>
            </w:r>
          </w:p>
        </w:tc>
        <w:tc>
          <w:tcPr>
            <w:tcW w:w="36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and diluted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(0.63)</w:t>
            </w:r>
          </w:p>
        </w:tc>
        <w:tc>
          <w:tcPr>
            <w:tcW w:w="4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number of common shares used to compute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net loss per share attributable to common stockholders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20"/>
              <w:spacing w:after="0"/>
              <w:rPr>
                <w:sz w:val="20"/>
                <w:szCs w:val="20"/>
                <w:color w:val="auto"/>
              </w:rPr>
            </w:pPr>
            <w:r>
              <w:rPr>
                <w:rFonts w:ascii="Arial" w:cs="Arial" w:eastAsia="Arial" w:hAnsi="Arial"/>
                <w:sz w:val="18"/>
                <w:szCs w:val="18"/>
                <w:color w:val="auto"/>
              </w:rPr>
              <w:t>—basic and diluted</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58,978,615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51,499,831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638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6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38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(37,169)</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(27,723)</w:t>
            </w:r>
          </w:p>
        </w:tc>
      </w:tr>
      <w:tr>
        <w:trPr>
          <w:trHeight w:val="229"/>
        </w:trPr>
        <w:tc>
          <w:tcPr>
            <w:tcW w:w="6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38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29"/>
        </w:trPr>
        <w:tc>
          <w:tcPr>
            <w:tcW w:w="6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and accretion of investments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FF0FC"/>
          </w:tcPr>
          <w:p>
            <w:pPr>
              <w:spacing w:after="0"/>
              <w:rPr>
                <w:sz w:val="19"/>
                <w:szCs w:val="19"/>
                <w:color w:val="auto"/>
              </w:rPr>
            </w:pPr>
          </w:p>
        </w:tc>
      </w:tr>
      <w:tr>
        <w:trPr>
          <w:trHeight w:val="229"/>
        </w:trPr>
        <w:tc>
          <w:tcPr>
            <w:tcW w:w="6380" w:type="dxa"/>
            <w:vAlign w:val="bottom"/>
          </w:tcPr>
          <w:p>
            <w:pPr>
              <w:ind w:left="480"/>
              <w:spacing w:after="0"/>
              <w:rPr>
                <w:sz w:val="20"/>
                <w:szCs w:val="20"/>
                <w:color w:val="auto"/>
              </w:rPr>
            </w:pPr>
            <w:r>
              <w:rPr>
                <w:rFonts w:ascii="Arial" w:cs="Arial" w:eastAsia="Arial" w:hAnsi="Arial"/>
                <w:sz w:val="18"/>
                <w:szCs w:val="18"/>
                <w:color w:val="auto"/>
              </w:rPr>
              <w:t>Non-cash operating lease expense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r>
      <w:tr>
        <w:trPr>
          <w:trHeight w:val="229"/>
        </w:trPr>
        <w:tc>
          <w:tcPr>
            <w:tcW w:w="6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Non-cash interest expense</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r>
      <w:tr>
        <w:trPr>
          <w:trHeight w:val="229"/>
        </w:trPr>
        <w:tc>
          <w:tcPr>
            <w:tcW w:w="6380" w:type="dxa"/>
            <w:vAlign w:val="bottom"/>
          </w:tcPr>
          <w:p>
            <w:pPr>
              <w:ind w:left="480"/>
              <w:spacing w:after="0"/>
              <w:rPr>
                <w:sz w:val="20"/>
                <w:szCs w:val="20"/>
                <w:color w:val="auto"/>
              </w:rPr>
            </w:pPr>
            <w:r>
              <w:rPr>
                <w:rFonts w:ascii="Arial" w:cs="Arial" w:eastAsia="Arial" w:hAnsi="Arial"/>
                <w:sz w:val="18"/>
                <w:szCs w:val="18"/>
                <w:color w:val="auto"/>
              </w:rPr>
              <w:t>Changes in fair value of derivate liability</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Stock-based compensation</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100" w:type="dxa"/>
            <w:vAlign w:val="bottom"/>
            <w:shd w:val="clear" w:color="auto" w:fill="CFF0FC"/>
          </w:tcPr>
          <w:p>
            <w:pPr>
              <w:spacing w:after="0"/>
              <w:rPr>
                <w:sz w:val="19"/>
                <w:szCs w:val="19"/>
                <w:color w:val="auto"/>
              </w:rPr>
            </w:pPr>
          </w:p>
        </w:tc>
      </w:tr>
      <w:tr>
        <w:trPr>
          <w:trHeight w:val="229"/>
        </w:trPr>
        <w:tc>
          <w:tcPr>
            <w:tcW w:w="6380" w:type="dxa"/>
            <w:vAlign w:val="bottom"/>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3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assets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(14,691)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(660)</w:t>
            </w:r>
          </w:p>
        </w:tc>
      </w:tr>
      <w:tr>
        <w:trPr>
          <w:trHeight w:val="229"/>
        </w:trPr>
        <w:tc>
          <w:tcPr>
            <w:tcW w:w="638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19"/>
                <w:szCs w:val="19"/>
                <w:color w:val="auto"/>
              </w:rPr>
            </w:pPr>
          </w:p>
        </w:tc>
      </w:tr>
      <w:tr>
        <w:trPr>
          <w:trHeight w:val="229"/>
        </w:trPr>
        <w:tc>
          <w:tcPr>
            <w:tcW w:w="63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(379)</w:t>
            </w:r>
          </w:p>
        </w:tc>
      </w:tr>
      <w:tr>
        <w:trPr>
          <w:trHeight w:val="229"/>
        </w:trPr>
        <w:tc>
          <w:tcPr>
            <w:tcW w:w="63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Accrued expenses and other liabilities</w:t>
            </w:r>
          </w:p>
        </w:tc>
        <w:tc>
          <w:tcPr>
            <w:tcW w:w="7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FF0FC"/>
            </w:tcBorders>
          </w:tcPr>
          <w:p>
            <w:pPr>
              <w:spacing w:after="0"/>
              <w:rPr>
                <w:sz w:val="19"/>
                <w:szCs w:val="19"/>
                <w:color w:val="auto"/>
              </w:rPr>
            </w:pPr>
          </w:p>
        </w:tc>
      </w:tr>
      <w:tr>
        <w:trPr>
          <w:trHeight w:val="223"/>
        </w:trPr>
        <w:tc>
          <w:tcPr>
            <w:tcW w:w="638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cash used in operating activities</w:t>
            </w:r>
          </w:p>
        </w:tc>
        <w:tc>
          <w:tcPr>
            <w:tcW w:w="7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(41,931)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(22,589)</w:t>
            </w:r>
          </w:p>
        </w:tc>
        <w:tc>
          <w:tcPr>
            <w:tcW w:w="100" w:type="dxa"/>
            <w:vAlign w:val="bottom"/>
            <w:shd w:val="clear" w:color="auto" w:fill="CFF0FC"/>
          </w:tcPr>
          <w:p>
            <w:pPr>
              <w:spacing w:after="0"/>
              <w:rPr>
                <w:sz w:val="19"/>
                <w:szCs w:val="19"/>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short-term investments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(42,266)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(66,728)</w:t>
            </w:r>
          </w:p>
        </w:tc>
      </w:tr>
      <w:tr>
        <w:trPr>
          <w:trHeight w:val="229"/>
        </w:trPr>
        <w:tc>
          <w:tcPr>
            <w:tcW w:w="6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Proceeds from sales and maturities of short-term investments</w:t>
            </w:r>
          </w:p>
        </w:tc>
        <w:tc>
          <w:tcPr>
            <w:tcW w:w="7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50,448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w:t>
            </w:r>
          </w:p>
        </w:tc>
        <w:tc>
          <w:tcPr>
            <w:tcW w:w="100" w:type="dxa"/>
            <w:vAlign w:val="bottom"/>
            <w:tcBorders>
              <w:bottom w:val="single" w:sz="8" w:color="CFF0FC"/>
            </w:tcBorders>
          </w:tcPr>
          <w:p>
            <w:pPr>
              <w:spacing w:after="0"/>
              <w:rPr>
                <w:sz w:val="19"/>
                <w:szCs w:val="19"/>
                <w:color w:val="auto"/>
              </w:rPr>
            </w:pPr>
          </w:p>
        </w:tc>
      </w:tr>
      <w:tr>
        <w:trPr>
          <w:trHeight w:val="223"/>
        </w:trPr>
        <w:tc>
          <w:tcPr>
            <w:tcW w:w="6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7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(29,228)</w:t>
            </w:r>
          </w:p>
        </w:tc>
        <w:tc>
          <w:tcPr>
            <w:tcW w:w="100" w:type="dxa"/>
            <w:vAlign w:val="bottom"/>
            <w:shd w:val="clear" w:color="auto" w:fill="CFF0FC"/>
          </w:tcPr>
          <w:p>
            <w:pPr>
              <w:spacing w:after="0"/>
              <w:rPr>
                <w:sz w:val="19"/>
                <w:szCs w:val="19"/>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Employee Stock Purchase Plan</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9"/>
                <w:szCs w:val="19"/>
                <w:color w:val="auto"/>
              </w:rPr>
            </w:pPr>
          </w:p>
        </w:tc>
      </w:tr>
      <w:tr>
        <w:trPr>
          <w:trHeight w:val="229"/>
        </w:trPr>
        <w:tc>
          <w:tcPr>
            <w:tcW w:w="6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Proceeds from stock option exercises</w:t>
            </w:r>
          </w:p>
        </w:tc>
        <w:tc>
          <w:tcPr>
            <w:tcW w:w="7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FF0FC"/>
            </w:tcBorders>
          </w:tcPr>
          <w:p>
            <w:pPr>
              <w:spacing w:after="0"/>
              <w:rPr>
                <w:sz w:val="19"/>
                <w:szCs w:val="19"/>
                <w:color w:val="auto"/>
              </w:rPr>
            </w:pPr>
          </w:p>
        </w:tc>
      </w:tr>
      <w:tr>
        <w:trPr>
          <w:trHeight w:val="223"/>
        </w:trPr>
        <w:tc>
          <w:tcPr>
            <w:tcW w:w="6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cash provided by financing activities</w:t>
            </w:r>
          </w:p>
        </w:tc>
        <w:tc>
          <w:tcPr>
            <w:tcW w:w="7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FF0FC"/>
          </w:tcPr>
          <w:p>
            <w:pPr>
              <w:spacing w:after="0"/>
              <w:rPr>
                <w:sz w:val="19"/>
                <w:szCs w:val="19"/>
                <w:color w:val="auto"/>
              </w:rPr>
            </w:pPr>
          </w:p>
        </w:tc>
      </w:tr>
      <w:tr>
        <w:trPr>
          <w:trHeight w:val="208"/>
        </w:trPr>
        <w:tc>
          <w:tcPr>
            <w:tcW w:w="6380" w:type="dxa"/>
            <w:vAlign w:val="bottom"/>
          </w:tcPr>
          <w:p>
            <w:pPr>
              <w:spacing w:after="0"/>
              <w:rPr>
                <w:sz w:val="20"/>
                <w:szCs w:val="20"/>
                <w:color w:val="auto"/>
              </w:rPr>
            </w:pPr>
            <w:r>
              <w:rPr>
                <w:rFonts w:ascii="Arial" w:cs="Arial" w:eastAsia="Arial" w:hAnsi="Arial"/>
                <w:sz w:val="18"/>
                <w:szCs w:val="18"/>
                <w:color w:val="auto"/>
              </w:rPr>
              <w:t>NET DECREASE IN CASH, CASH EQUIVALENTS AND</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8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(33,192)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(50,857)</w:t>
            </w:r>
          </w:p>
        </w:tc>
      </w:tr>
      <w:tr>
        <w:trPr>
          <w:trHeight w:val="215"/>
        </w:trPr>
        <w:tc>
          <w:tcPr>
            <w:tcW w:w="638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CASH—beginning of</w:t>
            </w: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3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period</w:t>
            </w:r>
          </w:p>
        </w:tc>
        <w:tc>
          <w:tcPr>
            <w:tcW w:w="7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222,080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115,358</w:t>
            </w:r>
          </w:p>
        </w:tc>
        <w:tc>
          <w:tcPr>
            <w:tcW w:w="100" w:type="dxa"/>
            <w:vAlign w:val="bottom"/>
            <w:shd w:val="clear" w:color="auto" w:fill="CFF0FC"/>
          </w:tcPr>
          <w:p>
            <w:pPr>
              <w:spacing w:after="0"/>
              <w:rPr>
                <w:sz w:val="20"/>
                <w:szCs w:val="20"/>
                <w:color w:val="auto"/>
              </w:rPr>
            </w:pPr>
          </w:p>
        </w:tc>
      </w:tr>
      <w:tr>
        <w:trPr>
          <w:trHeight w:val="263"/>
        </w:trPr>
        <w:tc>
          <w:tcPr>
            <w:tcW w:w="6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7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188,888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64,501</w:t>
            </w:r>
          </w:p>
        </w:tc>
        <w:tc>
          <w:tcPr>
            <w:tcW w:w="100" w:type="dxa"/>
            <w:vAlign w:val="bottom"/>
            <w:tcBorders>
              <w:bottom w:val="single" w:sz="8" w:color="CFF0FC"/>
            </w:tcBorders>
          </w:tcPr>
          <w:p>
            <w:pPr>
              <w:spacing w:after="0"/>
              <w:rPr>
                <w:sz w:val="22"/>
                <w:szCs w:val="22"/>
                <w:color w:val="auto"/>
              </w:rPr>
            </w:pPr>
          </w:p>
        </w:tc>
      </w:tr>
      <w:tr>
        <w:trPr>
          <w:trHeight w:val="210"/>
        </w:trPr>
        <w:tc>
          <w:tcPr>
            <w:tcW w:w="6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38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19"/>
                <w:szCs w:val="19"/>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r>
      <w:tr>
        <w:trPr>
          <w:trHeight w:val="229"/>
        </w:trPr>
        <w:tc>
          <w:tcPr>
            <w:tcW w:w="6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bl>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553" w:right="89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560" w:firstLine="510"/>
        <w:spacing w:after="0" w:line="263" w:lineRule="auto"/>
        <w:rPr>
          <w:sz w:val="20"/>
          <w:szCs w:val="20"/>
          <w:color w:val="auto"/>
        </w:rPr>
      </w:pPr>
      <w:r>
        <w:rPr>
          <w:rFonts w:ascii="Arial" w:cs="Arial" w:eastAsia="Arial" w:hAnsi="Arial"/>
          <w:sz w:val="18"/>
          <w:szCs w:val="18"/>
          <w:color w:val="auto"/>
        </w:rPr>
        <w:t>Syndax Pharmaceuticals, Inc. (“we,” “us,” “our” or the “Company”) is a clinical stage biopharmaceutical company developing an innovative pipeline of cancer therapies. We were incorporated in Delaware in 2005. We base our operations in Waltham, Massachusetts and we operate in one segment.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The Company has prepared the accompanying condensed consolidated financial statements in conformity with accounting principles generally accepted in the United States of America (“U.S. GAAP”). Certain information and footnote disclosures normally included in the Company’s annual financial statements have been condensed or omitted.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March 31, 2022, and the results of operations and comprehensive loss and cash flows for the three months ended March 31, 2022 and 2021. The results for the three months ended March 31, 2022 are not necessarily indicative of the results to be expected for the year ending December 31, 2022, any other interim periods, or any future year or period. These interim financial statements should be read in conjunction with the audited financial statements as of and for the year ended December 31, 2021, and the notes thereto, which are included in the Company’s Annual Report on Form 10-K that was filed with the Securities and Exchange Commission (“SEC”) on March 1, 2022.</w:t>
      </w:r>
    </w:p>
    <w:p>
      <w:pPr>
        <w:spacing w:after="0" w:line="63"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Certain prior period amounts reported in our condensed consolidated financial statements and notes thereto have been reclassified to conform to the current year presentation. Specifically, short-term deposits as of December 31, 2021, of $6.9 million were originally reported within the caption Prepaid expense and other current assets and have been separately presented in the comparative presentation. Such reclassifications did not affect total assets, total revenues, loss from operations, or net loss.</w:t>
      </w:r>
    </w:p>
    <w:p>
      <w:pPr>
        <w:spacing w:after="0" w:line="185"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In 2011, the Company established a wholly owned subsidiary in the United Kingdom, in 2014 the Company established a wholly owned US subsidiary, and in 2021, the Company established a wholly owned subsidiary in the Netherlands. There have been no material activities for these entities to date. All intercompany balances and transactions have been eliminated in consolidation.</w:t>
      </w:r>
    </w:p>
    <w:p>
      <w:pPr>
        <w:spacing w:after="0" w:line="286" w:lineRule="exact"/>
        <w:rPr>
          <w:sz w:val="20"/>
          <w:szCs w:val="20"/>
          <w:color w:val="auto"/>
        </w:rPr>
      </w:pPr>
    </w:p>
    <w:p>
      <w:pPr>
        <w:ind w:left="520" w:right="7660" w:hanging="512"/>
        <w:spacing w:after="0" w:line="399" w:lineRule="auto"/>
        <w:tabs>
          <w:tab w:leader="none" w:pos="19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i w:val="1"/>
          <w:iCs w:val="1"/>
          <w:color w:val="auto"/>
        </w:rPr>
        <w:t>Significant Accounting Policies</w:t>
      </w:r>
    </w:p>
    <w:p>
      <w:pPr>
        <w:spacing w:after="0" w:line="1"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The Company’s significant accounting policies, which are disclosed in the audited consolidated financial statements for the year ended December 31, 2021, and the notes thereto are included in the Company’s Annual Report on Form 10-K that was filed with the SEC on March 1, 2022. Since the date of filing, there have been no material changes to the Company’s significant accounting policies except as noted below.</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460" w:firstLine="510"/>
        <w:spacing w:after="0" w:line="256"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w:t>
      </w:r>
    </w:p>
    <w:p>
      <w:pPr>
        <w:spacing w:after="0" w:line="83"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Estimates and assumptions about future events and their effects cannot be determined with certainty and therefore require the exercise of judgement.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Significant Risks and Uncertainties</w:t>
      </w:r>
    </w:p>
    <w:p>
      <w:pPr>
        <w:spacing w:after="0" w:line="117" w:lineRule="exact"/>
        <w:rPr>
          <w:sz w:val="20"/>
          <w:szCs w:val="20"/>
          <w:color w:val="auto"/>
        </w:rPr>
      </w:pPr>
    </w:p>
    <w:p>
      <w:pPr>
        <w:jc w:val="both"/>
        <w:ind w:right="780" w:firstLine="510"/>
        <w:spacing w:after="0" w:line="263" w:lineRule="auto"/>
        <w:rPr>
          <w:sz w:val="20"/>
          <w:szCs w:val="20"/>
          <w:color w:val="auto"/>
        </w:rPr>
      </w:pPr>
      <w:r>
        <w:rPr>
          <w:rFonts w:ascii="Arial" w:cs="Arial" w:eastAsia="Arial" w:hAnsi="Arial"/>
          <w:sz w:val="18"/>
          <w:szCs w:val="18"/>
          <w:color w:val="auto"/>
        </w:rPr>
        <w:t>We have implemented business continuity plans designed to address and mitigate the impact of the ongoing COVID-19 pandemic on our business. We anticipate that the COVID-19 pandemic could have an impact on the clinical development timelines for one or more of our clinical programs. The extent to which the COVID-19 pandemic impacts our business, our clinical</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ind w:right="60"/>
        <w:spacing w:after="0" w:line="273" w:lineRule="auto"/>
        <w:rPr>
          <w:sz w:val="20"/>
          <w:szCs w:val="20"/>
          <w:color w:val="auto"/>
        </w:rPr>
      </w:pPr>
      <w:r>
        <w:rPr>
          <w:rFonts w:ascii="Arial" w:cs="Arial" w:eastAsia="Arial" w:hAnsi="Arial"/>
          <w:sz w:val="17"/>
          <w:szCs w:val="17"/>
          <w:color w:val="auto"/>
        </w:rPr>
        <w:t>development, manufacturing of clinical and commercial drug substance and drug product, and regulatory efforts, our corporate development objectives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in the U.S., Europe and other countries, and the effectiveness of actions taken globally to contain and treat the disease. The global economic slowdown, the overall disruption of global healthcare systems and the other risks and uncertainties associated with the pandemic could have a material adverse effect on our business, financial condition, results of operations and growth prospects.</w:t>
      </w:r>
    </w:p>
    <w:p>
      <w:pPr>
        <w:spacing w:after="0" w:line="68"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addition,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delays or problems in the supply of our products, loss of single source suppliers or failure to comply with manufacturing regulations; identifying, acquiring or in-licensing additional products or product candidates; pharmaceutical product development and the inherent uncertainty of clinical success; and the challenges of protecting and enhancing our intellectual property rights; complying with applicable regulatory requirements. In addition, to the extent the ongoing COVID-19 pandemic adversely affects our business and results of operations, it may also have the effect of heightening many of the other risks and uncertainties discussed above.</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accounting standard setting bodies that we adopt as of the specified effective date. Unless otherwise discussed below, we do not believe that the adoption of recently issued standards have or may have a material impact on our consolidated statements or disclosures.</w:t>
      </w:r>
    </w:p>
    <w:p>
      <w:pPr>
        <w:spacing w:after="0" w:line="286" w:lineRule="exact"/>
        <w:rPr>
          <w:sz w:val="20"/>
          <w:szCs w:val="20"/>
          <w:color w:val="auto"/>
        </w:rPr>
      </w:pPr>
    </w:p>
    <w:p>
      <w:pPr>
        <w:ind w:left="520" w:right="7340" w:hanging="512"/>
        <w:spacing w:after="0" w:line="377" w:lineRule="auto"/>
        <w:tabs>
          <w:tab w:leader="none" w:pos="19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Collaborative Research and License Agreements Incyte Collaboration</w:t>
      </w:r>
    </w:p>
    <w:p>
      <w:pPr>
        <w:spacing w:after="0" w:line="1" w:lineRule="exact"/>
        <w:rPr>
          <w:sz w:val="20"/>
          <w:szCs w:val="20"/>
          <w:color w:val="auto"/>
        </w:rPr>
      </w:pPr>
    </w:p>
    <w:p>
      <w:pPr>
        <w:ind w:right="80" w:firstLine="510"/>
        <w:spacing w:after="0" w:line="252" w:lineRule="auto"/>
        <w:rPr>
          <w:sz w:val="20"/>
          <w:szCs w:val="20"/>
          <w:color w:val="auto"/>
        </w:rPr>
      </w:pPr>
      <w:r>
        <w:rPr>
          <w:rFonts w:ascii="Arial" w:cs="Arial" w:eastAsia="Arial" w:hAnsi="Arial"/>
          <w:sz w:val="18"/>
          <w:szCs w:val="18"/>
          <w:color w:val="auto"/>
        </w:rPr>
        <w:t>In September 2021, the Company entered into the Incyte License and Collaboration Agreement with Incyte covering the worldwide development and commercialization of SNDX-6352 (axatilimab) (the “Incyte License”) and the Company entered into a share purchase agreement with Incyte (the “Incyte Share Purchase Agreement”) and collective with the Incyte License, the “Incyte Agreements”). These agreements are collectively referred to as the Incyte Agreements. Under the terms of the Incyte Agreements, Incyte will receive exclusive commercialization rights outside of the United States, subject to tiered royalty payment obligations. In the United States, Incyte and the Company will co-commercialize axatilimab, with the Company having the right to co-promote axatilimab, subject to the Company’s exercise of its co-promotion option. Incyte will be responsible for leading all aspects of commercialization of axatilimab in the United States. The Company and Incyte have agreed to co-develop axatilimab and to share development costs associated with the global and U.S. – specific clinical trials, with Incyte responsible for 55% of such costs and the Company responsible for 45% of such costs. Incyte is responsible for 100% of future development costs for trials that are specific to ex-U.S. countries. Each company will be responsible for funding any of its own independent development of activities. All development costs related to the collaboration will be subject to a joint development plan.</w:t>
      </w:r>
    </w:p>
    <w:p>
      <w:pPr>
        <w:spacing w:after="0" w:line="90"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The Company is eligible to receive up to $220 million in future contingent development and regulatory milestones and up to $230 million in commercialization milestones. In addition, the Company is eligible to receive tiered royalties on potential net sales of the licensed product comprising axatilimab ranging from the low to mid double-digit percentages.</w:t>
      </w:r>
    </w:p>
    <w:p>
      <w:pPr>
        <w:spacing w:after="0" w:line="75"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In December 2021, the Company received the upfront cash payment of $117 million and the Company issued 1,421,523 shares of common stock for an aggregate purchase price of $35 million, or $24.62 per share. Additionally, in December 2021, Incyte and the Company entered into a Letter Agreement which permitted Incyte to terminate the Incyte Agreements, if prior to March 23, 2022 either Incyte or the Company received a notification from any government authority, challenging the transactions completed by the Incyte Agreements, hereafter referred to as the Termination Right. If such challenged occurred and Incyte exercised the Termination Right, the Incyte Agreement would be rescinded and the upfront payment of $117 million would be returned to Incyte and a cash settlement on the sale of the Company’s common stock would be made by to make the parties whole.</w:t>
      </w:r>
    </w:p>
    <w:p>
      <w:pPr>
        <w:spacing w:after="0" w:line="5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connection with the closing of this transaction in December 2021, the Company determined that the cash settlement feature of the Letter Agreement represented an embedded derivative requiring bifurcation and separate accounting recognition at fair value. Accordingly, the Company recorded the common stock issued to Incyte at fair value of $24.8 million, $0.6 million as a derivative liability and $126.6 million as license revenue as of December 31, 2021.</w:t>
      </w:r>
    </w:p>
    <w:p>
      <w:pPr>
        <w:spacing w:after="0" w:line="7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On March 23, 2022, the Letter Agreement entered in December 2021, expired. Prior to the expiration date, the Company did not receive notification from any government authority, challenging the transaction and Incyte did not exercise the Termination Right. Accordingly, the Company released the remaining $187,000 liability related to the Letter Agreement as of March 31, 2022.</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jc w:val="both"/>
        <w:ind w:right="260" w:firstLine="510"/>
        <w:spacing w:after="0" w:line="263" w:lineRule="auto"/>
        <w:rPr>
          <w:sz w:val="20"/>
          <w:szCs w:val="20"/>
          <w:color w:val="auto"/>
        </w:rPr>
      </w:pPr>
      <w:r>
        <w:rPr>
          <w:rFonts w:ascii="Arial" w:cs="Arial" w:eastAsia="Arial" w:hAnsi="Arial"/>
          <w:sz w:val="18"/>
          <w:szCs w:val="18"/>
          <w:color w:val="auto"/>
        </w:rPr>
        <w:t>As of March 31, 2022, the Company has recorded $6.3 million as a reimbursable expense due from Incyte related to development costs under the Agreement. Additionally, the Company has recorded approximately $96,000 as a collaboration expense due to Incyte for development costs incurred by Incyte.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Share Attributable to Common Stockholders</w:t>
      </w:r>
    </w:p>
    <w:p>
      <w:pPr>
        <w:spacing w:after="0" w:line="121"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weighted-average number of common shares outstanding for the period. Because the Company has reported a net loss for all periods presented, diluted net loss per common share is the same as basic net loss per common share for those periods. The following table summarizes the computation of basic and diluted net loss per share attributable to common stockholders of the Company:</w:t>
      </w:r>
    </w:p>
    <w:p>
      <w:pPr>
        <w:spacing w:after="0" w:line="31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56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4"/>
              </w:rPr>
              <w:t>Three Months Ended March 31,</w:t>
            </w:r>
          </w:p>
        </w:tc>
        <w:tc>
          <w:tcPr>
            <w:tcW w:w="0" w:type="dxa"/>
            <w:vAlign w:val="bottom"/>
          </w:tcPr>
          <w:p>
            <w:pPr>
              <w:spacing w:after="0"/>
              <w:rPr>
                <w:sz w:val="1"/>
                <w:szCs w:val="1"/>
                <w:color w:val="auto"/>
              </w:rPr>
            </w:pPr>
          </w:p>
        </w:tc>
      </w:tr>
      <w:tr>
        <w:trPr>
          <w:trHeight w:val="155"/>
        </w:trPr>
        <w:tc>
          <w:tcPr>
            <w:tcW w:w="6120" w:type="dxa"/>
            <w:vAlign w:val="bottom"/>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679"/>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40" w:type="dxa"/>
            <w:vAlign w:val="bottom"/>
            <w:gridSpan w:val="5"/>
          </w:tcPr>
          <w:p>
            <w:pPr>
              <w:jc w:val="center"/>
              <w:ind w:right="334"/>
              <w:spacing w:after="0" w:line="133" w:lineRule="exact"/>
              <w:rPr>
                <w:sz w:val="20"/>
                <w:szCs w:val="20"/>
                <w:color w:val="auto"/>
              </w:rPr>
            </w:pPr>
            <w:r>
              <w:rPr>
                <w:rFonts w:ascii="Arial" w:cs="Arial" w:eastAsia="Arial" w:hAnsi="Arial"/>
                <w:sz w:val="14"/>
                <w:szCs w:val="14"/>
                <w:b w:val="1"/>
                <w:bCs w:val="1"/>
                <w:color w:val="auto"/>
                <w:w w:val="90"/>
              </w:rPr>
              <w:t>(In thousands, except share and per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20" w:type="dxa"/>
            <w:vAlign w:val="bottom"/>
            <w:gridSpan w:val="4"/>
          </w:tcPr>
          <w:p>
            <w:pPr>
              <w:jc w:val="center"/>
              <w:ind w:left="799"/>
              <w:spacing w:after="0"/>
              <w:rPr>
                <w:sz w:val="20"/>
                <w:szCs w:val="20"/>
                <w:color w:val="auto"/>
              </w:rPr>
            </w:pPr>
            <w:r>
              <w:rPr>
                <w:rFonts w:ascii="Arial" w:cs="Arial" w:eastAsia="Arial" w:hAnsi="Arial"/>
                <w:sz w:val="14"/>
                <w:szCs w:val="14"/>
                <w:b w:val="1"/>
                <w:bCs w:val="1"/>
                <w:color w:val="auto"/>
                <w:w w:val="90"/>
              </w:rPr>
              <w:t>share data)</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Numerator—basic and diluted:</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(37,169)</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(27,723)</w:t>
            </w:r>
          </w:p>
        </w:tc>
        <w:tc>
          <w:tcPr>
            <w:tcW w:w="0" w:type="dxa"/>
            <w:vAlign w:val="bottom"/>
          </w:tcPr>
          <w:p>
            <w:pPr>
              <w:spacing w:after="0"/>
              <w:rPr>
                <w:sz w:val="1"/>
                <w:szCs w:val="1"/>
                <w:color w:val="auto"/>
              </w:rPr>
            </w:pPr>
          </w:p>
        </w:tc>
      </w:tr>
      <w:tr>
        <w:trPr>
          <w:trHeight w:val="208"/>
        </w:trPr>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w:t>
            </w:r>
          </w:p>
        </w:tc>
        <w:tc>
          <w:tcPr>
            <w:tcW w:w="4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stockholders—basic and diluted</w:t>
            </w: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(37,169)</w:t>
            </w:r>
          </w:p>
        </w:tc>
        <w:tc>
          <w:tcPr>
            <w:tcW w:w="5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(27,723)</w:t>
            </w:r>
          </w:p>
        </w:tc>
        <w:tc>
          <w:tcPr>
            <w:tcW w:w="0" w:type="dxa"/>
            <w:vAlign w:val="bottom"/>
          </w:tcPr>
          <w:p>
            <w:pPr>
              <w:spacing w:after="0"/>
              <w:rPr>
                <w:sz w:val="1"/>
                <w:szCs w:val="1"/>
                <w:color w:val="auto"/>
              </w:rPr>
            </w:pPr>
          </w:p>
        </w:tc>
      </w:tr>
      <w:tr>
        <w:trPr>
          <w:trHeight w:val="20"/>
        </w:trPr>
        <w:tc>
          <w:tcPr>
            <w:tcW w:w="6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Net loss per share attributable to common</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120" w:type="dxa"/>
            <w:vAlign w:val="bottom"/>
          </w:tcPr>
          <w:p>
            <w:pPr>
              <w:ind w:left="120"/>
              <w:spacing w:after="0"/>
              <w:rPr>
                <w:sz w:val="20"/>
                <w:szCs w:val="20"/>
                <w:color w:val="auto"/>
              </w:rPr>
            </w:pPr>
            <w:r>
              <w:rPr>
                <w:rFonts w:ascii="Arial" w:cs="Arial" w:eastAsia="Arial" w:hAnsi="Arial"/>
                <w:sz w:val="18"/>
                <w:szCs w:val="18"/>
                <w:color w:val="auto"/>
              </w:rPr>
              <w:t>stockholders—basic and diluted</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(0.63)</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0"/>
        </w:trPr>
        <w:tc>
          <w:tcPr>
            <w:tcW w:w="6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Denominator—basic and diluted:</w:t>
            </w:r>
          </w:p>
        </w:tc>
        <w:tc>
          <w:tcPr>
            <w:tcW w:w="4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20" w:type="dxa"/>
            <w:vAlign w:val="bottom"/>
          </w:tcPr>
          <w:p>
            <w:pPr>
              <w:spacing w:after="0"/>
              <w:rPr>
                <w:sz w:val="20"/>
                <w:szCs w:val="20"/>
                <w:color w:val="auto"/>
              </w:rPr>
            </w:pPr>
            <w:r>
              <w:rPr>
                <w:rFonts w:ascii="Arial" w:cs="Arial" w:eastAsia="Arial" w:hAnsi="Arial"/>
                <w:sz w:val="18"/>
                <w:szCs w:val="18"/>
                <w:color w:val="auto"/>
              </w:rPr>
              <w:t>Weighted-average number of common shares</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used to compute net loss per share attributable</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120"/>
              <w:spacing w:after="0"/>
              <w:rPr>
                <w:sz w:val="20"/>
                <w:szCs w:val="20"/>
                <w:color w:val="auto"/>
              </w:rPr>
            </w:pPr>
            <w:r>
              <w:rPr>
                <w:rFonts w:ascii="Arial" w:cs="Arial" w:eastAsia="Arial" w:hAnsi="Arial"/>
                <w:sz w:val="18"/>
                <w:szCs w:val="18"/>
                <w:color w:val="auto"/>
              </w:rPr>
              <w:t>to common stockholders—basic and diluted</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58,978,615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51,499,831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80" w:firstLine="510"/>
        <w:spacing w:after="0" w:line="258"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2380" w:type="dxa"/>
            <w:vAlign w:val="bottom"/>
            <w:tcBorders>
              <w:bottom w:val="single" w:sz="8" w:color="auto"/>
            </w:tcBorders>
            <w:gridSpan w:val="3"/>
          </w:tcPr>
          <w:p>
            <w:pPr>
              <w:ind w:left="1500"/>
              <w:spacing w:after="0"/>
              <w:rPr>
                <w:sz w:val="20"/>
                <w:szCs w:val="20"/>
                <w:color w:val="auto"/>
              </w:rPr>
            </w:pPr>
            <w:r>
              <w:rPr>
                <w:rFonts w:ascii="Arial" w:cs="Arial" w:eastAsia="Arial" w:hAnsi="Arial"/>
                <w:sz w:val="14"/>
                <w:szCs w:val="14"/>
                <w:b w:val="1"/>
                <w:bCs w:val="1"/>
                <w:color w:val="auto"/>
              </w:rPr>
              <w:t>March 31,</w:t>
            </w:r>
          </w:p>
        </w:tc>
        <w:tc>
          <w:tcPr>
            <w:tcW w:w="1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340" w:type="dxa"/>
            <w:vAlign w:val="bottom"/>
            <w:tcBorders>
              <w:bottom w:val="single" w:sz="8" w:color="CFF0FC"/>
            </w:tcBorders>
          </w:tcPr>
          <w:p>
            <w:pPr>
              <w:spacing w:after="0"/>
              <w:rPr>
                <w:sz w:val="13"/>
                <w:szCs w:val="13"/>
                <w:color w:val="auto"/>
              </w:rPr>
            </w:pPr>
          </w:p>
        </w:tc>
        <w:tc>
          <w:tcPr>
            <w:tcW w:w="1700" w:type="dxa"/>
            <w:vAlign w:val="bottom"/>
            <w:tcBorders>
              <w:bottom w:val="single" w:sz="8" w:color="auto"/>
            </w:tcBorders>
          </w:tcPr>
          <w:p>
            <w:pPr>
              <w:jc w:val="right"/>
              <w:ind w:right="637"/>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8,419,541</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7,404,823</w:t>
            </w:r>
          </w:p>
        </w:tc>
        <w:tc>
          <w:tcPr>
            <w:tcW w:w="120" w:type="dxa"/>
            <w:vAlign w:val="bottom"/>
            <w:shd w:val="clear" w:color="auto" w:fill="CFF0FC"/>
          </w:tcPr>
          <w:p>
            <w:pPr>
              <w:spacing w:after="0"/>
              <w:rPr>
                <w:sz w:val="19"/>
                <w:szCs w:val="19"/>
                <w:color w:val="auto"/>
              </w:rPr>
            </w:pP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700" w:type="dxa"/>
            <w:vAlign w:val="bottom"/>
          </w:tcPr>
          <w:p>
            <w:pPr>
              <w:jc w:val="right"/>
              <w:spacing w:after="0"/>
              <w:rPr>
                <w:sz w:val="20"/>
                <w:szCs w:val="20"/>
                <w:color w:val="auto"/>
              </w:rPr>
            </w:pPr>
            <w:r>
              <w:rPr>
                <w:rFonts w:ascii="Arial" w:cs="Arial" w:eastAsia="Arial" w:hAnsi="Arial"/>
                <w:sz w:val="18"/>
                <w:szCs w:val="18"/>
                <w:color w:val="auto"/>
              </w:rPr>
              <w:t>10,805</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8,214</w:t>
            </w:r>
          </w:p>
        </w:tc>
        <w:tc>
          <w:tcPr>
            <w:tcW w:w="120" w:type="dxa"/>
            <w:vAlign w:val="bottom"/>
          </w:tcPr>
          <w:p>
            <w:pPr>
              <w:spacing w:after="0"/>
              <w:rPr>
                <w:sz w:val="19"/>
                <w:szCs w:val="19"/>
                <w:color w:val="auto"/>
              </w:rPr>
            </w:pPr>
          </w:p>
        </w:tc>
      </w:tr>
      <w:tr>
        <w:trPr>
          <w:trHeight w:val="229"/>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Non-vested restricted stock units (RSUs)</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256,583</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124,083</w:t>
            </w:r>
          </w:p>
        </w:tc>
        <w:tc>
          <w:tcPr>
            <w:tcW w:w="120" w:type="dxa"/>
            <w:vAlign w:val="bottom"/>
            <w:shd w:val="clear" w:color="auto" w:fill="CFF0FC"/>
          </w:tcPr>
          <w:p>
            <w:pPr>
              <w:spacing w:after="0"/>
              <w:rPr>
                <w:sz w:val="19"/>
                <w:szCs w:val="19"/>
                <w:color w:val="auto"/>
              </w:rPr>
            </w:pPr>
          </w:p>
        </w:tc>
      </w:tr>
    </w:tbl>
    <w:p>
      <w:pPr>
        <w:spacing w:after="0" w:line="336"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As discussed in Note 12, in January 2020, the Company sold 3,036,719 shares of common stock at $8.00 per share and pre-funded warrants to purchase 1,338,287 shares of common stock. In February 2021, 250,000 pre-funded warrants were exchanged for shares of common stock in a cash exercise and in November 2021, 475,784 pre-funded warrants were exchanged for shares of common stock in a cashless exercise. As of March 31, 2022, 3,975,024 pre-funded warrants were considered issued and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Significant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Vitae Pharmaceuticals, Inc.</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October 2017, the Company entered into a license agreement (the “Allergan License Agreement”) with Vitae Pharmaceuticals, Inc., a subsidiary of Allergan (“Allergan”), under which Allergan granted the Company an exclusive, sublicensable, worldwide license to a portfolio of preclinical, orally available, small molecule inhibitors of the interaction of menin with Mixed Lineage Leukemia (“MLL”) protein (the “Menin Assets”). The Company made a nonrefundable upfront payment of $5.0 million to Allergan in the fourth quarter of 2017. Additionally, subject to the achievement of certain milestone events, the Company may be required to pay Allergan up to $99.0 million in one-time development and regulatory milestone payments over the term of the Allergan License Agreement. In the event that the Company or any of its affiliates or sublicensees commercializes the Menin Assets, the Company will also be obligated to pay Allergan low single to low double-digit royalties on sales, subject to reduction in certain circumstances, as well as up to an aggregate of $70.0 million in potential one-time, sales-based milestone payments based on achievement of certain annual sales thresholds. Under certain circumstances, the Company may be required to share a percentage of non-royalty income from sublicensees, subject to certain deductions, with Allergan. The Company is solely responsible for the development and commercialization of the Menin Assets. Each party may terminate the Allergan License Agreement for the other party’s uncured material breach or insolvency; and the Company may terminate the Allergan License Agreement at will at any time upon advance written notice to Allergan. Allergan may terminate the Allergan License Agreement if the Company or any of its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ind w:right="120"/>
        <w:spacing w:after="0" w:line="279" w:lineRule="auto"/>
        <w:rPr>
          <w:sz w:val="20"/>
          <w:szCs w:val="20"/>
          <w:color w:val="auto"/>
        </w:rPr>
      </w:pPr>
      <w:r>
        <w:rPr>
          <w:rFonts w:ascii="Arial" w:cs="Arial" w:eastAsia="Arial" w:hAnsi="Arial"/>
          <w:sz w:val="17"/>
          <w:szCs w:val="17"/>
          <w:color w:val="auto"/>
        </w:rPr>
        <w:t>affiliates or sublicensees institutes a legal challenge to the validity, enforceability, or patentability of the licensed patent rights. Unless terminated earlier in accordance with its terms, the Allergan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62" w:lineRule="exact"/>
        <w:rPr>
          <w:sz w:val="20"/>
          <w:szCs w:val="20"/>
          <w:color w:val="auto"/>
        </w:rPr>
      </w:pPr>
    </w:p>
    <w:p>
      <w:pPr>
        <w:ind w:right="140" w:firstLine="510"/>
        <w:spacing w:after="0" w:line="256" w:lineRule="auto"/>
        <w:rPr>
          <w:sz w:val="20"/>
          <w:szCs w:val="20"/>
          <w:color w:val="auto"/>
        </w:rPr>
      </w:pPr>
      <w:r>
        <w:rPr>
          <w:rFonts w:ascii="Arial" w:cs="Arial" w:eastAsia="Arial" w:hAnsi="Arial"/>
          <w:sz w:val="18"/>
          <w:szCs w:val="18"/>
          <w:color w:val="auto"/>
        </w:rPr>
        <w:t>As of the date of the Allergan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In June 2019, the Company achieved certain development and regulatory milestones and recorded $4.0 million as research and development expense. In February 2022, the Company achieved certain development and regulatory milestones and recorded $2.0 million as research and development expense, which was paid in March 2022.</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UCB Biopharma Sprl</w:t>
      </w:r>
    </w:p>
    <w:p>
      <w:pPr>
        <w:spacing w:after="0" w:line="121" w:lineRule="exact"/>
        <w:rPr>
          <w:sz w:val="20"/>
          <w:szCs w:val="20"/>
          <w:color w:val="auto"/>
        </w:rPr>
      </w:pPr>
    </w:p>
    <w:p>
      <w:pPr>
        <w:jc w:val="both"/>
        <w:ind w:right="280" w:firstLine="510"/>
        <w:spacing w:after="0" w:line="287" w:lineRule="auto"/>
        <w:rPr>
          <w:sz w:val="20"/>
          <w:szCs w:val="20"/>
          <w:color w:val="auto"/>
        </w:rPr>
      </w:pPr>
      <w:r>
        <w:rPr>
          <w:rFonts w:ascii="Arial" w:cs="Arial" w:eastAsia="Arial" w:hAnsi="Arial"/>
          <w:sz w:val="16"/>
          <w:szCs w:val="16"/>
          <w:color w:val="auto"/>
        </w:rPr>
        <w:t>In 2016, the Company entered into a license agreement (the “UCB License Agreement”) with UCB Biopharma Sprl (“UCB”), under which UCB granted to the Company a worldwide, sublicenseable, exclusive license to UCB6352, which the Company refers to as axatilimab, an investigational new drug (“IND”) ready anti-CSF-1R monoclonal antibody. The Company made a nonrefundable upfront payment of $5.0 million to UCB in</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axatilimab, the Company will also be obligated to pay UCB low double-digit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Under this license, the Company is solely responsible for the development and commercialization of axatilimab.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spacing w:after="0" w:line="73" w:lineRule="exact"/>
        <w:rPr>
          <w:sz w:val="20"/>
          <w:szCs w:val="20"/>
          <w:color w:val="auto"/>
        </w:rPr>
      </w:pPr>
    </w:p>
    <w:p>
      <w:pPr>
        <w:ind w:right="60" w:firstLine="510"/>
        <w:spacing w:after="0" w:line="256" w:lineRule="auto"/>
        <w:rPr>
          <w:sz w:val="20"/>
          <w:szCs w:val="20"/>
          <w:color w:val="auto"/>
        </w:rPr>
      </w:pPr>
      <w:r>
        <w:rPr>
          <w:rFonts w:ascii="Arial" w:cs="Arial" w:eastAsia="Arial" w:hAnsi="Arial"/>
          <w:sz w:val="18"/>
          <w:szCs w:val="18"/>
          <w:color w:val="auto"/>
        </w:rPr>
        <w:t>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2016, the upfront payment of $5.0 million was recorded as research and development expense in the consolidated statements of operations. Since the start of the license agreement, the Company achieved certain development and regulatory milestones and has recorded $6.0 million as research and development expense.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Eastern Cooperative Oncology Group</w:t>
      </w:r>
    </w:p>
    <w:p>
      <w:pPr>
        <w:spacing w:after="0" w:line="12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March 2014, the Company entered into the ECOG Agreement with Eastern 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 Under the terms of the ECOG Agreement, ECOG-ACRIN will perform this clinical trial in accordance with the clinical trial protocol and a mutually agreed scope of work. The Company is providing a fixed level of financial support for the clinical trial through an upfront payment of $0.7 million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From the second quarter of 2016 through the fourth quarter of 2018, the Company has entered into a number of amendments to the agreement to provide for additional study activities resulting in an increase of the contractual obligation of $5.3 million. The Company has agreed to provide this additional financial support to fund the additional activities required to ensure that the E2112 clinical trial will satisfy FDA registration requirements.</w:t>
      </w:r>
    </w:p>
    <w:p>
      <w:pPr>
        <w:spacing w:after="0" w:line="7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In May 2020, the Company announced that the E2112 trial did not achieve the primary endpoint of demonstrating a statistically significant overall survival benefit over hormone therapy alone. As a result, the Company has decided to deprioritize the entinostat program to focus resources on advancing the remainder of its pipeline. As of March 31, 2022, the Company’s aggregate payment obligations under this agreement are approximately $24.7 million; and its remaining payment obligations are approximately $3.2 million, which are estimated to be paid over a period of approximately one year. As of March 31, 2022, the Company has accrued $3.0 million related to the ECOG Agreement.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ind w:firstLine="510"/>
        <w:spacing w:after="0" w:line="269" w:lineRule="auto"/>
        <w:rPr>
          <w:sz w:val="20"/>
          <w:szCs w:val="20"/>
          <w:color w:val="auto"/>
        </w:rPr>
      </w:pPr>
      <w:r>
        <w:rPr>
          <w:rFonts w:ascii="Arial" w:cs="Arial" w:eastAsia="Arial" w:hAnsi="Arial"/>
          <w:sz w:val="17"/>
          <w:szCs w:val="17"/>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U.S. Food and Drug Administration (“FDA”) or National Cancer Institute (“NCI”) withdraws the authorization to perform the clinical trial in the United States. The parties may jointly terminate the ECOG Agreement if the parties agree that safety-related issues support termination of the clinical trial. 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Bayer Pharma AG (formerly known as Bayer Schering Pharma AG)</w:t>
      </w:r>
    </w:p>
    <w:p>
      <w:pPr>
        <w:spacing w:after="0" w:line="121"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In March 2007, the Company entered into a license agreement (the “Bayer 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right="20" w:firstLine="510"/>
        <w:spacing w:after="0" w:line="256" w:lineRule="auto"/>
        <w:rPr>
          <w:sz w:val="20"/>
          <w:szCs w:val="20"/>
          <w:color w:val="auto"/>
        </w:rPr>
      </w:pPr>
      <w:r>
        <w:rPr>
          <w:rFonts w:ascii="Arial" w:cs="Arial" w:eastAsia="Arial" w:hAnsi="Arial"/>
          <w:sz w:val="18"/>
          <w:szCs w:val="18"/>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83"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accounting standard describes a fair value hierarchy based on three levels of inputs, of which the first two are considered observable and the last unobservable, that may be used to measure fair value, which are the following:</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Quoted prices (unadjusted) in active markets that are accessible at the market date for identical unrestricted assets or liabilities.</w:t>
      </w:r>
    </w:p>
    <w:p>
      <w:pPr>
        <w:spacing w:after="0" w:line="128" w:lineRule="exact"/>
        <w:rPr>
          <w:sz w:val="20"/>
          <w:szCs w:val="20"/>
          <w:color w:val="auto"/>
        </w:rPr>
      </w:pPr>
    </w:p>
    <w:p>
      <w:pPr>
        <w:ind w:left="1200" w:right="300" w:hanging="687"/>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for which all significant inputs are observable or can be corroborated by observable market data for substantially the full term of the assets or liabilities.</w:t>
      </w:r>
    </w:p>
    <w:p>
      <w:pPr>
        <w:spacing w:after="0" w:line="75" w:lineRule="exact"/>
        <w:rPr>
          <w:sz w:val="20"/>
          <w:szCs w:val="20"/>
          <w:color w:val="auto"/>
        </w:rPr>
      </w:pPr>
    </w:p>
    <w:p>
      <w:pPr>
        <w:jc w:val="center"/>
        <w:ind w:right="-159"/>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ind w:right="40" w:firstLine="510"/>
        <w:spacing w:after="0" w:line="307" w:lineRule="auto"/>
        <w:rPr>
          <w:sz w:val="20"/>
          <w:szCs w:val="20"/>
          <w:color w:val="auto"/>
        </w:rPr>
      </w:pPr>
      <w:r>
        <w:rPr>
          <w:rFonts w:ascii="Arial" w:cs="Arial" w:eastAsia="Arial" w:hAnsi="Arial"/>
          <w:sz w:val="17"/>
          <w:szCs w:val="17"/>
          <w:color w:val="auto"/>
        </w:rPr>
        <w:t>The table below presents information about the Company’s assets and liabilities that are regularly measured and carried at fair value and indicate the level within the fair value hierarchy of valuation techniques the Company utilized to determine such fair values (in thousands):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right"/>
              <w:ind w:right="96"/>
              <w:spacing w:after="0"/>
              <w:rPr>
                <w:sz w:val="20"/>
                <w:szCs w:val="20"/>
                <w:color w:val="auto"/>
              </w:rPr>
            </w:pPr>
            <w:r>
              <w:rPr>
                <w:rFonts w:ascii="Arial" w:cs="Arial" w:eastAsia="Arial" w:hAnsi="Arial"/>
                <w:sz w:val="14"/>
                <w:szCs w:val="14"/>
                <w:b w:val="1"/>
                <w:bCs w:val="1"/>
                <w:color w:val="auto"/>
                <w:w w:val="94"/>
              </w:rPr>
              <w:t>Fair Value Measurements Using</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8"/>
              <w:spacing w:after="0" w:line="146" w:lineRule="exact"/>
              <w:rPr>
                <w:sz w:val="20"/>
                <w:szCs w:val="20"/>
                <w:color w:val="auto"/>
              </w:rPr>
            </w:pPr>
            <w:r>
              <w:rPr>
                <w:rFonts w:ascii="Arial" w:cs="Arial" w:eastAsia="Arial" w:hAnsi="Arial"/>
                <w:sz w:val="14"/>
                <w:szCs w:val="14"/>
                <w:b w:val="1"/>
                <w:bCs w:val="1"/>
                <w:color w:val="auto"/>
                <w:w w:val="93"/>
              </w:rPr>
              <w:t>Quoted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Prices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(unadjusted)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94"/>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in Active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94"/>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8"/>
              <w:spacing w:after="0"/>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ind w:right="74"/>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gridSpan w:val="5"/>
          </w:tcPr>
          <w:p>
            <w:pPr>
              <w:jc w:val="right"/>
              <w:ind w:right="616"/>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March 31, 2022</w:t>
            </w: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2480" w:type="dxa"/>
            <w:vAlign w:val="bottom"/>
            <w:tcBorders>
              <w:top w:val="single" w:sz="8" w:color="CFF0FC"/>
            </w:tcBorders>
            <w:gridSpan w:val="2"/>
          </w:tcPr>
          <w:p>
            <w:pPr>
              <w:spacing w:after="0"/>
              <w:rPr>
                <w:sz w:val="19"/>
                <w:szCs w:val="19"/>
                <w:color w:val="auto"/>
              </w:rPr>
            </w:pPr>
          </w:p>
        </w:tc>
        <w:tc>
          <w:tcPr>
            <w:tcW w:w="154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86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9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188,773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188,773</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rPr>
              <w:t>Short-term investments</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209,157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209,157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bottom w:val="single" w:sz="8" w:color="CFF0FC"/>
            </w:tcBorders>
            <w:gridSpan w:val="3"/>
            <w:shd w:val="clear" w:color="auto" w:fill="CFF0FC"/>
          </w:tcPr>
          <w:p>
            <w:pPr>
              <w:ind w:left="460"/>
              <w:spacing w:after="0"/>
              <w:rPr>
                <w:sz w:val="20"/>
                <w:szCs w:val="20"/>
                <w:color w:val="auto"/>
              </w:rPr>
            </w:pPr>
            <w:r>
              <w:rPr>
                <w:rFonts w:ascii="Arial" w:cs="Arial" w:eastAsia="Arial" w:hAnsi="Arial"/>
                <w:sz w:val="18"/>
                <w:szCs w:val="18"/>
                <w:color w:val="auto"/>
              </w:rPr>
              <w:t>Total assets</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397,930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188,773</w:t>
            </w: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209,157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Liabilities:</w:t>
            </w: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rPr>
              <w:t>Derivative liability</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tcBorders>
            <w:gridSpan w:val="3"/>
            <w:shd w:val="clear" w:color="auto" w:fill="CFF0FC"/>
          </w:tcPr>
          <w:p>
            <w:pPr>
              <w:ind w:left="460"/>
              <w:spacing w:after="0"/>
              <w:rPr>
                <w:sz w:val="20"/>
                <w:szCs w:val="20"/>
                <w:color w:val="auto"/>
              </w:rPr>
            </w:pPr>
            <w:r>
              <w:rPr>
                <w:rFonts w:ascii="Arial" w:cs="Arial" w:eastAsia="Arial" w:hAnsi="Arial"/>
                <w:sz w:val="18"/>
                <w:szCs w:val="18"/>
                <w:color w:val="auto"/>
              </w:rPr>
              <w:t>Total liabilities</w:t>
            </w:r>
          </w:p>
        </w:tc>
        <w:tc>
          <w:tcPr>
            <w:tcW w:w="15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2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64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December 31, 2021</w:t>
            </w: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Assets:</w:t>
            </w:r>
          </w:p>
        </w:tc>
        <w:tc>
          <w:tcPr>
            <w:tcW w:w="2220" w:type="dxa"/>
            <w:vAlign w:val="bottom"/>
            <w:tcBorders>
              <w:top w:val="single" w:sz="8" w:color="CFF0FC"/>
            </w:tcBorders>
          </w:tcPr>
          <w:p>
            <w:pPr>
              <w:spacing w:after="0"/>
              <w:rPr>
                <w:sz w:val="19"/>
                <w:szCs w:val="19"/>
                <w:color w:val="auto"/>
              </w:rPr>
            </w:pPr>
          </w:p>
        </w:tc>
        <w:tc>
          <w:tcPr>
            <w:tcW w:w="154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86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92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221,964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96,816</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125,148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ind w:left="220"/>
              <w:spacing w:after="0"/>
              <w:rPr>
                <w:sz w:val="20"/>
                <w:szCs w:val="20"/>
                <w:color w:val="auto"/>
              </w:rPr>
            </w:pPr>
            <w:r>
              <w:rPr>
                <w:rFonts w:ascii="Arial" w:cs="Arial" w:eastAsia="Arial" w:hAnsi="Arial"/>
                <w:sz w:val="18"/>
                <w:szCs w:val="18"/>
                <w:color w:val="auto"/>
              </w:rPr>
              <w:t>Short-term investments</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217,971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217,971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CFF0FC"/>
              <w:bottom w:val="single" w:sz="8" w:color="CFF0FC"/>
            </w:tcBorders>
            <w:gridSpan w:val="3"/>
            <w:shd w:val="clear" w:color="auto" w:fill="CFF0FC"/>
          </w:tcPr>
          <w:p>
            <w:pPr>
              <w:ind w:left="460"/>
              <w:spacing w:after="0"/>
              <w:rPr>
                <w:sz w:val="20"/>
                <w:szCs w:val="20"/>
                <w:color w:val="auto"/>
              </w:rPr>
            </w:pPr>
            <w:r>
              <w:rPr>
                <w:rFonts w:ascii="Arial" w:cs="Arial" w:eastAsia="Arial" w:hAnsi="Arial"/>
                <w:sz w:val="18"/>
                <w:szCs w:val="18"/>
                <w:color w:val="auto"/>
              </w:rPr>
              <w:t>Total assets</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439,935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343,119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6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Liabilities:</w:t>
            </w:r>
          </w:p>
        </w:tc>
        <w:tc>
          <w:tcPr>
            <w:tcW w:w="1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Borders>
              <w:bottom w:val="single" w:sz="8" w:color="CFF0FC"/>
            </w:tcBorders>
            <w:gridSpan w:val="3"/>
          </w:tcPr>
          <w:p>
            <w:pPr>
              <w:ind w:left="220"/>
              <w:spacing w:after="0"/>
              <w:rPr>
                <w:sz w:val="20"/>
                <w:szCs w:val="20"/>
                <w:color w:val="auto"/>
              </w:rPr>
            </w:pPr>
            <w:r>
              <w:rPr>
                <w:rFonts w:ascii="Arial" w:cs="Arial" w:eastAsia="Arial" w:hAnsi="Arial"/>
                <w:sz w:val="18"/>
                <w:szCs w:val="18"/>
                <w:color w:val="auto"/>
              </w:rPr>
              <w:t>Derivative liability</w:t>
            </w:r>
          </w:p>
        </w:tc>
        <w:tc>
          <w:tcPr>
            <w:tcW w:w="15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FF0FC"/>
            </w:tcBorders>
            <w:gridSpan w:val="3"/>
            <w:shd w:val="clear" w:color="auto" w:fill="CFF0FC"/>
          </w:tcPr>
          <w:p>
            <w:pPr>
              <w:ind w:left="460"/>
              <w:spacing w:after="0"/>
              <w:rPr>
                <w:sz w:val="20"/>
                <w:szCs w:val="20"/>
                <w:color w:val="auto"/>
              </w:rPr>
            </w:pPr>
            <w:r>
              <w:rPr>
                <w:rFonts w:ascii="Arial" w:cs="Arial" w:eastAsia="Arial" w:hAnsi="Arial"/>
                <w:sz w:val="18"/>
                <w:szCs w:val="18"/>
                <w:color w:val="auto"/>
              </w:rPr>
              <w:t>Total liabilities</w:t>
            </w:r>
          </w:p>
        </w:tc>
        <w:tc>
          <w:tcPr>
            <w:tcW w:w="15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right="180" w:firstLine="510"/>
        <w:spacing w:after="0" w:line="252" w:lineRule="auto"/>
        <w:rPr>
          <w:sz w:val="20"/>
          <w:szCs w:val="20"/>
          <w:color w:val="auto"/>
        </w:rPr>
      </w:pPr>
      <w:r>
        <w:rPr>
          <w:rFonts w:ascii="Arial" w:cs="Arial" w:eastAsia="Arial" w:hAnsi="Arial"/>
          <w:sz w:val="18"/>
          <w:szCs w:val="18"/>
          <w:color w:val="auto"/>
        </w:rPr>
        <w:t>There have been no material impairments of our assets measured and carried at fair value during the period ended March 31, 2022 and 2021. In addition, there have been no changes in valuation techniques during the period ended March 31, 2022 and 2021. The fair value of Level 1 instruments classified as cash equivalents are valued using quoted market prices in active markets. The fair value of Level 2 instruments classified as cash equivalents and short – term investments was determined other than quoted prices in active markets, which are either directly or indirectly observable as of the reporting date and fair value is determined using models or other valuation methodologies. The fair value of the Level 3 instrument is determined using unobservable inputs and the Company utilized a Black Scholes valuation model as of December 9, 2021 (initial recognition) and December 31, 2021, respectively.</w:t>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fair value rollforward (in thousands):</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 liability:</w:t>
            </w:r>
          </w:p>
        </w:tc>
        <w:tc>
          <w:tcPr>
            <w:tcW w:w="28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080" w:type="dxa"/>
            <w:vAlign w:val="bottom"/>
          </w:tcPr>
          <w:p>
            <w:pPr>
              <w:ind w:left="240"/>
              <w:spacing w:after="0"/>
              <w:rPr>
                <w:sz w:val="20"/>
                <w:szCs w:val="20"/>
                <w:color w:val="auto"/>
              </w:rPr>
            </w:pPr>
            <w:r>
              <w:rPr>
                <w:rFonts w:ascii="Arial" w:cs="Arial" w:eastAsia="Arial" w:hAnsi="Arial"/>
                <w:sz w:val="18"/>
                <w:szCs w:val="18"/>
                <w:color w:val="auto"/>
              </w:rPr>
              <w:t>Beginning Balance 12/31/21</w:t>
            </w:r>
          </w:p>
        </w:tc>
        <w:tc>
          <w:tcPr>
            <w:tcW w:w="32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r>
      <w:tr>
        <w:trPr>
          <w:trHeight w:val="229"/>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w:t>
            </w:r>
          </w:p>
        </w:tc>
        <w:tc>
          <w:tcPr>
            <w:tcW w:w="28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(187)</w:t>
            </w:r>
          </w:p>
        </w:tc>
      </w:tr>
      <w:tr>
        <w:trPr>
          <w:trHeight w:val="224"/>
        </w:trPr>
        <w:tc>
          <w:tcPr>
            <w:tcW w:w="5080" w:type="dxa"/>
            <w:vAlign w:val="bottom"/>
          </w:tcPr>
          <w:p>
            <w:pPr>
              <w:ind w:left="240"/>
              <w:spacing w:after="0"/>
              <w:rPr>
                <w:sz w:val="20"/>
                <w:szCs w:val="20"/>
                <w:color w:val="auto"/>
              </w:rPr>
            </w:pPr>
            <w:r>
              <w:rPr>
                <w:rFonts w:ascii="Arial" w:cs="Arial" w:eastAsia="Arial" w:hAnsi="Arial"/>
                <w:sz w:val="18"/>
                <w:szCs w:val="18"/>
                <w:color w:val="auto"/>
              </w:rPr>
              <w:t>Ending Balance 3/31/22</w:t>
            </w:r>
          </w:p>
        </w:tc>
        <w:tc>
          <w:tcPr>
            <w:tcW w:w="280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0</wp:posOffset>
            </wp:positionV>
            <wp:extent cx="13442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5"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change in fair value of the Level 3 instrument, was directly related to the March 23, 2022, the Letter Agreement entered in December 2021 with Incyte, having expired. At the time of the expiration of the Letter Agreement, Incyte no longer had the ability to terminate the contract, as such the probability of payment to Incyte was assessed to be zero. Accordingly, the Company released the remaining $187,000 liability related to the Letter Agreement as of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-566420</wp:posOffset>
            </wp:positionV>
            <wp:extent cx="13442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16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short-term investments are classified as available-for-sale securities. As of March 31, 2022, the remaining contractual maturities of the available-for-sale securities were less than 12 months, and the balance in the Company’s accumulated other comprehensive income was comprised solely of activity related to the Company’s available-for-sale securities. There were no realized gains or losses recognized on the sale or maturity of available-for-sale securities during the three months ended March 31, 2022 and 2021. As a result, the Company did not reclassify any amounts out of accumulated other comprehensive income for the same periods. The Company has a limited number of available-for-sale securities in insignificant loss positions as of March 31, 2022, which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Company does not intend to sell and has concluded it will not be required to sell before recovery of the amortized cost for the investment at maturity.</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available-for-sale securities:</w:t>
      </w:r>
    </w:p>
    <w:p>
      <w:pPr>
        <w:spacing w:after="0" w:line="324"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Amortized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Unrealized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94"/>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ind w:left="20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gridSpan w:val="5"/>
          </w:tcPr>
          <w:p>
            <w:pPr>
              <w:ind w:left="56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8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March 31, 2022</w:t>
            </w:r>
          </w:p>
        </w:tc>
        <w:tc>
          <w:tcPr>
            <w:tcW w:w="18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940" w:type="dxa"/>
            <w:vAlign w:val="bottom"/>
            <w:tcBorders>
              <w:top w:val="single" w:sz="8" w:color="CFF0FC"/>
            </w:tcBorders>
            <w:shd w:val="clear" w:color="auto" w:fill="CFF0FC"/>
          </w:tcPr>
          <w:p>
            <w:pPr>
              <w:spacing w:after="0" w:line="20" w:lineRule="exact"/>
              <w:rPr>
                <w:sz w:val="1"/>
                <w:szCs w:val="1"/>
                <w:color w:val="auto"/>
              </w:rPr>
            </w:pPr>
          </w:p>
        </w:tc>
        <w:tc>
          <w:tcPr>
            <w:tcW w:w="18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gridSpan w:val="3"/>
          </w:tcPr>
          <w:p>
            <w:pPr>
              <w:ind w:left="240"/>
              <w:spacing w:after="0"/>
              <w:rPr>
                <w:sz w:val="20"/>
                <w:szCs w:val="20"/>
                <w:color w:val="auto"/>
              </w:rPr>
            </w:pPr>
            <w:r>
              <w:rPr>
                <w:rFonts w:ascii="Arial" w:cs="Arial" w:eastAsia="Arial" w:hAnsi="Arial"/>
                <w:sz w:val="18"/>
                <w:szCs w:val="18"/>
                <w:color w:val="auto"/>
              </w:rPr>
              <w:t>Commercial paper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163,462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(572)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162,890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Corporate bonds</w:t>
            </w:r>
          </w:p>
        </w:tc>
        <w:tc>
          <w:tcPr>
            <w:tcW w:w="1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gridSpan w:val="3"/>
          </w:tcPr>
          <w:p>
            <w:pPr>
              <w:ind w:left="240"/>
              <w:spacing w:after="0"/>
              <w:rPr>
                <w:sz w:val="20"/>
                <w:szCs w:val="20"/>
                <w:color w:val="auto"/>
              </w:rPr>
            </w:pPr>
            <w:r>
              <w:rPr>
                <w:rFonts w:ascii="Arial" w:cs="Arial" w:eastAsia="Arial" w:hAnsi="Arial"/>
                <w:sz w:val="18"/>
                <w:szCs w:val="18"/>
                <w:color w:val="auto"/>
              </w:rPr>
              <w:t>US Treasury</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42,251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42,192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940" w:type="dxa"/>
            <w:vAlign w:val="bottom"/>
            <w:tcBorders>
              <w:top w:val="single" w:sz="8" w:color="CFF0FC"/>
              <w:bottom w:val="single" w:sz="8" w:color="CFF0FC"/>
            </w:tcBorders>
            <w:shd w:val="clear" w:color="auto" w:fill="CFF0FC"/>
          </w:tcPr>
          <w:p>
            <w:pPr>
              <w:spacing w:after="0"/>
              <w:rPr>
                <w:sz w:val="19"/>
                <w:szCs w:val="19"/>
                <w:color w:val="auto"/>
              </w:rPr>
            </w:pPr>
          </w:p>
        </w:tc>
        <w:tc>
          <w:tcPr>
            <w:tcW w:w="18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209,797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209,157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2021</w:t>
            </w:r>
          </w:p>
        </w:tc>
        <w:tc>
          <w:tcPr>
            <w:tcW w:w="1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80" w:type="dxa"/>
            <w:vAlign w:val="bottom"/>
            <w:gridSpan w:val="3"/>
            <w:vMerge w:val="continue"/>
          </w:tcPr>
          <w:p>
            <w:pPr>
              <w:spacing w:after="0"/>
              <w:rPr>
                <w:sz w:val="14"/>
                <w:szCs w:val="14"/>
                <w:color w:val="auto"/>
              </w:rPr>
            </w:pPr>
          </w:p>
        </w:tc>
        <w:tc>
          <w:tcPr>
            <w:tcW w:w="1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306,715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89"/>
              </w:rPr>
              <w:t>70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22,147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US Treasury</w:t>
            </w:r>
          </w:p>
        </w:tc>
        <w:tc>
          <w:tcPr>
            <w:tcW w:w="1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343,074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9"/>
              </w:rPr>
              <w:t>70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Prepaid Expenses and Other Current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10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80" w:type="dxa"/>
            <w:vAlign w:val="bottom"/>
            <w:vMerge w:val="restart"/>
          </w:tcPr>
          <w:p>
            <w:pPr>
              <w:spacing w:after="0"/>
              <w:rPr>
                <w:sz w:val="20"/>
                <w:szCs w:val="20"/>
                <w:color w:val="auto"/>
              </w:rPr>
            </w:pPr>
            <w:r>
              <w:rPr>
                <w:rFonts w:ascii="Arial" w:cs="Arial" w:eastAsia="Arial" w:hAnsi="Arial"/>
                <w:sz w:val="18"/>
                <w:szCs w:val="18"/>
                <w:color w:val="auto"/>
              </w:rPr>
              <w:t>Prepaid insurance</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March 31, 2022</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440" w:type="dxa"/>
            <w:vAlign w:val="bottom"/>
            <w:tcBorders>
              <w:top w:val="single" w:sz="8" w:color="auto"/>
            </w:tcBorders>
          </w:tcPr>
          <w:p>
            <w:pPr>
              <w:jc w:val="right"/>
              <w:ind w:right="12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2,154</w:t>
            </w:r>
          </w:p>
        </w:tc>
        <w:tc>
          <w:tcPr>
            <w:tcW w:w="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Interest receivable on investments</w:t>
            </w:r>
          </w:p>
        </w:tc>
        <w:tc>
          <w:tcPr>
            <w:tcW w:w="14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Reimbursable costs</w:t>
            </w:r>
          </w:p>
        </w:tc>
        <w:tc>
          <w:tcPr>
            <w:tcW w:w="14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6,260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FF0FC"/>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1440" w:type="dxa"/>
            <w:vAlign w:val="bottom"/>
          </w:tcPr>
          <w:p>
            <w:pPr>
              <w:jc w:val="right"/>
              <w:ind w:right="125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9,032</w:t>
            </w:r>
          </w:p>
        </w:tc>
        <w:tc>
          <w:tcPr>
            <w:tcW w:w="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10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980" w:type="dxa"/>
            <w:vAlign w:val="bottom"/>
            <w:vMerge w:val="restart"/>
          </w:tcPr>
          <w:p>
            <w:pPr>
              <w:spacing w:after="0"/>
              <w:rPr>
                <w:sz w:val="20"/>
                <w:szCs w:val="20"/>
                <w:color w:val="auto"/>
              </w:rPr>
            </w:pPr>
            <w:r>
              <w:rPr>
                <w:rFonts w:ascii="Arial" w:cs="Arial" w:eastAsia="Arial" w:hAnsi="Arial"/>
                <w:sz w:val="18"/>
                <w:szCs w:val="18"/>
                <w:color w:val="auto"/>
              </w:rPr>
              <w:t>Accrued clinical costs</w:t>
            </w:r>
          </w:p>
        </w:tc>
        <w:tc>
          <w:tcPr>
            <w:tcW w:w="280" w:type="dxa"/>
            <w:vAlign w:val="bottom"/>
          </w:tcPr>
          <w:p>
            <w:pPr>
              <w:spacing w:after="0"/>
              <w:rPr>
                <w:sz w:val="14"/>
                <w:szCs w:val="14"/>
                <w:color w:val="auto"/>
              </w:rPr>
            </w:pPr>
          </w:p>
        </w:tc>
        <w:tc>
          <w:tcPr>
            <w:tcW w:w="1600" w:type="dxa"/>
            <w:vAlign w:val="bottom"/>
          </w:tcPr>
          <w:p>
            <w:pPr>
              <w:jc w:val="right"/>
              <w:ind w:right="393"/>
              <w:spacing w:after="0"/>
              <w:rPr>
                <w:sz w:val="20"/>
                <w:szCs w:val="20"/>
                <w:color w:val="auto"/>
              </w:rPr>
            </w:pPr>
            <w:r>
              <w:rPr>
                <w:rFonts w:ascii="Arial" w:cs="Arial" w:eastAsia="Arial" w:hAnsi="Arial"/>
                <w:sz w:val="14"/>
                <w:szCs w:val="14"/>
                <w:b w:val="1"/>
                <w:bCs w:val="1"/>
                <w:color w:val="auto"/>
              </w:rPr>
              <w:t>March 31, 2022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8,320</w:t>
            </w:r>
          </w:p>
        </w:tc>
        <w:tc>
          <w:tcPr>
            <w:tcW w:w="26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related costs</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 costs - other</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18,421</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right="80" w:firstLine="510"/>
        <w:spacing w:after="0" w:line="256" w:lineRule="auto"/>
        <w:rPr>
          <w:sz w:val="20"/>
          <w:szCs w:val="20"/>
          <w:color w:val="auto"/>
        </w:rPr>
      </w:pPr>
      <w:r>
        <w:rPr>
          <w:rFonts w:ascii="Arial" w:cs="Arial" w:eastAsia="Arial" w:hAnsi="Arial"/>
          <w:sz w:val="18"/>
          <w:szCs w:val="18"/>
          <w:color w:val="auto"/>
        </w:rPr>
        <w:t>In January 2022, the number of shares of common stock available for issuance under the 2015 Omnibus Incentive Plan (“2015 Plan”) was increased by 2,198,134 shares due to the automatic annual provision to increase shares available under the 2015 Plan. As of March 31, 2022, the total number of shares of common stock available for issuance under the 2015 Plan was 1,534,513. The Company recognized stock-based compensation expense related to the issuance of stock option awards to employees and non-employees and related to the 2015 Employee Stock Purchase Plan (“ESPP”) in the condensed consolidated statements of comprehensive loss as follows: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20" w:type="dxa"/>
            <w:vAlign w:val="bottom"/>
            <w:tcBorders>
              <w:bottom w:val="single" w:sz="8" w:color="auto"/>
            </w:tcBorders>
          </w:tcPr>
          <w:p>
            <w:pPr>
              <w:jc w:val="right"/>
              <w:ind w:right="42"/>
              <w:spacing w:after="0" w:line="155"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30"/>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20" w:type="dxa"/>
            <w:vAlign w:val="bottom"/>
            <w:gridSpan w:val="3"/>
          </w:tcPr>
          <w:p>
            <w:pPr>
              <w:jc w:val="right"/>
              <w:ind w:right="630"/>
              <w:spacing w:after="0" w:line="155"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4220" w:type="dxa"/>
            <w:vAlign w:val="bottom"/>
            <w:gridSpan w:val="2"/>
            <w:shd w:val="clear" w:color="auto" w:fill="CFF0FC"/>
          </w:tcPr>
          <w:p>
            <w:pPr>
              <w:jc w:val="right"/>
              <w:ind w:right="842"/>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1300" w:type="dxa"/>
            <w:vAlign w:val="bottom"/>
            <w:gridSpan w:val="2"/>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2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2,125</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2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4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200" w:type="dxa"/>
            <w:vAlign w:val="bottom"/>
            <w:vMerge w:val="restart"/>
          </w:tcPr>
          <w:p>
            <w:pPr>
              <w:jc w:val="right"/>
              <w:ind w:right="1410"/>
              <w:spacing w:after="0"/>
              <w:rPr>
                <w:sz w:val="20"/>
                <w:szCs w:val="20"/>
                <w:color w:val="auto"/>
              </w:rPr>
            </w:pPr>
            <w:r>
              <w:rPr>
                <w:rFonts w:ascii="Arial" w:cs="Arial" w:eastAsia="Arial" w:hAnsi="Arial"/>
                <w:sz w:val="18"/>
                <w:szCs w:val="18"/>
                <w:color w:val="auto"/>
              </w:rPr>
              <w:t>10</w:t>
            </w: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3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Compensation expense by type of award in the three months ended March 31, 2022 and 2021 was as follows:</w:t>
      </w:r>
    </w:p>
    <w:p>
      <w:pPr>
        <w:spacing w:after="0" w:line="32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107"/>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4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20" w:type="dxa"/>
            <w:vAlign w:val="bottom"/>
            <w:tcBorders>
              <w:bottom w:val="single" w:sz="8" w:color="auto"/>
            </w:tcBorders>
          </w:tcPr>
          <w:p>
            <w:pPr>
              <w:jc w:val="right"/>
              <w:ind w:right="42"/>
              <w:spacing w:after="0" w:line="155"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47"/>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44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20" w:type="dxa"/>
            <w:vAlign w:val="bottom"/>
            <w:gridSpan w:val="4"/>
          </w:tcPr>
          <w:p>
            <w:pPr>
              <w:jc w:val="right"/>
              <w:ind w:right="647"/>
              <w:spacing w:after="0" w:line="155" w:lineRule="exact"/>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3220" w:type="dxa"/>
            <w:vAlign w:val="bottom"/>
            <w:gridSpan w:val="2"/>
            <w:shd w:val="clear" w:color="auto" w:fill="CFF0FC"/>
          </w:tcPr>
          <w:p>
            <w:pPr>
              <w:jc w:val="right"/>
              <w:ind w:right="842"/>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2,924</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4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w:t>
            </w:r>
          </w:p>
        </w:tc>
        <w:tc>
          <w:tcPr>
            <w:tcW w:w="100" w:type="dxa"/>
            <w:vAlign w:val="bottom"/>
            <w:shd w:val="clear" w:color="auto" w:fill="CFF0FC"/>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220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Total</w:t>
            </w:r>
          </w:p>
        </w:tc>
        <w:tc>
          <w:tcPr>
            <w:tcW w:w="2200" w:type="dxa"/>
            <w:vAlign w:val="bottom"/>
          </w:tcPr>
          <w:p>
            <w:pPr>
              <w:spacing w:after="0"/>
              <w:rPr>
                <w:sz w:val="19"/>
                <w:szCs w:val="19"/>
                <w:color w:val="auto"/>
              </w:rPr>
            </w:pPr>
          </w:p>
        </w:tc>
        <w:tc>
          <w:tcPr>
            <w:tcW w:w="1020" w:type="dxa"/>
            <w:vAlign w:val="bottom"/>
            <w:tcBorders>
              <w:bottom w:val="single" w:sz="8" w:color="auto"/>
            </w:tcBorders>
          </w:tcPr>
          <w:p>
            <w:pPr>
              <w:jc w:val="right"/>
              <w:ind w:right="84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40" w:firstLine="510"/>
        <w:spacing w:after="0" w:line="311" w:lineRule="auto"/>
        <w:rPr>
          <w:sz w:val="20"/>
          <w:szCs w:val="20"/>
          <w:color w:val="auto"/>
        </w:rPr>
      </w:pPr>
      <w:r>
        <w:rPr>
          <w:rFonts w:ascii="Arial" w:cs="Arial" w:eastAsia="Arial" w:hAnsi="Arial"/>
          <w:sz w:val="16"/>
          <w:szCs w:val="16"/>
          <w:color w:val="auto"/>
        </w:rPr>
        <w:t>During the three months ended March 31, 2022, the Company granted 1,560,850 stock options to certain executives and employees having service-based vesting conditions. The grant date fair value of the options granted in the three months ended March 31, 2022, was $16.9 million, or $10.83 per share on a weighted-average basis and will be recognized as compensation expense over the requisite service period of two to four years.</w:t>
      </w:r>
    </w:p>
    <w:p>
      <w:pPr>
        <w:spacing w:after="0" w:line="148"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In 2019, the Company granted to certain employees 583,000 performance-based vesting criteria (“2019 Performance Awards”), primarily related to the achievement of certain clinical and regulatory development milestones related to product candidates. Additionally, in 2022, the Company granted to certain employees 140,000 performance-based vesting criteria (“2022 Performance Awards”), primarily related to the achievement of certain regulatory development milestones related to product candidates. Recognition of stock-based compensation expense associated with these performance-based stock options commences when the performance condition is probable of achievement, using management’s best estimates, which consider the inherent risk and uncertainty regarding the future outcomes of the milestones.</w:t>
      </w:r>
    </w:p>
    <w:p>
      <w:pPr>
        <w:spacing w:after="0" w:line="176"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In the fourth quarter of 2020 one of the performance milestones of the 2019 Performance Awards was achieved and of the associated 194,331 stock options, 64,777 stock options vested, and 388,669 options were cancelled. In 2021, 64,780 stock options vested and in 2022 the remaining 59,443 (net of cancellations) will vest. The Company recorded approximately $64,000 of stock compensation expense associated with these awards for the three months ended March 31, 2022, and 2021. For the remaining milestones, the performance conditions were not met as of March 31, 2022. Therefore, no expense has been recognized related to these awards for the three months ended March 31, 2022.</w:t>
      </w:r>
    </w:p>
    <w:p>
      <w:pPr>
        <w:spacing w:after="0" w:line="175"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In the first quarter 2022, management estimated one of the milestones, for the 2022 Performance Awards, was probable of achievement and, as such, the Company recorded approximately $83,000 of stock compensation expense for these awards for the three months ended March 31, 2022. As of March 31, 2022, all the 140,000 stock options outstanding were unvested, and no options had been cancelled.</w:t>
      </w:r>
    </w:p>
    <w:p>
      <w:pPr>
        <w:spacing w:after="0" w:line="164"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During the three months ended March 31, 2022, 28,839 options were exercised for cash proceeds of approximately $465,000 and 100,954 options were exercised for cash proceeds of approximately $881,000 in the three months ended March 31,2021.</w:t>
      </w:r>
    </w:p>
    <w:p>
      <w:pPr>
        <w:spacing w:after="0" w:line="169"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As of March 31, 2022, there was $37.6 million of unrecognized compensation cost related to employee and non-employee unvested stock options granted under the 2015 and 2007 Plans, which is expected to be recognized over a weighted-average remaining service period of 3.4 years. Stock compensation costs have not been capitalized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600" w:firstLine="510"/>
        <w:spacing w:after="0" w:line="258" w:lineRule="auto"/>
        <w:rPr>
          <w:sz w:val="20"/>
          <w:szCs w:val="20"/>
          <w:color w:val="auto"/>
        </w:rPr>
      </w:pPr>
      <w:r>
        <w:rPr>
          <w:rFonts w:ascii="Arial" w:cs="Arial" w:eastAsia="Arial" w:hAnsi="Arial"/>
          <w:sz w:val="18"/>
          <w:szCs w:val="18"/>
          <w:color w:val="auto"/>
        </w:rPr>
        <w:t>RSUs awarded to Board of Directors or employees vest on either i) on the one – year anniversary date of the related grant or ii) 25% on each anniversary for 4 years. The following table summarizes our RSU activity:</w:t>
      </w:r>
    </w:p>
    <w:tbl>
      <w:tblPr>
        <w:tblLayout w:type="fixed"/>
        <w:tblInd w:w="0" w:type="dxa"/>
        <w:tblCellMar>
          <w:top w:w="0" w:type="dxa"/>
          <w:left w:w="0" w:type="dxa"/>
          <w:bottom w:w="0" w:type="dxa"/>
          <w:right w:w="0" w:type="dxa"/>
        </w:tblCellMar>
      </w:tblPr>
      <w:tr>
        <w:trPr>
          <w:trHeight w:val="140"/>
        </w:trPr>
        <w:tc>
          <w:tcPr>
            <w:tcW w:w="58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460" w:type="dxa"/>
            <w:vAlign w:val="bottom"/>
            <w:vMerge w:val="restart"/>
          </w:tcPr>
          <w:p>
            <w:pPr>
              <w:jc w:val="center"/>
              <w:ind w:left="568"/>
              <w:spacing w:after="0"/>
              <w:rPr>
                <w:sz w:val="20"/>
                <w:szCs w:val="20"/>
                <w:color w:val="auto"/>
              </w:rPr>
            </w:pPr>
            <w:r>
              <w:rPr>
                <w:rFonts w:ascii="Arial" w:cs="Arial" w:eastAsia="Arial" w:hAnsi="Arial"/>
                <w:sz w:val="14"/>
                <w:szCs w:val="14"/>
                <w:b w:val="1"/>
                <w:bCs w:val="1"/>
                <w:color w:val="auto"/>
                <w:w w:val="94"/>
              </w:rPr>
              <w:t>Number of</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20"/>
              <w:spacing w:after="0" w:line="140" w:lineRule="exact"/>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60" w:type="dxa"/>
            <w:vAlign w:val="bottom"/>
          </w:tcPr>
          <w:p>
            <w:pPr>
              <w:jc w:val="center"/>
              <w:ind w:left="568"/>
              <w:spacing w:after="0"/>
              <w:rPr>
                <w:sz w:val="20"/>
                <w:szCs w:val="20"/>
                <w:color w:val="auto"/>
              </w:rPr>
            </w:pPr>
            <w:r>
              <w:rPr>
                <w:rFonts w:ascii="Arial" w:cs="Arial" w:eastAsia="Arial" w:hAnsi="Arial"/>
                <w:sz w:val="14"/>
                <w:szCs w:val="14"/>
                <w:b w:val="1"/>
                <w:bCs w:val="1"/>
                <w:color w:val="auto"/>
                <w:w w:val="89"/>
              </w:rPr>
              <w:t>Shares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Grant Date Fair Value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Unvested—December 31, 2021</w:t>
            </w:r>
          </w:p>
        </w:tc>
        <w:tc>
          <w:tcPr>
            <w:tcW w:w="14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132,333</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2"/>
                <w:szCs w:val="12"/>
                <w:color w:val="auto"/>
              </w:rPr>
              <w:t>(1)</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128,000</w:t>
            </w:r>
          </w:p>
        </w:tc>
        <w:tc>
          <w:tcPr>
            <w:tcW w:w="2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(3,750)</w:t>
            </w:r>
          </w:p>
        </w:tc>
        <w:tc>
          <w:tcPr>
            <w:tcW w:w="2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Unvested—March 31, 2022</w:t>
            </w:r>
          </w:p>
        </w:tc>
        <w:tc>
          <w:tcPr>
            <w:tcW w:w="146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256,583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jc w:val="right"/>
              <w:ind w:right="870"/>
              <w:spacing w:after="0"/>
              <w:rPr>
                <w:sz w:val="20"/>
                <w:szCs w:val="20"/>
                <w:color w:val="auto"/>
              </w:rPr>
            </w:pPr>
            <w:r>
              <w:rPr>
                <w:rFonts w:ascii="Arial" w:cs="Arial" w:eastAsia="Arial" w:hAnsi="Arial"/>
                <w:sz w:val="18"/>
                <w:szCs w:val="18"/>
                <w:color w:val="auto"/>
              </w:rPr>
              <w:t>11</w:t>
            </w:r>
          </w:p>
        </w:tc>
        <w:tc>
          <w:tcPr>
            <w:tcW w:w="1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668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9"/>
                <w:szCs w:val="9"/>
                <w:color w:val="auto"/>
              </w:rPr>
            </w:pPr>
          </w:p>
        </w:tc>
        <w:tc>
          <w:tcPr>
            <w:tcW w:w="61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14" w:name="page15"/>
    <w:bookmarkEnd w:id="14"/>
    <w:p>
      <w:pPr>
        <w:ind w:left="520" w:right="40"/>
        <w:spacing w:after="0" w:line="277" w:lineRule="auto"/>
        <w:rPr>
          <w:sz w:val="20"/>
          <w:szCs w:val="20"/>
          <w:color w:val="auto"/>
        </w:rPr>
      </w:pPr>
      <w:r>
        <w:rPr>
          <w:rFonts w:ascii="Arial" w:cs="Arial" w:eastAsia="Arial" w:hAnsi="Arial"/>
          <w:sz w:val="18"/>
          <w:szCs w:val="18"/>
          <w:color w:val="auto"/>
        </w:rPr>
        <w:t>RSU’s granted in 2022 and 2021 had a weighted average grant date fair value of $15.79 and $21.19, respectively. The fair values of RSU’s vested in 2022 and 2021 totaled $36,000 and $60,000,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Loan Payable</w:t>
      </w:r>
    </w:p>
    <w:p>
      <w:pPr>
        <w:spacing w:after="0" w:line="121" w:lineRule="exact"/>
        <w:rPr>
          <w:sz w:val="20"/>
          <w:szCs w:val="20"/>
          <w:color w:val="auto"/>
        </w:rPr>
      </w:pPr>
    </w:p>
    <w:p>
      <w:pPr>
        <w:ind w:right="320" w:firstLine="510"/>
        <w:spacing w:after="0" w:line="301" w:lineRule="auto"/>
        <w:rPr>
          <w:sz w:val="20"/>
          <w:szCs w:val="20"/>
          <w:color w:val="auto"/>
        </w:rPr>
      </w:pPr>
      <w:r>
        <w:rPr>
          <w:rFonts w:ascii="Arial" w:cs="Arial" w:eastAsia="Arial" w:hAnsi="Arial"/>
          <w:sz w:val="16"/>
          <w:szCs w:val="16"/>
          <w:color w:val="auto"/>
        </w:rPr>
        <w:t>In February 2020, the Company entered into a loan and security agreement (the “Loan Agreement”) with Hercules Capital, Inc. (“Hercules”). In December 2021, the Company entered into Amendment No. 1 to the Company’s Loan Agreement (the “First Amendment” and the Loan Agreement, as amended, the “Amended Loan Agreement”) with several banks and financial institutions or entities from time-to-time party thereto (collectively, the “Lender”) and Hercules, in its capacity as administrative agent for itself and the Lender (in such capacity, the “Agent”).</w:t>
      </w:r>
    </w:p>
    <w:p>
      <w:pPr>
        <w:spacing w:after="0" w:line="48"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First Amendment provides for an aggregate maximum borrowing of up to $80.0 million, consisting of (i) a term loan of up to $20 million ( the “Initial Advance”), (ii) second tranche (“Tranche 2”) of up to $30.0 million with $15.0 million being available at the Company’s option through April 30, 2022 and the remaining $15.0 million being available at the Company’s option through November 30, 2022, which availability period will be extended to April 30, 2023 if the first $15.0 million is drawn prior to April 30, 2022, and (iii) third tranche (‘Tranche 3”) of up to $30.0 million which is available, subject to the Agent’s investment committee approval, through the Interest-Only Period. The Company did not to draw the first $15.0 million from Tranche 2.</w:t>
      </w:r>
    </w:p>
    <w:p>
      <w:pPr>
        <w:spacing w:after="0" w:line="83"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 xml:space="preserve">The Company is obligated to make monthly interest-only payments through January 1, 2023. Borrowings under the Amended Loan Agreement bear interest at an annual interest rate from the greater of (y) 9.25% or (z) 6.00% plus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prime rate. After the interest – only payment period, borrowings under the Amended Loan Agreement are repayable in equal monthly payments of principal and accrued interest until the maturity date of the loan, which is April 1, 2024. At the Company’s option, the Company may prepay all, but not less than all, of the outstanding borrowings, subject to a prepayment premium equal to (i) 2.0% of the principal amount outstanding if the prepayment occurs during the first year following the First Amendment,</w:t>
      </w:r>
    </w:p>
    <w:p>
      <w:pPr>
        <w:spacing w:after="0" w:line="1" w:lineRule="exact"/>
        <w:rPr>
          <w:sz w:val="20"/>
          <w:szCs w:val="20"/>
          <w:color w:val="auto"/>
        </w:rPr>
      </w:pPr>
    </w:p>
    <w:p>
      <w:pPr>
        <w:ind w:right="20" w:firstLine="8"/>
        <w:spacing w:after="0" w:line="255"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1.5% of the principal amount outstanding if the prepayment occurs during the second year following the First Amendment, and (iii) 1.0% of the principal amount outstanding at any time thereafter but prior to the Maturity Date. The Amended Loan Agreement also applies a 4.99% end of term charge to any future draws payable on the maturity date. The final payment will be accrued over the term of the debt.</w:t>
      </w:r>
    </w:p>
    <w:p>
      <w:pPr>
        <w:spacing w:after="0" w:line="189"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Borrowings under the Amended Loan Agreement are collateralized by substantially all of the Company’s and its subsidiaries personal property and other assets, other than its intellectual property. The Amended Loan Agreement includes a minimum cash covenant of $12.5 million, subject to reduction upon satisfaction of certain conditions as set forth in the Amended Loan Agreement. As of December 31, 2020, the conditions set forth in the Amended Loan Agreement were met. The cash covenant of $12.5 million was waived. In addition, the Amended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The Amended Loan Agreement also includes customary events of default, including payment defaults, breaches of covenants following any applicable cure period, the occurrence of certain events that could reasonably be expected to have a “material adverse effect” as set forth in the Amended Loan Agreement, cross acceleration to third-party indebtedness and certain events relating to bankruptcy or insolvency. Upon the occurrence of an event of default, a default interest rate of an additional 5.0% may be applied to the outstanding principal balance, and Hercules may declare all outstanding obligations immediately due and payable and take such other actions as set forth in the Amended Loan Agreement.</w:t>
      </w:r>
    </w:p>
    <w:p>
      <w:pPr>
        <w:spacing w:after="0" w:line="174"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In connection with the Amended Loan Agreement, the Company was required to enter into separate deposit account control agreements with the lender in order to perfect the lender’s security interest in the cash collateral in the Company’s operating accounts. In the event of a default under the Loan Agreement, the lender would have the right to take control of the operating accounts and restrict the Company’s access to the operating accounts and the funds therein.</w:t>
      </w:r>
    </w:p>
    <w:p>
      <w:pPr>
        <w:spacing w:after="0" w:line="185"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During the three months ended March 31, 2022 and 2021, the Company recognized $0.6 million and $0.6 million, respectively, of interest expense related to the Initial Advance pursuant to the Amended Loan Agreement.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As of March 31, 2022, the Company’s maturities of principal obligations under its long-term debt are as follows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40" w:type="dxa"/>
            <w:vAlign w:val="bottom"/>
            <w:gridSpan w:val="2"/>
          </w:tcPr>
          <w:p>
            <w:pPr>
              <w:jc w:val="right"/>
              <w:ind w:right="1140"/>
              <w:spacing w:after="0"/>
              <w:rPr>
                <w:sz w:val="20"/>
                <w:szCs w:val="20"/>
                <w:color w:val="auto"/>
              </w:rPr>
            </w:pPr>
            <w:r>
              <w:rPr>
                <w:rFonts w:ascii="Arial" w:cs="Arial" w:eastAsia="Arial" w:hAnsi="Arial"/>
                <w:sz w:val="18"/>
                <w:szCs w:val="18"/>
                <w:b w:val="1"/>
                <w:bCs w:val="1"/>
                <w:color w:val="auto"/>
              </w:rPr>
              <w:t>Amount</w:t>
            </w:r>
          </w:p>
        </w:tc>
      </w:tr>
      <w:tr>
        <w:trPr>
          <w:trHeight w:val="22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2022</w:t>
            </w:r>
          </w:p>
        </w:tc>
        <w:tc>
          <w:tcPr>
            <w:tcW w:w="302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2023</w:t>
            </w:r>
          </w:p>
        </w:tc>
        <w:tc>
          <w:tcPr>
            <w:tcW w:w="2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14,765</w:t>
            </w:r>
          </w:p>
        </w:tc>
        <w:tc>
          <w:tcPr>
            <w:tcW w:w="120" w:type="dxa"/>
            <w:vAlign w:val="bottom"/>
          </w:tcPr>
          <w:p>
            <w:pPr>
              <w:spacing w:after="0"/>
              <w:rPr>
                <w:sz w:val="19"/>
                <w:szCs w:val="19"/>
                <w:color w:val="auto"/>
              </w:rPr>
            </w:pPr>
          </w:p>
        </w:tc>
      </w:tr>
      <w:tr>
        <w:trPr>
          <w:trHeight w:val="22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4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5,235</w:t>
            </w:r>
          </w:p>
        </w:tc>
        <w:tc>
          <w:tcPr>
            <w:tcW w:w="120" w:type="dxa"/>
            <w:vAlign w:val="bottom"/>
            <w:shd w:val="clear" w:color="auto" w:fill="CFF0FC"/>
          </w:tcPr>
          <w:p>
            <w:pPr>
              <w:spacing w:after="0"/>
              <w:rPr>
                <w:sz w:val="19"/>
                <w:szCs w:val="19"/>
                <w:color w:val="auto"/>
              </w:rPr>
            </w:pPr>
          </w:p>
        </w:tc>
      </w:tr>
      <w:tr>
        <w:trPr>
          <w:trHeight w:val="223"/>
        </w:trPr>
        <w:tc>
          <w:tcPr>
            <w:tcW w:w="4840" w:type="dxa"/>
            <w:vAlign w:val="bottom"/>
          </w:tcPr>
          <w:p>
            <w:pPr>
              <w:ind w:left="180"/>
              <w:spacing w:after="0"/>
              <w:rPr>
                <w:sz w:val="20"/>
                <w:szCs w:val="20"/>
                <w:color w:val="auto"/>
              </w:rPr>
            </w:pPr>
            <w:r>
              <w:rPr>
                <w:rFonts w:ascii="Arial" w:cs="Arial" w:eastAsia="Arial" w:hAnsi="Arial"/>
                <w:sz w:val="18"/>
                <w:szCs w:val="18"/>
                <w:color w:val="auto"/>
              </w:rPr>
              <w:t>Total principal outstanding</w:t>
            </w:r>
          </w:p>
        </w:tc>
        <w:tc>
          <w:tcPr>
            <w:tcW w:w="2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9"/>
                <w:szCs w:val="19"/>
                <w:color w:val="auto"/>
              </w:rPr>
            </w:pPr>
          </w:p>
        </w:tc>
      </w:tr>
      <w:tr>
        <w:trPr>
          <w:trHeight w:val="22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Amortized final fee</w:t>
            </w:r>
          </w:p>
        </w:tc>
        <w:tc>
          <w:tcPr>
            <w:tcW w:w="24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19"/>
                <w:szCs w:val="19"/>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Unamortized debt issuance costs</w:t>
            </w:r>
          </w:p>
        </w:tc>
        <w:tc>
          <w:tcPr>
            <w:tcW w:w="2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4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r>
      <w:tr>
        <w:trPr>
          <w:trHeight w:val="223"/>
        </w:trPr>
        <w:tc>
          <w:tcPr>
            <w:tcW w:w="484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24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Term loan, current portion</w:t>
            </w:r>
          </w:p>
        </w:tc>
        <w:tc>
          <w:tcPr>
            <w:tcW w:w="24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w:t>
            </w:r>
          </w:p>
        </w:tc>
        <w:tc>
          <w:tcPr>
            <w:tcW w:w="120" w:type="dxa"/>
            <w:vAlign w:val="bottom"/>
            <w:tcBorders>
              <w:bottom w:val="single" w:sz="8" w:color="CFF0FC"/>
            </w:tcBorders>
          </w:tcPr>
          <w:p>
            <w:pPr>
              <w:spacing w:after="0"/>
              <w:rPr>
                <w:sz w:val="19"/>
                <w:szCs w:val="19"/>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Term loan, less current portion</w:t>
            </w:r>
          </w:p>
        </w:tc>
        <w:tc>
          <w:tcPr>
            <w:tcW w:w="24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16,479</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changes in stockholders’ equity for the three months ended March 31, 2022:</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980" w:type="dxa"/>
            <w:vAlign w:val="bottom"/>
            <w:gridSpan w:val="4"/>
            <w:vMerge w:val="restart"/>
          </w:tcPr>
          <w:p>
            <w:pPr>
              <w:jc w:val="right"/>
              <w:ind w:right="43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4"/>
                <w:szCs w:val="14"/>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98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2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$0.0001</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Paid-In</w:t>
            </w:r>
          </w:p>
        </w:tc>
        <w:tc>
          <w:tcPr>
            <w:tcW w:w="130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Par Value</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Income / (Loss)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112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2021</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54,983,105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952,019</w:t>
            </w:r>
          </w:p>
        </w:tc>
        <w:tc>
          <w:tcPr>
            <w:tcW w:w="400" w:type="dxa"/>
            <w:vAlign w:val="bottom"/>
            <w:tcBorders>
              <w:top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gridSpan w:val="2"/>
            <w:shd w:val="clear" w:color="auto" w:fill="CFF0FC"/>
          </w:tcPr>
          <w:p>
            <w:pPr>
              <w:jc w:val="right"/>
              <w:ind w:right="61"/>
              <w:spacing w:after="0"/>
              <w:rPr>
                <w:sz w:val="20"/>
                <w:szCs w:val="20"/>
                <w:color w:val="auto"/>
              </w:rPr>
            </w:pPr>
            <w:r>
              <w:rPr>
                <w:rFonts w:ascii="Arial" w:cs="Arial" w:eastAsia="Arial" w:hAnsi="Arial"/>
                <w:sz w:val="18"/>
                <w:szCs w:val="18"/>
                <w:color w:val="auto"/>
                <w:w w:val="98"/>
              </w:rPr>
              <w:t>(543,702)</w:t>
            </w:r>
          </w:p>
        </w:tc>
        <w:tc>
          <w:tcPr>
            <w:tcW w:w="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408,368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Stock purchase under ESPP</w:t>
            </w:r>
          </w:p>
        </w:tc>
        <w:tc>
          <w:tcPr>
            <w:tcW w:w="920" w:type="dxa"/>
            <w:vAlign w:val="bottom"/>
          </w:tcPr>
          <w:p>
            <w:pPr>
              <w:jc w:val="right"/>
              <w:spacing w:after="0"/>
              <w:rPr>
                <w:sz w:val="20"/>
                <w:szCs w:val="20"/>
                <w:color w:val="auto"/>
              </w:rPr>
            </w:pPr>
            <w:r>
              <w:rPr>
                <w:rFonts w:ascii="Arial" w:cs="Arial" w:eastAsia="Arial" w:hAnsi="Arial"/>
                <w:sz w:val="18"/>
                <w:szCs w:val="18"/>
                <w:color w:val="auto"/>
              </w:rPr>
              <w:t>18,946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Unrealized gains on short-term investments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(685)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Employee withholdings ESPP</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28,839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(37,169)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(37,169)</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Balance as of March 31, 2022</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55,030,890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956,054</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(580,871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changes in stockholders’ equity for the three months ended March 31, 2021:</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980" w:type="dxa"/>
            <w:vAlign w:val="bottom"/>
            <w:gridSpan w:val="4"/>
            <w:vMerge w:val="restart"/>
          </w:tcPr>
          <w:p>
            <w:pPr>
              <w:jc w:val="right"/>
              <w:ind w:right="43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98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2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$0.0001</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rPr>
              <w:t>Paid-In</w:t>
            </w:r>
          </w:p>
        </w:tc>
        <w:tc>
          <w:tcPr>
            <w:tcW w:w="13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3700" w:type="dxa"/>
            <w:vAlign w:val="bottom"/>
            <w:vMerge w:val="continue"/>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Par Value</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Income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112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47,881,223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820,815</w:t>
            </w:r>
          </w:p>
        </w:tc>
        <w:tc>
          <w:tcPr>
            <w:tcW w:w="38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FF0FC"/>
            </w:tcBorders>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8"/>
              </w:rPr>
              <w:t>(568,628)</w:t>
            </w:r>
          </w:p>
        </w:tc>
        <w:tc>
          <w:tcPr>
            <w:tcW w:w="220" w:type="dxa"/>
            <w:vAlign w:val="bottom"/>
            <w:tcBorders>
              <w:top w:val="single" w:sz="8" w:color="CFF0FC"/>
            </w:tcBorders>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252,188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Stock purchase under ESPP</w:t>
            </w:r>
          </w:p>
        </w:tc>
        <w:tc>
          <w:tcPr>
            <w:tcW w:w="920" w:type="dxa"/>
            <w:vAlign w:val="bottom"/>
          </w:tcPr>
          <w:p>
            <w:pPr>
              <w:jc w:val="right"/>
              <w:spacing w:after="0"/>
              <w:rPr>
                <w:sz w:val="20"/>
                <w:szCs w:val="20"/>
                <w:color w:val="auto"/>
              </w:rPr>
            </w:pPr>
            <w:r>
              <w:rPr>
                <w:rFonts w:ascii="Arial" w:cs="Arial" w:eastAsia="Arial" w:hAnsi="Arial"/>
                <w:sz w:val="18"/>
                <w:szCs w:val="18"/>
                <w:color w:val="auto"/>
              </w:rPr>
              <w:t>16,382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Unrealized gains on short-term investments</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Prefunded warrant exchange</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Employee withholdings ESPP</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100,954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(27,723)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(27,723)</w:t>
            </w: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2021</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48,248,559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824,542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(596,351</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510"/>
        <w:spacing w:after="0" w:line="297" w:lineRule="auto"/>
        <w:rPr>
          <w:sz w:val="20"/>
          <w:szCs w:val="20"/>
          <w:color w:val="auto"/>
        </w:rPr>
      </w:pPr>
      <w:r>
        <w:rPr>
          <w:rFonts w:ascii="Arial" w:cs="Arial" w:eastAsia="Arial" w:hAnsi="Arial"/>
          <w:sz w:val="16"/>
          <w:szCs w:val="16"/>
          <w:color w:val="auto"/>
        </w:rPr>
        <w:t>In March 2021, the Company entered into a new sales agreement with Cowen and Company, LLC (“Cowen”) under which the Company may issue and sell shares of its common stock having aggregate sales proceeds of up to $75.0 million from time to time through Cowen, acting as agent, in a series of one or more ATM equity offerings (the “2021 ATM Program”). Cowen is not required to sell any specific amount but acts as the Company’s sales agent using commercially reasonable efforts consistent with its normal trading and sales practices. Shares sold pursuant to the sales agreement will be sold pursuant to a shelf registration statement on Form S-3ASR (Registration No. 333-254661), which became automatically effective upon filing on March 24, 2021. The Company’s common stock will be sold at prevailing market prices at the time of the sale; and as a result, prices may vary. For the period ended March 31, 2022, the Company sold no additional shares of common stock under the 2021 ATM Program.</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16" w:name="page17"/>
    <w:bookmarkEnd w:id="16"/>
    <w:p>
      <w:pPr>
        <w:ind w:left="520"/>
        <w:spacing w:after="0"/>
        <w:rPr>
          <w:sz w:val="20"/>
          <w:szCs w:val="20"/>
          <w:color w:val="auto"/>
        </w:rPr>
      </w:pPr>
      <w:r>
        <w:rPr>
          <w:rFonts w:ascii="Arial" w:cs="Arial" w:eastAsia="Arial" w:hAnsi="Arial"/>
          <w:sz w:val="17"/>
          <w:szCs w:val="17"/>
          <w:color w:val="auto"/>
        </w:rPr>
        <w:t>In April 2022, the Company sold 1,111,111 common shares under the 2021 ATM Program, with net proceeds of approximately $19.4 million.</w:t>
      </w:r>
    </w:p>
    <w:p>
      <w:pPr>
        <w:spacing w:after="0" w:line="236"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 December 2021, in connection with the Incyte License and Collaboration Agreement and Share Purchase Agreement, the Company issued 1,421,523 shares of common stock, with net proceeds of approximately $35.0 million. The Company recorded the equity issuance at a fair value of $24.8 million based on the market price of the stock on the date of issuance.</w:t>
      </w:r>
    </w:p>
    <w:p>
      <w:pPr>
        <w:spacing w:after="0" w:line="183"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warrant exercise, exercise of stock options, and the employee stock purchase plan:</w:t>
      </w:r>
    </w:p>
    <w:p>
      <w:pPr>
        <w:spacing w:after="0" w:line="98"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p>
        </w:tc>
        <w:tc>
          <w:tcPr>
            <w:tcW w:w="2400" w:type="dxa"/>
            <w:vAlign w:val="bottom"/>
            <w:gridSpan w:val="2"/>
          </w:tcPr>
          <w:p>
            <w:pPr>
              <w:ind w:left="1080"/>
              <w:spacing w:after="0"/>
              <w:rPr>
                <w:sz w:val="20"/>
                <w:szCs w:val="20"/>
                <w:color w:val="auto"/>
              </w:rPr>
            </w:pPr>
            <w:r>
              <w:rPr>
                <w:rFonts w:ascii="Arial" w:cs="Arial" w:eastAsia="Arial" w:hAnsi="Arial"/>
                <w:sz w:val="18"/>
                <w:szCs w:val="18"/>
                <w:b w:val="1"/>
                <w:bCs w:val="1"/>
                <w:color w:val="auto"/>
              </w:rPr>
              <w:t>March 31, 2022</w:t>
            </w:r>
          </w:p>
        </w:tc>
      </w:tr>
      <w:tr>
        <w:trPr>
          <w:trHeight w:val="223"/>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stock issuable under pre-funded warrants</w:t>
            </w:r>
          </w:p>
        </w:tc>
        <w:tc>
          <w:tcPr>
            <w:tcW w:w="2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3,975,024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2280" w:type="dxa"/>
            <w:vAlign w:val="bottom"/>
          </w:tcPr>
          <w:p>
            <w:pPr>
              <w:jc w:val="right"/>
              <w:spacing w:after="0"/>
              <w:rPr>
                <w:sz w:val="20"/>
                <w:szCs w:val="20"/>
                <w:color w:val="auto"/>
              </w:rPr>
            </w:pPr>
            <w:r>
              <w:rPr>
                <w:rFonts w:ascii="Arial" w:cs="Arial" w:eastAsia="Arial" w:hAnsi="Arial"/>
                <w:sz w:val="18"/>
                <w:szCs w:val="18"/>
                <w:color w:val="auto"/>
              </w:rPr>
              <w:t>10,210,637</w:t>
            </w:r>
          </w:p>
        </w:tc>
        <w:tc>
          <w:tcPr>
            <w:tcW w:w="120" w:type="dxa"/>
            <w:vAlign w:val="bottom"/>
          </w:tcPr>
          <w:p>
            <w:pPr>
              <w:spacing w:after="0"/>
              <w:rPr>
                <w:sz w:val="19"/>
                <w:szCs w:val="19"/>
                <w:color w:val="auto"/>
              </w:rPr>
            </w:pPr>
          </w:p>
        </w:tc>
      </w:tr>
      <w:tr>
        <w:trPr>
          <w:trHeight w:val="22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2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1,527,464</w:t>
            </w:r>
          </w:p>
        </w:tc>
        <w:tc>
          <w:tcPr>
            <w:tcW w:w="120" w:type="dxa"/>
            <w:vAlign w:val="bottom"/>
            <w:shd w:val="clear" w:color="auto" w:fill="CFF0FC"/>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w:t>
      </w:r>
    </w:p>
    <w:p>
      <w:pPr>
        <w:spacing w:after="0" w:line="200" w:lineRule="exact"/>
        <w:rPr>
          <w:sz w:val="20"/>
          <w:szCs w:val="20"/>
          <w:color w:val="auto"/>
        </w:rPr>
      </w:pPr>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57" w:right="479" w:bottom="1440" w:gutter="0" w:footer="0" w:header="0"/>
        </w:sectPr>
      </w:pPr>
    </w:p>
    <w:bookmarkStart w:id="17" w:name="page18"/>
    <w:bookmarkEnd w:id="17"/>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i w:val="1"/>
          <w:iCs w:val="1"/>
          <w:color w:val="auto"/>
        </w:rPr>
        <w:t>The following information should be read in conjunction with the unaudited financial information and the notes thereto included in this Quarterly Report on Form 10-Q and the audited financial information and the notes thereto included in our Annual Report on Form 10-K that was filed with the SEC on March 1, 2022.</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are a clinical-stage biopharmaceutical company developing an innovative pipeline of cancer therapies. Our two lead product candidates are, SNDX-5613 and SNDX-6352, or axatilimab. We are developing SNDX-5613, targeting the binding interaction of menin with the mixed lineage leukemia 1 (MLL1) protein for the treatment of MLL-rearranged, or MLLr, acute leukemias and nucleophosmin 1, or NPM1, mutant acute myeloid leukemia (AML), as well as axatilimab, a monoclonal antibody that blocks the colony stimulating factor 1, or CSF-1 receptor. We have deprioritized the development of entinostat, our once-weekly, oral, small molecule, Class I HDAC inhibitor, to focus resources on advancing the remainder of our pipeline. We plan to continue to leverage the technical and business expertise of our management team and scientific collaborators to license, acquire and develop additional therapeutics to expand our pipeline.</w:t>
      </w:r>
    </w:p>
    <w:p>
      <w:pPr>
        <w:spacing w:after="0" w:line="85"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have no products approved for commercial sale and have not generated any product revenues from product sales to date. We continue to incur significant research and development and other expenses related to our ongoing operations. We have generated minimal license revenue, except for in 2021. Other than in 2021, we are not and have never been profitable and have incurred losses in each period since our inception in 2005. For the three months ended March 31, 2022 and 2021, we reported a net loss of $37.2 million and $27.7 million, respectively. We reported a net loss attributable to stockholders of $37.2 million and $27.7 million for the three months ended March 31, 2022 and 2021, respectively. As of March 31, 2022, we had an accumulated deficit of $580.9 million, which included non-cash charges for stock-based compensation, preferred stock accretion and extinguishment charges. As of March 31, 2022, we had cash, cash equivalents and short-term investments of $397.9 million.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121" w:lineRule="exact"/>
        <w:rPr>
          <w:sz w:val="20"/>
          <w:szCs w:val="20"/>
          <w:color w:val="auto"/>
        </w:rPr>
      </w:pPr>
    </w:p>
    <w:p>
      <w:pPr>
        <w:ind w:right="260" w:firstLine="510"/>
        <w:spacing w:after="0" w:line="293" w:lineRule="auto"/>
        <w:rPr>
          <w:sz w:val="20"/>
          <w:szCs w:val="20"/>
          <w:color w:val="auto"/>
        </w:rPr>
      </w:pPr>
      <w:r>
        <w:rPr>
          <w:rFonts w:ascii="Arial" w:cs="Arial" w:eastAsia="Arial" w:hAnsi="Arial"/>
          <w:sz w:val="16"/>
          <w:szCs w:val="16"/>
          <w:color w:val="auto"/>
        </w:rPr>
        <w:t>We continue to address and mitigate the impact of the ongoing COVID-19 pandemic on our employees and our business. While we are not experiencing financial impacts at this time, given the changes in global macroeconomic conditions, the overall disruption of global healthcare systems, potential limitations to the efficacy of vaccines for COVID-19, the evolution of multiple variants of the virus and other risks and uncertainties associated with the pandemic, our business, financial condition, results of operations and growth prospects could be materially adversely affected. We continue to closely monitor the COVID-19 situation as we evolve our business continuity plans and response strategy. In March 2020, our workforce transition to working remotely. We have gradually reopened our offices to allow employees to return to the office, while also supporting remote working options.</w:t>
      </w:r>
    </w:p>
    <w:p>
      <w:pPr>
        <w:spacing w:after="0" w:line="55" w:lineRule="exact"/>
        <w:rPr>
          <w:sz w:val="20"/>
          <w:szCs w:val="20"/>
          <w:color w:val="auto"/>
        </w:rPr>
      </w:pPr>
    </w:p>
    <w:p>
      <w:pPr>
        <w:ind w:right="100" w:firstLine="510"/>
        <w:spacing w:after="0" w:line="256" w:lineRule="auto"/>
        <w:rPr>
          <w:sz w:val="20"/>
          <w:szCs w:val="20"/>
          <w:color w:val="auto"/>
        </w:rPr>
      </w:pPr>
      <w:r>
        <w:rPr>
          <w:rFonts w:ascii="Arial" w:cs="Arial" w:eastAsia="Arial" w:hAnsi="Arial"/>
          <w:sz w:val="18"/>
          <w:szCs w:val="18"/>
          <w:color w:val="auto"/>
        </w:rPr>
        <w:t>We are working closely our third-party manufacturers, distributors and other partners to manage our supply chain activities and mitigate potential disruptions to our product supplies as a result of the ongoing COVID-19 pandemic. We currently expect to have adequate supplies of SNDX-5613 and axatilimab. If the COVID-19 pandemic continues to persist and if it impacts essential distribution systems such as FedEx and postal delivery or if it results in facility closures for cleaning and/or insufficient staff, we could experience disruptions to our supply chain and operations, and associated delays in the manufacturing and supply of our products, and to our clinical trial operations.</w:t>
      </w:r>
    </w:p>
    <w:p>
      <w:pPr>
        <w:spacing w:after="0" w:line="83"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With respect to clinical development, we continue to take measures to implement remote and virtual approaches, including remote patient monitoring where possible, to maintain patient safety and trial continuity and to preserve study integrity. We have, and may continue to experience, disruptions and/or delays in our ability to initiate trial sites and enroll and assess patients. As the COVID-19 pandemic continues, we anticipate an ongoing, though minimal, impact on our ability to maintain patient enrollment in the AUGMENT-101 and AGAVE trials. We could also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COVID-19 pandemic. If the COVID-19 pandemic continues, we could experience significant disruptions to our clinical development timelines, which would adversely affect our business, financial condition, results of operations and growth prospects.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Revumenib (SNDX-5613)</w:t>
      </w:r>
    </w:p>
    <w:p>
      <w:pPr>
        <w:spacing w:after="0" w:line="117" w:lineRule="exact"/>
        <w:rPr>
          <w:sz w:val="20"/>
          <w:szCs w:val="20"/>
          <w:color w:val="auto"/>
        </w:rPr>
      </w:pPr>
    </w:p>
    <w:p>
      <w:pPr>
        <w:ind w:left="740" w:right="20" w:hanging="368"/>
        <w:spacing w:after="0" w:line="259"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pivotal Phase 2 portion of AUGMENT-101 is ongoing and we continue to expect completion of enrollment in at least one of the three pivotal cohorts later this year. The trials are expected to enroll a total of 64 adult and up to 10 pediatric patients across each of three distinct trial populations: patients with NPM1 mutant acute myeloid leukemia (AML), patients with MLLr AML, and patients with MLLr acute lymphocytic leukemia (ALL). Based on discussions with the U.S. FDA,</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ind w:left="740" w:right="260"/>
        <w:spacing w:after="0" w:line="277" w:lineRule="auto"/>
        <w:rPr>
          <w:sz w:val="20"/>
          <w:szCs w:val="20"/>
          <w:color w:val="auto"/>
        </w:rPr>
      </w:pPr>
      <w:r>
        <w:rPr>
          <w:rFonts w:ascii="Arial" w:cs="Arial" w:eastAsia="Arial" w:hAnsi="Arial"/>
          <w:sz w:val="18"/>
          <w:szCs w:val="18"/>
          <w:color w:val="auto"/>
        </w:rPr>
        <w:t>AUGMENT-101 may serve as the basis for regulatory filings in each of the three distinct populations. We expect to receive initial topline data from the trials starting in the first half of 2023, with the potential for the first New Drug Application filing in 2023.</w:t>
      </w:r>
    </w:p>
    <w:p>
      <w:pPr>
        <w:spacing w:after="0" w:line="62" w:lineRule="exact"/>
        <w:rPr>
          <w:sz w:val="20"/>
          <w:szCs w:val="20"/>
          <w:color w:val="auto"/>
        </w:rPr>
      </w:pPr>
    </w:p>
    <w:p>
      <w:pPr>
        <w:ind w:left="740" w:hanging="368"/>
        <w:spacing w:after="0" w:line="25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additional trials, BEAT-AML and AUGMENT-102, are now underway to assess the safety, tolerability, and preliminary anti-leukemic efficacy of revumenib (SNDX-5613) and establish an appropriate Phase 2 dose. BEAT-AML is a front-line combination trial of revumenib with venetoclax and azacitidine being conducted as part of the Leukemia &amp; Lymphoma Society’s Beat® AML Master Clinical Trial. The primary endpoint of the phase 1 portion of BEAT-AML trial is to determine the recommended Phase 2 dose of the combination. We also initiated a trial in combination with chemotherapy in patients with R/R NPM1 or MLLr acute leukemias, known as AUGMENT-102. The primary endpoint of AUGMENT-102 will assess the safety, tolerability, and recommended Phase 2 dose criteria. Topline data from the trials are expected beginning in 2023.</w:t>
      </w:r>
    </w:p>
    <w:p>
      <w:pPr>
        <w:spacing w:after="0" w:line="84" w:lineRule="exact"/>
        <w:rPr>
          <w:rFonts w:ascii="Arial" w:cs="Arial" w:eastAsia="Arial" w:hAnsi="Arial"/>
          <w:sz w:val="18"/>
          <w:szCs w:val="18"/>
          <w:color w:val="auto"/>
        </w:rPr>
      </w:pPr>
    </w:p>
    <w:p>
      <w:pPr>
        <w:jc w:val="both"/>
        <w:ind w:left="740" w:right="120" w:hanging="368"/>
        <w:spacing w:after="0" w:line="296"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intend to initiate a proof-of-concept clinical trial to evaluate revumenib (SNDX-5613) in patients with unresectable metastatic microsatellite stable CRC, which represents the second leading cause of cancer death in the U.S. with an estimated incidence of over 55,000 patients per year. Activation of the Wnt/β-catenin signaling pathway is believed to be a key initiating step and growth driver for the majority of CRC tumors. The menin-MLL1 protein complex has recently been shown to regulate β-catenin activity and in preclinical models, disrupting this complex through menin inhibition blocks growth of Wnt/β-catenin driven CRC tumors. We expect to commence the trial in the fourth quarter of 2022.</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Axatilimab</w:t>
      </w:r>
    </w:p>
    <w:p>
      <w:pPr>
        <w:spacing w:after="0" w:line="117" w:lineRule="exact"/>
        <w:rPr>
          <w:sz w:val="20"/>
          <w:szCs w:val="20"/>
          <w:color w:val="auto"/>
        </w:rPr>
      </w:pPr>
    </w:p>
    <w:p>
      <w:pPr>
        <w:ind w:left="740" w:right="60" w:hanging="368"/>
        <w:spacing w:after="0" w:line="263"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 FDA has granted Fast Track Designation (FTD) to axatilimab for the treatment of patients with cGVHD after failure of two or more lines of systemic therapy. FTD is designed to facilitate the development and expedite the review of drugs to treat serious conditions and fulfill an unmet medical need, enabling drugs to reach patients earlier.</w:t>
      </w:r>
    </w:p>
    <w:p>
      <w:pPr>
        <w:spacing w:after="0" w:line="74" w:lineRule="exact"/>
        <w:rPr>
          <w:rFonts w:ascii="Arial" w:cs="Arial" w:eastAsia="Arial" w:hAnsi="Arial"/>
          <w:sz w:val="18"/>
          <w:szCs w:val="18"/>
          <w:color w:val="auto"/>
        </w:rPr>
      </w:pPr>
    </w:p>
    <w:p>
      <w:pPr>
        <w:ind w:left="740" w:right="160" w:hanging="368"/>
        <w:spacing w:after="0" w:line="256"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Enrollment is ongoing in our global pivotal Phase 2 AGAVE-201 trial of axatilimab in patients with cGVHD. The trial is evaluating the safety and efficacy of three doses and schedules of axatilimab. The primary endpoint will assess objective response rate based on the 2014 NIH consensus criteria for cGVHD, with key secondary endpoints including duration of response and improvement in modified Lee Symptom Scale score. We remain on track to report topline data in the first half of 2023, with the potential for a Biologics License Application BLA filing in 2023.</w:t>
      </w:r>
    </w:p>
    <w:p>
      <w:pPr>
        <w:spacing w:after="0" w:line="82"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remain on track to commence a Phase 2 trial in idiopathic pulmonary fibrosis in the fourth quarter of 2022.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To date, we have not generated any product revenues. Our ability to generate revenue and become profitable depends upon our ability to obtain marketing approval of and successfully commercialize our product candidates. Our revenue for the three months ended March 31, 2021, had been solely derived from our license, development and commercialization agreement with Kyowa Kirin Co., Ltd., or KKC. In September 2021, KKC informed us that they discontinued the entinostat program and cancelled the license to develop and commercialize entinostat.</w:t>
      </w:r>
    </w:p>
    <w:p>
      <w:pPr>
        <w:spacing w:after="0" w:line="62" w:lineRule="exact"/>
        <w:rPr>
          <w:sz w:val="20"/>
          <w:szCs w:val="20"/>
          <w:color w:val="auto"/>
        </w:rPr>
      </w:pPr>
    </w:p>
    <w:p>
      <w:pPr>
        <w:ind w:right="20" w:firstLine="510"/>
        <w:spacing w:after="0" w:line="256" w:lineRule="auto"/>
        <w:rPr>
          <w:sz w:val="20"/>
          <w:szCs w:val="20"/>
          <w:color w:val="auto"/>
        </w:rPr>
      </w:pPr>
      <w:r>
        <w:rPr>
          <w:rFonts w:ascii="Arial" w:cs="Arial" w:eastAsia="Arial" w:hAnsi="Arial"/>
          <w:sz w:val="18"/>
          <w:szCs w:val="18"/>
          <w:color w:val="auto"/>
        </w:rPr>
        <w:t>In September 2021, the Company entered into the Incyte License and Collaboration Agreement with Incyte covering the worldwide development and commercialization of SNDX-6352 (axatilimab). We granted Incyte an exclusive license to develop and commercialize axatilimab in the United States and the rest of the world. In 2021, we received $152.0 million in total consideration, of which $126.6 million was allocated to the license and recognized as license revenue as of December 31, 2021. As of March 31, 2022, no additional revenue has been recognized under the Incyte License and Collaboration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our product candidates and include:</w:t>
      </w:r>
    </w:p>
    <w:p>
      <w:pPr>
        <w:spacing w:after="0" w:line="62" w:lineRule="exact"/>
        <w:rPr>
          <w:sz w:val="20"/>
          <w:szCs w:val="20"/>
          <w:color w:val="auto"/>
        </w:rPr>
      </w:pPr>
    </w:p>
    <w:p>
      <w:pPr>
        <w:ind w:left="1000" w:right="104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61"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employee-related expenses associated with our research and development activities, including salaries, benefits, travel and non-cash stock-based compensation expenses;</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9" w:name="page20"/>
    <w:bookmarkEnd w:id="19"/>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251"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185" w:lineRule="exact"/>
        <w:rPr>
          <w:sz w:val="20"/>
          <w:szCs w:val="20"/>
          <w:color w:val="auto"/>
        </w:rPr>
      </w:pPr>
    </w:p>
    <w:p>
      <w:pPr>
        <w:jc w:val="both"/>
        <w:ind w:right="80" w:firstLine="510"/>
        <w:spacing w:after="0" w:line="275" w:lineRule="auto"/>
        <w:rPr>
          <w:sz w:val="20"/>
          <w:szCs w:val="20"/>
          <w:color w:val="auto"/>
        </w:rPr>
      </w:pPr>
      <w:r>
        <w:rPr>
          <w:rFonts w:ascii="Arial" w:cs="Arial" w:eastAsia="Arial" w:hAnsi="Arial"/>
          <w:sz w:val="17"/>
          <w:szCs w:val="17"/>
          <w:color w:val="auto"/>
        </w:rPr>
        <w:t>Research and development activities are central to our business model. Drug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w:t>
      </w:r>
    </w:p>
    <w:p>
      <w:pPr>
        <w:spacing w:after="0" w:line="17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It is difficult to determine, with certainty, the duration and completion costs of our current or future preclinical programs, clinical studies and clinical trials of our product candidates. The duration, costs and timing of clinical studies and clinical trials of our product candidates will depend on a variety of factors that include, but are not limited to, the following:</w:t>
      </w:r>
    </w:p>
    <w:p>
      <w:pPr>
        <w:spacing w:after="0" w:line="75"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 patient costs;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patients that participate;</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sites;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countries in which the studies and trials are conducted;</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additional safety monitoring or other studies requested by regulatory agencies;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duration of patient monitoring;</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candidates; and</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and receipt of any regulatory approvals.</w:t>
      </w:r>
    </w:p>
    <w:p>
      <w:pPr>
        <w:spacing w:after="0" w:line="251" w:lineRule="exact"/>
        <w:rPr>
          <w:sz w:val="20"/>
          <w:szCs w:val="20"/>
          <w:color w:val="auto"/>
        </w:rPr>
      </w:pPr>
    </w:p>
    <w:p>
      <w:pPr>
        <w:ind w:right="60" w:firstLine="510"/>
        <w:spacing w:after="0" w:line="256" w:lineRule="auto"/>
        <w:rPr>
          <w:sz w:val="20"/>
          <w:szCs w:val="20"/>
          <w:color w:val="auto"/>
        </w:rPr>
      </w:pPr>
      <w:r>
        <w:rPr>
          <w:rFonts w:ascii="Arial" w:cs="Arial" w:eastAsia="Arial" w:hAnsi="Arial"/>
          <w:sz w:val="18"/>
          <w:szCs w:val="18"/>
          <w:color w:val="auto"/>
        </w:rPr>
        <w:t>In addition, the probability of success for each drug product candidate will depend on numerous factors, including competition, manufacturing capability and commercial viability. The successful development of our product candidates is highly uncertain. At this time, we cannot reasonably estimate the nature, timing or costs of the efforts that will be necessary to complete the remainder of the development of our product candidates for the period, if any, in which material net cash inflows from these potential product candidates may commence. Clinical development timelines, the probability of success and development costs can differ materially from expectations.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General and administrative expenses consist primarily of employee-related expenses, including salaries, benefits, non-cash stock-based compensation and travel expenses, for our employees in executive, finance, business development and support functions. Other general and administrative expenses include facility-related costs not otherwise allocated to research and development expenses and accounting, tax, legal and consulting services. We anticipate that our general and administrative expenses will increase in the future as we increase our headcount to support our continued research and development and potential commercialization of our product candidates. Additionally, if and when we believe a regulatory approval of the first product candidate appears likely, we anticipate an increase in payroll and related expenses as a result of our preparation for commercial operations, especially as it relates to the sales and marketing of our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consists primarily of interest expense on our term loan, operational and capital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income earned on our cash, cash equivalents and short-term investment balances.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Other income (expense) includes income recorded for the change in fair value of derivative liability established based on the terms of the Incyte License and Collaboration Agreement and Share Repurchase Agreement, or the Incyte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17"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 xml:space="preserve">For a discussion of new accounting standards please read </w:t>
      </w:r>
      <w:r>
        <w:rPr>
          <w:rFonts w:ascii="Arial" w:cs="Arial" w:eastAsia="Arial" w:hAnsi="Arial"/>
          <w:sz w:val="18"/>
          <w:szCs w:val="18"/>
          <w:i w:val="1"/>
          <w:iCs w:val="1"/>
          <w:color w:val="auto"/>
        </w:rPr>
        <w:t>Note 3 Summary of Significant Accounting Policies</w:t>
      </w:r>
      <w:r>
        <w:rPr>
          <w:rFonts w:ascii="Arial" w:cs="Arial" w:eastAsia="Arial" w:hAnsi="Arial"/>
          <w:sz w:val="18"/>
          <w:szCs w:val="18"/>
          <w:color w:val="auto"/>
        </w:rPr>
        <w:t>, to our condensed consolidated financial statements included in this report.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on our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and expenses and the disclosure of contingent assets and liabilities in our financial statements.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w:t>
      </w:r>
    </w:p>
    <w:p>
      <w:pPr>
        <w:spacing w:after="0" w:line="181"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There have been no material changes to our critical accounting estimates described in the “Management’s Discussion and Analysis of Financial Condition and Results of Operations” contained in our Annual Report on Form 10-K.</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200" w:lineRule="exact"/>
        <w:rPr>
          <w:sz w:val="20"/>
          <w:szCs w:val="20"/>
          <w:color w:val="auto"/>
        </w:rPr>
      </w:pP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9"/>
              </w:rPr>
              <w:t>Three Months Ended March 31,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3"/>
          </w:tcPr>
          <w:p>
            <w:pPr>
              <w:ind w:left="240"/>
              <w:spacing w:after="0"/>
              <w:rPr>
                <w:sz w:val="20"/>
                <w:szCs w:val="20"/>
                <w:color w:val="auto"/>
              </w:rPr>
            </w:pPr>
            <w:r>
              <w:rPr>
                <w:rFonts w:ascii="Arial" w:cs="Arial" w:eastAsia="Arial" w:hAnsi="Arial"/>
                <w:sz w:val="14"/>
                <w:szCs w:val="14"/>
                <w:b w:val="1"/>
                <w:bCs w:val="1"/>
                <w:color w:val="auto"/>
                <w:w w:val="90"/>
              </w:rPr>
              <w:t>Increase (Decrease)</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4"/>
          </w:tcPr>
          <w:p>
            <w:pPr>
              <w:jc w:val="right"/>
              <w:ind w:right="30"/>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480"/>
              <w:spacing w:after="0"/>
              <w:rPr>
                <w:sz w:val="20"/>
                <w:szCs w:val="20"/>
                <w:color w:val="auto"/>
              </w:rPr>
            </w:pPr>
            <w:r>
              <w:rPr>
                <w:rFonts w:ascii="Arial" w:cs="Arial" w:eastAsia="Arial" w:hAnsi="Arial"/>
                <w:sz w:val="18"/>
                <w:szCs w:val="18"/>
                <w:color w:val="auto"/>
              </w:rPr>
              <w:t>License fees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(379)</w:t>
            </w: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220" w:type="dxa"/>
            <w:vAlign w:val="bottom"/>
            <w:vMerge w:val="continue"/>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8,152</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454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9,316</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(36,858)</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(27,163)</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9,695</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(651)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4540" w:type="dxa"/>
            <w:vAlign w:val="bottom"/>
          </w:tcPr>
          <w:p>
            <w:pPr>
              <w:ind w:left="480"/>
              <w:spacing w:after="0"/>
              <w:rPr>
                <w:sz w:val="20"/>
                <w:szCs w:val="20"/>
                <w:color w:val="auto"/>
              </w:rPr>
            </w:pPr>
            <w:r>
              <w:rPr>
                <w:rFonts w:ascii="Arial" w:cs="Arial" w:eastAsia="Arial" w:hAnsi="Arial"/>
                <w:sz w:val="18"/>
                <w:szCs w:val="18"/>
                <w:color w:val="auto"/>
              </w:rPr>
              <w:t>Other expense, net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(37,169)</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(27,723)</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9,446</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Fees</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For the three months ended March 31, 2022, we recognized no revenue under our current agreements are not revenue generating at this time. For the three months ended March 31, 2021, we recognized $0.4 million respectively, derived from the KKC license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color w:val="auto"/>
        </w:rPr>
        <w:t>For the three months ended March 31, 2022, our total research and development expenses increased $8.2 million, or 37%, to $30.0 million from $21.9 million for the comparable quarter in the prior year. The increase in research and development expenses was primarily due to clinical activities of $5.8 million, increases in employee related expenses of $2.0 million and increases in professional fees of $0.4 million. The increase in clinical activities was primarily due to development expenses of $7.8 million, increased manufacturing activities of $3.1 million, increased clinical trial costs of $1.2 million, offset by reimbursable expenses related to Incyte</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1" w:name="page22"/>
    <w:bookmarkEnd w:id="21"/>
    <w:p>
      <w:pPr>
        <w:ind w:right="60"/>
        <w:spacing w:after="0" w:line="263" w:lineRule="auto"/>
        <w:rPr>
          <w:sz w:val="20"/>
          <w:szCs w:val="20"/>
          <w:color w:val="auto"/>
        </w:rPr>
      </w:pPr>
      <w:r>
        <w:rPr>
          <w:rFonts w:ascii="Arial" w:cs="Arial" w:eastAsia="Arial" w:hAnsi="Arial"/>
          <w:sz w:val="18"/>
          <w:szCs w:val="18"/>
          <w:color w:val="auto"/>
        </w:rPr>
        <w:t>Agreement of $6.3 million. The increase in employee related expenses was primarily due to increases in headcount and year over year merit increases. We expect research and development expenses to fluctuate from quarter to quarter depending on the timing of clinical trial activities, clinical manufacturing, the Incyte Agreement cross-charges and other development activities.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32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Pr>
          <w:p>
            <w:pPr>
              <w:spacing w:after="0"/>
              <w:rPr>
                <w:sz w:val="14"/>
                <w:szCs w:val="14"/>
                <w:color w:val="auto"/>
              </w:rPr>
            </w:pPr>
          </w:p>
        </w:tc>
        <w:tc>
          <w:tcPr>
            <w:tcW w:w="22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jc w:val="right"/>
              <w:ind w:right="27"/>
              <w:spacing w:after="0" w:line="155"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 expenses</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17,605</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6,152</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6,265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4,265</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0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7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vMerge w:val="continue"/>
            <w:shd w:val="clear" w:color="auto" w:fill="CFF0FC"/>
          </w:tcPr>
          <w:p>
            <w:pPr>
              <w:spacing w:after="0"/>
              <w:rPr>
                <w:sz w:val="19"/>
                <w:szCs w:val="19"/>
                <w:color w:val="auto"/>
              </w:rPr>
            </w:pPr>
          </w:p>
        </w:tc>
        <w:tc>
          <w:tcPr>
            <w:tcW w:w="7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30,022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21,870</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8,152</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360" w:firstLine="510"/>
        <w:spacing w:after="0" w:line="311" w:lineRule="auto"/>
        <w:rPr>
          <w:sz w:val="20"/>
          <w:szCs w:val="20"/>
          <w:color w:val="auto"/>
        </w:rPr>
      </w:pPr>
      <w:r>
        <w:rPr>
          <w:rFonts w:ascii="Arial" w:cs="Arial" w:eastAsia="Arial" w:hAnsi="Arial"/>
          <w:sz w:val="16"/>
          <w:szCs w:val="16"/>
          <w:color w:val="auto"/>
        </w:rPr>
        <w:t>For the three months ended March 31, 2022, our total general and administrative expenses increased $1.2 million, or 21%, to $6.8 million from $5.7 million for the comparable period in the prior year. The increase in general and administrative expenses was primarily due to increased employee related expenses of $0.8 million, increased professional services expenses of $0.2 million and increased insurance related expenses of $0.2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For the three months ended March 31, 2022, interest income increased from the comparable period in the prior year primarily due to interest rates partially offset by an increased average balance on cash equivalents and short-term investments.</w:t>
      </w:r>
    </w:p>
    <w:p>
      <w:pPr>
        <w:spacing w:after="0" w:line="62"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For the three months ended March 31, 2022, interest expense increased from the comparable period in the prior year primarily due to the interest expense on the Amended Loan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For the three months ended March 31, 2022, other income (expense) increased from the comparable period in the prior year primarily to a change in fair value of the derivative liability recorded in connection with the Incyte Agreements.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As of March 31, 2022, we had cash, cash equivalents and short-term investments totaling $397.9 million. Our operations have been primarily financed by net proceeds from our initial public offering, our follow-on stock offerings and proceeds from our license agreements. We believe that our present cash, cash equivalents and short-term investments as of March 31, 2022, will fund our projected operating expenses and capital expenditure requirements for at least the next 12 months. In addition to our existing cash, cash equivalents and short-term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17" w:lineRule="exact"/>
        <w:rPr>
          <w:sz w:val="20"/>
          <w:szCs w:val="20"/>
          <w:color w:val="auto"/>
        </w:rPr>
      </w:pPr>
    </w:p>
    <w:p>
      <w:pPr>
        <w:jc w:val="both"/>
        <w:ind w:right="240" w:firstLine="510"/>
        <w:spacing w:after="0" w:line="311" w:lineRule="auto"/>
        <w:rPr>
          <w:sz w:val="20"/>
          <w:szCs w:val="20"/>
          <w:color w:val="auto"/>
        </w:rPr>
      </w:pPr>
      <w:r>
        <w:rPr>
          <w:rFonts w:ascii="Arial" w:cs="Arial" w:eastAsia="Arial" w:hAnsi="Arial"/>
          <w:sz w:val="16"/>
          <w:szCs w:val="16"/>
          <w:color w:val="auto"/>
        </w:rPr>
        <w:t>In December 2021, the Company entered into Amendment No. 1 to the Company’s loan and security agreement (the “First Amendment” and the Loan Agreement, as amended, the “Amended Loan Agreement”) with several banks and financial institutions or entities from time-to-time party thereto (collectively, the “Lender”) and Hercules, in its capacity as administrative agent for itself and the Lender (in such capacity, the “Agent”).</w:t>
      </w:r>
    </w:p>
    <w:p>
      <w:pPr>
        <w:spacing w:after="0" w:line="40"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 xml:space="preserve">The Amended Loan Agreement provides for an aggregate maximum borrowing of up to $80.0 million, consisting of (i) a term loan of up to $20 million (the “Initial Advance”), (ii) second tranche (“Tranche 2”) of up to $30.0 million with $15.0 million being available at the Company’s option through April 30, 2022 and the remaining $15.0 million being available at the Company’s option through November 30, 2022, which availability period will be extended to April 30, 2023 if the first $15.0 million is drawn prior to April 30, 2022, and (iii) third tranche (“Tranche 3”) of up to $30.0 million which is available, subject to the Agent’s investment committee approval, through the Interest-Only Period. For additional information, see </w:t>
      </w:r>
      <w:r>
        <w:rPr>
          <w:rFonts w:ascii="Arial" w:cs="Arial" w:eastAsia="Arial" w:hAnsi="Arial"/>
          <w:sz w:val="17"/>
          <w:szCs w:val="17"/>
          <w:i w:val="1"/>
          <w:iCs w:val="1"/>
          <w:color w:val="auto"/>
        </w:rPr>
        <w:t>Note 11 Loan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Payable </w:t>
      </w:r>
      <w:r>
        <w:rPr>
          <w:rFonts w:ascii="Arial" w:cs="Arial" w:eastAsia="Arial" w:hAnsi="Arial"/>
          <w:sz w:val="17"/>
          <w:szCs w:val="17"/>
          <w:color w:val="auto"/>
        </w:rPr>
        <w:t>to our condensed consolidated financial statements elsewhere in this report.</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225"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In March 2021, we entered into a new sales agreement with Cowen, under which we may issue and sell shares of our common stock having aggregate sales proceeds of up to $75.0 million from time to time through Cowen, acting as agent, in a series of one or more ATM equity offerings (the “2021 ATM Program”). Cowen is not required to sell any specific amount but acts as our sales agent using commercially reasonable efforts consistent with its normal trading and sales practices. Shares sold pursuant to the sales agreement will be sold pursuant to a shelf registration statement on Form S-3ASR (Registration No. 333-254661), which became automatically effective upon filing on March 24, 2021. Our common stock will be sold at prevailing market prices at the time of the sale; and as a result, prices may vary. As of March 31, 2022, we had sold no shares of common stock under the 2021 ATM Program. As of May 6, 2022, the Company had $49.7 million available under the ATM.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We believe that our available cash, cash equivalents and short-term investments and continued access to our term loan are sufficient to fund existing and planned cash requirements for the next 12 months. Our primary uses of capital are, and we expect will continue to be, compensation and related expenses, third-party clinical research and development services, clinical costs, legal and other regulatory expenses and general overhead costs. We have based our estimates on assumptions that may prove to be incorrect, and we could use our capital resources sooner than we currently expect.</w:t>
      </w:r>
    </w:p>
    <w:p>
      <w:pPr>
        <w:spacing w:after="0" w:line="48"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Additionally, the process of testing drug candidates in clinical trials is costly, and the timing of progress in these trials is uncertain. We cannot estimate the actual amounts necessary to successfully complete the development and commercialization of our drug candidates or whether, or when, we may achieve profitability. Our future capital requirements will depend on many factors, including:</w:t>
      </w:r>
    </w:p>
    <w:p>
      <w:pPr>
        <w:spacing w:after="0" w:line="75"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43" w:lineRule="exact"/>
        <w:rPr>
          <w:rFonts w:ascii="Arial" w:cs="Arial" w:eastAsia="Arial" w:hAnsi="Arial"/>
          <w:sz w:val="18"/>
          <w:szCs w:val="18"/>
          <w:color w:val="auto"/>
        </w:rPr>
      </w:pPr>
    </w:p>
    <w:p>
      <w:pPr>
        <w:ind w:left="1000" w:right="320" w:hanging="493"/>
        <w:spacing w:after="0" w:line="307"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9" w:lineRule="exact"/>
        <w:rPr>
          <w:rFonts w:ascii="Arial" w:cs="Arial" w:eastAsia="Arial" w:hAnsi="Arial"/>
          <w:sz w:val="17"/>
          <w:szCs w:val="17"/>
          <w:color w:val="auto"/>
        </w:rPr>
      </w:pPr>
    </w:p>
    <w:p>
      <w:pPr>
        <w:jc w:val="both"/>
        <w:ind w:left="1000" w:right="28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43"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cost and timing for obtaining pricing and reimbursement, which may require additional trials to address pharmacoeconomic benefit;</w:t>
      </w:r>
    </w:p>
    <w:p>
      <w:pPr>
        <w:spacing w:after="0" w:line="155" w:lineRule="exact"/>
        <w:rPr>
          <w:rFonts w:ascii="Arial" w:cs="Arial" w:eastAsia="Arial" w:hAnsi="Arial"/>
          <w:sz w:val="17"/>
          <w:szCs w:val="17"/>
          <w:color w:val="auto"/>
        </w:rPr>
      </w:pPr>
    </w:p>
    <w:p>
      <w:pPr>
        <w:ind w:left="1000" w:right="1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drug candidates if either candidate receives regulatory approval and we determine to commercialize it ourselves;</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43" w:lineRule="exact"/>
        <w:rPr>
          <w:rFonts w:ascii="Arial" w:cs="Arial" w:eastAsia="Arial" w:hAnsi="Arial"/>
          <w:sz w:val="18"/>
          <w:szCs w:val="18"/>
          <w:color w:val="auto"/>
        </w:rPr>
      </w:pPr>
    </w:p>
    <w:p>
      <w:pPr>
        <w:ind w:left="1000" w:right="200" w:hanging="493"/>
        <w:spacing w:after="0" w:line="307"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39" w:lineRule="exact"/>
        <w:rPr>
          <w:rFonts w:ascii="Arial" w:cs="Arial" w:eastAsia="Arial" w:hAnsi="Arial"/>
          <w:sz w:val="17"/>
          <w:szCs w:val="17"/>
          <w:color w:val="auto"/>
        </w:rPr>
      </w:pPr>
    </w:p>
    <w:p>
      <w:pPr>
        <w:ind w:left="1000" w:right="62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w:t>
      </w:r>
    </w:p>
    <w:p>
      <w:pPr>
        <w:spacing w:after="0" w:line="74"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disruptions to our supply chain and operations, and associated delays in the manufacturing and supply of our products, which would adversely impact our ability to continue our clinical trial operations.</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43"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to meet our requirements as a public company.</w:t>
      </w:r>
    </w:p>
    <w:p>
      <w:pPr>
        <w:spacing w:after="0" w:line="16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Until such time, if ever, as we can generate substantial product revenues, we expect to finance our cash needs through a combination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3" w:name="page24"/>
    <w:bookmarkEnd w:id="23"/>
    <w:p>
      <w:pPr>
        <w:ind w:right="140"/>
        <w:spacing w:after="0" w:line="263" w:lineRule="auto"/>
        <w:rPr>
          <w:sz w:val="20"/>
          <w:szCs w:val="20"/>
          <w:color w:val="auto"/>
        </w:rPr>
      </w:pPr>
      <w:r>
        <w:rPr>
          <w:rFonts w:ascii="Arial" w:cs="Arial" w:eastAsia="Arial" w:hAnsi="Arial"/>
          <w:sz w:val="18"/>
          <w:szCs w:val="18"/>
          <w:color w:val="auto"/>
        </w:rPr>
        <w:t>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83"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Our material contractual obligations and commitments as of March 31, 2022, primarily relate to our maturities of principal obligations under our long-term debt, operating leases for office space and equipment and capital leases for office equipment. As of March 31, 2022, we have $5.2 million payable within 12 months.</w:t>
      </w:r>
    </w:p>
    <w:p>
      <w:pPr>
        <w:spacing w:after="0" w:line="183"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Except as disclosed above, we have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spacing w:after="0" w:line="175"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have incurred losses and cumulative negative cash flows from operations since our inception, excluding year ended 2021. As of March 31, 2022, we had an accumulated deficit of $580.9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flows:</w:t>
      </w:r>
    </w:p>
    <w:p>
      <w:pPr>
        <w:spacing w:after="0" w:line="10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5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gridSpan w:val="3"/>
          </w:tcPr>
          <w:p>
            <w:pPr>
              <w:jc w:val="right"/>
              <w:ind w:right="516"/>
              <w:spacing w:after="0" w:line="155"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84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2"/>
              </w:rPr>
              <w:t>(41,931)</w:t>
            </w: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2"/>
              </w:rPr>
              <w:t>(22,589)</w:t>
            </w: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8,182</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(29,228)</w:t>
            </w:r>
          </w:p>
        </w:tc>
      </w:tr>
      <w:tr>
        <w:trPr>
          <w:trHeight w:val="229"/>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FF0FC"/>
          </w:tcPr>
          <w:p>
            <w:pPr>
              <w:spacing w:after="0"/>
              <w:rPr>
                <w:sz w:val="19"/>
                <w:szCs w:val="19"/>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940" w:type="dxa"/>
            <w:vAlign w:val="bottom"/>
          </w:tcPr>
          <w:p>
            <w:pPr>
              <w:spacing w:after="0"/>
              <w:rPr>
                <w:sz w:val="19"/>
                <w:szCs w:val="19"/>
                <w:color w:val="auto"/>
              </w:rPr>
            </w:pPr>
          </w:p>
        </w:tc>
        <w:tc>
          <w:tcPr>
            <w:tcW w:w="900" w:type="dxa"/>
            <w:vAlign w:val="bottom"/>
            <w:tcBorders>
              <w:bottom w:val="single" w:sz="8" w:color="auto"/>
            </w:tcBorders>
          </w:tcPr>
          <w:p>
            <w:pPr>
              <w:jc w:val="right"/>
              <w:ind w:right="74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(33,192)</w:t>
            </w:r>
          </w:p>
        </w:tc>
        <w:tc>
          <w:tcPr>
            <w:tcW w:w="26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(50,857)</w:t>
            </w:r>
          </w:p>
        </w:tc>
        <w:tc>
          <w:tcPr>
            <w:tcW w:w="12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Net cash used in operating activities for the three months ended March 31, 2022, was $41.9 million and primarily consisted of our net loss of $37.2 million adjusted for non-cash items, including stock-based compensation of $3.5 million, a net increase in operating assets and liabilities of $8.3 million, an investment amortization of $0.1 million, non-cash interest expense associated with the term loan of $0.2 million, and a decrease of the derivative liability associated with the Incyte Agreements of $0.2 million. The increase in our net loss was primarily due to the increase in our clinical trial activities and manufacturing expenses. The net increase in operating assets and liabilities primarily consisted of increased accounts payable of $2.6 million, offset by increased prepayments and deposits of $14.7 million, and increased accrued expenses and other liabilities of $3.9 million.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firstLine="510"/>
        <w:spacing w:after="0" w:line="296" w:lineRule="auto"/>
        <w:rPr>
          <w:sz w:val="20"/>
          <w:szCs w:val="20"/>
          <w:color w:val="auto"/>
        </w:rPr>
      </w:pPr>
      <w:r>
        <w:rPr>
          <w:rFonts w:ascii="Arial" w:cs="Arial" w:eastAsia="Arial" w:hAnsi="Arial"/>
          <w:sz w:val="16"/>
          <w:szCs w:val="16"/>
          <w:color w:val="auto"/>
        </w:rPr>
        <w:t>Net cash used in operating activities for the three months ended March 31, 2021, was $22.6 million and primarily consisted of our net loss of $27.7 million adjusted for non-cash items, including stock-based compensation of $2.8 million, a net increase in operating assets and liabilities of $2.0 million, an investment amortization of $0.2 million and non-cash interest expense associated with the term loan of $0.1 million. The increased net loss is primarily due to increase in our clinical trial activities and manufacturing expenses. The net increase in operating assets and liabilities primarily consisted of increased accounts payable of $3.0 million, offset by decreased prepayments and deposits of $0.6 million, and decreased deferred revenue of $0.4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provided by investing activities for the three months ended March 31, 2022, was $8.2 million and was primarily due to the purchase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$42.3 million of available-for-sale marketable securities offset by $50.5 million in proceeds from the maturities of available-for-sale marketable securities.</w:t>
      </w:r>
    </w:p>
    <w:p>
      <w:pPr>
        <w:spacing w:after="0" w:line="125" w:lineRule="exact"/>
        <w:rPr>
          <w:sz w:val="20"/>
          <w:szCs w:val="20"/>
          <w:color w:val="auto"/>
        </w:rPr>
      </w:pPr>
    </w:p>
    <w:p>
      <w:pPr>
        <w:ind w:right="160" w:firstLine="510"/>
        <w:spacing w:after="0" w:line="341" w:lineRule="auto"/>
        <w:rPr>
          <w:sz w:val="20"/>
          <w:szCs w:val="20"/>
          <w:color w:val="auto"/>
        </w:rPr>
      </w:pPr>
      <w:r>
        <w:rPr>
          <w:rFonts w:ascii="Arial" w:cs="Arial" w:eastAsia="Arial" w:hAnsi="Arial"/>
          <w:sz w:val="16"/>
          <w:szCs w:val="16"/>
          <w:color w:val="auto"/>
        </w:rPr>
        <w:t>Net cash used in investing activities for the three months ended March 31, 2021, was $29.2 million and was primarily due to the purchase of $66.7 million of available-for-sale marketable securities offset by $37.5 million in proceeds from the maturities of available-for-sale marketable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2022, of $0.6 million was primarily due to the proceeds from stock option exercises of $0.5 million and employee participation in our Employee Stock Purchase Plan of $0.1 million.</w:t>
      </w:r>
    </w:p>
    <w:p>
      <w:pPr>
        <w:spacing w:after="0" w:line="62"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2021, of $1.0 million was primarily due to the proceeds from stock option exercises of $0.9 million and employee participation in our Employee Stock Purchase Plan of $0.1 million.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There have been no material changes to our contractual obligations from those described in our Annual Report on Form 10-K that was filed with the SEC on March 1, 2022.</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00" w:firstLine="510"/>
        <w:spacing w:after="0" w:line="270"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March 31, 2022, we had cash and cash equivalents of $188.8 million, consisting of overnight investments, interest-bearing money market funds, commercial papers and short-term corporate bonds, and short-term investments of $209.2 million, consisting of commercial paper, highly rated corporate bonds and credit card asset backed securities.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income we receive from our marketable securities without significantly increasing risk. We have established guidelines regarding approved investments and maturities of investments, which are designed to maintain safety and liquidity. Due to the short-term maturities of our cash equivalents and the low risk profile of our short-term investments, an immediate 100 basis point change in interest rates would not have a material effect on the fair market value of our cash equivalents and short-term investments.</w:t>
      </w:r>
    </w:p>
    <w:p>
      <w:pPr>
        <w:spacing w:after="0" w:line="70"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We also have exposure to market risk on our Loan Agreement with Hercules. Our Loan Agreement accrues interest from its date of issue at a variable interest rate equal to greater of (y) 9.25% and (z) 6.00% plus the Wall Street Journal prime rate. As of March 31, 2022, $20.0 million was outstanding under the Loan Agreement. The effect of a 100 basis points adverse change in market interest rates on our 2021 Loan Agreement, in excess of applicable minimum floors, on our interest expense would be approximately $0.4 million.</w:t>
      </w:r>
    </w:p>
    <w:p>
      <w:pPr>
        <w:spacing w:after="0" w:line="77"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We do not believe that inflation and changing prices had a significant impact on our results of operations for any periods presented herein.</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5" w:name="page26"/>
    <w:bookmarkEnd w:id="25"/>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5040"/>
        <w:spacing w:after="0" w:line="375" w:lineRule="auto"/>
        <w:rPr>
          <w:sz w:val="20"/>
          <w:szCs w:val="20"/>
          <w:color w:val="auto"/>
        </w:rPr>
      </w:pPr>
      <w:r>
        <w:rPr>
          <w:rFonts w:ascii="Arial" w:cs="Arial" w:eastAsia="Arial" w:hAnsi="Arial"/>
          <w:sz w:val="18"/>
          <w:szCs w:val="18"/>
          <w:b w:val="1"/>
          <w:bCs w:val="1"/>
          <w:i w:val="1"/>
          <w:iCs w:val="1"/>
          <w:color w:val="auto"/>
        </w:rPr>
        <w:t>Disclosure Controls and Procedures and Internal Control over Financial Reporting Controls and Procedures</w:t>
      </w:r>
    </w:p>
    <w:p>
      <w:pPr>
        <w:ind w:firstLine="510"/>
        <w:spacing w:after="0" w:line="256" w:lineRule="auto"/>
        <w:rPr>
          <w:sz w:val="20"/>
          <w:szCs w:val="20"/>
          <w:color w:val="auto"/>
        </w:rPr>
      </w:pPr>
      <w:r>
        <w:rPr>
          <w:rFonts w:ascii="Arial" w:cs="Arial" w:eastAsia="Arial" w:hAnsi="Arial"/>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as of March 31, 2022. Based upon that evaluation, our principal executive officer and principal financial officer concluded that, as of the end of the period covered by this report, our disclosure controls and procedures are effective in ensuring that:</w:t>
      </w:r>
    </w:p>
    <w:p>
      <w:pPr>
        <w:spacing w:after="0" w:line="83" w:lineRule="exact"/>
        <w:rPr>
          <w:sz w:val="20"/>
          <w:szCs w:val="20"/>
          <w:color w:val="auto"/>
        </w:rPr>
      </w:pPr>
    </w:p>
    <w:p>
      <w:pPr>
        <w:ind w:left="880" w:right="600" w:hanging="373"/>
        <w:spacing w:after="0" w:line="341"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required to be disclosed by us in the reports we file or submit under the Securities Exchange Act is recorded, processed, summarized and reported within the time periods specified in the U.S. Securities and Exchange Commission’s rules and forms; and</w:t>
      </w:r>
    </w:p>
    <w:p>
      <w:pPr>
        <w:spacing w:after="0" w:line="16" w:lineRule="exact"/>
        <w:rPr>
          <w:rFonts w:ascii="Arial" w:cs="Arial" w:eastAsia="Arial" w:hAnsi="Arial"/>
          <w:sz w:val="16"/>
          <w:szCs w:val="16"/>
          <w:color w:val="auto"/>
        </w:rPr>
      </w:pPr>
    </w:p>
    <w:p>
      <w:pPr>
        <w:ind w:left="880" w:right="120" w:hanging="373"/>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is accumulated and communicated to our management, including our principal executive officer and principal financial officer as appropriate to allow timely decisions regarding required disclosure.</w:t>
      </w:r>
    </w:p>
    <w:p>
      <w:pPr>
        <w:spacing w:after="0" w:line="62" w:lineRule="exact"/>
        <w:rPr>
          <w:sz w:val="20"/>
          <w:szCs w:val="20"/>
          <w:color w:val="auto"/>
        </w:rPr>
      </w:pPr>
    </w:p>
    <w:p>
      <w:pPr>
        <w:ind w:left="520" w:right="40"/>
        <w:spacing w:after="0" w:line="286" w:lineRule="auto"/>
        <w:rPr>
          <w:sz w:val="20"/>
          <w:szCs w:val="20"/>
          <w:color w:val="auto"/>
        </w:rPr>
      </w:pPr>
      <w:r>
        <w:rPr>
          <w:rFonts w:ascii="Arial" w:cs="Arial" w:eastAsia="Arial" w:hAnsi="Arial"/>
          <w:sz w:val="17"/>
          <w:szCs w:val="17"/>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judgement in evaluating the cost- benefit relationship of possible controls and procedures.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March 31, 2022, that have materially affected, or are reasonably likely to materially affect, our internal control over financial reporting.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March 31, 2022, we were not party to any material legal or arbitration proceedings. No governmental proceedings are pending or, to our knowledge, contemplated against us.</w:t>
      </w:r>
    </w:p>
    <w:p>
      <w:pPr>
        <w:spacing w:after="0" w:line="28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i w:val="1"/>
          <w:iCs w:val="1"/>
          <w:color w:val="auto"/>
        </w:rPr>
        <w:t>An investment in shares of our common stock involves a high degree of risk. You should carefully consider the following information about these risks, together with the other information appearing elsewhere in this Quarterly Report on Form 10-Q, including our financial statements and related notes hereto, before deciding to invest in our common stock.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stock could decline; and you may lose all or part of your investment. We cannot assure you that any of the events discussed below will not occur.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Selected Risks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Our business is subject to numerous risks and uncertainties, of which you should be aware before making a decision to invest in our securities. These risks and uncertainties include, among others, the following:</w:t>
      </w:r>
    </w:p>
    <w:p>
      <w:pPr>
        <w:spacing w:after="0" w:line="62"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ongoing COVID-19 pandemic could adversely impact our business, including our clinical trials.</w:t>
      </w:r>
    </w:p>
    <w:p>
      <w:pPr>
        <w:spacing w:after="0" w:line="143" w:lineRule="exact"/>
        <w:rPr>
          <w:rFonts w:ascii="Arial" w:cs="Arial" w:eastAsia="Arial" w:hAnsi="Arial"/>
          <w:sz w:val="18"/>
          <w:szCs w:val="18"/>
          <w:color w:val="auto"/>
        </w:rPr>
      </w:pPr>
    </w:p>
    <w:p>
      <w:pPr>
        <w:ind w:left="1000" w:right="12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incur additional costs or experience delays in completing, or ultimately be unable to complete, the development and commercialization of any of our product candidates.</w:t>
      </w:r>
    </w:p>
    <w:p>
      <w:pPr>
        <w:spacing w:after="0" w:line="61"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1"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SNDX-5613 has undergone limited clinical testing and we may fail to show that the drug is well tolerated and provides sufficient clinical benefit for patients.</w:t>
      </w:r>
    </w:p>
    <w:p>
      <w:pPr>
        <w:spacing w:after="0" w:line="61"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Axatilimab has undergone limited clinical testing and we may fail to show that this drug is well tolerated and provides a sufficient clinical benefit for patients.</w:t>
      </w:r>
    </w:p>
    <w:p>
      <w:pPr>
        <w:spacing w:after="0" w:line="61" w:lineRule="exact"/>
        <w:rPr>
          <w:rFonts w:ascii="Arial" w:cs="Arial" w:eastAsia="Arial" w:hAnsi="Arial"/>
          <w:sz w:val="18"/>
          <w:szCs w:val="18"/>
          <w:color w:val="auto"/>
        </w:rPr>
      </w:pPr>
    </w:p>
    <w:p>
      <w:pPr>
        <w:ind w:left="1000" w:right="140" w:hanging="493"/>
        <w:spacing w:after="0" w:line="307"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9" w:lineRule="exact"/>
        <w:rPr>
          <w:rFonts w:ascii="Arial" w:cs="Arial" w:eastAsia="Arial" w:hAnsi="Arial"/>
          <w:sz w:val="17"/>
          <w:szCs w:val="17"/>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dependency upon our collaboration with Incyte to further develop and commercialize axatilimab.</w:t>
      </w:r>
    </w:p>
    <w:p>
      <w:pPr>
        <w:spacing w:after="0" w:line="143"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or our collaborators are unable to enroll patients in clinical trials, these clinical trials may not be completed on a timely basis or at all.</w:t>
      </w:r>
    </w:p>
    <w:p>
      <w:pPr>
        <w:spacing w:after="0" w:line="61"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regulatory approval processes of the FDA and foreign regulatory authorities are lengthy, time-consuming and inherently unpredictable. Our inability to obtain regulatory approval for our product candidates could harm our business.</w:t>
      </w:r>
    </w:p>
    <w:p>
      <w:pPr>
        <w:spacing w:after="0" w:line="61" w:lineRule="exact"/>
        <w:rPr>
          <w:rFonts w:ascii="Arial" w:cs="Arial" w:eastAsia="Arial" w:hAnsi="Arial"/>
          <w:sz w:val="18"/>
          <w:szCs w:val="18"/>
          <w:color w:val="auto"/>
        </w:rPr>
      </w:pPr>
    </w:p>
    <w:p>
      <w:pPr>
        <w:jc w:val="both"/>
        <w:ind w:left="1000" w:right="80" w:hanging="493"/>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 if our product candidates receive regulatory approval, they may still face future development and regulatory difficulties.</w:t>
      </w:r>
    </w:p>
    <w:p>
      <w:pPr>
        <w:spacing w:after="0" w:line="143" w:lineRule="exact"/>
        <w:rPr>
          <w:rFonts w:ascii="Arial" w:cs="Arial" w:eastAsia="Arial" w:hAnsi="Arial"/>
          <w:sz w:val="18"/>
          <w:szCs w:val="18"/>
          <w:color w:val="auto"/>
        </w:rPr>
      </w:pPr>
    </w:p>
    <w:p>
      <w:pPr>
        <w:ind w:left="1000" w:right="40" w:hanging="493"/>
        <w:spacing w:after="0" w:line="341"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6" w:lineRule="exact"/>
        <w:rPr>
          <w:rFonts w:ascii="Arial" w:cs="Arial" w:eastAsia="Arial" w:hAnsi="Arial"/>
          <w:sz w:val="16"/>
          <w:szCs w:val="16"/>
          <w:color w:val="auto"/>
        </w:rPr>
      </w:pPr>
    </w:p>
    <w:p>
      <w:pPr>
        <w:ind w:left="1000" w:right="4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incurred net losses since our inception, except 2021, and anticipate that we will continue to incur net losses for the foreseeable future.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currently have no source of product revenue and may never achieve or maintain profitability.</w:t>
      </w:r>
    </w:p>
    <w:p>
      <w:pPr>
        <w:spacing w:after="0" w:line="143" w:lineRule="exact"/>
        <w:rPr>
          <w:rFonts w:ascii="Arial" w:cs="Arial" w:eastAsia="Arial" w:hAnsi="Arial"/>
          <w:sz w:val="18"/>
          <w:szCs w:val="18"/>
          <w:color w:val="auto"/>
        </w:rPr>
      </w:pPr>
    </w:p>
    <w:p>
      <w:pPr>
        <w:ind w:left="1000" w:right="120" w:hanging="493"/>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we may not be able to compete effectively in our market.</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market price of our stock may be volatile and you could lose all or part of your investment.</w:t>
      </w:r>
    </w:p>
    <w:p>
      <w:pPr>
        <w:spacing w:after="0" w:line="143"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sell additional equity or debt securities or enter into other arrangements to fund our operations, which may result in dilution to our stockholders and impose restrictions or limitations on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pandemic could adversely impact our business, including our clinical trials.</w:t>
      </w:r>
    </w:p>
    <w:p>
      <w:pPr>
        <w:spacing w:after="0" w:line="117"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The ongoing COVID-19 pandemic has resulted in travel and other restrictions in order to reduce the spread of the disease, including state and local orders across the United States and other countries worldwide, which, among other things, direct individuals to shelter at their places of residence, direct businesses and governmental agencies to cease non-essential operations at physical locations, prohibit certain non-essential gatherings, and order cessation of non-essential travel. In response to these public health directives and orders, we have implemented work-from-home policies for our employees. The effects of executive orders may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5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While the COVID-19 pandemic has not yet had a material impact on our business operations, quarantines and various government orders related to the pandemic, including its variants, may adversely impact our business operations and the business operations of our contract research organizations conducting our clinical trials and our third-party manufacturing facilities in the United States and other countries. In particular, if the pandemic continues to persist for an extended period of time and continues to impact essential distribution systems such as FedEx and postal delivery or if it results in facility closures facility closures for cleaning and/or insufficient staff, these ongoing constraints associated with the pandemic could cause disruptions to our supply chain and operations, including associated delays in the manufacturing and supply of our products, which would adversely impact our ability to continue our clinical trial operations.</w:t>
      </w:r>
    </w:p>
    <w:p>
      <w:pPr>
        <w:spacing w:after="0" w:line="85" w:lineRule="exact"/>
        <w:rPr>
          <w:sz w:val="20"/>
          <w:szCs w:val="20"/>
          <w:color w:val="auto"/>
        </w:rPr>
      </w:pPr>
    </w:p>
    <w:p>
      <w:pPr>
        <w:ind w:right="200" w:firstLine="510"/>
        <w:spacing w:after="0" w:line="296" w:lineRule="auto"/>
        <w:rPr>
          <w:sz w:val="20"/>
          <w:szCs w:val="20"/>
          <w:color w:val="auto"/>
        </w:rPr>
      </w:pPr>
      <w:r>
        <w:rPr>
          <w:rFonts w:ascii="Arial" w:cs="Arial" w:eastAsia="Arial" w:hAnsi="Arial"/>
          <w:sz w:val="16"/>
          <w:szCs w:val="16"/>
          <w:color w:val="auto"/>
        </w:rPr>
        <w:t>In addition, our clinical trials may be affected by the COVID-19 pandemic. For example, we have experienced delays in clinical site initiation and patient enrollment due to prioritization of hospital resources toward the COVID-19 pandemic.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COVID-19, could be limited, which in turn could adversely impact our clinical trial operations. As a result, we may face delays in meeting our anticipated timelines for our ongoing and planned clinical trials.</w:t>
      </w:r>
    </w:p>
    <w:p>
      <w:pPr>
        <w:spacing w:after="0" w:line="52"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color w:val="auto"/>
        </w:rPr>
        <w:t>The spread of COVID-19, including its variants, has caused a broad impact globally and may materially affect us economically. While the full extent of the economic impact brought by, and the duration of, the pandemic may be difficult to assess or predict, it has resulted in uncertainty in macroeconomic conditions and result in significant disruption of global financial markets, reducing our ability to access capital, which could in the future negatively affect our liquidity. In addition, a recession or market correction resulting from the pandemic could materially affect our business and the value of our common stock.</w:t>
      </w:r>
    </w:p>
    <w:p>
      <w:pPr>
        <w:spacing w:after="0" w:line="83"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COVID-19 continues to evolve rapidly and multiple variants of the virus that cause COVID-19 are circulating globally. The extent to which the COVID-19 pandemic impacts our business, our clinical development and regulatory efforts will depend on future developments that are highly uncertain and cannot be predicted with confidence, such as the duration of the outbreak, travel restrictions, quarantines, social distancing requirements, business closures in the United States and other countries, the rollout of mass vaccinations for COVID-19 and the effectiveness of other actions taken in the United States and other countries to contain and treat the disease. While vaccines have been approved and are being deployed, the timing of achieving widespread vaccination remains uncertain, and the vaccines may be less effective against new variants, potentially leading to the reimpositions of restrictions in an effort to mitigate risks to public health, especially as more infectious variants of the virus emerge for a prolonged period of time, further delaying the return of the global economy to pre-pandemic levels.</w:t>
      </w:r>
    </w:p>
    <w:p>
      <w:pPr>
        <w:spacing w:after="0" w:line="75"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ind w:right="180"/>
        <w:spacing w:after="0" w:line="277" w:lineRule="auto"/>
        <w:rPr>
          <w:sz w:val="20"/>
          <w:szCs w:val="20"/>
          <w:color w:val="auto"/>
        </w:rPr>
      </w:pPr>
      <w:r>
        <w:rPr>
          <w:rFonts w:ascii="Arial" w:cs="Arial" w:eastAsia="Arial" w:hAnsi="Arial"/>
          <w:sz w:val="18"/>
          <w:szCs w:val="18"/>
          <w:b w:val="1"/>
          <w:bCs w:val="1"/>
          <w:i w:val="1"/>
          <w:iCs w:val="1"/>
          <w:color w:val="auto"/>
        </w:rPr>
        <w:t>We are currently developing several product candidates. If we are unable to successfully complete clinical development of, obtain regulatory approval for and commercialize our product candidates, our business prospects will be significantly harmed.</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financial success will depend substantially on our ability to effectively and profitably commercialize our product candidates. In order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commercialize our product candidates, we will be required to obtain regulatory approvals by establishing that each of them is sufficiently safe and effective.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clinical and commercial success of our product candidates will depend on a number of factors, including the following:</w:t>
      </w:r>
    </w:p>
    <w:p>
      <w:pPr>
        <w:spacing w:after="0" w:line="102" w:lineRule="exact"/>
        <w:rPr>
          <w:sz w:val="20"/>
          <w:szCs w:val="20"/>
          <w:color w:val="auto"/>
        </w:rPr>
      </w:pPr>
    </w:p>
    <w:p>
      <w:pPr>
        <w:ind w:left="1000" w:right="2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direct and indirect effects of the ongoing COVID-19 pandemic on various aspects and stages of the clinical development process, including the impact to expected site initiation, enrollment and participation in our clinical trials;</w:t>
      </w:r>
    </w:p>
    <w:p>
      <w:pPr>
        <w:spacing w:after="0" w:line="61" w:lineRule="exact"/>
        <w:rPr>
          <w:rFonts w:ascii="Arial" w:cs="Arial" w:eastAsia="Arial" w:hAnsi="Arial"/>
          <w:sz w:val="18"/>
          <w:szCs w:val="18"/>
          <w:color w:val="auto"/>
        </w:rPr>
      </w:pPr>
    </w:p>
    <w:p>
      <w:pPr>
        <w:jc w:val="both"/>
        <w:ind w:left="1000" w:right="60" w:hanging="493"/>
        <w:spacing w:after="0" w:line="341"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significant reprioritization and diversion of healthcare resources away from the conduct of clinical trials as a result of the ongoing COVID-19 pandemic, including the diversion of hospitals serving as our clinical trial sites and hospital staff supporting the conduct of our clinical trials;</w:t>
      </w:r>
    </w:p>
    <w:p>
      <w:pPr>
        <w:spacing w:after="0" w:line="16" w:lineRule="exact"/>
        <w:rPr>
          <w:rFonts w:ascii="Arial" w:cs="Arial" w:eastAsia="Arial" w:hAnsi="Arial"/>
          <w:sz w:val="16"/>
          <w:szCs w:val="16"/>
          <w:color w:val="auto"/>
        </w:rPr>
      </w:pPr>
    </w:p>
    <w:p>
      <w:pPr>
        <w:ind w:left="1000" w:right="5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completion of the pivotal Phase 2 cohorts of the AUGMENT-101 trial of SNDX-5613 in patients with relapsed/refractory acute leukemias;</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timely completion of the pivotal Phase 2 trial, AGAVE-201, of axatilimab in patients with chronic Graft Versus Host Disease, or cGVHD;</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completion of any future clinical trials of SNDX-5613 and axatilimab;</w:t>
      </w:r>
    </w:p>
    <w:p>
      <w:pPr>
        <w:spacing w:after="0" w:line="143" w:lineRule="exact"/>
        <w:rPr>
          <w:rFonts w:ascii="Arial" w:cs="Arial" w:eastAsia="Arial" w:hAnsi="Arial"/>
          <w:sz w:val="18"/>
          <w:szCs w:val="18"/>
          <w:color w:val="auto"/>
        </w:rPr>
      </w:pPr>
    </w:p>
    <w:p>
      <w:pPr>
        <w:ind w:left="1000" w:right="240" w:hanging="493"/>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 or geopolitical tensions, such as Russia’s recent incursion into Ukraine;</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and severity of adverse drug reactions in any of our clinical trials;</w:t>
      </w:r>
    </w:p>
    <w:p>
      <w:pPr>
        <w:spacing w:after="0" w:line="143"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demonstrate safety and efficacy of our product candidates for their proposed indications and the timely receipt of necessary marketing approvals from the FDA and foreign regulatory authorities;</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meeting the endpoints in the clinical trials of our product candidates;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use of our product candidates to treat various cancer indications and fibrotic diseases;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143"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61"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third-party contract manufacturers to produce trial supplies and to develop, validate and maintain a commercially viable manufacturing process that is compliant with cGMP;</w:t>
      </w:r>
    </w:p>
    <w:p>
      <w:pPr>
        <w:spacing w:after="0" w:line="61"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in the United States and abroad, whether alone or in collaboration with others; and</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our product candidates.</w:t>
      </w:r>
    </w:p>
    <w:p>
      <w:pPr>
        <w:spacing w:after="0" w:line="144" w:lineRule="exact"/>
        <w:rPr>
          <w:sz w:val="20"/>
          <w:szCs w:val="20"/>
          <w:color w:val="auto"/>
        </w:rPr>
      </w:pPr>
    </w:p>
    <w:p>
      <w:pPr>
        <w:ind w:right="40" w:firstLine="578"/>
        <w:spacing w:after="0" w:line="277" w:lineRule="auto"/>
        <w:rPr>
          <w:sz w:val="20"/>
          <w:szCs w:val="20"/>
          <w:color w:val="auto"/>
        </w:rPr>
      </w:pPr>
      <w:r>
        <w:rPr>
          <w:rFonts w:ascii="Arial" w:cs="Arial" w:eastAsia="Arial" w:hAnsi="Arial"/>
          <w:sz w:val="18"/>
          <w:szCs w:val="18"/>
          <w:color w:val="auto"/>
        </w:rPr>
        <w:t>If we fail to obtain regulatory approval for our product candidates, we will not be able to generate product sales, which will have a material adverse effect on our business and our prospects.</w:t>
      </w:r>
    </w:p>
    <w:p>
      <w:pPr>
        <w:spacing w:after="0" w:line="1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SNDX-5613 has undergone limited clinical testing and we may fail to show that the drug is well tolerated and provides sufficient clinical benefit for patients</w:t>
      </w:r>
      <w:r>
        <w:rPr>
          <w:rFonts w:ascii="Arial" w:cs="Arial" w:eastAsia="Arial" w:hAnsi="Arial"/>
          <w:sz w:val="18"/>
          <w:szCs w:val="18"/>
          <w:i w:val="1"/>
          <w:iCs w:val="1"/>
          <w:color w:val="auto"/>
        </w:rPr>
        <w:t>.</w:t>
      </w:r>
    </w:p>
    <w:p>
      <w:pPr>
        <w:spacing w:after="0" w:line="62" w:lineRule="exact"/>
        <w:rPr>
          <w:sz w:val="20"/>
          <w:szCs w:val="20"/>
          <w:color w:val="auto"/>
        </w:rPr>
      </w:pPr>
    </w:p>
    <w:p>
      <w:pPr>
        <w:ind w:firstLine="584"/>
        <w:spacing w:after="0" w:line="293" w:lineRule="auto"/>
        <w:rPr>
          <w:sz w:val="20"/>
          <w:szCs w:val="20"/>
          <w:color w:val="auto"/>
        </w:rPr>
      </w:pPr>
      <w:r>
        <w:rPr>
          <w:rFonts w:ascii="Arial" w:cs="Arial" w:eastAsia="Arial" w:hAnsi="Arial"/>
          <w:sz w:val="16"/>
          <w:szCs w:val="16"/>
          <w:color w:val="auto"/>
        </w:rPr>
        <w:t>Research suggests that certain acute leukemias, such as mixed lineage leukemia-rearranged, or MLLr, leukemias and nucleophosmin 1, or NPM1, mutant acute myeloid leukemia, or AML, are driven by the interaction of menin, a nuclear protein involved in transcription, with the N-terminus of MLL1 protein, a histone methyl transferase. In NPM1 mutant AML the interaction with menin occurs via the wild type MLL1 protein, and in MLLr acute leukemias, the interaction occurs via a mutant form of MLL1, a fusion protein known as MLLr. MLLr results from a rare, spontaneous fusion between the N-terminus of the mixed lineage leukemia protein-1, or MLL1, and a host of signaling molecules and nuclear transcription factors. This fusion produces an aberrant transcription program that drives leukemic transformation. In pre-clinical animal models, small molecule inhibitors of the menin-MLLr interaction,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line="288" w:lineRule="auto"/>
        <w:rPr>
          <w:sz w:val="20"/>
          <w:szCs w:val="20"/>
          <w:color w:val="auto"/>
        </w:rPr>
      </w:pPr>
      <w:r>
        <w:rPr>
          <w:rFonts w:ascii="Arial" w:cs="Arial" w:eastAsia="Arial" w:hAnsi="Arial"/>
          <w:sz w:val="16"/>
          <w:szCs w:val="16"/>
          <w:color w:val="auto"/>
        </w:rPr>
        <w:t>such as SNDX-5613, which bind to, and block the interaction of menin with either MLLr or MLL1, have demonstrated deep and durable single agent treatment effects in multiple leukemic xenograft models harboring MLL fusions or NPM1 mutations. Our strategy for developing SNDX-5613 is to conduct a Phase 1/2 clinical trial in relapsed/refractory patients with MLLr and NPM1 mutant acute leukemias and determine if the observed clinical efficacy supports further development. The Phase 1 portion of the trial is assessing the safety, tolerability and pharmacokinetics of SNDX-5613, and seeks to establish a recommended Phase 2 dose. It is open label, and we have released and may in the future release results from time to time that reflect small numbers of patients which may not be accurately predictive of safety or efficacy results later in the trial or in subsequent trials. The Phase 2 portion is evaluating the efficacy of SNDX-5613 across three expansion cohorts enrolling pediatric and adult patients with MLLr acute lymphoblastic leukemia, or ALL, MLLr acute myeloid leukemia, or AML, and NPM1 mutant AML. While we believe that we have established sufficient efficacy to warrant continued development in these indications, we have not yet sufficiently demonstrated a favorable risk-benefit of SNDX-5613 in patients.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Axatilimab has undergone limited clinical testing and we may fail to show that this drug is well tolerated and provides a clinical benefit for patients.</w:t>
      </w:r>
    </w:p>
    <w:p>
      <w:pPr>
        <w:spacing w:after="0" w:line="140" w:lineRule="exact"/>
        <w:rPr>
          <w:sz w:val="20"/>
          <w:szCs w:val="20"/>
          <w:color w:val="auto"/>
        </w:rPr>
      </w:pPr>
    </w:p>
    <w:p>
      <w:pPr>
        <w:ind w:right="80" w:firstLine="584"/>
        <w:spacing w:after="0" w:line="269" w:lineRule="auto"/>
        <w:rPr>
          <w:sz w:val="20"/>
          <w:szCs w:val="20"/>
          <w:color w:val="auto"/>
        </w:rPr>
      </w:pPr>
      <w:r>
        <w:rPr>
          <w:rFonts w:ascii="Arial" w:cs="Arial" w:eastAsia="Arial" w:hAnsi="Arial"/>
          <w:sz w:val="17"/>
          <w:szCs w:val="17"/>
          <w:color w:val="auto"/>
        </w:rPr>
        <w:t>Preclinical studies suggest that CSF-1/CSF-1R signaling may be the key regulatory pathway involved in the expansion and infiltration of donor derived macrophages that mediate the disease processes involved in cGVHD and other fibrotic or inflammatory diseases. Nonclinical studies and analysis of patient samples indicates that the cGVHD inflammatory disease process is a result of a complex interaction between host and donor immune cells including B cells, and regulatory T cells with M2 differentiated macrophages in target tissue appearing to represent the common distal mediator of fibrosis. Therefore, we hypothesize that a CSF-1R signal inhibitor such as axatilimab may play a meaningful role as a monotherapy agent in the treatment of cGVHD. Our approach is to conduct a Phase 1/2 clinical trial with axatilimab in subjects with active cGVHD who have failed at least two prior lines of therapy. Following our end of Phase 1 meeting with the FDA, we have aligned on a regulatory path for axatilimab for the treatment of cGVHD and commenced a pivotal Phase 2 trial, AGAVE-201, to assess the safety and efficacy of different doses and schedules of axatilimab for the treatment of patients with cGVHD. While we believe that we have established sufficient efficacy to warrant continued development in this indication, we have not yet sufficiently demonstrated a favorable risk-benefit of axatilimab in patients.</w:t>
      </w:r>
    </w:p>
    <w:p>
      <w:pPr>
        <w:spacing w:after="0" w:line="182" w:lineRule="exact"/>
        <w:rPr>
          <w:sz w:val="20"/>
          <w:szCs w:val="20"/>
          <w:color w:val="auto"/>
        </w:rPr>
      </w:pPr>
    </w:p>
    <w:p>
      <w:pPr>
        <w:ind w:right="160"/>
        <w:spacing w:after="0" w:line="307"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9" w:lineRule="exact"/>
        <w:rPr>
          <w:sz w:val="20"/>
          <w:szCs w:val="20"/>
          <w:color w:val="auto"/>
        </w:rPr>
      </w:pPr>
    </w:p>
    <w:p>
      <w:pPr>
        <w:ind w:right="200" w:firstLine="578"/>
        <w:spacing w:after="0" w:line="270" w:lineRule="auto"/>
        <w:rPr>
          <w:sz w:val="20"/>
          <w:szCs w:val="20"/>
          <w:color w:val="auto"/>
        </w:rPr>
      </w:pPr>
      <w:r>
        <w:rPr>
          <w:rFonts w:ascii="Arial" w:cs="Arial" w:eastAsia="Arial" w:hAnsi="Arial"/>
          <w:sz w:val="17"/>
          <w:szCs w:val="17"/>
          <w:color w:val="auto"/>
        </w:rPr>
        <w:t>From time to time, we may publish interim top-line or preliminary data from our clinical trials. For example, in April and December 2021, we announced interim data from our Phase 1/2 clinical trial of SNDX-5613.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 commercialization of any of our product candidates.</w:t>
      </w:r>
    </w:p>
    <w:p>
      <w:pPr>
        <w:spacing w:after="0" w:line="62" w:lineRule="exact"/>
        <w:rPr>
          <w:sz w:val="20"/>
          <w:szCs w:val="20"/>
          <w:color w:val="auto"/>
        </w:rPr>
      </w:pPr>
    </w:p>
    <w:p>
      <w:pPr>
        <w:ind w:right="20" w:firstLine="578"/>
        <w:spacing w:after="0" w:line="253" w:lineRule="auto"/>
        <w:rPr>
          <w:sz w:val="20"/>
          <w:szCs w:val="20"/>
          <w:color w:val="auto"/>
        </w:rPr>
      </w:pPr>
      <w:r>
        <w:rPr>
          <w:rFonts w:ascii="Arial" w:cs="Arial" w:eastAsia="Arial" w:hAnsi="Arial"/>
          <w:sz w:val="18"/>
          <w:szCs w:val="18"/>
          <w:color w:val="auto"/>
        </w:rPr>
        <w:t>Before obtaining marketing approval from regulatory authorities for the sale of any of our product candidates, we or our collaborators must conduct extensive trials to demonstrate the safety and efficacy of the product candidates in humans. 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in May 2020, we announced that ECOG-ACRIN advised us that the E2112 trial did not achieve the primary endpoint of demonstrating a statistically significant overall survival benefit over hormone therapy alone in the Phase 3 clinical trial and we decided to deprioritize the entinostat program to focus resources on advancing the remainder of our pipeline. A number of companies in the pharmaceutical and biotechnology industries have suffered significant setbacks in advanced trials due to lack of efficacy or unacceptable safety profiles, notwithstanding promising results in earlier trials.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right="140"/>
        <w:spacing w:after="0" w:line="286" w:lineRule="auto"/>
        <w:rPr>
          <w:sz w:val="20"/>
          <w:szCs w:val="20"/>
          <w:color w:val="auto"/>
        </w:rPr>
      </w:pPr>
      <w:r>
        <w:rPr>
          <w:rFonts w:ascii="Arial" w:cs="Arial" w:eastAsia="Arial" w:hAnsi="Arial"/>
          <w:sz w:val="17"/>
          <w:szCs w:val="17"/>
          <w:b w:val="1"/>
          <w:bCs w:val="1"/>
          <w:i w:val="1"/>
          <w:iCs w:val="1"/>
          <w:color w:val="auto"/>
        </w:rPr>
        <w:t>We are dependent upon our collaboration with Incyte to further develop and commercialize axatilimab. If we or Incyte fail to perform as expected the potential for us to generate future revenues under the collaboration could be significantly reduced, the development and/or commercialization of axatilimab may be terminated or substantially delayed, and our business could be adversely affected.</w:t>
      </w:r>
    </w:p>
    <w:p>
      <w:pPr>
        <w:spacing w:after="0" w:line="5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are subject to numerous risks related to the Incyte Agreement to collaborate on the development and commercialization of axatilimab.</w:t>
      </w:r>
    </w:p>
    <w:p>
      <w:pPr>
        <w:spacing w:after="0" w:line="128" w:lineRule="exact"/>
        <w:rPr>
          <w:sz w:val="20"/>
          <w:szCs w:val="20"/>
          <w:color w:val="auto"/>
        </w:rPr>
      </w:pPr>
    </w:p>
    <w:p>
      <w:pPr>
        <w:ind w:right="280" w:firstLine="578"/>
        <w:spacing w:after="0" w:line="296" w:lineRule="auto"/>
        <w:rPr>
          <w:sz w:val="20"/>
          <w:szCs w:val="20"/>
          <w:color w:val="auto"/>
        </w:rPr>
      </w:pPr>
      <w:r>
        <w:rPr>
          <w:rFonts w:ascii="Arial" w:cs="Arial" w:eastAsia="Arial" w:hAnsi="Arial"/>
          <w:sz w:val="16"/>
          <w:szCs w:val="16"/>
          <w:color w:val="auto"/>
        </w:rPr>
        <w:t>For example, there is no assurance that the parties will achieve any of the regulatory development or sales milestones, that we will receive any future milestone or royalty payments under the collaboration agreement. Incyte’s activities may be influenced by, among other things, the efforts and allocation of resources by Incyte, which we cannot control. If Incyte does not perform in the manner we expect or fulfill its responsibilities in a timely manner, or at all, the clinical development, manufacturing, regulatory approval, and commercialization efforts related to axatilimab could be delayed or terminated. In addition, our license with Incyte may be unsuccessful due to other factors, including, without limitation, the following:</w:t>
      </w:r>
    </w:p>
    <w:p>
      <w:pPr>
        <w:spacing w:after="0" w:line="52" w:lineRule="exact"/>
        <w:rPr>
          <w:sz w:val="20"/>
          <w:szCs w:val="20"/>
          <w:color w:val="auto"/>
        </w:rPr>
      </w:pPr>
    </w:p>
    <w:p>
      <w:pPr>
        <w:ind w:left="1020" w:right="1040" w:hanging="365"/>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Incyte may terminate the agreement for convenience upon 90 or 180 days’ notice depending on whether or not the parties have commercialized axatilimab in an indication in the respective territory;</w:t>
      </w:r>
    </w:p>
    <w:p>
      <w:pPr>
        <w:spacing w:after="0" w:line="61" w:lineRule="exact"/>
        <w:rPr>
          <w:rFonts w:ascii="Arial" w:cs="Arial" w:eastAsia="Arial" w:hAnsi="Arial"/>
          <w:sz w:val="18"/>
          <w:szCs w:val="18"/>
          <w:color w:val="auto"/>
        </w:rPr>
      </w:pPr>
    </w:p>
    <w:p>
      <w:pPr>
        <w:ind w:left="1020" w:right="300" w:hanging="365"/>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Incyte may change the focus of its development and commercialization efforts or prioritize other programs more highly and, accordingly, reduce the efforts and resources allocated to axatilimab</w:t>
      </w:r>
    </w:p>
    <w:p>
      <w:pPr>
        <w:spacing w:after="0" w:line="61" w:lineRule="exact"/>
        <w:rPr>
          <w:rFonts w:ascii="Arial" w:cs="Arial" w:eastAsia="Arial" w:hAnsi="Arial"/>
          <w:sz w:val="18"/>
          <w:szCs w:val="18"/>
          <w:color w:val="auto"/>
        </w:rPr>
      </w:pPr>
    </w:p>
    <w:p>
      <w:pPr>
        <w:ind w:left="1020" w:right="40" w:hanging="365"/>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Incyte may, within its commercially reasonable discretion, choose not to develop and commercialize axatilimab in all relevant markets or for one or more indications, if at all; and</w:t>
      </w:r>
    </w:p>
    <w:p>
      <w:pPr>
        <w:spacing w:after="0" w:line="61" w:lineRule="exact"/>
        <w:rPr>
          <w:rFonts w:ascii="Arial" w:cs="Arial" w:eastAsia="Arial" w:hAnsi="Arial"/>
          <w:sz w:val="18"/>
          <w:szCs w:val="18"/>
          <w:color w:val="auto"/>
        </w:rPr>
      </w:pPr>
    </w:p>
    <w:p>
      <w:pPr>
        <w:ind w:left="1020" w:right="380" w:hanging="365"/>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Incyte is acquired during the term of our collaboration, the acquirer may have competing programs or different strategic priorities that could cause it to reduce its commitment to our collaboration or to terminate the collaboration.</w:t>
      </w:r>
    </w:p>
    <w:p>
      <w:pPr>
        <w:spacing w:after="0" w:line="6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We cannot ensure that the potential strategic benefits and opportunities expected from this collaboration with be realized on our anticipated timeline or at all.</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or our collaborators are unable to enroll patients in clinical trials, these clinical trials may not be completed on a timely basis or at all.</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117" w:lineRule="exact"/>
        <w:rPr>
          <w:sz w:val="20"/>
          <w:szCs w:val="20"/>
          <w:color w:val="auto"/>
        </w:rPr>
      </w:pPr>
    </w:p>
    <w:p>
      <w:pPr>
        <w:ind w:left="1000" w:right="46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public health epidemics, such as the COVID-19 pandemic, or geopolitical tensions, such as Russia's recent incursion into Ukraine;</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perception about the relative efficacy of our product candidates versus other compounds in clinical development or commercially available;</w:t>
      </w:r>
    </w:p>
    <w:p>
      <w:pPr>
        <w:spacing w:after="0" w:line="166" w:lineRule="exact"/>
        <w:rPr>
          <w:rFonts w:ascii="Arial" w:cs="Arial" w:eastAsia="Arial" w:hAnsi="Arial"/>
          <w:sz w:val="16"/>
          <w:szCs w:val="16"/>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nature of the patient population, especially in the case of any orphan indications, we are pursuing;</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ability to obtain and maintain patient consent; and</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As a result of the above factors, there is a risk that our or our collaborators’ clinical trials may not be completed on a timely basis or at all.</w:t>
      </w:r>
    </w:p>
    <w:p>
      <w:pPr>
        <w:spacing w:after="0" w:line="23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our product candidates to our current or future collaborators.</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117" w:lineRule="exact"/>
        <w:rPr>
          <w:sz w:val="20"/>
          <w:szCs w:val="20"/>
          <w:color w:val="auto"/>
        </w:rPr>
      </w:pPr>
    </w:p>
    <w:p>
      <w:pPr>
        <w:ind w:left="5540" w:right="2040" w:hanging="5033"/>
        <w:spacing w:after="0" w:line="558" w:lineRule="auto"/>
        <w:tabs>
          <w:tab w:leader="none" w:pos="10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31" w:name="page32"/>
    <w:bookmarkEnd w:id="31"/>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43" w:lineRule="exact"/>
        <w:rPr>
          <w:rFonts w:ascii="Arial" w:cs="Arial" w:eastAsia="Arial" w:hAnsi="Arial"/>
          <w:sz w:val="18"/>
          <w:szCs w:val="18"/>
          <w:color w:val="auto"/>
        </w:rPr>
      </w:pPr>
    </w:p>
    <w:p>
      <w:pPr>
        <w:ind w:left="1000" w:right="114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61"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1"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1"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61" w:lineRule="exact"/>
        <w:rPr>
          <w:rFonts w:ascii="Arial" w:cs="Arial" w:eastAsia="Arial" w:hAnsi="Arial"/>
          <w:sz w:val="18"/>
          <w:szCs w:val="18"/>
          <w:color w:val="auto"/>
        </w:rPr>
      </w:pPr>
    </w:p>
    <w:p>
      <w:pPr>
        <w:ind w:left="1000" w:right="6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43"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61"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61"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61"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17"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We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9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Failure to obtain regulatory approval for our product candidates would substantially harm our business.</w:t>
      </w:r>
    </w:p>
    <w:p>
      <w:pPr>
        <w:spacing w:after="0" w:line="62" w:lineRule="exact"/>
        <w:rPr>
          <w:sz w:val="20"/>
          <w:szCs w:val="20"/>
          <w:color w:val="auto"/>
        </w:rPr>
      </w:pPr>
    </w:p>
    <w:p>
      <w:pPr>
        <w:ind w:right="20" w:firstLine="578"/>
        <w:spacing w:after="0" w:line="287" w:lineRule="auto"/>
        <w:rPr>
          <w:sz w:val="20"/>
          <w:szCs w:val="20"/>
          <w:color w:val="auto"/>
        </w:rPr>
      </w:pPr>
      <w:r>
        <w:rPr>
          <w:rFonts w:ascii="Arial" w:cs="Arial" w:eastAsia="Arial" w:hAnsi="Arial"/>
          <w:sz w:val="16"/>
          <w:szCs w:val="16"/>
          <w:color w:val="auto"/>
        </w:rPr>
        <w:t>The FDA and comparable foreign regulatory authorities extensively and rigorously regulate and evaluate the manufacture, testing, distribution, advertising and marketing of drug products prior to granting marketing approvals with respect to such products. This approval process generally requires, at minimum, testing of any product candidate in preclinical studies and clinical trials to establish its safety and effectiveness, and confirmation by the FDA and comparable foreign regulatory authorities that any such product candidate, and any parties involved in its manufacturing, testing and development, complied with current Good Manufacturing Practices, or GMP, current Good Laboratory Practices, or GLP, and current Good Clinical Practices, or GCP, regulations, standards and guidelines during such manufacturing, testing and development. 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we will never obtain regulatory approval for our existing product candidates or any future product candidates.</w:t>
      </w:r>
    </w:p>
    <w:p>
      <w:pPr>
        <w:spacing w:after="0" w:line="61" w:lineRule="exact"/>
        <w:rPr>
          <w:sz w:val="20"/>
          <w:szCs w:val="20"/>
          <w:color w:val="auto"/>
        </w:rPr>
      </w:pPr>
    </w:p>
    <w:p>
      <w:pPr>
        <w:ind w:right="60" w:firstLine="578"/>
        <w:spacing w:after="0" w:line="259" w:lineRule="auto"/>
        <w:rPr>
          <w:sz w:val="20"/>
          <w:szCs w:val="20"/>
          <w:color w:val="auto"/>
        </w:rPr>
      </w:pPr>
      <w:r>
        <w:rPr>
          <w:rFonts w:ascii="Arial" w:cs="Arial" w:eastAsia="Arial" w:hAnsi="Arial"/>
          <w:sz w:val="18"/>
          <w:szCs w:val="18"/>
          <w:color w:val="auto"/>
        </w:rPr>
        <w:t>Due to the ongoing COVID-19 pandemic, it is possible that we could experience delays in the timing of our interactions with regulatory authorities due to absenteeism by governmental employees, inability to conduct planned physical inspections related to regulatory approval, or the diversion of regulatory authority efforts and attention to approval of other therapeutics or other activities related to COVID-19, which could delay anticipated approval decisions and otherwise delay or limit our ability to make planned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ind w:right="400"/>
        <w:spacing w:after="0" w:line="277" w:lineRule="auto"/>
        <w:rPr>
          <w:sz w:val="20"/>
          <w:szCs w:val="20"/>
          <w:color w:val="auto"/>
        </w:rPr>
      </w:pPr>
      <w:r>
        <w:rPr>
          <w:rFonts w:ascii="Arial" w:cs="Arial" w:eastAsia="Arial" w:hAnsi="Arial"/>
          <w:sz w:val="18"/>
          <w:szCs w:val="18"/>
          <w:color w:val="auto"/>
        </w:rPr>
        <w:t>regulatory submissions or obtain new product approvals. In addition, our product candidates could fail to receive regulatory approval from the FDA or foreign regulatory authorities for other reasons, including but not limited to:</w:t>
      </w:r>
    </w:p>
    <w:p>
      <w:pPr>
        <w:spacing w:after="0" w:line="62"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failure to demonstrate that our product candidates are effective for their proposed indication and have an acceptable safety profile;</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demonstrate that the clinical and other benefits of a product candidate outweigh any of its safety risks;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disagreement with the design, size, conduct or implementation of our or our collaborators’ trials;</w:t>
      </w:r>
    </w:p>
    <w:p>
      <w:pPr>
        <w:spacing w:after="0" w:line="143"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our product candidates to support the submission and filing of an NDA, BLA or other submission or to obtain regulatory approval;</w:t>
      </w:r>
    </w:p>
    <w:p>
      <w:pPr>
        <w:spacing w:after="0" w:line="61"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manufacturers with whom we contract for clinical and commercial product supplies or preclinical or clinical testing;</w:t>
      </w:r>
    </w:p>
    <w:p>
      <w:pPr>
        <w:spacing w:after="0" w:line="61"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receipt of a negative opinion from an advisory committee due to a change in the standard of care regardless of the outcome of the clinical trials; or</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144"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one or more of our product candidates for a more limited patient population than we request, may grant approval contingent on the performance of costly post-marketing trials, may impose a risk evaluation and mitigation strategy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w:t>
      </w:r>
    </w:p>
    <w:p>
      <w:pPr>
        <w:spacing w:after="0" w:line="18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to be commercially successful</w:t>
      </w:r>
      <w:r>
        <w:rPr>
          <w:rFonts w:ascii="Arial" w:cs="Arial" w:eastAsia="Arial" w:hAnsi="Arial"/>
          <w:sz w:val="18"/>
          <w:szCs w:val="18"/>
          <w:i w:val="1"/>
          <w:iCs w:val="1"/>
          <w:color w:val="auto"/>
        </w:rPr>
        <w:t>.</w:t>
      </w:r>
    </w:p>
    <w:p>
      <w:pPr>
        <w:spacing w:after="0" w:line="62" w:lineRule="exact"/>
        <w:rPr>
          <w:sz w:val="20"/>
          <w:szCs w:val="20"/>
          <w:color w:val="auto"/>
        </w:rPr>
      </w:pPr>
    </w:p>
    <w:p>
      <w:pPr>
        <w:ind w:right="140" w:firstLine="578"/>
        <w:spacing w:after="0" w:line="301" w:lineRule="auto"/>
        <w:rPr>
          <w:sz w:val="20"/>
          <w:szCs w:val="20"/>
          <w:color w:val="auto"/>
        </w:rPr>
      </w:pPr>
      <w:r>
        <w:rPr>
          <w:rFonts w:ascii="Arial" w:cs="Arial" w:eastAsia="Arial" w:hAnsi="Arial"/>
          <w:sz w:val="16"/>
          <w:szCs w:val="16"/>
          <w:color w:val="auto"/>
        </w:rPr>
        <w:t>Even if our product candidates receive regulatory approval, they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w:t>
      </w:r>
    </w:p>
    <w:p>
      <w:pPr>
        <w:spacing w:after="0" w:line="48"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sales and marketing; and</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w:t>
      </w:r>
    </w:p>
    <w:p>
      <w:pPr>
        <w:spacing w:after="0" w:line="144" w:lineRule="exact"/>
        <w:rPr>
          <w:sz w:val="20"/>
          <w:szCs w:val="20"/>
          <w:color w:val="auto"/>
        </w:rPr>
      </w:pPr>
    </w:p>
    <w:p>
      <w:pPr>
        <w:ind w:right="120" w:firstLine="578"/>
        <w:spacing w:after="0" w:line="277" w:lineRule="auto"/>
        <w:rPr>
          <w:sz w:val="20"/>
          <w:szCs w:val="20"/>
          <w:color w:val="auto"/>
        </w:rPr>
      </w:pPr>
      <w:r>
        <w:rPr>
          <w:rFonts w:ascii="Arial" w:cs="Arial" w:eastAsia="Arial" w:hAnsi="Arial"/>
          <w:sz w:val="18"/>
          <w:szCs w:val="18"/>
          <w:color w:val="auto"/>
        </w:rPr>
        <w:t>If our product candidates are approved but do not achieve an adequate level of acceptance by physicians, hospitals, healthcare payors and patients, we may not generate sufficient revenue to become or remain profitable.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our product candidates, we intend to rely on third parties for commercial manufacturing and distribution of our product candidates and we expect to rely on third parties for manufacturing and distribution of preclinical, clinical and commercial supplies of any future product candidates.</w:t>
      </w:r>
    </w:p>
    <w:p>
      <w:pPr>
        <w:spacing w:after="0" w:line="75" w:lineRule="exact"/>
        <w:rPr>
          <w:sz w:val="20"/>
          <w:szCs w:val="20"/>
          <w:color w:val="auto"/>
        </w:rPr>
      </w:pPr>
    </w:p>
    <w:p>
      <w:pPr>
        <w:ind w:right="40" w:firstLine="578"/>
        <w:spacing w:after="0" w:line="275" w:lineRule="auto"/>
        <w:rPr>
          <w:sz w:val="20"/>
          <w:szCs w:val="20"/>
          <w:color w:val="auto"/>
        </w:rPr>
      </w:pPr>
      <w:r>
        <w:rPr>
          <w:rFonts w:ascii="Arial" w:cs="Arial" w:eastAsia="Arial" w:hAnsi="Arial"/>
          <w:sz w:val="17"/>
          <w:szCs w:val="17"/>
          <w:color w:val="auto"/>
        </w:rPr>
        <w:t>We do not currently have, nor do we plan to acquire, the infrastructure or capability to manufacture or distribute preclinical, clinical or commercial quantities of drug substance or drug product, including our existing product candidates. While we expect to continue to depend on third-party manufacturers for the foreseeable future, we do not have direct control over the ability of these manufacturers to maintain adequate manufacturing capacity and capabilities to serve our needs, including quality control, quality assurance and qualified personnel. In additional, public health epidemics, such as the COVID-19 pandemic, may impact the ability of our existing or future manufacturers to perform their obligations to us.</w:t>
      </w:r>
    </w:p>
    <w:p>
      <w:pPr>
        <w:spacing w:after="0" w:line="67" w:lineRule="exact"/>
        <w:rPr>
          <w:sz w:val="20"/>
          <w:szCs w:val="20"/>
          <w:color w:val="auto"/>
        </w:rPr>
      </w:pPr>
    </w:p>
    <w:p>
      <w:pPr>
        <w:ind w:firstLine="578"/>
        <w:spacing w:after="0" w:line="269" w:lineRule="auto"/>
        <w:rPr>
          <w:sz w:val="20"/>
          <w:szCs w:val="20"/>
          <w:color w:val="auto"/>
        </w:rPr>
      </w:pPr>
      <w:r>
        <w:rPr>
          <w:rFonts w:ascii="Arial" w:cs="Arial" w:eastAsia="Arial" w:hAnsi="Arial"/>
          <w:sz w:val="17"/>
          <w:szCs w:val="17"/>
          <w:color w:val="auto"/>
        </w:rPr>
        <w:t>We are dependent on our third-party manufacturers for compliance with cGMPs and for manufacture of both active drug substances and finished drug products. Facilities used by our third-party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7" w:lineRule="exact"/>
        <w:rPr>
          <w:sz w:val="20"/>
          <w:szCs w:val="20"/>
          <w:color w:val="auto"/>
        </w:rPr>
      </w:pPr>
    </w:p>
    <w:p>
      <w:pPr>
        <w:ind w:right="20" w:firstLine="578"/>
        <w:spacing w:after="0" w:line="254" w:lineRule="auto"/>
        <w:rPr>
          <w:sz w:val="20"/>
          <w:szCs w:val="20"/>
          <w:color w:val="auto"/>
        </w:rPr>
      </w:pPr>
      <w:r>
        <w:rPr>
          <w:rFonts w:ascii="Arial" w:cs="Arial" w:eastAsia="Arial" w:hAnsi="Arial"/>
          <w:sz w:val="18"/>
          <w:szCs w:val="18"/>
          <w:color w:val="auto"/>
        </w:rPr>
        <w:t>Even if we obtain regulatory approval for our product candidates, they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85"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spacing w:after="0" w:line="83"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43"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144" w:lineRule="exact"/>
        <w:rPr>
          <w:sz w:val="20"/>
          <w:szCs w:val="20"/>
          <w:color w:val="auto"/>
        </w:rPr>
      </w:pPr>
    </w:p>
    <w:p>
      <w:pPr>
        <w:ind w:right="40" w:firstLine="578"/>
        <w:spacing w:after="0" w:line="277" w:lineRule="auto"/>
        <w:rPr>
          <w:sz w:val="20"/>
          <w:szCs w:val="20"/>
          <w:color w:val="auto"/>
        </w:rPr>
      </w:pPr>
      <w:r>
        <w:rPr>
          <w:rFonts w:ascii="Arial" w:cs="Arial" w:eastAsia="Arial" w:hAnsi="Arial"/>
          <w:sz w:val="18"/>
          <w:szCs w:val="18"/>
          <w:color w:val="auto"/>
        </w:rPr>
        <w:t>The occurrence of any event or penalty described above may inhibit our ability to commercialize and generate revenue from the sale of our product candidates.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4" w:name="page35"/>
    <w:bookmarkEnd w:id="34"/>
    <w:p>
      <w:pPr>
        <w:ind w:right="20" w:firstLine="578"/>
        <w:spacing w:after="0" w:line="253"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While physicians may 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86" w:lineRule="exact"/>
        <w:rPr>
          <w:sz w:val="20"/>
          <w:szCs w:val="20"/>
          <w:color w:val="auto"/>
        </w:rPr>
      </w:pPr>
    </w:p>
    <w:p>
      <w:pPr>
        <w:ind w:right="60" w:firstLine="578"/>
        <w:spacing w:after="0" w:line="286"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may have a material adverse effect on our business, financial condition and results of operations</w:t>
      </w:r>
    </w:p>
    <w:p>
      <w:pPr>
        <w:spacing w:after="0" w:line="170" w:lineRule="exact"/>
        <w:rPr>
          <w:sz w:val="20"/>
          <w:szCs w:val="20"/>
          <w:color w:val="auto"/>
        </w:rPr>
      </w:pPr>
    </w:p>
    <w:p>
      <w:pPr>
        <w:ind w:right="440"/>
        <w:spacing w:after="0" w:line="341"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spacing w:after="0" w:line="17"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Undesirable side effects caused by our product candidates could cause the interruption, delay or halting of the trials and could result in a more restrictive label or the delay or denial of regulatory approval by the FDA or other foreign regulatory authorities.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83" w:lineRule="exact"/>
        <w:rPr>
          <w:sz w:val="20"/>
          <w:szCs w:val="20"/>
          <w:color w:val="auto"/>
        </w:rPr>
      </w:pPr>
    </w:p>
    <w:p>
      <w:pPr>
        <w:ind w:right="100" w:firstLine="578"/>
        <w:spacing w:after="0" w:line="277" w:lineRule="auto"/>
        <w:rPr>
          <w:sz w:val="20"/>
          <w:szCs w:val="20"/>
          <w:color w:val="auto"/>
        </w:rPr>
      </w:pPr>
      <w:r>
        <w:rPr>
          <w:rFonts w:ascii="Arial" w:cs="Arial" w:eastAsia="Arial" w:hAnsi="Arial"/>
          <w:sz w:val="18"/>
          <w:szCs w:val="18"/>
          <w:color w:val="auto"/>
        </w:rPr>
        <w:t>Additionally, if our product candidates receive marketing approval, and we or others later identify undesirable side effects, a number of potentially significant negative consequences could result, including:</w:t>
      </w:r>
    </w:p>
    <w:p>
      <w:pPr>
        <w:spacing w:after="0" w:line="62"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the product;</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approvals;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 labels;</w:t>
      </w:r>
    </w:p>
    <w:p>
      <w:pPr>
        <w:spacing w:after="0" w:line="143"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the product;</w:t>
      </w:r>
    </w:p>
    <w:p>
      <w:pPr>
        <w:spacing w:after="0" w:line="61" w:lineRule="exact"/>
        <w:rPr>
          <w:rFonts w:ascii="Arial" w:cs="Arial" w:eastAsia="Arial" w:hAnsi="Arial"/>
          <w:sz w:val="18"/>
          <w:szCs w:val="18"/>
          <w:color w:val="auto"/>
        </w:rPr>
      </w:pPr>
    </w:p>
    <w:p>
      <w:pPr>
        <w:ind w:left="1000" w:right="620" w:hanging="493"/>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ind w:right="120" w:firstLine="578"/>
        <w:spacing w:after="0" w:line="307" w:lineRule="auto"/>
        <w:rPr>
          <w:sz w:val="20"/>
          <w:szCs w:val="20"/>
          <w:color w:val="auto"/>
        </w:rPr>
      </w:pPr>
      <w:r>
        <w:rPr>
          <w:rFonts w:ascii="Arial" w:cs="Arial" w:eastAsia="Arial" w:hAnsi="Arial"/>
          <w:sz w:val="17"/>
          <w:szCs w:val="17"/>
          <w:color w:val="auto"/>
        </w:rPr>
        <w:t>Any of these events could prevent us from achieving or maintaining market acceptance of our product candidates for use in targeted indications or otherwise materially harm its commercial prospects, if approved, and could harm our business, results of operations and prospects.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ind w:right="34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right="20" w:firstLine="578"/>
        <w:spacing w:after="0" w:line="268" w:lineRule="auto"/>
        <w:rPr>
          <w:sz w:val="20"/>
          <w:szCs w:val="20"/>
          <w:color w:val="auto"/>
        </w:rPr>
      </w:pPr>
      <w:r>
        <w:rPr>
          <w:rFonts w:ascii="Arial" w:cs="Arial" w:eastAsia="Arial" w:hAnsi="Arial"/>
          <w:sz w:val="17"/>
          <w:szCs w:val="17"/>
          <w:color w:val="auto"/>
        </w:rPr>
        <w:t>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w:t>
      </w:r>
    </w:p>
    <w:p>
      <w:pPr>
        <w:spacing w:after="0" w:line="18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62" w:lineRule="exact"/>
        <w:rPr>
          <w:sz w:val="20"/>
          <w:szCs w:val="20"/>
          <w:color w:val="auto"/>
        </w:rPr>
      </w:pPr>
    </w:p>
    <w:p>
      <w:pPr>
        <w:ind w:right="200" w:firstLine="578"/>
        <w:spacing w:after="0" w:line="301" w:lineRule="auto"/>
        <w:rPr>
          <w:sz w:val="20"/>
          <w:szCs w:val="20"/>
          <w:color w:val="auto"/>
        </w:rPr>
      </w:pPr>
      <w:r>
        <w:rPr>
          <w:rFonts w:ascii="Arial" w:cs="Arial" w:eastAsia="Arial" w:hAnsi="Arial"/>
          <w:sz w:val="16"/>
          <w:szCs w:val="16"/>
          <w:color w:val="auto"/>
        </w:rPr>
        <w:t>Even if any of our product candidates received regulatory approval, such product candidates would face competition from other therapies in the relevant indication. For example, chronic graft versus host disease has historically been managed by off-label treatments. However, in the past five years, the FDA has approved three drugs, ibrutinib (</w:t>
      </w:r>
      <w:r>
        <w:rPr>
          <w:rFonts w:ascii="Arial" w:cs="Arial" w:eastAsia="Arial" w:hAnsi="Arial"/>
          <w:sz w:val="16"/>
          <w:szCs w:val="16"/>
          <w:i w:val="1"/>
          <w:iCs w:val="1"/>
          <w:color w:val="auto"/>
        </w:rPr>
        <w:t>Imbruvica®</w:t>
      </w:r>
      <w:r>
        <w:rPr>
          <w:rFonts w:ascii="Arial" w:cs="Arial" w:eastAsia="Arial" w:hAnsi="Arial"/>
          <w:sz w:val="16"/>
          <w:szCs w:val="16"/>
          <w:color w:val="auto"/>
        </w:rPr>
        <w:t>), belomosidil (</w:t>
      </w:r>
      <w:r>
        <w:rPr>
          <w:rFonts w:ascii="Arial" w:cs="Arial" w:eastAsia="Arial" w:hAnsi="Arial"/>
          <w:sz w:val="16"/>
          <w:szCs w:val="16"/>
          <w:i w:val="1"/>
          <w:iCs w:val="1"/>
          <w:color w:val="auto"/>
        </w:rPr>
        <w:t>Rezurock</w:t>
      </w:r>
      <w:r>
        <w:rPr>
          <w:rFonts w:ascii="Arial" w:cs="Arial" w:eastAsia="Arial" w:hAnsi="Arial"/>
          <w:sz w:val="16"/>
          <w:szCs w:val="16"/>
          <w:color w:val="auto"/>
        </w:rPr>
        <w:t>®) and ruxolitinib (</w:t>
      </w:r>
      <w:r>
        <w:rPr>
          <w:rFonts w:ascii="Arial" w:cs="Arial" w:eastAsia="Arial" w:hAnsi="Arial"/>
          <w:sz w:val="16"/>
          <w:szCs w:val="16"/>
          <w:i w:val="1"/>
          <w:iCs w:val="1"/>
          <w:color w:val="auto"/>
        </w:rPr>
        <w:t>Jakafi</w:t>
      </w:r>
      <w:r>
        <w:rPr>
          <w:rFonts w:ascii="Arial" w:cs="Arial" w:eastAsia="Arial" w:hAnsi="Arial"/>
          <w:sz w:val="16"/>
          <w:szCs w:val="16"/>
          <w:color w:val="auto"/>
        </w:rPr>
        <w:t>®), for use in patients with cGVHD after failure of one or more lines of systemic therapy. All three of these drugs may compete with axatilimab in patients diagnosed with cGVHD.</w:t>
      </w:r>
    </w:p>
    <w:p>
      <w:pPr>
        <w:spacing w:after="0" w:line="48" w:lineRule="exact"/>
        <w:rPr>
          <w:sz w:val="20"/>
          <w:szCs w:val="20"/>
          <w:color w:val="auto"/>
        </w:rPr>
      </w:pPr>
    </w:p>
    <w:p>
      <w:pPr>
        <w:ind w:right="80" w:firstLine="578"/>
        <w:spacing w:after="0" w:line="259" w:lineRule="auto"/>
        <w:rPr>
          <w:sz w:val="20"/>
          <w:szCs w:val="20"/>
          <w:color w:val="auto"/>
        </w:rPr>
      </w:pPr>
      <w:r>
        <w:rPr>
          <w:rFonts w:ascii="Arial" w:cs="Arial" w:eastAsia="Arial" w:hAnsi="Arial"/>
          <w:sz w:val="18"/>
          <w:szCs w:val="18"/>
          <w:color w:val="auto"/>
        </w:rPr>
        <w:t>SNDX-5613 is being developed for the treatment of adult and pediatric patients with MLLr ALL, MLLr AML and NPM1 mutant AML. At this time, there are no drugs approved for these defined populations and patients are managed using the standard of care treatment regimens developed for general AML and ALL populations. While there are other agents in early development for similar populations, SNDX-5613 has the potential to be the first defined therapy for patients with MLLr ALL, MLLr AML and/or NPM1 mutant AML.</w:t>
      </w:r>
    </w:p>
    <w:p>
      <w:pPr>
        <w:spacing w:after="0" w:line="77" w:lineRule="exact"/>
        <w:rPr>
          <w:sz w:val="20"/>
          <w:szCs w:val="20"/>
          <w:color w:val="auto"/>
        </w:rPr>
      </w:pPr>
    </w:p>
    <w:p>
      <w:pPr>
        <w:ind w:right="220" w:firstLine="578"/>
        <w:spacing w:after="0" w:line="291"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117"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efficacy and safety profile of our product candidates relative to marketed products and product candidates in development by third parties;</w:t>
      </w:r>
    </w:p>
    <w:p>
      <w:pPr>
        <w:spacing w:after="0" w:line="166" w:lineRule="exact"/>
        <w:rPr>
          <w:rFonts w:ascii="Arial" w:cs="Arial" w:eastAsia="Arial" w:hAnsi="Arial"/>
          <w:sz w:val="16"/>
          <w:szCs w:val="16"/>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marketing approval;</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they receive regulatory approval;</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of our product candidates, including in comparison to branded or generic competitors;</w:t>
      </w:r>
    </w:p>
    <w:p>
      <w:pPr>
        <w:spacing w:after="0" w:line="143"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 and</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our product candidates if they receive regulatory approval.</w:t>
      </w:r>
    </w:p>
    <w:p>
      <w:pPr>
        <w:spacing w:after="0" w:line="144" w:lineRule="exact"/>
        <w:rPr>
          <w:sz w:val="20"/>
          <w:szCs w:val="20"/>
          <w:color w:val="auto"/>
        </w:rPr>
      </w:pPr>
    </w:p>
    <w:p>
      <w:pPr>
        <w:ind w:right="40" w:firstLine="578"/>
        <w:spacing w:after="0" w:line="259" w:lineRule="auto"/>
        <w:rPr>
          <w:sz w:val="20"/>
          <w:szCs w:val="20"/>
          <w:color w:val="auto"/>
        </w:rPr>
      </w:pPr>
      <w:r>
        <w:rPr>
          <w:rFonts w:ascii="Arial" w:cs="Arial" w:eastAsia="Arial" w:hAnsi="Arial"/>
          <w:sz w:val="18"/>
          <w:szCs w:val="18"/>
          <w:color w:val="auto"/>
        </w:rPr>
        <w:t>Even if we obtain regulatory approval of our product candidates, the availability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ind w:right="200"/>
        <w:spacing w:after="0" w:line="277" w:lineRule="auto"/>
        <w:rPr>
          <w:sz w:val="20"/>
          <w:szCs w:val="20"/>
          <w:color w:val="auto"/>
        </w:rPr>
      </w:pPr>
      <w:r>
        <w:rPr>
          <w:rFonts w:ascii="Arial" w:cs="Arial" w:eastAsia="Arial" w:hAnsi="Arial"/>
          <w:sz w:val="18"/>
          <w:szCs w:val="18"/>
          <w:b w:val="1"/>
          <w:bCs w:val="1"/>
          <w:i w:val="1"/>
          <w:iCs w:val="1"/>
          <w:color w:val="auto"/>
        </w:rPr>
        <w:t>The actions of Eddingpharm Investment Company Limited, or Eddingpharm, and any other current or future sublicensees could adversely affect our business.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currently exclusively sublicense entinostat to Eddingpharm for development and commercialization in China and select Asian countries. In December 2021, Eddingpharm announced that the results of its multi-center, randomized, double-blinded, placebo-controlled Phase III registration trial showed that entinostat plus exemestane improved progression free survival, overall response rate and disease control rate, compared with placebo plus exemestane in patients with advanced HR positive, HER2 negative breast cancer who had progressed after previous endocrine therapy. Nonetheless, it is possible that any future clinical trials conducted by Eddingpharm, including the forthcoming overall survival data in its ongoing Phase III registration trial, and trials by other current or future sublicensees in their respective jurisdictions could have negative results.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UCB Biopharma Sprl, or UCB, to comply with the terms of our license agreement for axatilimab.</w:t>
      </w:r>
    </w:p>
    <w:p>
      <w:pPr>
        <w:spacing w:after="0" w:line="117" w:lineRule="exact"/>
        <w:rPr>
          <w:sz w:val="20"/>
          <w:szCs w:val="20"/>
          <w:color w:val="auto"/>
        </w:rPr>
      </w:pPr>
    </w:p>
    <w:p>
      <w:pPr>
        <w:ind w:right="100" w:firstLine="578"/>
        <w:spacing w:after="0" w:line="254" w:lineRule="auto"/>
        <w:rPr>
          <w:sz w:val="20"/>
          <w:szCs w:val="20"/>
          <w:color w:val="auto"/>
        </w:rPr>
      </w:pPr>
      <w:r>
        <w:rPr>
          <w:rFonts w:ascii="Arial" w:cs="Arial" w:eastAsia="Arial" w:hAnsi="Arial"/>
          <w:sz w:val="18"/>
          <w:szCs w:val="18"/>
          <w:color w:val="auto"/>
        </w:rPr>
        <w:t>Our commercial success also depends upon our ability to develop, manufacture, market and sell axatilimab. In July 2016, we entered into the UCB license agreement pursuant to which we obtained a worldwide, sublicenseable, exclusive license to axatilimab, an IND-ready anti-CSF-1R monoclonal antibody.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axatilimab may be terminated as well. The occurrence of any of these events could adversely affect the development and commercialization of axatilimab, and materially harm our business.</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employees, consultants and collaborators may engage in misconduct or other improper activities, including insider trading and non-compliance with regulatory standards and requirements.</w:t>
      </w:r>
    </w:p>
    <w:p>
      <w:pPr>
        <w:spacing w:after="0" w:line="62" w:lineRule="exact"/>
        <w:rPr>
          <w:sz w:val="20"/>
          <w:szCs w:val="20"/>
          <w:color w:val="auto"/>
        </w:rPr>
      </w:pPr>
    </w:p>
    <w:p>
      <w:pPr>
        <w:ind w:right="20" w:firstLine="578"/>
        <w:spacing w:after="0" w:line="285" w:lineRule="auto"/>
        <w:rPr>
          <w:sz w:val="20"/>
          <w:szCs w:val="20"/>
          <w:color w:val="auto"/>
        </w:rPr>
      </w:pPr>
      <w:r>
        <w:rPr>
          <w:rFonts w:ascii="Arial" w:cs="Arial" w:eastAsia="Arial" w:hAnsi="Arial"/>
          <w:sz w:val="16"/>
          <w:szCs w:val="16"/>
          <w:color w:val="auto"/>
        </w:rPr>
        <w:t>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17" w:lineRule="exact"/>
        <w:rPr>
          <w:sz w:val="20"/>
          <w:szCs w:val="20"/>
          <w:color w:val="auto"/>
        </w:rPr>
      </w:pPr>
    </w:p>
    <w:p>
      <w:pPr>
        <w:ind w:right="40" w:firstLine="578"/>
        <w:spacing w:after="0" w:line="255"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83" w:lineRule="exact"/>
        <w:rPr>
          <w:sz w:val="20"/>
          <w:szCs w:val="20"/>
          <w:color w:val="auto"/>
        </w:rPr>
      </w:pPr>
    </w:p>
    <w:p>
      <w:pPr>
        <w:ind w:right="20" w:firstLine="578"/>
        <w:spacing w:after="0" w:line="301"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ind w:right="300"/>
        <w:spacing w:after="0" w:line="277" w:lineRule="auto"/>
        <w:rPr>
          <w:sz w:val="20"/>
          <w:szCs w:val="20"/>
          <w:color w:val="auto"/>
        </w:rPr>
      </w:pPr>
      <w:r>
        <w:rPr>
          <w:rFonts w:ascii="Arial" w:cs="Arial" w:eastAsia="Arial" w:hAnsi="Arial"/>
          <w:sz w:val="18"/>
          <w:szCs w:val="18"/>
          <w:b w:val="1"/>
          <w:bCs w:val="1"/>
          <w:i w:val="1"/>
          <w:iCs w:val="1"/>
          <w:color w:val="auto"/>
        </w:rPr>
        <w:t>Even if we commercialize our product candidates, they or any other product candidates that we develop, may become subject to unfavorable pricing regulations or third-party coverage or reimbursement practices, which could harm our business.</w:t>
      </w:r>
    </w:p>
    <w:p>
      <w:pPr>
        <w:spacing w:after="0" w:line="62" w:lineRule="exact"/>
        <w:rPr>
          <w:sz w:val="20"/>
          <w:szCs w:val="20"/>
          <w:color w:val="auto"/>
        </w:rPr>
      </w:pPr>
    </w:p>
    <w:p>
      <w:pPr>
        <w:ind w:right="120" w:firstLine="578"/>
        <w:spacing w:after="0" w:line="273" w:lineRule="auto"/>
        <w:rPr>
          <w:sz w:val="20"/>
          <w:szCs w:val="20"/>
          <w:color w:val="auto"/>
        </w:rPr>
      </w:pPr>
      <w:r>
        <w:rPr>
          <w:rFonts w:ascii="Arial" w:cs="Arial" w:eastAsia="Arial" w:hAnsi="Arial"/>
          <w:sz w:val="17"/>
          <w:szCs w:val="17"/>
          <w:color w:val="auto"/>
        </w:rPr>
        <w:t>Our ability to successfully commercialize our existing product candidates, or any other product candidates that we develop, will depend in part on the extent to which coverage and adequate reimbursement for these products and related treatments will be available from third-party payors, including government healthcare programs, private health insurers, managed care plans and other organizations. Third-party payors determine which medications they will cover and establish reimbursement levels.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w:t>
      </w:r>
    </w:p>
    <w:p>
      <w:pPr>
        <w:spacing w:after="0" w:line="68" w:lineRule="exact"/>
        <w:rPr>
          <w:sz w:val="20"/>
          <w:szCs w:val="20"/>
          <w:color w:val="auto"/>
        </w:rPr>
      </w:pPr>
    </w:p>
    <w:p>
      <w:pPr>
        <w:ind w:right="280" w:firstLine="578"/>
        <w:spacing w:after="0" w:line="263"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any product candidates that we develop.</w:t>
      </w:r>
    </w:p>
    <w:p>
      <w:pPr>
        <w:spacing w:after="0" w:line="75" w:lineRule="exact"/>
        <w:rPr>
          <w:sz w:val="20"/>
          <w:szCs w:val="20"/>
          <w:color w:val="auto"/>
        </w:rPr>
      </w:pPr>
    </w:p>
    <w:p>
      <w:pPr>
        <w:ind w:right="60" w:firstLine="578"/>
        <w:spacing w:after="0" w:line="270"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75" w:lineRule="exact"/>
        <w:rPr>
          <w:sz w:val="20"/>
          <w:szCs w:val="20"/>
          <w:color w:val="auto"/>
        </w:rPr>
      </w:pPr>
    </w:p>
    <w:p>
      <w:pPr>
        <w:ind w:right="20" w:firstLine="578"/>
        <w:spacing w:after="0" w:line="271" w:lineRule="auto"/>
        <w:rPr>
          <w:sz w:val="20"/>
          <w:szCs w:val="20"/>
          <w:color w:val="auto"/>
        </w:rPr>
      </w:pPr>
      <w:r>
        <w:rPr>
          <w:rFonts w:ascii="Arial" w:cs="Arial" w:eastAsia="Arial" w:hAnsi="Arial"/>
          <w:sz w:val="17"/>
          <w:szCs w:val="17"/>
          <w:color w:val="auto"/>
        </w:rPr>
        <w:t>Private payors often follow decisions by the Centers for Medicare &amp; Medicaid Services (“CMS”)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73" w:lineRule="exact"/>
        <w:rPr>
          <w:sz w:val="20"/>
          <w:szCs w:val="20"/>
          <w:color w:val="auto"/>
        </w:rPr>
      </w:pPr>
    </w:p>
    <w:p>
      <w:pPr>
        <w:ind w:right="20" w:firstLine="578"/>
        <w:spacing w:after="0" w:line="270" w:lineRule="auto"/>
        <w:rPr>
          <w:sz w:val="20"/>
          <w:szCs w:val="20"/>
          <w:color w:val="auto"/>
        </w:rPr>
      </w:pPr>
      <w:r>
        <w:rPr>
          <w:rFonts w:ascii="Arial" w:cs="Arial" w:eastAsia="Arial" w:hAnsi="Arial"/>
          <w:sz w:val="17"/>
          <w:szCs w:val="17"/>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our product candidates in a particular country, but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even if our product candidates obtain marketing approval.</w:t>
      </w:r>
    </w:p>
    <w:p>
      <w:pPr>
        <w:spacing w:after="0" w:line="75" w:lineRule="exact"/>
        <w:rPr>
          <w:sz w:val="20"/>
          <w:szCs w:val="20"/>
          <w:color w:val="auto"/>
        </w:rPr>
      </w:pPr>
    </w:p>
    <w:p>
      <w:pPr>
        <w:ind w:right="180" w:firstLine="578"/>
        <w:spacing w:after="0" w:line="259" w:lineRule="auto"/>
        <w:rPr>
          <w:sz w:val="20"/>
          <w:szCs w:val="20"/>
          <w:color w:val="auto"/>
        </w:rPr>
      </w:pPr>
      <w:r>
        <w:rPr>
          <w:rFonts w:ascii="Arial" w:cs="Arial" w:eastAsia="Arial" w:hAnsi="Arial"/>
          <w:sz w:val="18"/>
          <w:szCs w:val="18"/>
          <w:color w:val="auto"/>
        </w:rPr>
        <w:t>There can be no assurance that our product candidates, if they are approved for sale in the United States or in other countries, will be considered medically reasonable and necessary for a specific indication, that it will be considered cost effective by third-party payors, that coverage and an adequate level of reimbursement will be available, or that third-party payors’ reimbursement policies will not adversely affect our ability to sell our product candidates profitably.</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Current and future legislation may increase the difficulty and cost for us to commercialize our product candidates and affect the prices we may obtain.</w:t>
      </w:r>
    </w:p>
    <w:p>
      <w:pPr>
        <w:spacing w:after="0" w:line="151"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For example, then President Obama signed into law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 There have been executive, judicial and Congressional challenges to certain aspects of the Affordable Care Act. While Congress has not passed comprehensive repeal legislation, several bills affecting the implementation of certain taxes under the Affordable Care Act have been signed into law. The Tax Cuts and Jobs Act of 2017 includes a provision that repealed, effective January 1, 2019, the tax-based shared responsibility payment imposed by the Affordable Care Act on certain individuals who</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8" w:name="page39"/>
    <w:bookmarkEnd w:id="38"/>
    <w:p>
      <w:pPr>
        <w:ind w:right="100"/>
        <w:spacing w:after="0" w:line="288" w:lineRule="auto"/>
        <w:rPr>
          <w:sz w:val="20"/>
          <w:szCs w:val="20"/>
          <w:color w:val="auto"/>
        </w:rPr>
      </w:pPr>
      <w:r>
        <w:rPr>
          <w:rFonts w:ascii="Arial" w:cs="Arial" w:eastAsia="Arial" w:hAnsi="Arial"/>
          <w:sz w:val="16"/>
          <w:szCs w:val="16"/>
          <w:color w:val="auto"/>
        </w:rPr>
        <w:t>fail to maintain qualifying health coverage for all or part of a year that is commonly referred to as the “individual mandate.” On June 17, 2021, the U.S. Supreme Court dismissed a challenge on procedural grounds that argued the Affordable Care Act is unconstitutional in its entirety because the “individual mandate” was repealed by Congress. Thus, the Affordable Care Act will remain in effect in its current form. Moreover, prior to the U.S. Supreme Court ruling, January 28, 2021, President Biden issued an executive order that initiated a special enrollment period for purposes of obtaining health insurance coverage through the Affordable Care Act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possible that the Affordable Care Act will be subject to judicial or Congressional challenges in the future. It is unclear how any such challenges and the healthcare reform measures of the Biden administration will impact the Affordable Care Act and our business.</w:t>
      </w:r>
    </w:p>
    <w:p>
      <w:pPr>
        <w:spacing w:after="0" w:line="63"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Other legislative changes have been proposed and adopted since the Affordable Care Act was enacted. For example, in August 2011, then President Obama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legislation’s automatic reduction to several government programs. This included aggregate reductions to Medicare payments to providers of up to 2% per fiscal year, effective as of 2013. Further legislation has extended the 2% reduction to 2031 with the exception of a temporary suspension from May 1, 2020 through March 31, 2022 due to the COVID-19 pandemic, unless additional congressional action is taken. In January 2013, then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70" w:lineRule="exact"/>
        <w:rPr>
          <w:sz w:val="20"/>
          <w:szCs w:val="20"/>
          <w:color w:val="auto"/>
        </w:rPr>
      </w:pPr>
    </w:p>
    <w:p>
      <w:pPr>
        <w:ind w:firstLine="578"/>
        <w:spacing w:after="0" w:line="284" w:lineRule="auto"/>
        <w:rPr>
          <w:sz w:val="20"/>
          <w:szCs w:val="20"/>
          <w:color w:val="auto"/>
        </w:rPr>
      </w:pPr>
      <w:r>
        <w:rPr>
          <w:rFonts w:ascii="Arial" w:cs="Arial" w:eastAsia="Arial" w:hAnsi="Arial"/>
          <w:sz w:val="16"/>
          <w:szCs w:val="16"/>
          <w:color w:val="auto"/>
        </w:rPr>
        <w:t>Further, there has been increasing legislative and enforcement interest in the United States with respect to specialty drug pricing practices. Specifically, there have been several recent U.S. Congressional inquiries, Presidential executive orders,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sought to implement several of the administration’s proposals. As a result, the FDA released a final rule and guidance in September 2020, providing pathways for states to build and submit importation plans for drugs from Canada. Further, on November 20, 2020, the U.S. Department of Health &amp; Human Services, or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by the Biden administration until January 1, 2023. On November 20, 2020, the CMS issued an interim final rule implementing the Trump administration’s Most Favored Nation, or MFN, executive order, which would tie Medicare Part B payments for certain physician-administered drugs to the lowest price paid in other economically advanced countries. On December 27, 2021, CMS issued a final rule that rescinded the interim final rule implementing the Trump administration’s Most Favored Nation executive order. In July 2021, the Biden administration released an executive order, “Promoting Competition in the American Economy,” with multiple provisions aimed at prescription drugs. In response to President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Congress is also considering additional health reform measures.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1" w:lineRule="exact"/>
        <w:rPr>
          <w:sz w:val="20"/>
          <w:szCs w:val="20"/>
          <w:color w:val="auto"/>
        </w:rPr>
      </w:pPr>
    </w:p>
    <w:p>
      <w:pPr>
        <w:ind w:right="60" w:firstLine="578"/>
        <w:spacing w:after="0" w:line="273" w:lineRule="auto"/>
        <w:rPr>
          <w:sz w:val="20"/>
          <w:szCs w:val="20"/>
          <w:color w:val="auto"/>
        </w:rPr>
      </w:pPr>
      <w:r>
        <w:rPr>
          <w:rFonts w:ascii="Arial" w:cs="Arial" w:eastAsia="Arial" w:hAnsi="Arial"/>
          <w:sz w:val="17"/>
          <w:szCs w:val="17"/>
          <w:color w:val="auto"/>
        </w:rPr>
        <w:t>It is also possible that additional governmental action is taken in response to the COVID-19 pandemic. We cannot predict the likelihood, nature or extent of government regulations that may arise from future legislation, administrative or executive action. 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117" w:lineRule="exact"/>
        <w:rPr>
          <w:sz w:val="20"/>
          <w:szCs w:val="20"/>
          <w:color w:val="auto"/>
        </w:rPr>
      </w:pPr>
    </w:p>
    <w:p>
      <w:pPr>
        <w:ind w:right="20" w:firstLine="578"/>
        <w:spacing w:after="0" w:line="279" w:lineRule="auto"/>
        <w:rPr>
          <w:sz w:val="20"/>
          <w:szCs w:val="20"/>
          <w:color w:val="auto"/>
        </w:rPr>
      </w:pPr>
      <w:r>
        <w:rPr>
          <w:rFonts w:ascii="Arial" w:cs="Arial" w:eastAsia="Arial" w:hAnsi="Arial"/>
          <w:sz w:val="17"/>
          <w:szCs w:val="17"/>
          <w:color w:val="auto"/>
        </w:rPr>
        <w:t>In order to market any approved product candidate in the future, we must build our sales, marketing, managerial and other non-technical capabilities or make arrangements with third parties to perform these services, as we do not presently have all of these capabilities. To develop our internal sales, distribution and marketing capabilities, we must invest significant amounts of financial and management resources in the future. For drugs where we decide to perform sales, marketing and distribution functions ourselves, we could face a number of challenges, including that:</w:t>
      </w:r>
    </w:p>
    <w:p>
      <w:pPr>
        <w:spacing w:after="0" w:line="62"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attract and build an effective marketing or sales force;</w:t>
      </w:r>
    </w:p>
    <w:p>
      <w:pPr>
        <w:spacing w:after="0" w:line="143"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143" w:lineRule="exact"/>
        <w:rPr>
          <w:rFonts w:ascii="Arial" w:cs="Arial" w:eastAsia="Arial" w:hAnsi="Arial"/>
          <w:sz w:val="18"/>
          <w:szCs w:val="18"/>
          <w:color w:val="auto"/>
        </w:rPr>
      </w:pPr>
    </w:p>
    <w:p>
      <w:pPr>
        <w:ind w:left="1000" w:right="80" w:hanging="493"/>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liabilities.</w:t>
      </w:r>
    </w:p>
    <w:p>
      <w:pPr>
        <w:spacing w:after="0" w:line="75" w:lineRule="exact"/>
        <w:rPr>
          <w:sz w:val="20"/>
          <w:szCs w:val="20"/>
          <w:color w:val="auto"/>
        </w:rPr>
      </w:pPr>
    </w:p>
    <w:p>
      <w:pPr>
        <w:ind w:right="160" w:firstLine="578"/>
        <w:spacing w:after="0" w:line="259" w:lineRule="auto"/>
        <w:rPr>
          <w:sz w:val="20"/>
          <w:szCs w:val="20"/>
          <w:color w:val="auto"/>
        </w:rPr>
      </w:pPr>
      <w:r>
        <w:rPr>
          <w:rFonts w:ascii="Arial" w:cs="Arial" w:eastAsia="Arial" w:hAnsi="Arial"/>
          <w:sz w:val="18"/>
          <w:szCs w:val="18"/>
          <w:color w:val="auto"/>
        </w:rPr>
        <w:t>Alternatively, we may rely on third parties to launch and market our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our product candidates.</w:t>
      </w:r>
    </w:p>
    <w:p>
      <w:pPr>
        <w:spacing w:after="0" w:line="140" w:lineRule="exact"/>
        <w:rPr>
          <w:sz w:val="20"/>
          <w:szCs w:val="20"/>
          <w:color w:val="auto"/>
        </w:rPr>
      </w:pPr>
    </w:p>
    <w:p>
      <w:pPr>
        <w:ind w:right="120" w:firstLine="578"/>
        <w:spacing w:after="0" w:line="256"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our product candidates or other products that we may develop caused injuries, we could incur substantial liabilities. Regardless of merit or eventual outcome, liability claims may result in:</w:t>
      </w:r>
    </w:p>
    <w:p>
      <w:pPr>
        <w:spacing w:after="0" w:line="83"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44"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our product candidates,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9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b w:val="1"/>
          <w:bCs w:val="1"/>
          <w:i w:val="1"/>
          <w:iCs w:val="1"/>
          <w:color w:val="auto"/>
        </w:rPr>
        <w:t>Our relationships with healthcare providers,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48" w:lineRule="exact"/>
        <w:rPr>
          <w:sz w:val="20"/>
          <w:szCs w:val="20"/>
          <w:color w:val="auto"/>
        </w:rPr>
      </w:pPr>
    </w:p>
    <w:p>
      <w:pPr>
        <w:ind w:right="440" w:firstLine="578"/>
        <w:spacing w:after="0" w:line="277" w:lineRule="auto"/>
        <w:rPr>
          <w:sz w:val="20"/>
          <w:szCs w:val="20"/>
          <w:color w:val="auto"/>
        </w:rPr>
      </w:pPr>
      <w:r>
        <w:rPr>
          <w:rFonts w:ascii="Arial" w:cs="Arial" w:eastAsia="Arial" w:hAnsi="Arial"/>
          <w:sz w:val="18"/>
          <w:szCs w:val="18"/>
          <w:color w:val="auto"/>
        </w:rPr>
        <w:t>Healthcare providers, including physicians and third-party payors play a primary role in the recommendation and prescription of any product candidates for which we obtain marketing approval. Our current and future arrangements with healthcare providers,</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40" w:name="page41"/>
    <w:bookmarkEnd w:id="40"/>
    <w:p>
      <w:pPr>
        <w:ind w:right="100"/>
        <w:spacing w:after="0" w:line="311" w:lineRule="auto"/>
        <w:rPr>
          <w:sz w:val="20"/>
          <w:szCs w:val="20"/>
          <w:color w:val="auto"/>
        </w:rPr>
      </w:pPr>
      <w:r>
        <w:rPr>
          <w:rFonts w:ascii="Arial" w:cs="Arial" w:eastAsia="Arial" w:hAnsi="Arial"/>
          <w:sz w:val="16"/>
          <w:szCs w:val="16"/>
          <w:color w:val="auto"/>
        </w:rPr>
        <w:t>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spacing w:after="0" w:line="40" w:lineRule="exact"/>
        <w:rPr>
          <w:sz w:val="20"/>
          <w:szCs w:val="20"/>
          <w:color w:val="auto"/>
        </w:rPr>
      </w:pPr>
    </w:p>
    <w:p>
      <w:pPr>
        <w:ind w:left="1000" w:right="140" w:hanging="493"/>
        <w:spacing w:after="0" w:line="279"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61" w:lineRule="exact"/>
        <w:rPr>
          <w:rFonts w:ascii="Arial" w:cs="Arial" w:eastAsia="Arial" w:hAnsi="Arial"/>
          <w:sz w:val="17"/>
          <w:szCs w:val="17"/>
          <w:color w:val="auto"/>
        </w:rPr>
      </w:pPr>
    </w:p>
    <w:p>
      <w:pPr>
        <w:ind w:left="1000" w:right="60" w:hanging="493"/>
        <w:spacing w:after="0" w:line="259"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false claims, including the federal civil False Claims Act,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spacing w:after="0" w:line="77" w:lineRule="exact"/>
        <w:rPr>
          <w:rFonts w:ascii="Arial" w:cs="Arial" w:eastAsia="Arial" w:hAnsi="Arial"/>
          <w:sz w:val="18"/>
          <w:szCs w:val="18"/>
          <w:color w:val="auto"/>
        </w:rPr>
      </w:pPr>
    </w:p>
    <w:p>
      <w:pPr>
        <w:ind w:left="1000" w:right="60" w:hanging="493"/>
        <w:spacing w:after="0" w:line="254"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84" w:lineRule="exact"/>
        <w:rPr>
          <w:rFonts w:ascii="Arial" w:cs="Arial" w:eastAsia="Arial" w:hAnsi="Arial"/>
          <w:sz w:val="18"/>
          <w:szCs w:val="18"/>
          <w:color w:val="auto"/>
        </w:rPr>
      </w:pPr>
    </w:p>
    <w:p>
      <w:pPr>
        <w:ind w:left="1000" w:right="40" w:hanging="493"/>
        <w:spacing w:after="0" w:line="256"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also imposes obligations on covered entities, including certain health care providers, health plans and health care clearinghouses as well as their business associates that perform certain services involving the use or disclosure of individually identifiable health information for or on behalf of such covered entities, and their covered subcontractors, with respect to safeguarding the privacy, security and transmission of individually identifiable health information;</w:t>
      </w:r>
    </w:p>
    <w:p>
      <w:pPr>
        <w:spacing w:after="0" w:line="82" w:lineRule="exact"/>
        <w:rPr>
          <w:rFonts w:ascii="Arial" w:cs="Arial" w:eastAsia="Arial" w:hAnsi="Arial"/>
          <w:sz w:val="18"/>
          <w:szCs w:val="18"/>
          <w:color w:val="auto"/>
        </w:rPr>
      </w:pPr>
    </w:p>
    <w:p>
      <w:pPr>
        <w:ind w:left="1000" w:right="40" w:hanging="493"/>
        <w:spacing w:after="0" w:line="273"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certain manufacturers of drugs, devices, biologics and medical supplies for which payment is available under Medicare, Medicaid or the Children’s Health Insurance Program to report annually to CMS information related to “payments or other transfers of value” made to physicians (defined to include doctors, dentists, optometrists, podiatrists and chiropractors), other healthcare professionals (such as physician assistants and nurse practitioners), and teaching hospitals and applicable manufacturers and applicable group purchasing organizations to report annually to CMS ownership and investment interests held by physicians (as defined above) and their immediate family members; and</w:t>
      </w:r>
    </w:p>
    <w:p>
      <w:pPr>
        <w:spacing w:after="0" w:line="68" w:lineRule="exact"/>
        <w:rPr>
          <w:rFonts w:ascii="Arial" w:cs="Arial" w:eastAsia="Arial" w:hAnsi="Arial"/>
          <w:sz w:val="17"/>
          <w:szCs w:val="17"/>
          <w:color w:val="auto"/>
        </w:rPr>
      </w:pPr>
    </w:p>
    <w:p>
      <w:pPr>
        <w:ind w:left="1000" w:hanging="493"/>
        <w:spacing w:after="0" w:line="286"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manufacturers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66" w:lineRule="exact"/>
        <w:rPr>
          <w:sz w:val="20"/>
          <w:szCs w:val="20"/>
          <w:color w:val="auto"/>
        </w:rPr>
      </w:pPr>
    </w:p>
    <w:p>
      <w:pPr>
        <w:ind w:right="20" w:firstLine="578"/>
        <w:spacing w:after="0" w:line="291" w:lineRule="auto"/>
        <w:rPr>
          <w:sz w:val="20"/>
          <w:szCs w:val="20"/>
          <w:color w:val="auto"/>
        </w:rPr>
      </w:pPr>
      <w:r>
        <w:rPr>
          <w:rFonts w:ascii="Arial" w:cs="Arial" w:eastAsia="Arial" w:hAnsi="Arial"/>
          <w:sz w:val="16"/>
          <w:szCs w:val="16"/>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1" w:name="page42"/>
    <w:bookmarkEnd w:id="41"/>
    <w:p>
      <w:pPr>
        <w:ind w:right="40"/>
        <w:spacing w:after="0" w:line="279" w:lineRule="auto"/>
        <w:rPr>
          <w:sz w:val="20"/>
          <w:szCs w:val="20"/>
          <w:color w:val="auto"/>
        </w:rPr>
      </w:pPr>
      <w:r>
        <w:rPr>
          <w:rFonts w:ascii="Arial" w:cs="Arial" w:eastAsia="Arial" w:hAnsi="Arial"/>
          <w:sz w:val="17"/>
          <w:szCs w:val="17"/>
          <w:color w:val="auto"/>
        </w:rPr>
        <w:t>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Significant disruptions of our information technology systems or data security incidents could result in significant financial, legal, regulatory, business and reputational harm to us.</w:t>
      </w:r>
    </w:p>
    <w:p>
      <w:pPr>
        <w:spacing w:after="0" w:line="62" w:lineRule="exact"/>
        <w:rPr>
          <w:sz w:val="20"/>
          <w:szCs w:val="20"/>
          <w:color w:val="auto"/>
        </w:rPr>
      </w:pPr>
    </w:p>
    <w:p>
      <w:pPr>
        <w:ind w:firstLine="578"/>
        <w:spacing w:after="0" w:line="267" w:lineRule="auto"/>
        <w:rPr>
          <w:sz w:val="20"/>
          <w:szCs w:val="20"/>
          <w:color w:val="auto"/>
        </w:rPr>
      </w:pPr>
      <w:r>
        <w:rPr>
          <w:rFonts w:ascii="Arial" w:cs="Arial" w:eastAsia="Arial" w:hAnsi="Arial"/>
          <w:sz w:val="17"/>
          <w:szCs w:val="17"/>
          <w:color w:val="auto"/>
        </w:rPr>
        <w:t>We are increasingly dependent on information technology systems and infrastructure, including mobile technologies, to operate our business. In the ordinary course of our business, we collect, store, process and transmit large amounts of sensitive information, including intellectual property, proprietary business information, personal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our confidential information or the confidential information of third parties that is in our possession. In addition, those third-party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potentially vulnerable to unintentional or malicious, internal and external attacks on our technology environment. In addition, due to the COVID-19 pandemic, we have enabled substantially all of our employees to work remotely, which may make us more vulnerable to cyberattacks. Potential vulnerabilities can be exploited from inadvertent or intentional actions of our employees, third-party vendors, business partners, or by malicious third parties.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further increases the risk of data security incidents.</w:t>
      </w:r>
    </w:p>
    <w:p>
      <w:pPr>
        <w:spacing w:after="0" w:line="79" w:lineRule="exact"/>
        <w:rPr>
          <w:sz w:val="20"/>
          <w:szCs w:val="20"/>
          <w:color w:val="auto"/>
        </w:rPr>
      </w:pPr>
    </w:p>
    <w:p>
      <w:pPr>
        <w:ind w:right="20" w:firstLine="578"/>
        <w:spacing w:after="0" w:line="254" w:lineRule="auto"/>
        <w:rPr>
          <w:sz w:val="20"/>
          <w:szCs w:val="20"/>
          <w:color w:val="auto"/>
        </w:rPr>
      </w:pPr>
      <w:r>
        <w:rPr>
          <w:rFonts w:ascii="Arial" w:cs="Arial" w:eastAsia="Arial" w:hAnsi="Arial"/>
          <w:sz w:val="18"/>
          <w:szCs w:val="18"/>
          <w:color w:val="auto"/>
        </w:rPr>
        <w:t>Significant disruptions of our, our third-party vendors’ and/or business partners’ information technology systems or other similar data security incidents could adversely affect our business operations and/or result in the loss, misappropriation and/or unauthorized access, use or disclosure of, or the prevention of access to, sensitive information, which could result in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w:t>
      </w:r>
    </w:p>
    <w:p>
      <w:pPr>
        <w:spacing w:after="0" w:line="85" w:lineRule="exact"/>
        <w:rPr>
          <w:sz w:val="20"/>
          <w:szCs w:val="20"/>
          <w:color w:val="auto"/>
        </w:rPr>
      </w:pPr>
    </w:p>
    <w:p>
      <w:pPr>
        <w:ind w:right="20" w:firstLine="578"/>
        <w:spacing w:after="0" w:line="267" w:lineRule="auto"/>
        <w:rPr>
          <w:sz w:val="20"/>
          <w:szCs w:val="20"/>
          <w:color w:val="auto"/>
        </w:rPr>
      </w:pPr>
      <w:r>
        <w:rPr>
          <w:rFonts w:ascii="Arial" w:cs="Arial" w:eastAsia="Arial" w:hAnsi="Arial"/>
          <w:sz w:val="17"/>
          <w:szCs w:val="17"/>
          <w:color w:val="auto"/>
        </w:rPr>
        <w:t>There is no way of knowing with certainty whether we have experienced any data security incidents that have not been discovered. While we have no reason to believe this to be the case, attackers have become very sophisticated in the ways that they conceal access to systems. Many companies that have been attacked are not aware that they have been attacked. Any event that leads to unauthorized access, use or disclosure of personal information, including but not limited to personal information regarding employees or clinical trial patients,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Any failure or perceived failure by us or our vendors or business partners to comply with our privacy, confidentiality or data security-related legal or other obligations to third parties, or any further security incidents or other inappropriate access events resulting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Any delay in identifying them may lead to increased harm of the type described above. While we have implemented security measures to protect our information technology systems and infrastructure, there can be no assurance that such measures will successfully prevent service interruptions or security incidents. Further, because of the work-from-home policies we implemented due to COVID-19, information that is normally protected, including company confidential information, may be less secure.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net losses since our inception, except 2021, and anticipate that we will continue to incur net losses for the foreseeable future.</w:t>
      </w:r>
    </w:p>
    <w:p>
      <w:pPr>
        <w:spacing w:after="0" w:line="140" w:lineRule="exact"/>
        <w:rPr>
          <w:sz w:val="20"/>
          <w:szCs w:val="20"/>
          <w:color w:val="auto"/>
        </w:rPr>
      </w:pPr>
    </w:p>
    <w:p>
      <w:pPr>
        <w:ind w:right="20" w:firstLine="578"/>
        <w:spacing w:after="0" w:line="255"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w:t>
      </w:r>
    </w:p>
    <w:p>
      <w:pPr>
        <w:spacing w:after="0" w:line="83"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For the quarter ended March 31, 2022, we reported a net loss attributable to stockholders of $37.2 million. As of March 31, 2022, we had an accumulated deficit of $580.9 million, which included non-cash charges for stock-based compensation, preferred stock accretion and extinguishment charges. We expect to continue to incur significant losses for the foreseeable future, and we expect these losses to increase as we continue our pre-commercialization activities for, and our research and development of, and seek regulatory approvals for, our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revenues, if any. Our prior losses and expected future losses have had and will continue to have an adverse effect on our stockholders’ equity and working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17" w:lineRule="exact"/>
        <w:rPr>
          <w:sz w:val="20"/>
          <w:szCs w:val="20"/>
          <w:color w:val="auto"/>
        </w:rPr>
      </w:pPr>
    </w:p>
    <w:p>
      <w:pPr>
        <w:jc w:val="both"/>
        <w:ind w:right="120" w:firstLine="578"/>
        <w:spacing w:after="0" w:line="263"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our product candidates. We do not anticipate generating revenue from the sale of our product candidates for the foreseeable future. Our ability to generate future product revenue also depends on a number of additional factors, including, but not limited to, our ability to:</w:t>
      </w:r>
    </w:p>
    <w:p>
      <w:pPr>
        <w:spacing w:after="0" w:line="75"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our product candidates;</w:t>
      </w:r>
    </w:p>
    <w:p>
      <w:pPr>
        <w:spacing w:after="0" w:line="143"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our product candidates, and if launched independently, successfully establish a sales, marketing and distribution infrastructure;</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continue to build a portfolio of product candidates through the acquisition or in-license of products, product candidates or technologies;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initiate preclinical and clinical trials for any additional product candidates that we may pursue in the future;</w:t>
      </w:r>
    </w:p>
    <w:p>
      <w:pPr>
        <w:spacing w:after="0" w:line="143"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maintain, expand and protect our intellectual property rights; and</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144" w:lineRule="exact"/>
        <w:rPr>
          <w:sz w:val="20"/>
          <w:szCs w:val="20"/>
          <w:color w:val="auto"/>
        </w:rPr>
      </w:pPr>
    </w:p>
    <w:p>
      <w:pPr>
        <w:ind w:firstLine="578"/>
        <w:spacing w:after="0" w:line="256" w:lineRule="auto"/>
        <w:rPr>
          <w:sz w:val="20"/>
          <w:szCs w:val="20"/>
          <w:color w:val="auto"/>
        </w:rPr>
      </w:pPr>
      <w:r>
        <w:rPr>
          <w:rFonts w:ascii="Arial" w:cs="Arial" w:eastAsia="Arial" w:hAnsi="Arial"/>
          <w:sz w:val="18"/>
          <w:szCs w:val="18"/>
          <w:color w:val="auto"/>
        </w:rPr>
        <w:t>In addition, because of the numerous risks and uncertainties associated with drug development, we are unable to predict the timing or amount of increased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w:t>
      </w:r>
    </w:p>
    <w:p>
      <w:pPr>
        <w:spacing w:after="0" w:line="83" w:lineRule="exact"/>
        <w:rPr>
          <w:sz w:val="20"/>
          <w:szCs w:val="20"/>
          <w:color w:val="auto"/>
        </w:rPr>
      </w:pPr>
    </w:p>
    <w:p>
      <w:pPr>
        <w:ind w:right="120" w:firstLine="578"/>
        <w:spacing w:after="0" w:line="259" w:lineRule="auto"/>
        <w:rPr>
          <w:sz w:val="20"/>
          <w:szCs w:val="20"/>
          <w:color w:val="auto"/>
        </w:rPr>
      </w:pPr>
      <w:r>
        <w:rPr>
          <w:rFonts w:ascii="Arial" w:cs="Arial" w:eastAsia="Arial" w:hAnsi="Arial"/>
          <w:sz w:val="18"/>
          <w:szCs w:val="18"/>
          <w:color w:val="auto"/>
        </w:rPr>
        <w:t>Even if we generate revenues from the sale of our product candidates,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8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ind w:right="140" w:firstLine="578"/>
        <w:spacing w:after="0" w:line="293" w:lineRule="auto"/>
        <w:rPr>
          <w:sz w:val="20"/>
          <w:szCs w:val="20"/>
          <w:color w:val="auto"/>
        </w:rPr>
      </w:pPr>
      <w:r>
        <w:rPr>
          <w:rFonts w:ascii="Arial" w:cs="Arial" w:eastAsia="Arial" w:hAnsi="Arial"/>
          <w:sz w:val="16"/>
          <w:szCs w:val="16"/>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public health epidemics, such as the COVID-19 pandemic, or geopolitical tensions, such as Russia's recent incursion into Ukraine. For example, we may discover that we need to conduct additional activities that exceed our current budget to achieve appropriate rates of patient enrollment, which would increase our development costs.</w:t>
      </w:r>
    </w:p>
    <w:p>
      <w:pPr>
        <w:spacing w:after="0" w:line="55" w:lineRule="exact"/>
        <w:rPr>
          <w:sz w:val="20"/>
          <w:szCs w:val="20"/>
          <w:color w:val="auto"/>
        </w:rPr>
      </w:pPr>
    </w:p>
    <w:p>
      <w:pPr>
        <w:ind w:firstLine="578"/>
        <w:spacing w:after="0" w:line="255" w:lineRule="auto"/>
        <w:rPr>
          <w:sz w:val="20"/>
          <w:szCs w:val="20"/>
          <w:color w:val="auto"/>
        </w:rPr>
      </w:pPr>
      <w:r>
        <w:rPr>
          <w:rFonts w:ascii="Arial" w:cs="Arial" w:eastAsia="Arial" w:hAnsi="Arial"/>
          <w:sz w:val="18"/>
          <w:szCs w:val="18"/>
          <w:color w:val="auto"/>
        </w:rPr>
        <w:t>In any event, we will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 The COVID-19 pandemic has resulted in periods of significant disruption of global financial markets. If future disruption or volatility occur, we could experience an inability to access additional capital. We cannot guarantee that future financing will be available in sufficient amounts or on terms acceptable to us, if at all. If we do not raise additional capital when required or on acceptable terms, we may need to:</w:t>
      </w:r>
    </w:p>
    <w:p>
      <w:pPr>
        <w:spacing w:after="0" w:line="83"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delay, scale back or discontinue the development or commercialization of our product candidates or cease operations altogether;</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seek strategic alliances for our existing product candidates on terms less favorable than might otherwise be available; or</w:t>
      </w:r>
    </w:p>
    <w:p>
      <w:pPr>
        <w:spacing w:after="0" w:line="143"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62" w:lineRule="exact"/>
        <w:rPr>
          <w:sz w:val="20"/>
          <w:szCs w:val="20"/>
          <w:color w:val="auto"/>
        </w:rPr>
      </w:pPr>
    </w:p>
    <w:p>
      <w:pPr>
        <w:ind w:right="140" w:firstLine="578"/>
        <w:spacing w:after="0" w:line="307"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of our product candidates;</w:t>
      </w:r>
    </w:p>
    <w:p>
      <w:pPr>
        <w:spacing w:after="0" w:line="143" w:lineRule="exact"/>
        <w:rPr>
          <w:rFonts w:ascii="Arial" w:cs="Arial" w:eastAsia="Arial" w:hAnsi="Arial"/>
          <w:sz w:val="18"/>
          <w:szCs w:val="18"/>
          <w:color w:val="auto"/>
        </w:rPr>
      </w:pPr>
    </w:p>
    <w:p>
      <w:pPr>
        <w:ind w:left="1000" w:right="360" w:hanging="493"/>
        <w:spacing w:after="0" w:line="307"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39" w:lineRule="exact"/>
        <w:rPr>
          <w:rFonts w:ascii="Arial" w:cs="Arial" w:eastAsia="Arial" w:hAnsi="Arial"/>
          <w:sz w:val="17"/>
          <w:szCs w:val="17"/>
          <w:color w:val="auto"/>
        </w:rPr>
      </w:pPr>
    </w:p>
    <w:p>
      <w:pPr>
        <w:jc w:val="both"/>
        <w:ind w:left="1000" w:right="320" w:hanging="493"/>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143"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61"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and timing for obtaining pricing, and coverage and reimbursement by third-party payors, which may require additional trials to address pharmacoeconomic benefit;</w:t>
      </w:r>
    </w:p>
    <w:p>
      <w:pPr>
        <w:spacing w:after="0" w:line="61"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if any candidate receives regulatory approval and we determine to commercialize it ourselves;</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as we grow our company; and</w:t>
      </w:r>
    </w:p>
    <w:p>
      <w:pPr>
        <w:spacing w:after="0" w:line="166" w:lineRule="exact"/>
        <w:rPr>
          <w:rFonts w:ascii="Arial" w:cs="Arial" w:eastAsia="Arial" w:hAnsi="Arial"/>
          <w:sz w:val="16"/>
          <w:szCs w:val="16"/>
          <w:color w:val="auto"/>
        </w:rPr>
      </w:pPr>
    </w:p>
    <w:p>
      <w:pPr>
        <w:ind w:left="1000" w:right="100" w:hanging="493"/>
        <w:spacing w:after="0" w:line="341"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business interruptions resulting from pandemics and public health emergencies, including those related to the ongoing COVID-19 pandemic, geopolitical actions, such as Russia’s recent incursion into Ukraine, or natural disasters including earthquakes, typhoons, floods and fires.</w:t>
      </w:r>
    </w:p>
    <w:p>
      <w:pPr>
        <w:spacing w:after="0" w:line="17" w:lineRule="exact"/>
        <w:rPr>
          <w:sz w:val="20"/>
          <w:szCs w:val="20"/>
          <w:color w:val="auto"/>
        </w:rPr>
      </w:pPr>
    </w:p>
    <w:p>
      <w:pPr>
        <w:ind w:right="120" w:firstLine="578"/>
        <w:spacing w:after="0" w:line="277"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right="200"/>
        <w:spacing w:after="0" w:line="277" w:lineRule="auto"/>
        <w:rPr>
          <w:sz w:val="20"/>
          <w:szCs w:val="20"/>
          <w:color w:val="auto"/>
        </w:rPr>
      </w:pPr>
      <w:r>
        <w:rPr>
          <w:rFonts w:ascii="Arial" w:cs="Arial" w:eastAsia="Arial" w:hAnsi="Arial"/>
          <w:sz w:val="18"/>
          <w:szCs w:val="18"/>
          <w:b w:val="1"/>
          <w:bCs w:val="1"/>
          <w:i w:val="1"/>
          <w:iCs w:val="1"/>
          <w:color w:val="auto"/>
        </w:rPr>
        <w:t>The terms of our loan and security agreements place restrictions on our operating and financial flexibility. If we raise additional capital through debt financing, the terms of any new debt could further restrict our ability to operate our business.</w:t>
      </w:r>
    </w:p>
    <w:p>
      <w:pPr>
        <w:spacing w:after="0" w:line="62" w:lineRule="exact"/>
        <w:rPr>
          <w:sz w:val="20"/>
          <w:szCs w:val="20"/>
          <w:color w:val="auto"/>
        </w:rPr>
      </w:pPr>
    </w:p>
    <w:p>
      <w:pPr>
        <w:ind w:right="40" w:firstLine="578"/>
        <w:spacing w:after="0" w:line="301" w:lineRule="auto"/>
        <w:rPr>
          <w:sz w:val="20"/>
          <w:szCs w:val="20"/>
          <w:color w:val="auto"/>
        </w:rPr>
      </w:pPr>
      <w:r>
        <w:rPr>
          <w:rFonts w:ascii="Arial" w:cs="Arial" w:eastAsia="Arial" w:hAnsi="Arial"/>
          <w:sz w:val="16"/>
          <w:szCs w:val="16"/>
          <w:color w:val="auto"/>
        </w:rPr>
        <w:t>Our amended loan and security agreement, or the Loan Agreement, with Hercules Capital, Inc., or Hercules, for aggregate maximum borrowings of up to $80.0 million, or the Credit Facility, is collateralized by substantially all of our and our subsidiaries personal property and other assets, other than our intellectual property. As of March 31, 2022, the outstanding principal balance under the Credit Facility was $20.0 million. The Credit Facility contains customary representations, warranties, affirmative and negative covenants and events of default applicable to us and our subsidiaries.</w:t>
      </w:r>
    </w:p>
    <w:p>
      <w:pPr>
        <w:spacing w:after="0" w:line="48" w:lineRule="exact"/>
        <w:rPr>
          <w:sz w:val="20"/>
          <w:szCs w:val="20"/>
          <w:color w:val="auto"/>
        </w:rPr>
      </w:pPr>
    </w:p>
    <w:p>
      <w:pPr>
        <w:ind w:right="40" w:firstLine="578"/>
        <w:spacing w:after="0" w:line="253" w:lineRule="auto"/>
        <w:rPr>
          <w:sz w:val="20"/>
          <w:szCs w:val="20"/>
          <w:color w:val="auto"/>
        </w:rPr>
      </w:pPr>
      <w:r>
        <w:rPr>
          <w:rFonts w:ascii="Arial" w:cs="Arial" w:eastAsia="Arial" w:hAnsi="Arial"/>
          <w:sz w:val="18"/>
          <w:szCs w:val="18"/>
          <w:color w:val="auto"/>
        </w:rPr>
        <w:t>If we default under the Credit Facility, Hercules may accelerate all of our repayment obligations and exercise all of their rights and remedies under the Credit Facility and applicable law, potentially requiring us to renegotiate our agreement on terms less favorable to us. Further, if we are liquidated, the lenders’ right to repayment would be senior to the rights of the holders of our common stock to receive any proceeds from the liquidation. Hercules could declare a default upon the occurrence of any event, among others, that they interpret as a material adverse effect or a change of control as delineated under the Credit Facility, payment defaults, or breaches of covenants thereby requiring us to repay the loan immediately or to attempt to reverse the declaration of default through negotiation or litigation. Any declaration by the lender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materially adversely affect our company.</w:t>
      </w:r>
    </w:p>
    <w:p>
      <w:pPr>
        <w:spacing w:after="0" w:line="117" w:lineRule="exact"/>
        <w:rPr>
          <w:sz w:val="20"/>
          <w:szCs w:val="20"/>
          <w:color w:val="auto"/>
        </w:rPr>
      </w:pPr>
    </w:p>
    <w:p>
      <w:pPr>
        <w:ind w:right="20" w:firstLine="578"/>
        <w:spacing w:after="0" w:line="288" w:lineRule="auto"/>
        <w:rPr>
          <w:sz w:val="20"/>
          <w:szCs w:val="20"/>
          <w:color w:val="auto"/>
        </w:rPr>
      </w:pPr>
      <w:r>
        <w:rPr>
          <w:rFonts w:ascii="Arial" w:cs="Arial" w:eastAsia="Arial" w:hAnsi="Arial"/>
          <w:sz w:val="16"/>
          <w:szCs w:val="16"/>
          <w:color w:val="auto"/>
        </w:rPr>
        <w:t>New tax laws or regulations could be enacted at any time, and existing tax laws or regulations could be interpreted, modified or applied in a manner that is adverse to us, which could adversely affect our business and financial condition. These changes could require us to pay additional taxes on a prospective or retroactive basis, as well as penalties, interest and other costs for past amounts deemed to be due, and also could increase our compliance, operating and other costs, as well as the costs of any future products. For example, tax legislation enacted in 2017 made many significant changes to the U.S. tax laws, some of which were further modified in 2020, and may be modified or repealed in the future by the current or a future U.S. administration. Regulatory or other guidance from the Internal Revenue Service and other tax authorities with respect to any tax legislation also may affect us. In addition, it is uncertain if and to what extent various states will conform to current federal law, or any newly enacted federal tax legislation. Changes in corporate tax rates, the utilization of net operating losses and other deferred tax assets, the deductibility of expenses, and the taxation of foreign earnings, as applicable, could increase our future tax expense and could have a material adverse impact on our business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firstLine="578"/>
        <w:spacing w:after="0" w:line="288" w:lineRule="auto"/>
        <w:rPr>
          <w:sz w:val="20"/>
          <w:szCs w:val="20"/>
          <w:color w:val="auto"/>
        </w:rPr>
      </w:pPr>
      <w:r>
        <w:rPr>
          <w:rFonts w:ascii="Arial" w:cs="Arial" w:eastAsia="Arial" w:hAnsi="Arial"/>
          <w:sz w:val="16"/>
          <w:szCs w:val="16"/>
          <w:color w:val="auto"/>
        </w:rPr>
        <w:t>We have incurred substantial losses during our history. We do not expect to become profitable in the near future, and we may never achieve profitability.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last completed an analysis through December 31, 2020 and determined that on March 30, 2007, August 21, 2015, and May 4, 2020, ownership changes had occurred.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right="20" w:firstLine="578"/>
        <w:spacing w:after="0" w:line="256"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83" w:lineRule="exact"/>
        <w:rPr>
          <w:sz w:val="20"/>
          <w:szCs w:val="20"/>
          <w:color w:val="auto"/>
        </w:rPr>
      </w:pPr>
    </w:p>
    <w:p>
      <w:pPr>
        <w:ind w:right="220" w:firstLine="578"/>
        <w:spacing w:after="0" w:line="259" w:lineRule="auto"/>
        <w:rPr>
          <w:sz w:val="20"/>
          <w:szCs w:val="20"/>
          <w:color w:val="auto"/>
        </w:rPr>
      </w:pPr>
      <w:r>
        <w:rPr>
          <w:rFonts w:ascii="Arial" w:cs="Arial" w:eastAsia="Arial" w:hAnsi="Arial"/>
          <w:sz w:val="18"/>
          <w:szCs w:val="18"/>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right="60"/>
        <w:spacing w:after="0" w:line="296" w:lineRule="auto"/>
        <w:rPr>
          <w:sz w:val="20"/>
          <w:szCs w:val="20"/>
          <w:color w:val="auto"/>
        </w:rPr>
      </w:pPr>
      <w:r>
        <w:rPr>
          <w:rFonts w:ascii="Arial" w:cs="Arial" w:eastAsia="Arial" w:hAnsi="Arial"/>
          <w:sz w:val="16"/>
          <w:szCs w:val="16"/>
          <w:color w:val="auto"/>
        </w:rPr>
        <w:t>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52" w:lineRule="exact"/>
        <w:rPr>
          <w:sz w:val="20"/>
          <w:szCs w:val="20"/>
          <w:color w:val="auto"/>
        </w:rPr>
      </w:pPr>
    </w:p>
    <w:p>
      <w:pPr>
        <w:ind w:firstLine="578"/>
        <w:spacing w:after="0" w:line="284"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70" w:lineRule="exact"/>
        <w:rPr>
          <w:sz w:val="20"/>
          <w:szCs w:val="20"/>
          <w:color w:val="auto"/>
        </w:rPr>
      </w:pPr>
    </w:p>
    <w:p>
      <w:pPr>
        <w:ind w:right="100" w:firstLine="578"/>
        <w:spacing w:after="0" w:line="256" w:lineRule="auto"/>
        <w:rPr>
          <w:sz w:val="20"/>
          <w:szCs w:val="20"/>
          <w:color w:val="auto"/>
        </w:rPr>
      </w:pPr>
      <w:r>
        <w:rPr>
          <w:rFonts w:ascii="Arial" w:cs="Arial" w:eastAsia="Arial" w:hAnsi="Arial"/>
          <w:sz w:val="18"/>
          <w:szCs w:val="18"/>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expired in September 2017.</w:t>
      </w:r>
    </w:p>
    <w:p>
      <w:pPr>
        <w:spacing w:after="0" w:line="83" w:lineRule="exact"/>
        <w:rPr>
          <w:sz w:val="20"/>
          <w:szCs w:val="20"/>
          <w:color w:val="auto"/>
        </w:rPr>
      </w:pPr>
    </w:p>
    <w:p>
      <w:pPr>
        <w:ind w:right="60" w:firstLine="578"/>
        <w:spacing w:after="0" w:line="268" w:lineRule="auto"/>
        <w:rPr>
          <w:sz w:val="20"/>
          <w:szCs w:val="20"/>
          <w:color w:val="auto"/>
        </w:rPr>
      </w:pPr>
      <w:r>
        <w:rPr>
          <w:rFonts w:ascii="Arial" w:cs="Arial" w:eastAsia="Arial" w:hAnsi="Arial"/>
          <w:sz w:val="17"/>
          <w:szCs w:val="17"/>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United States Patent and Trademark Office, or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August 2029. After expiry of RE39,754, which occurred in September 2017, a competitor may develop a competing polymorphic form other than based on polymorph B, which could compete with polymorph B.</w:t>
      </w:r>
    </w:p>
    <w:p>
      <w:pPr>
        <w:spacing w:after="0" w:line="77" w:lineRule="exact"/>
        <w:rPr>
          <w:sz w:val="20"/>
          <w:szCs w:val="20"/>
          <w:color w:val="auto"/>
        </w:rPr>
      </w:pPr>
    </w:p>
    <w:p>
      <w:pPr>
        <w:ind w:right="20" w:firstLine="578"/>
        <w:spacing w:after="0" w:line="273" w:lineRule="auto"/>
        <w:rPr>
          <w:sz w:val="20"/>
          <w:szCs w:val="20"/>
          <w:color w:val="auto"/>
        </w:rPr>
      </w:pPr>
      <w:r>
        <w:rPr>
          <w:rFonts w:ascii="Arial" w:cs="Arial" w:eastAsia="Arial" w:hAnsi="Arial"/>
          <w:sz w:val="17"/>
          <w:szCs w:val="17"/>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 Additionally, even if we submit an NDA before the expiration of U.S. Patent RE45,499 and are successful in obtaining an extension of the term of U.S. Patent RE45,499 based on FDA regulatory delays, such extension will only extend the term of RE45,499 for a few additional years (up to a maximum of five additional years for patent claims covering a new chemical entity).</w:t>
      </w:r>
    </w:p>
    <w:p>
      <w:pPr>
        <w:spacing w:after="0" w:line="68" w:lineRule="exact"/>
        <w:rPr>
          <w:sz w:val="20"/>
          <w:szCs w:val="20"/>
          <w:color w:val="auto"/>
        </w:rPr>
      </w:pPr>
    </w:p>
    <w:p>
      <w:pPr>
        <w:ind w:right="280" w:firstLine="578"/>
        <w:spacing w:after="0" w:line="277" w:lineRule="auto"/>
        <w:rPr>
          <w:sz w:val="20"/>
          <w:szCs w:val="20"/>
          <w:color w:val="auto"/>
        </w:rPr>
      </w:pPr>
      <w:r>
        <w:rPr>
          <w:rFonts w:ascii="Arial" w:cs="Arial" w:eastAsia="Arial" w:hAnsi="Arial"/>
          <w:sz w:val="18"/>
          <w:szCs w:val="18"/>
          <w:color w:val="auto"/>
        </w:rPr>
        <w:t>The portfolio that we licensed from UCB includes granted patents and applications with pending claims directed to the composition of matter of axatilimab (a humanized, full-length IgG4 (kappa light chain) antibody with high affinity for the CSF-1R) as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right="40"/>
        <w:spacing w:after="0" w:line="256" w:lineRule="auto"/>
        <w:rPr>
          <w:sz w:val="20"/>
          <w:szCs w:val="20"/>
          <w:color w:val="auto"/>
        </w:rPr>
      </w:pPr>
      <w:r>
        <w:rPr>
          <w:rFonts w:ascii="Arial" w:cs="Arial" w:eastAsia="Arial" w:hAnsi="Arial"/>
          <w:sz w:val="18"/>
          <w:szCs w:val="18"/>
          <w:color w:val="auto"/>
        </w:rPr>
        <w:t>well as claims directed to methods of use of axatilimab. There is no guarantee that any further patents will be granted based on the pending applications we licensed from UCB or even if one or more patents are granted that the claims issued in those patents would cover axatilimab or methods of using axatilimab. Based on the priority date and filing date of the applications in the portfolio we licensed from UCB, we expect that additional patents, if any, granted based on the currently pending applications would expire in 2034. The actual term of any patents granted based on the pending applications we licensed from UCB can only be determined after such patents are actually granted.</w:t>
      </w:r>
    </w:p>
    <w:p>
      <w:pPr>
        <w:spacing w:after="0" w:line="83" w:lineRule="exact"/>
        <w:rPr>
          <w:sz w:val="20"/>
          <w:szCs w:val="20"/>
          <w:color w:val="auto"/>
        </w:rPr>
      </w:pPr>
    </w:p>
    <w:p>
      <w:pPr>
        <w:ind w:firstLine="578"/>
        <w:spacing w:after="0" w:line="253" w:lineRule="auto"/>
        <w:rPr>
          <w:sz w:val="20"/>
          <w:szCs w:val="20"/>
          <w:color w:val="auto"/>
        </w:rPr>
      </w:pPr>
      <w:r>
        <w:rPr>
          <w:rFonts w:ascii="Arial" w:cs="Arial" w:eastAsia="Arial" w:hAnsi="Arial"/>
          <w:sz w:val="18"/>
          <w:szCs w:val="18"/>
          <w:color w:val="auto"/>
        </w:rPr>
        <w:t>The portfolio that we licensed from Vitae Pharmaceuticals, which is now a subsidiary of AbbVie Inc., or AbbVie, includes granted patents and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additional patents will be granted based on the pending applications that we licensed from AbbVie or even if one or more patents are granted that the claims issued in those patents would cover the desired lead compounds, compositions, and methods of use thereof. Based on the priority date and filing date of the applications in the portfolio that we licensed from AbbVie, we expect that a patent, if any, granted based on the currently pending applications would expire in 2037. The actual term of any patents granted based on the pending applications that we licensed from AbbVie can only be determined after such patents are actually granted.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firstLine="578"/>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and our and our licensors’ patents or other intellectual property rights may not be effective or sufficient to prevent them from competing.</w:t>
      </w:r>
    </w:p>
    <w:p>
      <w:pPr>
        <w:spacing w:after="0" w:line="70" w:lineRule="exact"/>
        <w:rPr>
          <w:sz w:val="20"/>
          <w:szCs w:val="20"/>
          <w:color w:val="auto"/>
        </w:rPr>
      </w:pPr>
    </w:p>
    <w:p>
      <w:pPr>
        <w:ind w:right="40" w:firstLine="578"/>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75" w:lineRule="exact"/>
        <w:rPr>
          <w:sz w:val="20"/>
          <w:szCs w:val="20"/>
          <w:color w:val="auto"/>
        </w:rPr>
      </w:pPr>
    </w:p>
    <w:p>
      <w:pPr>
        <w:ind w:right="40" w:firstLine="578"/>
        <w:spacing w:after="0" w:line="269" w:lineRule="auto"/>
        <w:rPr>
          <w:sz w:val="20"/>
          <w:szCs w:val="20"/>
          <w:color w:val="auto"/>
        </w:rPr>
      </w:pPr>
      <w:r>
        <w:rPr>
          <w:rFonts w:ascii="Arial" w:cs="Arial" w:eastAsia="Arial" w:hAnsi="Arial"/>
          <w:sz w:val="17"/>
          <w:szCs w:val="17"/>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2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breach the UCB license agreement related to axatilimab or if the UCB license agreement is otherwise terminated, we could lose the ability to continue the development and commercialization of axatilimab.</w:t>
      </w:r>
    </w:p>
    <w:p>
      <w:pPr>
        <w:spacing w:after="0" w:line="62" w:lineRule="exact"/>
        <w:rPr>
          <w:sz w:val="20"/>
          <w:szCs w:val="20"/>
          <w:color w:val="auto"/>
        </w:rPr>
      </w:pPr>
    </w:p>
    <w:p>
      <w:pPr>
        <w:ind w:right="220" w:firstLine="578"/>
        <w:spacing w:after="0" w:line="256" w:lineRule="auto"/>
        <w:rPr>
          <w:sz w:val="20"/>
          <w:szCs w:val="20"/>
          <w:color w:val="auto"/>
        </w:rPr>
      </w:pPr>
      <w:r>
        <w:rPr>
          <w:rFonts w:ascii="Arial" w:cs="Arial" w:eastAsia="Arial" w:hAnsi="Arial"/>
          <w:sz w:val="18"/>
          <w:szCs w:val="18"/>
          <w:color w:val="auto"/>
        </w:rPr>
        <w:t>Our commercial success depends upon our ability to develop, manufacture, market and sell axatilimab. Subject to the achievement of certain milestone events, we may be required to pay UCB up to $119.5 million in one-time development and regulatory milestone payments over the term of the UCB license agreement. If we or any of our affiliates or sublicensees commercializes axatilimab, we will also be obligated to pay UCB low double-digit royalties on sales, subject to reduction in certain circumstances, as well as up to an aggregate of $250 million in potential one-time sales-based milestone payments based 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ind w:right="640"/>
        <w:spacing w:after="0" w:line="277" w:lineRule="auto"/>
        <w:rPr>
          <w:sz w:val="20"/>
          <w:szCs w:val="20"/>
          <w:color w:val="auto"/>
        </w:rPr>
      </w:pPr>
      <w:r>
        <w:rPr>
          <w:rFonts w:ascii="Arial" w:cs="Arial" w:eastAsia="Arial" w:hAnsi="Arial"/>
          <w:sz w:val="18"/>
          <w:szCs w:val="18"/>
          <w:color w:val="auto"/>
        </w:rPr>
        <w:t>achievement of certain annual sales thresholds. Under certain circumstances, we may be required to share a percentage of non-royalty income from sublicensees, subject to certain deductions, with UCB.</w:t>
      </w:r>
    </w:p>
    <w:p>
      <w:pPr>
        <w:spacing w:after="0" w:line="62" w:lineRule="exact"/>
        <w:rPr>
          <w:sz w:val="20"/>
          <w:szCs w:val="20"/>
          <w:color w:val="auto"/>
        </w:rPr>
      </w:pPr>
    </w:p>
    <w:p>
      <w:pPr>
        <w:ind w:firstLine="578"/>
        <w:spacing w:after="0" w:line="275" w:lineRule="auto"/>
        <w:rPr>
          <w:sz w:val="20"/>
          <w:szCs w:val="20"/>
          <w:color w:val="auto"/>
        </w:rPr>
      </w:pPr>
      <w:r>
        <w:rPr>
          <w:rFonts w:ascii="Arial" w:cs="Arial" w:eastAsia="Arial" w:hAnsi="Arial"/>
          <w:sz w:val="17"/>
          <w:szCs w:val="17"/>
          <w:color w:val="auto"/>
        </w:rPr>
        <w:t>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w:t>
      </w:r>
    </w:p>
    <w:p>
      <w:pPr>
        <w:spacing w:after="0" w:line="67" w:lineRule="exact"/>
        <w:rPr>
          <w:sz w:val="20"/>
          <w:szCs w:val="20"/>
          <w:color w:val="auto"/>
        </w:rPr>
      </w:pPr>
    </w:p>
    <w:p>
      <w:pPr>
        <w:ind w:right="80" w:firstLine="578"/>
        <w:spacing w:after="0" w:line="256" w:lineRule="auto"/>
        <w:rPr>
          <w:sz w:val="20"/>
          <w:szCs w:val="20"/>
          <w:color w:val="auto"/>
        </w:rPr>
      </w:pPr>
      <w:r>
        <w:rPr>
          <w:rFonts w:ascii="Arial" w:cs="Arial" w:eastAsia="Arial" w:hAnsi="Arial"/>
          <w:sz w:val="18"/>
          <w:szCs w:val="18"/>
          <w:color w:val="auto"/>
        </w:rPr>
        <w:t>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w:t>
      </w:r>
    </w:p>
    <w:p>
      <w:pPr>
        <w:spacing w:after="0" w:line="83" w:lineRule="exact"/>
        <w:rPr>
          <w:sz w:val="20"/>
          <w:szCs w:val="20"/>
          <w:color w:val="auto"/>
        </w:rPr>
      </w:pPr>
    </w:p>
    <w:p>
      <w:pPr>
        <w:ind w:right="40" w:firstLine="578"/>
        <w:spacing w:after="0" w:line="277" w:lineRule="auto"/>
        <w:rPr>
          <w:sz w:val="20"/>
          <w:szCs w:val="20"/>
          <w:color w:val="auto"/>
        </w:rPr>
      </w:pPr>
      <w:r>
        <w:rPr>
          <w:rFonts w:ascii="Arial" w:cs="Arial" w:eastAsia="Arial" w:hAnsi="Arial"/>
          <w:sz w:val="18"/>
          <w:szCs w:val="18"/>
          <w:color w:val="auto"/>
        </w:rPr>
        <w:t>If the UCB license agreement is terminated, we would not be able to develop, manufacture, market or sell axatilimab and would need to negotiate a new or reinstated agreement, which may not be available to us on equally favorable terms, or at all.</w:t>
      </w:r>
    </w:p>
    <w:p>
      <w:pPr>
        <w:spacing w:after="0" w:line="16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 related to SNDX-5613 or if the license agreement is otherwise terminated, we could lose the ability to continue the development and commercialization of SNDX-5613.</w:t>
      </w:r>
    </w:p>
    <w:p>
      <w:pPr>
        <w:spacing w:after="0" w:line="62" w:lineRule="exact"/>
        <w:rPr>
          <w:sz w:val="20"/>
          <w:szCs w:val="20"/>
          <w:color w:val="auto"/>
        </w:rPr>
      </w:pPr>
    </w:p>
    <w:p>
      <w:pPr>
        <w:ind w:right="40" w:firstLine="578"/>
        <w:spacing w:after="0" w:line="270" w:lineRule="auto"/>
        <w:rPr>
          <w:sz w:val="20"/>
          <w:szCs w:val="20"/>
          <w:color w:val="auto"/>
        </w:rPr>
      </w:pPr>
      <w:r>
        <w:rPr>
          <w:rFonts w:ascii="Arial" w:cs="Arial" w:eastAsia="Arial" w:hAnsi="Arial"/>
          <w:sz w:val="17"/>
          <w:szCs w:val="17"/>
          <w:color w:val="auto"/>
        </w:rPr>
        <w:t>Our commercial success depends upon our ability to develop, manufacture, market and sell SNDX-5613. Subject to the achievement of certain milestone events, we may be required to pay Vitae, which is now a subsidiary of AbbVie, up to $99 million in one-time development and regulatory milestone payments over the term of the AbbVie license agreement. In the event that we or any of our affiliates or sublicensees commercializes SNDX-5613, we will also be obligated to pay AbbVie low single to low double-digit royalties on sales, subject to reduction in certain circumstances, as well as up to an aggregate of $70 million in potential one-time sales-based milestone payments based on achievement of certain annual sales thresholds. Under certain circumstances, we may be required to share a percentage of non-royalty income from sublicensees, subject to certain deductions, with AbbVie. In June 2019, we achieved certain development and regulatory milestones. As a result, in June 2019, we recorded $4.0 million as research and development expense. The amount was paid in 2020.</w:t>
      </w:r>
    </w:p>
    <w:p>
      <w:pPr>
        <w:spacing w:after="0" w:line="75" w:lineRule="exact"/>
        <w:rPr>
          <w:sz w:val="20"/>
          <w:szCs w:val="20"/>
          <w:color w:val="auto"/>
        </w:rPr>
      </w:pPr>
    </w:p>
    <w:p>
      <w:pPr>
        <w:ind w:right="20" w:firstLine="578"/>
        <w:spacing w:after="0" w:line="256" w:lineRule="auto"/>
        <w:rPr>
          <w:sz w:val="20"/>
          <w:szCs w:val="20"/>
          <w:color w:val="auto"/>
        </w:rPr>
      </w:pPr>
      <w:r>
        <w:rPr>
          <w:rFonts w:ascii="Arial" w:cs="Arial" w:eastAsia="Arial" w:hAnsi="Arial"/>
          <w:sz w:val="18"/>
          <w:szCs w:val="18"/>
          <w:color w:val="auto"/>
        </w:rPr>
        <w:t>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AbbVie may terminate the license agreement if we seek to revoke or challenge the validity of any patent licensed to us by AbbVie under the license agreement or if we procure or assist a third party to take any such action.</w:t>
      </w:r>
    </w:p>
    <w:p>
      <w:pPr>
        <w:spacing w:after="0" w:line="83" w:lineRule="exact"/>
        <w:rPr>
          <w:sz w:val="20"/>
          <w:szCs w:val="20"/>
          <w:color w:val="auto"/>
        </w:rPr>
      </w:pPr>
    </w:p>
    <w:p>
      <w:pPr>
        <w:ind w:right="80" w:firstLine="578"/>
        <w:spacing w:after="0" w:line="256" w:lineRule="auto"/>
        <w:rPr>
          <w:sz w:val="20"/>
          <w:szCs w:val="20"/>
          <w:color w:val="auto"/>
        </w:rPr>
      </w:pPr>
      <w:r>
        <w:rPr>
          <w:rFonts w:ascii="Arial" w:cs="Arial" w:eastAsia="Arial" w:hAnsi="Arial"/>
          <w:sz w:val="18"/>
          <w:szCs w:val="18"/>
          <w:color w:val="auto"/>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AbbVie would expire because no commercial sales of SNDX-5613 have occurred and the last-to-expire relevant patent covering SNDX-5613 in a given country may change in the future.</w:t>
      </w:r>
    </w:p>
    <w:p>
      <w:pPr>
        <w:spacing w:after="0" w:line="83" w:lineRule="exact"/>
        <w:rPr>
          <w:sz w:val="20"/>
          <w:szCs w:val="20"/>
          <w:color w:val="auto"/>
        </w:rPr>
      </w:pPr>
    </w:p>
    <w:p>
      <w:pPr>
        <w:ind w:right="320" w:firstLine="578"/>
        <w:spacing w:after="0" w:line="277" w:lineRule="auto"/>
        <w:rPr>
          <w:sz w:val="20"/>
          <w:szCs w:val="20"/>
          <w:color w:val="auto"/>
        </w:rPr>
      </w:pPr>
      <w:r>
        <w:rPr>
          <w:rFonts w:ascii="Arial" w:cs="Arial" w:eastAsia="Arial" w:hAnsi="Arial"/>
          <w:sz w:val="18"/>
          <w:szCs w:val="18"/>
          <w:color w:val="auto"/>
        </w:rPr>
        <w:t>If the license agreement is terminated, we would not be able to develop, manufacture, market or sell SNDX-5613 and would need to negotiate a new or reinstated agreement, which may not be available to us on equally favorable terms, or at all.</w:t>
      </w:r>
    </w:p>
    <w:p>
      <w:pPr>
        <w:spacing w:after="0" w:line="16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62" w:lineRule="exact"/>
        <w:rPr>
          <w:sz w:val="20"/>
          <w:szCs w:val="20"/>
          <w:color w:val="auto"/>
        </w:rPr>
      </w:pPr>
    </w:p>
    <w:p>
      <w:pPr>
        <w:ind w:right="100" w:firstLine="578"/>
        <w:spacing w:after="0" w:line="256" w:lineRule="auto"/>
        <w:rPr>
          <w:sz w:val="20"/>
          <w:szCs w:val="20"/>
          <w:color w:val="auto"/>
        </w:rPr>
      </w:pPr>
      <w:r>
        <w:rPr>
          <w:rFonts w:ascii="Arial" w:cs="Arial" w:eastAsia="Arial" w:hAnsi="Arial"/>
          <w:sz w:val="18"/>
          <w:szCs w:val="18"/>
          <w:color w:val="auto"/>
        </w:rPr>
        <w:t>We have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83" w:lineRule="exact"/>
        <w:rPr>
          <w:sz w:val="20"/>
          <w:szCs w:val="20"/>
          <w:color w:val="auto"/>
        </w:rPr>
      </w:pPr>
    </w:p>
    <w:p>
      <w:pPr>
        <w:ind w:right="80" w:firstLine="578"/>
        <w:spacing w:after="0" w:line="259" w:lineRule="auto"/>
        <w:rPr>
          <w:sz w:val="20"/>
          <w:szCs w:val="20"/>
          <w:color w:val="auto"/>
        </w:rPr>
      </w:pPr>
      <w:r>
        <w:rPr>
          <w:rFonts w:ascii="Arial" w:cs="Arial" w:eastAsia="Arial" w:hAnsi="Arial"/>
          <w:sz w:val="18"/>
          <w:szCs w:val="18"/>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up to $100 million in aggregate sales milestones, and a tiered, single-digit royalty on net sales by us, our affiliates and sublicensees of entinostat and any other licensed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spacing w:after="0" w:line="259" w:lineRule="auto"/>
        <w:rPr>
          <w:sz w:val="20"/>
          <w:szCs w:val="20"/>
          <w:color w:val="auto"/>
        </w:rPr>
      </w:pPr>
      <w:r>
        <w:rPr>
          <w:rFonts w:ascii="Arial" w:cs="Arial" w:eastAsia="Arial" w:hAnsi="Arial"/>
          <w:sz w:val="18"/>
          <w:szCs w:val="18"/>
          <w:color w:val="auto"/>
        </w:rPr>
        <w:t>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77" w:lineRule="exact"/>
        <w:rPr>
          <w:sz w:val="20"/>
          <w:szCs w:val="20"/>
          <w:color w:val="auto"/>
        </w:rPr>
      </w:pPr>
    </w:p>
    <w:p>
      <w:pPr>
        <w:ind w:firstLine="578"/>
        <w:spacing w:after="0" w:line="273" w:lineRule="auto"/>
        <w:rPr>
          <w:sz w:val="20"/>
          <w:szCs w:val="20"/>
          <w:color w:val="auto"/>
        </w:rPr>
      </w:pPr>
      <w:r>
        <w:rPr>
          <w:rFonts w:ascii="Arial" w:cs="Arial" w:eastAsia="Arial" w:hAnsi="Arial"/>
          <w:sz w:val="17"/>
          <w:szCs w:val="17"/>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68" w:lineRule="exact"/>
        <w:rPr>
          <w:sz w:val="20"/>
          <w:szCs w:val="20"/>
          <w:color w:val="auto"/>
        </w:rPr>
      </w:pPr>
    </w:p>
    <w:p>
      <w:pPr>
        <w:ind w:right="20" w:firstLine="578"/>
        <w:spacing w:after="0" w:line="277"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need to negotiate a new or reinstated agreement, which may not be available to us on equally favorable terms, or at all.</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128" w:lineRule="exact"/>
        <w:rPr>
          <w:sz w:val="20"/>
          <w:szCs w:val="20"/>
          <w:color w:val="auto"/>
        </w:rPr>
      </w:pPr>
    </w:p>
    <w:p>
      <w:pPr>
        <w:ind w:right="60" w:firstLine="578"/>
        <w:spacing w:after="0" w:line="269"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71" w:lineRule="exact"/>
        <w:rPr>
          <w:sz w:val="20"/>
          <w:szCs w:val="20"/>
          <w:color w:val="auto"/>
        </w:rPr>
      </w:pPr>
    </w:p>
    <w:p>
      <w:pPr>
        <w:ind w:firstLine="578"/>
        <w:spacing w:after="0" w:line="270"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American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78"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5" w:lineRule="exact"/>
        <w:rPr>
          <w:sz w:val="20"/>
          <w:szCs w:val="20"/>
          <w:color w:val="auto"/>
        </w:rPr>
      </w:pPr>
    </w:p>
    <w:p>
      <w:pPr>
        <w:ind w:right="40" w:firstLine="578"/>
        <w:spacing w:after="0" w:line="270" w:lineRule="auto"/>
        <w:rPr>
          <w:sz w:val="20"/>
          <w:szCs w:val="20"/>
          <w:color w:val="auto"/>
        </w:rPr>
      </w:pPr>
      <w:r>
        <w:rPr>
          <w:rFonts w:ascii="Arial" w:cs="Arial" w:eastAsia="Arial" w:hAnsi="Arial"/>
          <w:sz w:val="17"/>
          <w:szCs w:val="17"/>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9" w:name="page50"/>
    <w:bookmarkEnd w:id="49"/>
    <w:p>
      <w:pPr>
        <w:ind w:right="2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62" w:lineRule="exact"/>
        <w:rPr>
          <w:sz w:val="20"/>
          <w:szCs w:val="20"/>
          <w:color w:val="auto"/>
        </w:rPr>
      </w:pPr>
    </w:p>
    <w:p>
      <w:pPr>
        <w:ind w:right="140" w:firstLine="578"/>
        <w:spacing w:after="0" w:line="268" w:lineRule="auto"/>
        <w:rPr>
          <w:sz w:val="20"/>
          <w:szCs w:val="20"/>
          <w:color w:val="auto"/>
        </w:rPr>
      </w:pPr>
      <w:r>
        <w:rPr>
          <w:rFonts w:ascii="Arial" w:cs="Arial" w:eastAsia="Arial" w:hAnsi="Arial"/>
          <w:sz w:val="17"/>
          <w:szCs w:val="17"/>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77" w:lineRule="exact"/>
        <w:rPr>
          <w:sz w:val="20"/>
          <w:szCs w:val="20"/>
          <w:color w:val="auto"/>
        </w:rPr>
      </w:pPr>
    </w:p>
    <w:p>
      <w:pPr>
        <w:ind w:right="100" w:firstLine="578"/>
        <w:spacing w:after="0" w:line="269" w:lineRule="auto"/>
        <w:rPr>
          <w:sz w:val="20"/>
          <w:szCs w:val="20"/>
          <w:color w:val="auto"/>
        </w:rPr>
      </w:pPr>
      <w:r>
        <w:rPr>
          <w:rFonts w:ascii="Arial" w:cs="Arial" w:eastAsia="Arial" w:hAnsi="Arial"/>
          <w:sz w:val="17"/>
          <w:szCs w:val="17"/>
          <w:color w:val="auto"/>
        </w:rPr>
        <w:t xml:space="preserve">Third-party preissuance submission of prior art to the USPTO, or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71" w:lineRule="exact"/>
        <w:rPr>
          <w:sz w:val="20"/>
          <w:szCs w:val="20"/>
          <w:color w:val="auto"/>
        </w:rPr>
      </w:pPr>
    </w:p>
    <w:p>
      <w:pPr>
        <w:ind w:right="60" w:firstLine="57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8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5" w:lineRule="exact"/>
        <w:rPr>
          <w:sz w:val="20"/>
          <w:szCs w:val="20"/>
          <w:color w:val="auto"/>
        </w:rPr>
      </w:pPr>
    </w:p>
    <w:p>
      <w:pPr>
        <w:ind w:right="40" w:firstLine="578"/>
        <w:spacing w:after="0" w:line="255"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83" w:lineRule="exact"/>
        <w:rPr>
          <w:sz w:val="20"/>
          <w:szCs w:val="20"/>
          <w:color w:val="auto"/>
        </w:rPr>
      </w:pPr>
    </w:p>
    <w:p>
      <w:pPr>
        <w:ind w:firstLine="578"/>
        <w:spacing w:after="0" w:line="254"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62" w:lineRule="exact"/>
        <w:rPr>
          <w:sz w:val="20"/>
          <w:szCs w:val="20"/>
          <w:color w:val="auto"/>
        </w:rPr>
      </w:pPr>
    </w:p>
    <w:p>
      <w:pPr>
        <w:jc w:val="both"/>
        <w:ind w:right="140" w:firstLine="578"/>
        <w:spacing w:after="0" w:line="263" w:lineRule="auto"/>
        <w:rPr>
          <w:sz w:val="20"/>
          <w:szCs w:val="20"/>
          <w:color w:val="auto"/>
        </w:rPr>
      </w:pPr>
      <w:r>
        <w:rPr>
          <w:rFonts w:ascii="Arial" w:cs="Arial" w:eastAsia="Arial" w:hAnsi="Arial"/>
          <w:sz w:val="18"/>
          <w:szCs w:val="18"/>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0" w:name="page51"/>
    <w:bookmarkEnd w:id="50"/>
    <w:p>
      <w:pPr>
        <w:ind w:right="160"/>
        <w:spacing w:after="0" w:line="263" w:lineRule="auto"/>
        <w:rPr>
          <w:sz w:val="20"/>
          <w:szCs w:val="20"/>
          <w:color w:val="auto"/>
        </w:rPr>
      </w:pPr>
      <w:r>
        <w:rPr>
          <w:rFonts w:ascii="Arial" w:cs="Arial" w:eastAsia="Arial" w:hAnsi="Arial"/>
          <w:sz w:val="18"/>
          <w:szCs w:val="18"/>
          <w:color w:val="auto"/>
        </w:rPr>
        <w:t>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75" w:lineRule="exact"/>
        <w:rPr>
          <w:sz w:val="20"/>
          <w:szCs w:val="20"/>
          <w:color w:val="auto"/>
        </w:rPr>
      </w:pPr>
    </w:p>
    <w:p>
      <w:pPr>
        <w:ind w:right="60" w:firstLine="578"/>
        <w:spacing w:after="0" w:line="263" w:lineRule="auto"/>
        <w:rPr>
          <w:sz w:val="20"/>
          <w:szCs w:val="20"/>
          <w:color w:val="auto"/>
        </w:rPr>
      </w:pPr>
      <w:r>
        <w:rPr>
          <w:rFonts w:ascii="Arial" w:cs="Arial" w:eastAsia="Arial" w:hAnsi="Arial"/>
          <w:sz w:val="18"/>
          <w:szCs w:val="18"/>
          <w:color w:val="auto"/>
        </w:rPr>
        <w:t>In addition, for some of our in-licensed patents and patent applications, we do not have access to every patent assignments or employee agreements demonstrating that all inventors have assigned their rights to the inventions or related patents. As a result, we may be subject to claims of ownership by such inventors.</w:t>
      </w:r>
    </w:p>
    <w:p>
      <w:pPr>
        <w:spacing w:after="0" w:line="75" w:lineRule="exact"/>
        <w:rPr>
          <w:sz w:val="20"/>
          <w:szCs w:val="20"/>
          <w:color w:val="auto"/>
        </w:rPr>
      </w:pPr>
    </w:p>
    <w:p>
      <w:pPr>
        <w:ind w:firstLine="578"/>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right="20" w:firstLine="584"/>
        <w:spacing w:after="0" w:line="288"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27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Risks Related to Ownership of Our Common Stock and Other General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ind w:right="180" w:firstLine="578"/>
        <w:spacing w:after="0" w:line="307" w:lineRule="auto"/>
        <w:rPr>
          <w:sz w:val="20"/>
          <w:szCs w:val="20"/>
          <w:color w:val="auto"/>
        </w:rPr>
      </w:pPr>
      <w:r>
        <w:rPr>
          <w:rFonts w:ascii="Arial" w:cs="Arial" w:eastAsia="Arial" w:hAnsi="Arial"/>
          <w:sz w:val="17"/>
          <w:szCs w:val="17"/>
          <w:color w:val="auto"/>
        </w:rPr>
        <w:t>The trading price of our common stock is highly volatile and subject to wide fluctuations in response to various factors, some of which we cannot control. In addition to the factors discussed in this “Risk Factors” section and elsewhere in this report, these factors include:</w:t>
      </w:r>
    </w:p>
    <w:p>
      <w:pPr>
        <w:spacing w:after="0" w:line="39"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43"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1"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trials of our product candidates or those of our competitors;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55" w:lineRule="exact"/>
        <w:rPr>
          <w:rFonts w:ascii="Arial" w:cs="Arial" w:eastAsia="Arial" w:hAnsi="Arial"/>
          <w:sz w:val="17"/>
          <w:szCs w:val="17"/>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3"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43"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industry, political and market conditions, including, but not limited to the ongoing impact of the COVID-19 pandemic and Russia’s recent incursion into Ukraine.</w:t>
      </w:r>
    </w:p>
    <w:p>
      <w:pPr>
        <w:spacing w:after="0" w:line="62" w:lineRule="exact"/>
        <w:rPr>
          <w:sz w:val="20"/>
          <w:szCs w:val="20"/>
          <w:color w:val="auto"/>
        </w:rPr>
      </w:pPr>
    </w:p>
    <w:p>
      <w:pPr>
        <w:ind w:firstLine="578"/>
        <w:spacing w:after="0" w:line="297" w:lineRule="auto"/>
        <w:rPr>
          <w:sz w:val="20"/>
          <w:szCs w:val="20"/>
          <w:color w:val="auto"/>
        </w:rPr>
      </w:pPr>
      <w:r>
        <w:rPr>
          <w:rFonts w:ascii="Arial" w:cs="Arial" w:eastAsia="Arial" w:hAnsi="Arial"/>
          <w:sz w:val="16"/>
          <w:szCs w:val="16"/>
          <w:color w:val="auto"/>
        </w:rPr>
        <w:t>In addition, the stock market in general, and the Nasdaq Global Select Market, or Nasdaq, and biopharmaceutical companies in particular, frequently experiences extreme price and volume fluctuations that have often been unrelated or disproportionate to the operating performance of such companies, including recently in connection with the ongoing COVID-19 pandemic, which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COVID-19 pandemic,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share price.</w:t>
      </w:r>
    </w:p>
    <w:p>
      <w:pPr>
        <w:spacing w:after="0" w:line="128" w:lineRule="exact"/>
        <w:rPr>
          <w:sz w:val="20"/>
          <w:szCs w:val="20"/>
          <w:color w:val="auto"/>
        </w:rPr>
      </w:pPr>
    </w:p>
    <w:p>
      <w:pPr>
        <w:ind w:firstLine="562"/>
        <w:spacing w:after="0" w:line="288" w:lineRule="auto"/>
        <w:rPr>
          <w:sz w:val="20"/>
          <w:szCs w:val="20"/>
          <w:color w:val="auto"/>
        </w:rPr>
      </w:pPr>
      <w:r>
        <w:rPr>
          <w:rFonts w:ascii="Arial" w:cs="Arial" w:eastAsia="Arial" w:hAnsi="Arial"/>
          <w:sz w:val="16"/>
          <w:szCs w:val="16"/>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capital markets. Similarly, the current conflict between Ukraine and Russia has created extreme volatility in the global capital markets and is expected to have further global economic consequences, including disruptions of the global supply chain and energy markets.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salary costs. Any significant increases in inflation and related increase in interest rates could have a material adverse effect on our business, results of operations and financial condition.</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62" w:lineRule="exact"/>
        <w:rPr>
          <w:sz w:val="20"/>
          <w:szCs w:val="20"/>
          <w:color w:val="auto"/>
        </w:rPr>
      </w:pPr>
    </w:p>
    <w:p>
      <w:pPr>
        <w:ind w:right="80" w:firstLine="578"/>
        <w:spacing w:after="0" w:line="291" w:lineRule="auto"/>
        <w:rPr>
          <w:sz w:val="20"/>
          <w:szCs w:val="20"/>
          <w:color w:val="auto"/>
        </w:rPr>
      </w:pPr>
      <w:r>
        <w:rPr>
          <w:rFonts w:ascii="Arial" w:cs="Arial" w:eastAsia="Arial" w:hAnsi="Arial"/>
          <w:sz w:val="16"/>
          <w:szCs w:val="16"/>
          <w:color w:val="auto"/>
        </w:rPr>
        <w:t>Until we can generate a sufficient amount of revenue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For example, during 2021, we sold a total of 3,802,144 shares of our common stock and pre-funded warrants to purchase 1,142,856 shares of our common stock. The pre-funded warrants are exercisable into shares of common stock for $0.0001 per share. The shares of common stock into which the warrants may be exercised are considered outstanding for the purposes of computing earnings per share. As of March 31, 2022, we had 3,975,024 pre-funded warrants outstanding. The issuance of these shares of our common stock resulted, and any future issuance pursuant to the exercise of the outstanding pre-funded warrants will result, in dilution to our stockholders.</w:t>
      </w:r>
    </w:p>
    <w:p>
      <w:pPr>
        <w:spacing w:after="0" w:line="57" w:lineRule="exact"/>
        <w:rPr>
          <w:sz w:val="20"/>
          <w:szCs w:val="20"/>
          <w:color w:val="auto"/>
        </w:rPr>
      </w:pPr>
    </w:p>
    <w:p>
      <w:pPr>
        <w:ind w:firstLine="578"/>
        <w:spacing w:after="0" w:line="286" w:lineRule="auto"/>
        <w:rPr>
          <w:sz w:val="20"/>
          <w:szCs w:val="20"/>
          <w:color w:val="auto"/>
        </w:rPr>
      </w:pPr>
      <w:r>
        <w:rPr>
          <w:rFonts w:ascii="Arial" w:cs="Arial" w:eastAsia="Arial" w:hAnsi="Arial"/>
          <w:sz w:val="16"/>
          <w:szCs w:val="16"/>
          <w:color w:val="auto"/>
        </w:rPr>
        <w:t>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For example, on December 22, 2021, we entered into Amendment No. 1 to our Loan Agreement with Hercules, which provided for increased aggregate maximum borrowings of up to $80.0 million in multiple tranches. Our only borrowings to date under the Loan Agreement are the first tranche of $20.0 million, which we drew upon on February 7, 2020. Borrowings under the Loan Agreement are collateralized by substantially all of our and our subsidiaries personal property and other assets, other than our intellectual property. In addition, the Loan Agreement includes customary affirmative and restrictive covenants and representations and warranties, including a covenant against the occurrence of a “change in control,”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jc w:val="both"/>
        <w:ind w:right="120" w:firstLine="578"/>
        <w:spacing w:after="0" w:line="263" w:lineRule="auto"/>
        <w:rPr>
          <w:sz w:val="20"/>
          <w:szCs w:val="20"/>
          <w:color w:val="auto"/>
        </w:rPr>
      </w:pPr>
      <w:r>
        <w:rPr>
          <w:rFonts w:ascii="Arial" w:cs="Arial" w:eastAsia="Arial" w:hAnsi="Arial"/>
          <w:sz w:val="18"/>
          <w:szCs w:val="18"/>
          <w:color w:val="auto"/>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w:t>
      </w:r>
    </w:p>
    <w:p>
      <w:pPr>
        <w:spacing w:after="0" w:line="16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control over matters subject to stockholder approval.</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As of March 31, 2022, our executive officers, directors, holders of 5% or more of our capital stock and their respective affiliates beneficially owned approximately 39.0%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jc w:val="both"/>
        <w:ind w:right="60" w:firstLine="510"/>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4" w:lineRule="exact"/>
        <w:rPr>
          <w:sz w:val="20"/>
          <w:szCs w:val="20"/>
          <w:color w:val="auto"/>
        </w:rPr>
      </w:pPr>
    </w:p>
    <w:p>
      <w:pPr>
        <w:ind w:right="40"/>
        <w:spacing w:after="0" w:line="375"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ind w:firstLine="510"/>
        <w:spacing w:after="0" w:line="291"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Commencing after the filing of our initial annual report on Form 10-K, we have been required, under Section 404 of the Sarbanes-Oxley Act, to furnish a report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w:t>
      </w:r>
    </w:p>
    <w:p>
      <w:pPr>
        <w:spacing w:after="0" w:line="5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Beginning with our annual report on Form 10-K for the year ending December 31, 2021, we were required to include an attestation from our independent registered public accounting firm on the effectiveness of our internal control over financial reporting. Our compliance with Section 404 requires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right="40"/>
        <w:spacing w:after="0" w:line="259" w:lineRule="auto"/>
        <w:rPr>
          <w:sz w:val="20"/>
          <w:szCs w:val="20"/>
          <w:color w:val="auto"/>
        </w:rPr>
      </w:pPr>
      <w:r>
        <w:rPr>
          <w:rFonts w:ascii="Arial" w:cs="Arial" w:eastAsia="Arial" w:hAnsi="Arial"/>
          <w:sz w:val="18"/>
          <w:szCs w:val="18"/>
          <w:color w:val="auto"/>
        </w:rPr>
        <w:t>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5"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ind w:firstLine="510"/>
        <w:spacing w:after="0" w:line="286"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27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1000" w:type="dxa"/>
            <w:vAlign w:val="bottom"/>
          </w:tcPr>
          <w:p>
            <w:pPr>
              <w:jc w:val="right"/>
              <w:ind w:right="374"/>
              <w:spacing w:after="0"/>
              <w:rPr>
                <w:sz w:val="20"/>
                <w:szCs w:val="20"/>
                <w:color w:val="auto"/>
              </w:rPr>
            </w:pPr>
            <w:r>
              <w:rPr>
                <w:rFonts w:ascii="Arial" w:cs="Arial" w:eastAsia="Arial" w:hAnsi="Arial"/>
                <w:sz w:val="18"/>
                <w:szCs w:val="18"/>
                <w:b w:val="1"/>
                <w:bCs w:val="1"/>
                <w:color w:val="auto"/>
                <w:w w:val="91"/>
              </w:rPr>
              <w:t>Item 6.</w:t>
            </w:r>
          </w:p>
        </w:tc>
        <w:tc>
          <w:tcPr>
            <w:tcW w:w="10240" w:type="dxa"/>
            <w:vAlign w:val="bottom"/>
            <w:gridSpan w:val="13"/>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8"/>
        </w:trPr>
        <w:tc>
          <w:tcPr>
            <w:tcW w:w="1000" w:type="dxa"/>
            <w:vAlign w:val="bottom"/>
          </w:tcPr>
          <w:p>
            <w:pPr>
              <w:jc w:val="right"/>
              <w:ind w:right="194"/>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640" w:type="dxa"/>
            <w:vAlign w:val="bottom"/>
            <w:gridSpan w:val="10"/>
            <w:vMerge w:val="restart"/>
          </w:tcPr>
          <w:p>
            <w:pPr>
              <w:ind w:left="1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00" w:type="dxa"/>
            <w:vAlign w:val="bottom"/>
          </w:tcPr>
          <w:p>
            <w:pPr>
              <w:jc w:val="right"/>
              <w:ind w:right="594"/>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9680" w:type="dxa"/>
            <w:vAlign w:val="bottom"/>
            <w:tcBorders>
              <w:bottom w:val="single" w:sz="8" w:color="0000EE"/>
            </w:tcBorders>
            <w:gridSpan w:val="8"/>
          </w:tcPr>
          <w:p>
            <w:pPr>
              <w:spacing w:after="0"/>
              <w:rPr>
                <w:rFonts w:ascii="Arial" w:cs="Arial" w:eastAsia="Arial" w:hAnsi="Arial"/>
                <w:sz w:val="18"/>
                <w:szCs w:val="18"/>
                <w:color w:val="0000EE"/>
                <w:w w:val="90"/>
              </w:rPr>
            </w:pPr>
            <w:hyperlink r:id="rId76">
              <w:r>
                <w:rPr>
                  <w:rFonts w:ascii="Arial" w:cs="Arial" w:eastAsia="Arial" w:hAnsi="Arial"/>
                  <w:sz w:val="18"/>
                  <w:szCs w:val="18"/>
                  <w:color w:val="0000EE"/>
                  <w:w w:val="90"/>
                </w:rPr>
                <w:t>Amended and Restated Certificate of Incorporation of the Company (incorporated herein by reference to Exhibit 3.1 to the Company’s</w:t>
              </w:r>
            </w:hyperlink>
          </w:p>
        </w:tc>
        <w:tc>
          <w:tcPr>
            <w:tcW w:w="4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12"/>
          </w:tcPr>
          <w:p>
            <w:pPr>
              <w:spacing w:after="0" w:line="195" w:lineRule="exact"/>
              <w:rPr>
                <w:rFonts w:ascii="Arial" w:cs="Arial" w:eastAsia="Arial" w:hAnsi="Arial"/>
                <w:sz w:val="18"/>
                <w:szCs w:val="18"/>
                <w:color w:val="0000EE"/>
              </w:rPr>
            </w:pPr>
            <w:hyperlink r:id="rId76">
              <w:r>
                <w:rPr>
                  <w:rFonts w:ascii="Arial" w:cs="Arial" w:eastAsia="Arial" w:hAnsi="Arial"/>
                  <w:sz w:val="18"/>
                  <w:szCs w:val="18"/>
                  <w:color w:val="0000EE"/>
                </w:rPr>
                <w:t>Current Report on Form 8-K (File No. 001-37708), as filed with the SEC on March 8, 2016).</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jc w:val="right"/>
              <w:ind w:right="594"/>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100" w:type="dxa"/>
            <w:vAlign w:val="bottom"/>
            <w:gridSpan w:val="12"/>
          </w:tcPr>
          <w:p>
            <w:pPr>
              <w:spacing w:after="0"/>
              <w:rPr>
                <w:rFonts w:ascii="Arial" w:cs="Arial" w:eastAsia="Arial" w:hAnsi="Arial"/>
                <w:sz w:val="18"/>
                <w:szCs w:val="18"/>
                <w:color w:val="0000EE"/>
                <w:w w:val="91"/>
              </w:rPr>
            </w:pPr>
            <w:hyperlink r:id="rId77">
              <w:r>
                <w:rPr>
                  <w:rFonts w:ascii="Arial" w:cs="Arial" w:eastAsia="Arial" w:hAnsi="Arial"/>
                  <w:sz w:val="18"/>
                  <w:szCs w:val="18"/>
                  <w:color w:val="0000EE"/>
                  <w:w w:val="91"/>
                </w:rPr>
                <w:t>Amended and Restated Bylaws of the Company (incorporated herein by reference to Exhibit 3.2 to the Company’s Current Report on Form</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20" w:type="dxa"/>
            <w:vAlign w:val="bottom"/>
            <w:tcBorders>
              <w:top w:val="single" w:sz="8" w:color="0000EE"/>
            </w:tcBorders>
            <w:gridSpan w:val="11"/>
          </w:tcPr>
          <w:p>
            <w:pPr>
              <w:spacing w:after="0" w:line="195" w:lineRule="exact"/>
              <w:rPr>
                <w:rFonts w:ascii="Arial" w:cs="Arial" w:eastAsia="Arial" w:hAnsi="Arial"/>
                <w:sz w:val="18"/>
                <w:szCs w:val="18"/>
                <w:color w:val="0000EE"/>
              </w:rPr>
            </w:pPr>
            <w:hyperlink r:id="rId77">
              <w:r>
                <w:rPr>
                  <w:rFonts w:ascii="Arial" w:cs="Arial" w:eastAsia="Arial" w:hAnsi="Arial"/>
                  <w:sz w:val="18"/>
                  <w:szCs w:val="18"/>
                  <w:color w:val="0000EE"/>
                </w:rPr>
                <w:t>8-K (File No. 001-37708), as filed with the SEC on March 8, 2016).</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jc w:val="right"/>
              <w:ind w:right="594"/>
              <w:spacing w:after="0"/>
              <w:rPr>
                <w:sz w:val="20"/>
                <w:szCs w:val="20"/>
                <w:color w:val="auto"/>
              </w:rPr>
            </w:pPr>
            <w:r>
              <w:rPr>
                <w:rFonts w:ascii="Arial" w:cs="Arial" w:eastAsia="Arial" w:hAnsi="Arial"/>
                <w:sz w:val="18"/>
                <w:szCs w:val="18"/>
                <w:color w:val="auto"/>
                <w:w w:val="85"/>
              </w:rPr>
              <w:t>10.1</w:t>
            </w:r>
          </w:p>
        </w:tc>
        <w:tc>
          <w:tcPr>
            <w:tcW w:w="140" w:type="dxa"/>
            <w:vAlign w:val="bottom"/>
          </w:tcPr>
          <w:p>
            <w:pPr>
              <w:spacing w:after="0"/>
              <w:rPr>
                <w:sz w:val="24"/>
                <w:szCs w:val="24"/>
                <w:color w:val="auto"/>
              </w:rPr>
            </w:pPr>
          </w:p>
        </w:tc>
        <w:tc>
          <w:tcPr>
            <w:tcW w:w="10100" w:type="dxa"/>
            <w:vAlign w:val="bottom"/>
            <w:gridSpan w:val="1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Executive Employment Agreement by and between the Company and Catherine Madigan, M.D., dated as of March 1, 2022.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54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jc w:val="right"/>
              <w:ind w:right="594"/>
              <w:spacing w:after="0"/>
              <w:rPr>
                <w:sz w:val="20"/>
                <w:szCs w:val="20"/>
                <w:color w:val="auto"/>
              </w:rPr>
            </w:pPr>
            <w:r>
              <w:rPr>
                <w:rFonts w:ascii="Arial" w:cs="Arial" w:eastAsia="Arial" w:hAnsi="Arial"/>
                <w:sz w:val="18"/>
                <w:szCs w:val="18"/>
                <w:color w:val="auto"/>
                <w:w w:val="85"/>
              </w:rPr>
              <w:t>10.2</w:t>
            </w:r>
          </w:p>
        </w:tc>
        <w:tc>
          <w:tcPr>
            <w:tcW w:w="140" w:type="dxa"/>
            <w:vAlign w:val="bottom"/>
          </w:tcPr>
          <w:p>
            <w:pPr>
              <w:spacing w:after="0"/>
              <w:rPr>
                <w:sz w:val="24"/>
                <w:szCs w:val="24"/>
                <w:color w:val="auto"/>
              </w:rPr>
            </w:pPr>
          </w:p>
        </w:tc>
        <w:tc>
          <w:tcPr>
            <w:tcW w:w="90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Executive Employment Agreement by and between the Company and Anjali Ganguli, Ph.D., dated as of September 30, 2021.</w:t>
              </w:r>
            </w:hyperlink>
          </w:p>
        </w:tc>
        <w:tc>
          <w:tcPr>
            <w:tcW w:w="10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000" w:type="dxa"/>
            <w:vAlign w:val="bottom"/>
          </w:tcPr>
          <w:p>
            <w:pPr>
              <w:jc w:val="right"/>
              <w:ind w:right="594"/>
              <w:spacing w:after="0"/>
              <w:rPr>
                <w:sz w:val="20"/>
                <w:szCs w:val="20"/>
                <w:color w:val="auto"/>
              </w:rPr>
            </w:pPr>
            <w:r>
              <w:rPr>
                <w:rFonts w:ascii="Arial" w:cs="Arial" w:eastAsia="Arial" w:hAnsi="Arial"/>
                <w:sz w:val="18"/>
                <w:szCs w:val="18"/>
                <w:color w:val="auto"/>
                <w:w w:val="85"/>
              </w:rPr>
              <w:t>31.1</w:t>
            </w:r>
          </w:p>
        </w:tc>
        <w:tc>
          <w:tcPr>
            <w:tcW w:w="140" w:type="dxa"/>
            <w:vAlign w:val="bottom"/>
          </w:tcPr>
          <w:p>
            <w:pPr>
              <w:spacing w:after="0"/>
              <w:rPr>
                <w:sz w:val="24"/>
                <w:szCs w:val="24"/>
                <w:color w:val="auto"/>
              </w:rPr>
            </w:pPr>
          </w:p>
        </w:tc>
        <w:tc>
          <w:tcPr>
            <w:tcW w:w="10100" w:type="dxa"/>
            <w:vAlign w:val="bottom"/>
            <w:gridSpan w:val="12"/>
          </w:tcPr>
          <w:p>
            <w:pPr>
              <w:spacing w:after="0"/>
              <w:rPr>
                <w:rFonts w:ascii="Arial" w:cs="Arial" w:eastAsia="Arial" w:hAnsi="Arial"/>
                <w:sz w:val="18"/>
                <w:szCs w:val="18"/>
                <w:color w:val="0000EE"/>
                <w:w w:val="93"/>
              </w:rPr>
            </w:pPr>
            <w:hyperlink w:anchor="page101">
              <w:r>
                <w:rPr>
                  <w:rFonts w:ascii="Arial" w:cs="Arial" w:eastAsia="Arial" w:hAnsi="Arial"/>
                  <w:sz w:val="18"/>
                  <w:szCs w:val="18"/>
                  <w:color w:val="0000EE"/>
                  <w:w w:val="93"/>
                </w:rPr>
                <w:t>Certification of Principal Executive Officer pursuant to Rules 13a-14(a) and 15d-14(a) promulgated under the Securities Exchange Act of</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85"/>
              </w:rPr>
            </w:pPr>
            <w:hyperlink w:anchor="page101">
              <w:r>
                <w:rPr>
                  <w:rFonts w:ascii="Arial" w:cs="Arial" w:eastAsia="Arial" w:hAnsi="Arial"/>
                  <w:sz w:val="18"/>
                  <w:szCs w:val="18"/>
                  <w:color w:val="0000EE"/>
                  <w:w w:val="85"/>
                </w:rPr>
                <w:t>1934, as amended.</w:t>
              </w:r>
            </w:hyperlink>
          </w:p>
        </w:tc>
        <w:tc>
          <w:tcPr>
            <w:tcW w:w="8560" w:type="dxa"/>
            <w:vAlign w:val="bottom"/>
            <w:tcBorders>
              <w:top w:val="single" w:sz="8" w:color="0000EE"/>
            </w:tcBorders>
            <w:gridSpan w:val="9"/>
          </w:tcPr>
          <w:p>
            <w:pPr>
              <w:spacing w:after="0"/>
              <w:rPr>
                <w:sz w:val="17"/>
                <w:szCs w:val="17"/>
                <w:color w:val="auto"/>
              </w:rPr>
            </w:pP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00" w:type="dxa"/>
            <w:vAlign w:val="bottom"/>
          </w:tcPr>
          <w:p>
            <w:pPr>
              <w:jc w:val="right"/>
              <w:ind w:right="594"/>
              <w:spacing w:after="0"/>
              <w:rPr>
                <w:sz w:val="20"/>
                <w:szCs w:val="20"/>
                <w:color w:val="auto"/>
              </w:rPr>
            </w:pPr>
            <w:r>
              <w:rPr>
                <w:rFonts w:ascii="Arial" w:cs="Arial" w:eastAsia="Arial" w:hAnsi="Arial"/>
                <w:sz w:val="18"/>
                <w:szCs w:val="18"/>
                <w:color w:val="auto"/>
                <w:w w:val="85"/>
              </w:rPr>
              <w:t>31.2</w:t>
            </w:r>
          </w:p>
        </w:tc>
        <w:tc>
          <w:tcPr>
            <w:tcW w:w="140" w:type="dxa"/>
            <w:vAlign w:val="bottom"/>
          </w:tcPr>
          <w:p>
            <w:pPr>
              <w:spacing w:after="0"/>
              <w:rPr>
                <w:sz w:val="24"/>
                <w:szCs w:val="24"/>
                <w:color w:val="auto"/>
              </w:rPr>
            </w:pPr>
          </w:p>
        </w:tc>
        <w:tc>
          <w:tcPr>
            <w:tcW w:w="98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02">
              <w:r>
                <w:rPr>
                  <w:rFonts w:ascii="Arial" w:cs="Arial" w:eastAsia="Arial" w:hAnsi="Arial"/>
                  <w:sz w:val="18"/>
                  <w:szCs w:val="18"/>
                  <w:color w:val="0000EE"/>
                  <w:w w:val="91"/>
                </w:rPr>
                <w:t>Certification of Principal Financial Officer pursuant to Rules 13a-14(a) and 15d-14(a) promulgated under the Securities Exchange Act of</w:t>
              </w:r>
            </w:hyperlink>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bottom w:val="single" w:sz="8" w:color="0000EE"/>
            </w:tcBorders>
          </w:tcPr>
          <w:p>
            <w:pPr>
              <w:spacing w:after="0" w:line="195" w:lineRule="exact"/>
              <w:rPr>
                <w:rFonts w:ascii="Arial" w:cs="Arial" w:eastAsia="Arial" w:hAnsi="Arial"/>
                <w:sz w:val="18"/>
                <w:szCs w:val="18"/>
                <w:color w:val="0000EE"/>
                <w:w w:val="85"/>
              </w:rPr>
            </w:pPr>
            <w:hyperlink w:anchor="page102">
              <w:r>
                <w:rPr>
                  <w:rFonts w:ascii="Arial" w:cs="Arial" w:eastAsia="Arial" w:hAnsi="Arial"/>
                  <w:sz w:val="18"/>
                  <w:szCs w:val="18"/>
                  <w:color w:val="0000EE"/>
                  <w:w w:val="85"/>
                </w:rPr>
                <w:t>1934, as amended.</w:t>
              </w:r>
            </w:hyperlink>
          </w:p>
        </w:tc>
        <w:tc>
          <w:tcPr>
            <w:tcW w:w="87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00" w:type="dxa"/>
            <w:vAlign w:val="bottom"/>
          </w:tcPr>
          <w:p>
            <w:pPr>
              <w:jc w:val="right"/>
              <w:ind w:right="494"/>
              <w:spacing w:after="0"/>
              <w:rPr>
                <w:sz w:val="20"/>
                <w:szCs w:val="20"/>
                <w:color w:val="auto"/>
              </w:rPr>
            </w:pPr>
            <w:r>
              <w:rPr>
                <w:rFonts w:ascii="Arial" w:cs="Arial" w:eastAsia="Arial" w:hAnsi="Arial"/>
                <w:sz w:val="18"/>
                <w:szCs w:val="18"/>
                <w:color w:val="auto"/>
                <w:w w:val="95"/>
              </w:rPr>
              <w:t>32.1*</w:t>
            </w:r>
          </w:p>
        </w:tc>
        <w:tc>
          <w:tcPr>
            <w:tcW w:w="140" w:type="dxa"/>
            <w:vAlign w:val="bottom"/>
          </w:tcPr>
          <w:p>
            <w:pPr>
              <w:spacing w:after="0"/>
              <w:rPr>
                <w:sz w:val="24"/>
                <w:szCs w:val="24"/>
                <w:color w:val="auto"/>
              </w:rPr>
            </w:pPr>
          </w:p>
        </w:tc>
        <w:tc>
          <w:tcPr>
            <w:tcW w:w="92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Certifications of Chief Executive Officer and Chief Financial Officer pursuant to 18 U.S.C. Section 1350, as adopted pursuant to</w:t>
              </w:r>
            </w:hyperlink>
          </w:p>
        </w:tc>
        <w:tc>
          <w:tcPr>
            <w:tcW w:w="8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5"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Section 906 of the Sarbanes-Oxley Act of 2002.</w:t>
              </w:r>
            </w:hyperlink>
          </w:p>
        </w:tc>
        <w:tc>
          <w:tcPr>
            <w:tcW w:w="66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40" w:right="40" w:hanging="1132"/>
        <w:spacing w:after="0" w:line="259"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Syndax Pharmaceuticals, Inc. for the quarter ended March 31, 2022, formatted in iXBRL (Inline eXtensible Business Reporting Language): (i) the Condensed Consolidated Balance Sheets; (ii) the Condensed Consolidated Statements of Comprehensive Loss; (iii) the Condensed Consolidated Statements of Cash Flows; and (iv) Notes to Condensed Consolidated Financial Statements.</w:t>
      </w:r>
    </w:p>
    <w:p>
      <w:pPr>
        <w:spacing w:after="0" w:line="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9505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8" w:lineRule="exact"/>
        <w:rPr>
          <w:sz w:val="20"/>
          <w:szCs w:val="20"/>
          <w:color w:val="auto"/>
        </w:rPr>
      </w:pPr>
    </w:p>
    <w:p>
      <w:pPr>
        <w:jc w:val="both"/>
        <w:ind w:left="500" w:right="280" w:hanging="492"/>
        <w:spacing w:after="0" w:line="311"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10-Q), irrespective of any general incorporation language contained in such filing.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May 9,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Metzger</w:t>
            </w:r>
          </w:p>
        </w:tc>
      </w:tr>
      <w:tr>
        <w:trPr>
          <w:trHeight w:val="195"/>
        </w:trPr>
        <w:tc>
          <w:tcPr>
            <w:tcW w:w="5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Michael A. Metzger</w:t>
            </w: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1"/>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Nolte</w:t>
            </w:r>
          </w:p>
        </w:tc>
      </w:tr>
      <w:tr>
        <w:trPr>
          <w:trHeight w:val="195"/>
        </w:trPr>
        <w:tc>
          <w:tcPr>
            <w:tcW w:w="5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Alexander Nolte</w:t>
            </w: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Accounting Officer, Interim Principal</w:t>
            </w:r>
          </w:p>
        </w:tc>
      </w:tr>
      <w:tr>
        <w:trPr>
          <w:trHeight w:val="230"/>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553" w:right="3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EMPLOYMENT AGREEMENT</w:t>
      </w:r>
    </w:p>
    <w:p>
      <w:pPr>
        <w:spacing w:after="0" w:line="193"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EXECUTIVE EMPLOYMENT AGREEMENT</w:t>
      </w:r>
      <w:r>
        <w:rPr>
          <w:rFonts w:ascii="Arial" w:cs="Arial" w:eastAsia="Arial" w:hAnsi="Arial"/>
          <w:sz w:val="20"/>
          <w:szCs w:val="20"/>
          <w:color w:val="auto"/>
        </w:rPr>
        <w:t xml:space="preserve">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as of the 1st day of March, 2022 (the “</w:t>
      </w:r>
      <w:r>
        <w:rPr>
          <w:rFonts w:ascii="Arial" w:cs="Arial" w:eastAsia="Arial" w:hAnsi="Arial"/>
          <w:sz w:val="20"/>
          <w:szCs w:val="20"/>
          <w:b w:val="1"/>
          <w:bCs w:val="1"/>
          <w:i w:val="1"/>
          <w:iCs w:val="1"/>
          <w:color w:val="auto"/>
        </w:rPr>
        <w:t>Execution Date</w:t>
      </w:r>
      <w:r>
        <w:rPr>
          <w:rFonts w:ascii="Arial" w:cs="Arial" w:eastAsia="Arial" w:hAnsi="Arial"/>
          <w:sz w:val="20"/>
          <w:szCs w:val="20"/>
          <w:color w:val="auto"/>
        </w:rPr>
        <w:t xml:space="preserve">”), between </w:t>
      </w:r>
      <w:r>
        <w:rPr>
          <w:rFonts w:ascii="Arial" w:cs="Arial" w:eastAsia="Arial" w:hAnsi="Arial"/>
          <w:sz w:val="20"/>
          <w:szCs w:val="20"/>
          <w:b w:val="1"/>
          <w:bCs w:val="1"/>
          <w:color w:val="auto"/>
        </w:rPr>
        <w:t>CATHERINE MADIGAN, M.D.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xml:space="preserve">”) and </w:t>
      </w:r>
      <w:r>
        <w:rPr>
          <w:rFonts w:ascii="Arial" w:cs="Arial" w:eastAsia="Arial" w:hAnsi="Arial"/>
          <w:sz w:val="20"/>
          <w:szCs w:val="20"/>
          <w:b w:val="1"/>
          <w:bCs w:val="1"/>
          <w:color w:val="auto"/>
        </w:rPr>
        <w:t>SYNDAX PHARMACEUTICALS, INC.</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Certain capitalized terms used in this Agreement are defined in Article 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1" w:lineRule="exact"/>
        <w:rPr>
          <w:sz w:val="20"/>
          <w:szCs w:val="20"/>
          <w:color w:val="auto"/>
        </w:rPr>
      </w:pPr>
    </w:p>
    <w:p>
      <w:pPr>
        <w:ind w:left="2360" w:hanging="1489"/>
        <w:spacing w:after="0"/>
        <w:tabs>
          <w:tab w:leader="none" w:pos="2360" w:val="left"/>
        </w:tabs>
        <w:numPr>
          <w:ilvl w:val="0"/>
          <w:numId w:val="37"/>
        </w:numPr>
        <w:rPr>
          <w:rFonts w:ascii="Arial" w:cs="Arial" w:eastAsia="Arial" w:hAnsi="Arial"/>
          <w:sz w:val="20"/>
          <w:szCs w:val="20"/>
          <w:b w:val="1"/>
          <w:bCs w:val="1"/>
          <w:color w:val="auto"/>
        </w:rPr>
      </w:pPr>
      <w:r>
        <w:rPr>
          <w:rFonts w:ascii="Arial" w:cs="Arial" w:eastAsia="Arial" w:hAnsi="Arial"/>
          <w:sz w:val="20"/>
          <w:szCs w:val="20"/>
          <w:color w:val="auto"/>
        </w:rPr>
        <w:t>The Company is a biopharmaceutical company.</w:t>
      </w:r>
    </w:p>
    <w:p>
      <w:pPr>
        <w:spacing w:after="0" w:line="214" w:lineRule="exact"/>
        <w:rPr>
          <w:rFonts w:ascii="Arial" w:cs="Arial" w:eastAsia="Arial" w:hAnsi="Arial"/>
          <w:sz w:val="20"/>
          <w:szCs w:val="20"/>
          <w:b w:val="1"/>
          <w:bCs w:val="1"/>
          <w:color w:val="auto"/>
        </w:rPr>
      </w:pPr>
    </w:p>
    <w:p>
      <w:pPr>
        <w:ind w:firstLine="871"/>
        <w:spacing w:after="0" w:line="260" w:lineRule="auto"/>
        <w:tabs>
          <w:tab w:leader="none" w:pos="2339" w:val="left"/>
        </w:tabs>
        <w:numPr>
          <w:ilvl w:val="0"/>
          <w:numId w:val="37"/>
        </w:numPr>
        <w:rPr>
          <w:rFonts w:ascii="Arial" w:cs="Arial" w:eastAsia="Arial" w:hAnsi="Arial"/>
          <w:sz w:val="20"/>
          <w:szCs w:val="20"/>
          <w:b w:val="1"/>
          <w:bCs w:val="1"/>
          <w:color w:val="auto"/>
        </w:rPr>
      </w:pPr>
      <w:r>
        <w:rPr>
          <w:rFonts w:ascii="Arial" w:cs="Arial" w:eastAsia="Arial" w:hAnsi="Arial"/>
          <w:sz w:val="20"/>
          <w:szCs w:val="20"/>
          <w:color w:val="auto"/>
        </w:rPr>
        <w:t>The Company desires to employ Executive in the position set forth below, and Executive wishes to be employed by the Company in such position, upon the terms and conditions set forth in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contained herein, the Company and Executive agree as</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193"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ARTICLE 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PRELIMINARY MATTERS</w:t>
      </w:r>
    </w:p>
    <w:p>
      <w:pPr>
        <w:spacing w:after="0" w:line="215"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6"/>
          <w:szCs w:val="16"/>
          <w:b w:val="1"/>
          <w:bCs w:val="1"/>
          <w:color w:val="auto"/>
        </w:rPr>
        <w:t>Effectiveness of Agreement</w:t>
      </w:r>
      <w:r>
        <w:rPr>
          <w:rFonts w:ascii="Arial" w:cs="Arial" w:eastAsia="Arial" w:hAnsi="Arial"/>
          <w:sz w:val="16"/>
          <w:szCs w:val="16"/>
          <w:color w:val="auto"/>
        </w:rPr>
        <w:t>. This Agreement shall be effective on the Execution Date.</w:t>
      </w:r>
    </w:p>
    <w:p>
      <w:pPr>
        <w:spacing w:after="0" w:line="215"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ARTICLE 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TERMS OF EMPLOYMENT</w:t>
      </w:r>
    </w:p>
    <w:p>
      <w:pPr>
        <w:spacing w:after="0" w:line="215"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b w:val="1"/>
          <w:bCs w:val="1"/>
          <w:color w:val="auto"/>
        </w:rPr>
        <w:t>2.1 Appointment</w:t>
      </w:r>
      <w:r>
        <w:rPr>
          <w:rFonts w:ascii="Arial" w:cs="Arial" w:eastAsia="Arial" w:hAnsi="Arial"/>
          <w:sz w:val="18"/>
          <w:szCs w:val="18"/>
          <w:color w:val="auto"/>
        </w:rPr>
        <w:t>. Executive’s start date with the Company is March 1, 2022 or such other date as mutually agreed upon</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and Executive (the “</w:t>
      </w:r>
      <w:r>
        <w:rPr>
          <w:rFonts w:ascii="Arial" w:cs="Arial" w:eastAsia="Arial" w:hAnsi="Arial"/>
          <w:sz w:val="18"/>
          <w:szCs w:val="18"/>
          <w:b w:val="1"/>
          <w:bCs w:val="1"/>
          <w:i w:val="1"/>
          <w:iCs w:val="1"/>
          <w:color w:val="auto"/>
        </w:rPr>
        <w:t>Start Date</w:t>
      </w:r>
      <w:r>
        <w:rPr>
          <w:rFonts w:ascii="Arial" w:cs="Arial" w:eastAsia="Arial" w:hAnsi="Arial"/>
          <w:sz w:val="18"/>
          <w:szCs w:val="18"/>
          <w:color w:val="auto"/>
        </w:rPr>
        <w:t>”). Executive shall serve as Chief Medical Officer, reporting to the Chief Executive Officer. As Chief Medical Officer, Executive will have such duties and responsibilities typically associated with such officer plus other reasonable duties as may from time to time be assigned to Executive. During Executive’s employment with the Company, Executive shall</w:t>
      </w:r>
    </w:p>
    <w:p>
      <w:pPr>
        <w:spacing w:after="0" w:line="1" w:lineRule="exact"/>
        <w:rPr>
          <w:sz w:val="20"/>
          <w:szCs w:val="20"/>
          <w:color w:val="auto"/>
        </w:rPr>
      </w:pPr>
    </w:p>
    <w:p>
      <w:pPr>
        <w:jc w:val="both"/>
        <w:ind w:firstLine="8"/>
        <w:spacing w:after="0" w:line="253" w:lineRule="auto"/>
        <w:tabs>
          <w:tab w:leader="none" w:pos="237" w:val="left"/>
        </w:tabs>
        <w:numPr>
          <w:ilvl w:val="0"/>
          <w:numId w:val="38"/>
        </w:numPr>
        <w:rPr>
          <w:rFonts w:ascii="Arial" w:cs="Arial" w:eastAsia="Arial" w:hAnsi="Arial"/>
          <w:sz w:val="19"/>
          <w:szCs w:val="19"/>
          <w:color w:val="auto"/>
        </w:rPr>
      </w:pPr>
      <w:r>
        <w:rPr>
          <w:rFonts w:ascii="Arial" w:cs="Arial" w:eastAsia="Arial" w:hAnsi="Arial"/>
          <w:sz w:val="19"/>
          <w:szCs w:val="19"/>
          <w:color w:val="auto"/>
        </w:rPr>
        <w:t>devote substantially all of Executive’s business efforts to the Company provided, however, that Executive may (a) participate in charitable, civic, educational, professional, community or industry affairs, and (b) serve as a board member, advisor or a similar position, of up to two other companies, so long as such service does not conflict with or is not detrimental to the Company’s best interests, as determined in good faith by the Board, and (ii) faithfully and to the best of Executive’s abilities and experience, and in accordance with the standards and ethics of the business in which the Company is engaged, perform all duties that may be required of Executive by this Agreement, the Company’s policies and procedures, and such other duties and responsibilities as may be assigned to Executive from time to time, as well as the directives of the Board. During Executive’s employment with the Company, Executive shall not engage in any activity that conflicts with or is detrimental to the Company’s best interests, as determined by the Board. Executive and the Company acknowledge that Executive’s primary office will be located at the Company’s Waltham, MA headquarters, but that Executive will be required to travel, as necessary, to the Company’s New York, NY office.</w:t>
      </w:r>
    </w:p>
    <w:p>
      <w:pPr>
        <w:spacing w:after="0" w:line="183" w:lineRule="exact"/>
        <w:rPr>
          <w:sz w:val="20"/>
          <w:szCs w:val="20"/>
          <w:color w:val="auto"/>
        </w:rPr>
      </w:pPr>
    </w:p>
    <w:p>
      <w:pPr>
        <w:ind w:firstLine="864"/>
        <w:spacing w:after="0" w:line="266" w:lineRule="auto"/>
        <w:rPr>
          <w:sz w:val="20"/>
          <w:szCs w:val="20"/>
          <w:color w:val="auto"/>
        </w:rPr>
      </w:pPr>
      <w:r>
        <w:rPr>
          <w:rFonts w:ascii="Arial" w:cs="Arial" w:eastAsia="Arial" w:hAnsi="Arial"/>
          <w:sz w:val="20"/>
          <w:szCs w:val="20"/>
          <w:b w:val="1"/>
          <w:bCs w:val="1"/>
          <w:color w:val="auto"/>
        </w:rPr>
        <w:t>2.2 Employment Term</w:t>
      </w:r>
      <w:r>
        <w:rPr>
          <w:rFonts w:ascii="Arial" w:cs="Arial" w:eastAsia="Arial" w:hAnsi="Arial"/>
          <w:sz w:val="20"/>
          <w:szCs w:val="20"/>
          <w:color w:val="auto"/>
        </w:rPr>
        <w:t>. Executive will be employed by the Company on an “at-will” basis. This means that either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or Executive may terminate Executive’s employment at any time,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277495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both"/>
        <w:spacing w:after="0" w:line="260" w:lineRule="auto"/>
        <w:rPr>
          <w:sz w:val="20"/>
          <w:szCs w:val="20"/>
          <w:color w:val="auto"/>
        </w:rPr>
      </w:pPr>
      <w:r>
        <w:rPr>
          <w:rFonts w:ascii="Arial" w:cs="Arial" w:eastAsia="Arial" w:hAnsi="Arial"/>
          <w:sz w:val="19"/>
          <w:szCs w:val="19"/>
          <w:color w:val="auto"/>
        </w:rPr>
        <w:t>any reason, with or without Cause, and with or without advance notice (provided that Resignation for Good Reason (as defined below) requires certain advanced notice by Executive. It also means that Executive’s job title, duties, responsibilities, reporting level, compensation and benefits, as well as the Company’s personnel policies and procedures, may be changed with or without notice at any time in the Company’s sole discretion. This at-will employment relationship shall not be modified by any conflicting actions or representations of any Company employee or other party before or during the term of Executive’s employment.</w:t>
      </w:r>
    </w:p>
    <w:p>
      <w:pPr>
        <w:spacing w:after="0" w:line="172"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Compensation</w:t>
      </w:r>
      <w:r>
        <w:rPr>
          <w:rFonts w:ascii="Arial" w:cs="Arial" w:eastAsia="Arial" w:hAnsi="Arial"/>
          <w:sz w:val="16"/>
          <w:szCs w:val="16"/>
          <w:color w:val="auto"/>
        </w:rPr>
        <w:t>.</w:t>
      </w:r>
    </w:p>
    <w:p>
      <w:pPr>
        <w:spacing w:after="0" w:line="215" w:lineRule="exact"/>
        <w:rPr>
          <w:sz w:val="20"/>
          <w:szCs w:val="20"/>
          <w:color w:val="auto"/>
        </w:rPr>
      </w:pPr>
    </w:p>
    <w:p>
      <w:pPr>
        <w:jc w:val="both"/>
        <w:ind w:firstLine="1735"/>
        <w:spacing w:after="0" w:line="246" w:lineRule="auto"/>
        <w:tabs>
          <w:tab w:leader="none" w:pos="2528" w:val="left"/>
        </w:tabs>
        <w:numPr>
          <w:ilvl w:val="0"/>
          <w:numId w:val="39"/>
        </w:numPr>
        <w:rPr>
          <w:rFonts w:ascii="Arial" w:cs="Arial" w:eastAsia="Arial" w:hAnsi="Arial"/>
          <w:sz w:val="20"/>
          <w:szCs w:val="20"/>
          <w:color w:val="auto"/>
        </w:rPr>
      </w:pPr>
      <w:r>
        <w:rPr>
          <w:rFonts w:ascii="Arial" w:cs="Arial" w:eastAsia="Arial" w:hAnsi="Arial"/>
          <w:sz w:val="20"/>
          <w:szCs w:val="20"/>
          <w:b w:val="1"/>
          <w:bCs w:val="1"/>
          <w:color w:val="auto"/>
        </w:rPr>
        <w:t>Annual Base Salary</w:t>
      </w:r>
      <w:r>
        <w:rPr>
          <w:rFonts w:ascii="Arial" w:cs="Arial" w:eastAsia="Arial" w:hAnsi="Arial"/>
          <w:sz w:val="20"/>
          <w:szCs w:val="20"/>
          <w:color w:val="auto"/>
        </w:rPr>
        <w:t>. Executive’s annual base salary shall be $440,000 per year (“</w:t>
      </w:r>
      <w:r>
        <w:rPr>
          <w:rFonts w:ascii="Arial" w:cs="Arial" w:eastAsia="Arial" w:hAnsi="Arial"/>
          <w:sz w:val="20"/>
          <w:szCs w:val="20"/>
          <w:b w:val="1"/>
          <w:bCs w:val="1"/>
          <w:i w:val="1"/>
          <w:iCs w:val="1"/>
          <w:color w:val="auto"/>
        </w:rPr>
        <w:t>Annual Base Salary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payable in equal installments, less applicable deductions and withholdings, in accordance with the Company’s standard payroll practices. Executive’s Annual Base Salary shall be subject to review by the Company’s compensation committee and may be increased or decreased from time to time, but shall not be reduced unless, and only to the extent that, the base salaries of all other similarly situated executives of the Company are proportionately reduced.</w:t>
      </w:r>
    </w:p>
    <w:p>
      <w:pPr>
        <w:spacing w:after="0" w:line="183" w:lineRule="exact"/>
        <w:rPr>
          <w:rFonts w:ascii="Arial" w:cs="Arial" w:eastAsia="Arial" w:hAnsi="Arial"/>
          <w:sz w:val="20"/>
          <w:szCs w:val="20"/>
          <w:color w:val="auto"/>
        </w:rPr>
      </w:pPr>
    </w:p>
    <w:p>
      <w:pPr>
        <w:jc w:val="both"/>
        <w:ind w:firstLine="1735"/>
        <w:spacing w:after="0" w:line="248" w:lineRule="auto"/>
        <w:tabs>
          <w:tab w:leader="none" w:pos="2539" w:val="left"/>
        </w:tabs>
        <w:numPr>
          <w:ilvl w:val="0"/>
          <w:numId w:val="39"/>
        </w:numPr>
        <w:rPr>
          <w:rFonts w:ascii="Arial" w:cs="Arial" w:eastAsia="Arial" w:hAnsi="Arial"/>
          <w:sz w:val="20"/>
          <w:szCs w:val="20"/>
          <w:color w:val="auto"/>
        </w:rPr>
      </w:pPr>
      <w:r>
        <w:rPr>
          <w:rFonts w:ascii="Arial" w:cs="Arial" w:eastAsia="Arial" w:hAnsi="Arial"/>
          <w:sz w:val="20"/>
          <w:szCs w:val="20"/>
          <w:b w:val="1"/>
          <w:bCs w:val="1"/>
          <w:color w:val="auto"/>
        </w:rPr>
        <w:t>Benefits</w:t>
      </w:r>
      <w:r>
        <w:rPr>
          <w:rFonts w:ascii="Arial" w:cs="Arial" w:eastAsia="Arial" w:hAnsi="Arial"/>
          <w:sz w:val="20"/>
          <w:szCs w:val="20"/>
          <w:color w:val="auto"/>
        </w:rPr>
        <w:t>. Executive will be entitled to participate in all of the employee benefits and benefit plans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generally makes available to its full-time employees and executives and for which Executive is eligible in accordance with the Company’s policies as in effect from time to time. These benefits are subject to the terms, conditions, and eligibility requirements that govern or apply to them.</w:t>
      </w:r>
    </w:p>
    <w:p>
      <w:pPr>
        <w:spacing w:after="0" w:line="182" w:lineRule="exact"/>
        <w:rPr>
          <w:rFonts w:ascii="Arial" w:cs="Arial" w:eastAsia="Arial" w:hAnsi="Arial"/>
          <w:sz w:val="20"/>
          <w:szCs w:val="20"/>
          <w:color w:val="auto"/>
        </w:rPr>
      </w:pPr>
    </w:p>
    <w:p>
      <w:pPr>
        <w:jc w:val="both"/>
        <w:ind w:firstLine="1735"/>
        <w:spacing w:after="0" w:line="268" w:lineRule="auto"/>
        <w:tabs>
          <w:tab w:leader="none" w:pos="2528"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Bonus</w:t>
      </w:r>
      <w:r>
        <w:rPr>
          <w:rFonts w:ascii="Arial" w:cs="Arial" w:eastAsia="Arial" w:hAnsi="Arial"/>
          <w:sz w:val="18"/>
          <w:szCs w:val="18"/>
          <w:color w:val="auto"/>
        </w:rPr>
        <w:t>. In addition to Annual Base Salary, Executive shall be eligible to earn an annual performance bonus</w:t>
      </w:r>
      <w:r>
        <w:rPr>
          <w:rFonts w:ascii="Arial" w:cs="Arial" w:eastAsia="Arial" w:hAnsi="Arial"/>
          <w:sz w:val="18"/>
          <w:szCs w:val="18"/>
          <w:b w:val="1"/>
          <w:bCs w:val="1"/>
          <w:color w:val="auto"/>
        </w:rPr>
        <w:t xml:space="preserve"> </w:t>
      </w:r>
      <w:r>
        <w:rPr>
          <w:rFonts w:ascii="Arial" w:cs="Arial" w:eastAsia="Arial" w:hAnsi="Arial"/>
          <w:sz w:val="18"/>
          <w:szCs w:val="18"/>
          <w:color w:val="auto"/>
        </w:rPr>
        <w:t>of up to forty percent (40%) of Executive’s Annual Base Salary, which bonus shall be earned upon Executive’s attainment of objectives to be determined by the Board (or the compensation committee thereof, as such determination may be delegated by the Board to the compensation committee) and continued employment with the Company as described below (the “</w:t>
      </w:r>
      <w:r>
        <w:rPr>
          <w:rFonts w:ascii="Arial" w:cs="Arial" w:eastAsia="Arial" w:hAnsi="Arial"/>
          <w:sz w:val="18"/>
          <w:szCs w:val="18"/>
          <w:b w:val="1"/>
          <w:bCs w:val="1"/>
          <w:i w:val="1"/>
          <w:iCs w:val="1"/>
          <w:color w:val="auto"/>
        </w:rPr>
        <w:t>Target Performance Bonus</w:t>
      </w:r>
      <w:r>
        <w:rPr>
          <w:rFonts w:ascii="Arial" w:cs="Arial" w:eastAsia="Arial" w:hAnsi="Arial"/>
          <w:sz w:val="18"/>
          <w:szCs w:val="18"/>
          <w:color w:val="auto"/>
        </w:rPr>
        <w:t>”). The amount of and Executive’s eligibility for the Target Performance Bonus shall be determined in the sole discretion of the Board (or the compensation committee thereof, as such determination may be delegated by the Board to the compensation committee). If earned, any Target Performance Bonus shall be paid to Executive, less authorized deductions and applicable withholdings, on or before the February 15th following the applicable bonus year. For the 2022 calendar year, if earned, the Target Performance Bonus will be pro-rated from the Start Date. Except as provided in Sections 3.2 and 4.2, Executive shall be eligible to earn the Target Performance Bonus only if Executive is actively employed and in good standing with the Company on both the determination and payment dates for the Target Performance Bonus. In addition to the annual Target Performance Bonus, Company shall pay Executive a onetime sign-on bonus award of $135,000, which shall be payable in full on March 15, 2022 provided that Executive is then employed by Company. Executive agrees that in the event of Executive’s voluntary resignation within the first twenty-four (24) months after the Start Date, Executive shall repay (and shall allow the Company to withhold from any payments due to Executive) a prorated portion of such sign-on bonus to the Company promptly following the termination of employment. Company and Executive shall determine the prorated portion of any such repayment based on the number of months of employment during such twenty-four (24) period. Executive further agrees that in the event of Executive’s termination by the Company for Cause, other than as defined in subsection (e) thereof, within the first twenty-four (24) months of the Start Date, Executive shall repay (and shall allow the Company to withhold from any payments due to Executive) the full sign on bonus to the Company promptly following the termination of employment.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58" w:name="page59"/>
    <w:bookmarkEnd w:id="58"/>
    <w:p>
      <w:pPr>
        <w:jc w:val="both"/>
        <w:ind w:firstLine="864"/>
        <w:spacing w:after="0" w:line="252" w:lineRule="auto"/>
        <w:rPr>
          <w:sz w:val="20"/>
          <w:szCs w:val="20"/>
          <w:color w:val="auto"/>
        </w:rPr>
      </w:pPr>
      <w:r>
        <w:rPr>
          <w:rFonts w:ascii="Arial" w:cs="Arial" w:eastAsia="Arial" w:hAnsi="Arial"/>
          <w:sz w:val="20"/>
          <w:szCs w:val="20"/>
          <w:b w:val="1"/>
          <w:bCs w:val="1"/>
          <w:color w:val="auto"/>
        </w:rPr>
        <w:t>2.4 Reimbursement of Expenses</w:t>
      </w:r>
      <w:r>
        <w:rPr>
          <w:rFonts w:ascii="Arial" w:cs="Arial" w:eastAsia="Arial" w:hAnsi="Arial"/>
          <w:sz w:val="20"/>
          <w:szCs w:val="20"/>
          <w:color w:val="auto"/>
        </w:rPr>
        <w:t>. Subject to Section 5.10(c), the Company shall reimburse Executive for Executive’s</w:t>
      </w:r>
      <w:r>
        <w:rPr>
          <w:rFonts w:ascii="Arial" w:cs="Arial" w:eastAsia="Arial" w:hAnsi="Arial"/>
          <w:sz w:val="20"/>
          <w:szCs w:val="20"/>
          <w:b w:val="1"/>
          <w:bCs w:val="1"/>
          <w:color w:val="auto"/>
        </w:rPr>
        <w:t xml:space="preserve"> </w:t>
      </w:r>
      <w:r>
        <w:rPr>
          <w:rFonts w:ascii="Arial" w:cs="Arial" w:eastAsia="Arial" w:hAnsi="Arial"/>
          <w:sz w:val="20"/>
          <w:szCs w:val="20"/>
          <w:color w:val="auto"/>
        </w:rPr>
        <w:t>necessary and reasonable business expenses incurred in connection with Executive’s duties in accordance with the Company’s generally applicable policies.</w:t>
      </w:r>
    </w:p>
    <w:p>
      <w:pPr>
        <w:spacing w:after="0" w:line="179"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b w:val="1"/>
          <w:bCs w:val="1"/>
          <w:color w:val="auto"/>
        </w:rPr>
        <w:t>2.5 Grant of Stock Option</w:t>
      </w:r>
      <w:r>
        <w:rPr>
          <w:rFonts w:ascii="Arial" w:cs="Arial" w:eastAsia="Arial" w:hAnsi="Arial"/>
          <w:sz w:val="18"/>
          <w:szCs w:val="18"/>
          <w:color w:val="auto"/>
        </w:rPr>
        <w:t>. As an inducement to Executive’s employment with the Company and subject to the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Board or the compensation committee of the Board, approximately upon the Start Date Executive will be issued a non-qualified stock option to purchase 180,000 shares of the Company’s common stock (the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The Option will be evidenced by and subject to the terms of an inducement stock option agreement (the “</w:t>
      </w:r>
      <w:r>
        <w:rPr>
          <w:rFonts w:ascii="Arial" w:cs="Arial" w:eastAsia="Arial" w:hAnsi="Arial"/>
          <w:sz w:val="18"/>
          <w:szCs w:val="18"/>
          <w:b w:val="1"/>
          <w:bCs w:val="1"/>
          <w:i w:val="1"/>
          <w:iCs w:val="1"/>
          <w:color w:val="auto"/>
        </w:rPr>
        <w:t>Inducement Award</w:t>
      </w:r>
      <w:r>
        <w:rPr>
          <w:rFonts w:ascii="Arial" w:cs="Arial" w:eastAsia="Arial" w:hAnsi="Arial"/>
          <w:sz w:val="18"/>
          <w:szCs w:val="18"/>
          <w:color w:val="auto"/>
        </w:rPr>
        <w:t>”). Subject to the terms and conditions of the Inducement Award, the Option will have a term of ten (10) years from the Option’s grant date. The exercise price per share of the Option will be equal to the per share fair market value of the Company’s common stock on the date the Option is granted, as determined by the Board. The vesting schedule of the Option will be as follows: twenty-five percent (25%) of the shares of the Company’s common stock subject to the Option will vest upon the one year anniversary of the Start Date, and one thirty-sixth (1/36th) of the remaining shares of the Company’s common stock subject to the Option will vest each month thereafter on the last day of each month, so long as Executive remains an employee, consultant, director or officer of the Company, and subject to the terms and conditions of the Inducement Award.</w:t>
      </w:r>
    </w:p>
    <w:p>
      <w:pPr>
        <w:spacing w:after="0" w:line="162"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880" w:type="dxa"/>
            <w:vAlign w:val="bottom"/>
          </w:tcPr>
          <w:p>
            <w:pPr>
              <w:spacing w:after="0"/>
              <w:rPr>
                <w:sz w:val="22"/>
                <w:szCs w:val="22"/>
                <w:color w:val="auto"/>
              </w:rPr>
            </w:pPr>
          </w:p>
        </w:tc>
        <w:tc>
          <w:tcPr>
            <w:tcW w:w="9480" w:type="dxa"/>
            <w:vAlign w:val="bottom"/>
          </w:tcPr>
          <w:p>
            <w:pPr>
              <w:ind w:left="3020"/>
              <w:spacing w:after="0"/>
              <w:rPr>
                <w:sz w:val="20"/>
                <w:szCs w:val="20"/>
                <w:color w:val="auto"/>
              </w:rPr>
            </w:pPr>
            <w:r>
              <w:rPr>
                <w:rFonts w:ascii="Arial" w:cs="Arial" w:eastAsia="Arial" w:hAnsi="Arial"/>
                <w:sz w:val="20"/>
                <w:szCs w:val="20"/>
                <w:b w:val="1"/>
                <w:bCs w:val="1"/>
                <w:color w:val="auto"/>
              </w:rPr>
              <w:t>ARTICLE 3</w:t>
            </w:r>
          </w:p>
        </w:tc>
      </w:tr>
      <w:tr>
        <w:trPr>
          <w:trHeight w:val="458"/>
        </w:trPr>
        <w:tc>
          <w:tcPr>
            <w:tcW w:w="880" w:type="dxa"/>
            <w:vAlign w:val="bottom"/>
          </w:tcPr>
          <w:p>
            <w:pPr>
              <w:spacing w:after="0"/>
              <w:rPr>
                <w:sz w:val="24"/>
                <w:szCs w:val="24"/>
                <w:color w:val="auto"/>
              </w:rPr>
            </w:pPr>
          </w:p>
        </w:tc>
        <w:tc>
          <w:tcPr>
            <w:tcW w:w="9480" w:type="dxa"/>
            <w:vAlign w:val="bottom"/>
          </w:tcPr>
          <w:p>
            <w:pPr>
              <w:ind w:left="1620"/>
              <w:spacing w:after="0"/>
              <w:rPr>
                <w:sz w:val="20"/>
                <w:szCs w:val="20"/>
                <w:color w:val="auto"/>
              </w:rPr>
            </w:pPr>
            <w:r>
              <w:rPr>
                <w:rFonts w:ascii="Arial" w:cs="Arial" w:eastAsia="Arial" w:hAnsi="Arial"/>
                <w:sz w:val="20"/>
                <w:szCs w:val="20"/>
                <w:b w:val="1"/>
                <w:bCs w:val="1"/>
                <w:color w:val="auto"/>
              </w:rPr>
              <w:t>CHANGE IN CONTROL SEVERANCE BENEFITS</w:t>
            </w:r>
          </w:p>
        </w:tc>
      </w:tr>
      <w:tr>
        <w:trPr>
          <w:trHeight w:val="440"/>
        </w:trPr>
        <w:tc>
          <w:tcPr>
            <w:tcW w:w="880" w:type="dxa"/>
            <w:vAlign w:val="bottom"/>
          </w:tcPr>
          <w:p>
            <w:pPr>
              <w:jc w:val="right"/>
              <w:ind w:right="541"/>
              <w:spacing w:after="0"/>
              <w:rPr>
                <w:sz w:val="20"/>
                <w:szCs w:val="20"/>
                <w:color w:val="auto"/>
              </w:rPr>
            </w:pPr>
            <w:r>
              <w:rPr>
                <w:rFonts w:ascii="Arial" w:cs="Arial" w:eastAsia="Arial" w:hAnsi="Arial"/>
                <w:sz w:val="20"/>
                <w:szCs w:val="20"/>
                <w:b w:val="1"/>
                <w:bCs w:val="1"/>
                <w:color w:val="auto"/>
                <w:w w:val="78"/>
              </w:rPr>
              <w:t>3.1</w:t>
            </w:r>
          </w:p>
        </w:tc>
        <w:tc>
          <w:tcPr>
            <w:tcW w:w="9480" w:type="dxa"/>
            <w:vAlign w:val="bottom"/>
          </w:tcPr>
          <w:p>
            <w:pPr>
              <w:ind w:left="660"/>
              <w:spacing w:after="0"/>
              <w:rPr>
                <w:sz w:val="20"/>
                <w:szCs w:val="20"/>
                <w:color w:val="auto"/>
              </w:rPr>
            </w:pPr>
            <w:r>
              <w:rPr>
                <w:rFonts w:ascii="Arial" w:cs="Arial" w:eastAsia="Arial" w:hAnsi="Arial"/>
                <w:sz w:val="20"/>
                <w:szCs w:val="20"/>
                <w:b w:val="1"/>
                <w:bCs w:val="1"/>
                <w:color w:val="auto"/>
                <w:w w:val="90"/>
              </w:rPr>
              <w:t>Severance Benefits</w:t>
            </w:r>
            <w:r>
              <w:rPr>
                <w:rFonts w:ascii="Arial" w:cs="Arial" w:eastAsia="Arial" w:hAnsi="Arial"/>
                <w:sz w:val="20"/>
                <w:szCs w:val="20"/>
                <w:color w:val="auto"/>
                <w:w w:val="90"/>
              </w:rPr>
              <w:t>. Upon a Change in Control Termination, and subject to the limitations and conditions set</w:t>
            </w:r>
          </w:p>
        </w:tc>
      </w:tr>
    </w:tbl>
    <w:p>
      <w:pPr>
        <w:jc w:val="both"/>
        <w:spacing w:after="0" w:line="254" w:lineRule="auto"/>
        <w:rPr>
          <w:sz w:val="20"/>
          <w:szCs w:val="20"/>
          <w:color w:val="auto"/>
        </w:rPr>
      </w:pPr>
      <w:r>
        <w:rPr>
          <w:rFonts w:ascii="Arial" w:cs="Arial" w:eastAsia="Arial" w:hAnsi="Arial"/>
          <w:sz w:val="19"/>
          <w:szCs w:val="19"/>
          <w:color w:val="auto"/>
        </w:rPr>
        <w:t>forth in this Agreement, Executive shall be eligible to receive the benefits set forth in this Article 3. The receipt of any severance payments or benefits pursuant to this Agreement is subject to Executive signing and not revoking a separation agreement and general release of claims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xml:space="preserve">”), in substantially the form attached hereto and incorporated herein as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w:t>
      </w:r>
      <w:r>
        <w:rPr>
          <w:rFonts w:ascii="Arial" w:cs="Arial" w:eastAsia="Arial" w:hAnsi="Arial"/>
          <w:sz w:val="19"/>
          <w:szCs w:val="19"/>
          <w:b w:val="1"/>
          <w:bCs w:val="1"/>
          <w:color w:val="auto"/>
        </w:rPr>
        <w:t>Exhibit B</w:t>
      </w:r>
      <w:r>
        <w:rPr>
          <w:rFonts w:ascii="Arial" w:cs="Arial" w:eastAsia="Arial" w:hAnsi="Arial"/>
          <w:sz w:val="19"/>
          <w:szCs w:val="19"/>
          <w:color w:val="auto"/>
        </w:rPr>
        <w:t xml:space="preserve"> or </w:t>
      </w:r>
      <w:r>
        <w:rPr>
          <w:rFonts w:ascii="Arial" w:cs="Arial" w:eastAsia="Arial" w:hAnsi="Arial"/>
          <w:sz w:val="19"/>
          <w:szCs w:val="19"/>
          <w:b w:val="1"/>
          <w:bCs w:val="1"/>
          <w:color w:val="auto"/>
        </w:rPr>
        <w:t>Exhibit C</w:t>
      </w:r>
      <w:r>
        <w:rPr>
          <w:rFonts w:ascii="Arial" w:cs="Arial" w:eastAsia="Arial" w:hAnsi="Arial"/>
          <w:sz w:val="19"/>
          <w:szCs w:val="19"/>
          <w:color w:val="auto"/>
        </w:rPr>
        <w:t>, as appropriate, which Release must become effective and irrevocable no later than the sixtieth (60</w:t>
      </w:r>
      <w:r>
        <w:rPr>
          <w:rFonts w:ascii="Arial" w:cs="Arial" w:eastAsia="Arial" w:hAnsi="Arial"/>
          <w:sz w:val="15"/>
          <w:szCs w:val="15"/>
          <w:color w:val="auto"/>
        </w:rPr>
        <w:t>th</w:t>
      </w:r>
      <w:r>
        <w:rPr>
          <w:rFonts w:ascii="Arial" w:cs="Arial" w:eastAsia="Arial" w:hAnsi="Arial"/>
          <w:sz w:val="19"/>
          <w:szCs w:val="19"/>
          <w:color w:val="auto"/>
        </w:rPr>
        <w:t>) day following Executive’s termination of employment (the “</w:t>
      </w:r>
      <w:r>
        <w:rPr>
          <w:rFonts w:ascii="Arial" w:cs="Arial" w:eastAsia="Arial" w:hAnsi="Arial"/>
          <w:sz w:val="19"/>
          <w:szCs w:val="19"/>
          <w:b w:val="1"/>
          <w:bCs w:val="1"/>
          <w:i w:val="1"/>
          <w:iCs w:val="1"/>
          <w:color w:val="auto"/>
        </w:rPr>
        <w:t>Release Deadline Date</w:t>
      </w:r>
      <w:r>
        <w:rPr>
          <w:rFonts w:ascii="Arial" w:cs="Arial" w:eastAsia="Arial" w:hAnsi="Arial"/>
          <w:sz w:val="19"/>
          <w:szCs w:val="19"/>
          <w:color w:val="auto"/>
        </w:rPr>
        <w:t>”). If the Release does not become effective and irrevocable by the Release Deadline Date, Executive will forfeit any right to any severance payments or benefits under this Agreement. In no event will severance payments or benefits be paid or provided until the Release actually becomes effective and irrevocable</w:t>
      </w:r>
    </w:p>
    <w:p>
      <w:pPr>
        <w:spacing w:after="0" w:line="18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b w:val="1"/>
          <w:bCs w:val="1"/>
          <w:color w:val="auto"/>
        </w:rPr>
        <w:t>3.1 Salary and Pro-Rata Bonus Payment</w:t>
      </w:r>
      <w:r>
        <w:rPr>
          <w:rFonts w:ascii="Arial" w:cs="Arial" w:eastAsia="Arial" w:hAnsi="Arial"/>
          <w:sz w:val="18"/>
          <w:szCs w:val="18"/>
          <w:color w:val="auto"/>
        </w:rPr>
        <w:t>. In consideration of Executive’s execution and non-revocation of the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Release Deadline Date in a form provided by the Company and in accordance with Article 4, the Company shall pay Executive a severance payment equal to (a) the sum of Executive’s Monthly Base Salary and Pro-Rata Bonus multiplied by (b) the number of months in the Change in Control Severance Period, less applicable withholdings. The severance payment shall be payable (except as set forth in Article</w:t>
      </w:r>
    </w:p>
    <w:p>
      <w:pPr>
        <w:spacing w:after="0" w:line="1"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in a lump sum on the first regularly-scheduled payroll date occurring on or after the Release Deadline Date.</w:t>
      </w:r>
    </w:p>
    <w:p>
      <w:pPr>
        <w:spacing w:after="0" w:line="192" w:lineRule="exact"/>
        <w:rPr>
          <w:rFonts w:ascii="Arial" w:cs="Arial" w:eastAsia="Arial" w:hAnsi="Arial"/>
          <w:sz w:val="20"/>
          <w:szCs w:val="20"/>
          <w:color w:val="auto"/>
        </w:rPr>
      </w:pPr>
    </w:p>
    <w:p>
      <w:pPr>
        <w:ind w:left="880"/>
        <w:spacing w:after="0"/>
        <w:rPr>
          <w:rFonts w:ascii="Arial" w:cs="Arial" w:eastAsia="Arial" w:hAnsi="Arial"/>
          <w:sz w:val="20"/>
          <w:szCs w:val="20"/>
          <w:color w:val="auto"/>
        </w:rPr>
      </w:pPr>
      <w:r>
        <w:rPr>
          <w:rFonts w:ascii="Arial" w:cs="Arial" w:eastAsia="Arial" w:hAnsi="Arial"/>
          <w:sz w:val="20"/>
          <w:szCs w:val="20"/>
          <w:b w:val="1"/>
          <w:bCs w:val="1"/>
          <w:color w:val="auto"/>
        </w:rPr>
        <w:t>3.2</w:t>
      </w:r>
      <w:r>
        <w:rPr>
          <w:rFonts w:ascii="Arial" w:cs="Arial" w:eastAsia="Arial" w:hAnsi="Arial"/>
          <w:sz w:val="18"/>
          <w:szCs w:val="18"/>
          <w:b w:val="1"/>
          <w:bCs w:val="1"/>
          <w:color w:val="auto"/>
        </w:rPr>
        <w:t>Health Continuation Coverage.</w:t>
      </w:r>
    </w:p>
    <w:p>
      <w:pPr>
        <w:spacing w:after="0" w:line="221" w:lineRule="exact"/>
        <w:rPr>
          <w:sz w:val="20"/>
          <w:szCs w:val="20"/>
          <w:color w:val="auto"/>
        </w:rPr>
      </w:pPr>
    </w:p>
    <w:p>
      <w:pPr>
        <w:jc w:val="both"/>
        <w:ind w:firstLine="864"/>
        <w:spacing w:after="0" w:line="242" w:lineRule="auto"/>
        <w:rPr>
          <w:sz w:val="20"/>
          <w:szCs w:val="20"/>
          <w:color w:val="auto"/>
        </w:rPr>
      </w:pPr>
      <w:r>
        <w:rPr>
          <w:rFonts w:ascii="Arial" w:cs="Arial" w:eastAsia="Arial" w:hAnsi="Arial"/>
          <w:sz w:val="20"/>
          <w:szCs w:val="20"/>
          <w:color w:val="auto"/>
        </w:rPr>
        <w:t>a) Provided that Executive is eligible and has made the necessary elections for continuation coverage pursuant to COBRA under a health, dental or vision plan sponsored by the Company, the Company shall pay the applicable premiums (inclusive of premiums for Executive’s dependents for such health, dental or vision plan coverage as in effect immediately prior to the date of the Change in Control Termination) for such continued health, dental or vision plan coverage following the date of the Change in Control Termination for up to the number of months equal to the Change in Control Benefits Period (but in no event after such time as Executive is eligible for coverage under a health, dental or vision insurance plan of a subsequent employer or as Executive and Executive’s dependents are no longer eligible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9" w:name="page60"/>
    <w:bookmarkEnd w:id="59"/>
    <w:p>
      <w:pPr>
        <w:jc w:val="both"/>
        <w:spacing w:after="0" w:line="254" w:lineRule="auto"/>
        <w:rPr>
          <w:sz w:val="20"/>
          <w:szCs w:val="20"/>
          <w:color w:val="auto"/>
        </w:rPr>
      </w:pPr>
      <w:r>
        <w:rPr>
          <w:rFonts w:ascii="Arial" w:cs="Arial" w:eastAsia="Arial" w:hAnsi="Arial"/>
          <w:sz w:val="19"/>
          <w:szCs w:val="19"/>
          <w:color w:val="auto"/>
        </w:rPr>
        <w:t>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 instead pay Executive on the first day of each month a fully taxable cash payment equal to the applicable premiums for that month, subject to applicable tax withholdings, for the remainder of the Change in Control Benefits Period. Such coverage shall be counted as coverage pursuant to COBRA. The Company shall have no obligation in respect of any premium payments (or any other payments in respect of health, dental or vision coverage from the Company) following the effective date of Executive’s coverage by a health, dental or vision insurance plan of a subsequent employer. Executive shall be required to notify the Company immediately if Executive becomes covered by a health, dental or vision insurance plan of a subsequent employer. If Executive and Executive’s dependents continue coverage pursuant to COBRA following the conclusion of the Change in Control Benefits Period, Executive will be responsible for the entire payment of such premiums required under COBRA for the duration of the COBRA period.</w:t>
      </w:r>
    </w:p>
    <w:p>
      <w:pPr>
        <w:spacing w:after="0" w:line="192" w:lineRule="exact"/>
        <w:rPr>
          <w:sz w:val="20"/>
          <w:szCs w:val="20"/>
          <w:color w:val="auto"/>
        </w:rPr>
      </w:pPr>
    </w:p>
    <w:p>
      <w:pPr>
        <w:jc w:val="both"/>
        <w:ind w:firstLine="1728"/>
        <w:spacing w:after="0" w:line="246" w:lineRule="auto"/>
        <w:rPr>
          <w:sz w:val="20"/>
          <w:szCs w:val="20"/>
          <w:color w:val="auto"/>
        </w:rPr>
      </w:pPr>
      <w:r>
        <w:rPr>
          <w:rFonts w:ascii="Arial" w:cs="Arial" w:eastAsia="Arial" w:hAnsi="Arial"/>
          <w:sz w:val="20"/>
          <w:szCs w:val="20"/>
          <w:color w:val="auto"/>
        </w:rPr>
        <w:t>b) For purposes of this Section 3.3, (i) references to COBRA shall be deemed to refer also to analogous provisions of state law, and (ii) any applicable insurance premiums that are paid by the Company shall not include any amounts payable by Executive under a Code Section 125 health care reimbursement plan, which amounts, if any, are the sole responsibility of Executive.</w:t>
      </w:r>
    </w:p>
    <w:p>
      <w:pPr>
        <w:spacing w:after="0" w:line="184"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b w:val="1"/>
          <w:bCs w:val="1"/>
          <w:color w:val="auto"/>
        </w:rPr>
        <w:t>3.3 Stock Awards</w:t>
      </w:r>
      <w:r>
        <w:rPr>
          <w:rFonts w:ascii="Arial" w:cs="Arial" w:eastAsia="Arial" w:hAnsi="Arial"/>
          <w:sz w:val="18"/>
          <w:szCs w:val="18"/>
          <w:color w:val="auto"/>
        </w:rPr>
        <w:t>. Upon a Change in Control Termination, (a) the vesting and exercisability of all outstanding options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the Company’s common stock (or stock appreciation rights or other rights with respect to the stock of the Company issued pursuant to any equity incentive plan of the Company) that are held by Executive on the Termination Date shall be accelerated in full, (b) any reacquisition or repurchase rights held by the Company with respect to common stock issued or issuable (or with respect to other rights with respect to the stock of the Company issued or issuable) pursuant to any other stock award granted to Executive pursuant to any equity incentive plan of the Company shall lapse and (c) the time period that Executive has to exercise any outstanding options to purchase the Company’s common stock that are held by Executive on the Termination Date shall be extended for a period equal to the shorter of (i) twelve</w:t>
      </w:r>
    </w:p>
    <w:p>
      <w:pPr>
        <w:spacing w:after="0" w:line="3"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months or (ii) the remaining term of the outstanding option.</w:t>
      </w:r>
    </w:p>
    <w:p>
      <w:pPr>
        <w:spacing w:after="0" w:line="192" w:lineRule="exact"/>
        <w:rPr>
          <w:rFonts w:ascii="Arial" w:cs="Arial" w:eastAsia="Arial" w:hAnsi="Arial"/>
          <w:sz w:val="20"/>
          <w:szCs w:val="20"/>
          <w:color w:val="auto"/>
        </w:rPr>
      </w:pPr>
    </w:p>
    <w:p>
      <w:pPr>
        <w:ind w:left="4780"/>
        <w:spacing w:after="0"/>
        <w:rPr>
          <w:rFonts w:ascii="Arial" w:cs="Arial" w:eastAsia="Arial" w:hAnsi="Arial"/>
          <w:sz w:val="20"/>
          <w:szCs w:val="20"/>
          <w:color w:val="auto"/>
        </w:rPr>
      </w:pPr>
      <w:r>
        <w:rPr>
          <w:rFonts w:ascii="Arial" w:cs="Arial" w:eastAsia="Arial" w:hAnsi="Arial"/>
          <w:sz w:val="20"/>
          <w:szCs w:val="20"/>
          <w:b w:val="1"/>
          <w:bCs w:val="1"/>
          <w:color w:val="auto"/>
        </w:rPr>
        <w:t>ARTICLE 4</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COVERED TERMINATION SEVERANCE BENEFITS</w:t>
      </w:r>
    </w:p>
    <w:p>
      <w:pPr>
        <w:spacing w:after="0" w:line="215"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b w:val="1"/>
          <w:bCs w:val="1"/>
          <w:color w:val="auto"/>
        </w:rPr>
        <w:t>4.1 Severance Benefits</w:t>
      </w:r>
      <w:r>
        <w:rPr>
          <w:rFonts w:ascii="Arial" w:cs="Arial" w:eastAsia="Arial" w:hAnsi="Arial"/>
          <w:sz w:val="19"/>
          <w:szCs w:val="19"/>
          <w:color w:val="auto"/>
        </w:rPr>
        <w:t>. Upon a Covered Termination, and subject to the limitations and conditions set forth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Executive shall be eligible to receive the benefits set forth in this Article 4. The receipt of any severance payments or benefits pursuant to this Agreement is subject to Executive signing and not revoking the appropriate Release, which Release must become effective and irrevocable no later than the Release Deadline Date. If the Release does not become effective and irrevocable by the Release Deadline Date, Executive will forfeit any right to any severance payments or benefits under this Agreement. In no event will severance payments or benefits be paid or provided until the Release actually becomes effective and irrevocable.</w:t>
      </w:r>
    </w:p>
    <w:p>
      <w:pPr>
        <w:spacing w:after="0" w:line="171" w:lineRule="exact"/>
        <w:rPr>
          <w:sz w:val="20"/>
          <w:szCs w:val="20"/>
          <w:color w:val="auto"/>
        </w:rPr>
      </w:pPr>
    </w:p>
    <w:p>
      <w:pPr>
        <w:jc w:val="both"/>
        <w:ind w:firstLine="864"/>
        <w:spacing w:after="0" w:line="284" w:lineRule="auto"/>
        <w:rPr>
          <w:sz w:val="20"/>
          <w:szCs w:val="20"/>
          <w:color w:val="auto"/>
        </w:rPr>
      </w:pPr>
      <w:r>
        <w:rPr>
          <w:rFonts w:ascii="Arial" w:cs="Arial" w:eastAsia="Arial" w:hAnsi="Arial"/>
          <w:sz w:val="18"/>
          <w:szCs w:val="18"/>
          <w:b w:val="1"/>
          <w:bCs w:val="1"/>
          <w:color w:val="auto"/>
        </w:rPr>
        <w:t>4.2 Salary Payment</w:t>
      </w:r>
      <w:r>
        <w:rPr>
          <w:rFonts w:ascii="Arial" w:cs="Arial" w:eastAsia="Arial" w:hAnsi="Arial"/>
          <w:sz w:val="18"/>
          <w:szCs w:val="18"/>
          <w:color w:val="auto"/>
        </w:rPr>
        <w:t>. In consideration of Executive’s timely execution and non-revocation of the Release by the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Deadline Date, the Company shall pay Executive a severance payment equal to Executive’s Monthly Base Salary multiplied by the number of months in the Covered Termination Severance Period, less applicable withholdings. The severance payment shall be payable (except as set forth in Article 5) in a lump sum on the first regularly-scheduled payroll date occurring on or after the Release Deadline Date.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60" w:name="page61"/>
    <w:bookmarkEnd w:id="60"/>
    <w:p>
      <w:pPr>
        <w:ind w:left="880"/>
        <w:spacing w:after="0"/>
        <w:tabs>
          <w:tab w:leader="none" w:pos="174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8"/>
          <w:szCs w:val="18"/>
          <w:b w:val="1"/>
          <w:bCs w:val="1"/>
          <w:color w:val="auto"/>
        </w:rPr>
        <w:t>Health Continuation Coverage</w:t>
      </w:r>
      <w:r>
        <w:rPr>
          <w:rFonts w:ascii="Arial" w:cs="Arial" w:eastAsia="Arial" w:hAnsi="Arial"/>
          <w:sz w:val="18"/>
          <w:szCs w:val="18"/>
          <w:color w:val="auto"/>
        </w:rPr>
        <w:t>.</w:t>
      </w:r>
    </w:p>
    <w:p>
      <w:pPr>
        <w:spacing w:after="0" w:line="221" w:lineRule="exact"/>
        <w:rPr>
          <w:sz w:val="20"/>
          <w:szCs w:val="20"/>
          <w:color w:val="auto"/>
        </w:rPr>
      </w:pPr>
    </w:p>
    <w:p>
      <w:pPr>
        <w:jc w:val="both"/>
        <w:ind w:firstLine="1735"/>
        <w:spacing w:after="0" w:line="268" w:lineRule="auto"/>
        <w:tabs>
          <w:tab w:leader="none" w:pos="25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Provided that Executive is eligible and has made the necessary elections for continuation coverage pursuant to COBRA under a health, dental or vision plan sponsored by the Company, the Company shall pay for the applicable premiums (inclusive of premiums for Executive’s dependents for such health, dental or vision plan coverage as in effect immediately prior to the date of the Covered Termination) for such continued health, dental or vision plan coverage following the date of the Covered Termination for up to the number of months equal to the Covered Termination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 instead pay Executive on the first day of each month a fully taxable cash payment equal to the applicable premiums for that month, subject to applicable tax withholdings, for the remainder of the Covered Termination Benefits Period. Such coverage shall be counted as coverage pursuant to COBRA. The Company shall have no obligation in respect of any premium payments (or any other payments in respect of health, dental or vision coverage from the Company) following the effective date of Executive’s coverage by a health, dental or vision insurance plan of a subsequent employer. Executive shall be required to notify the Company immediately if Executive becomes covered by a health, dental or vision insurance plan of a subsequent employer. If Executive and Executive’s dependents continue coverage pursuant to COBRA following the conclusion of the Covered Termination Benefits Period, Executive will be responsible for the entire payment of such premiums required under COBRA for the duration of the COBRA period.</w:t>
      </w:r>
    </w:p>
    <w:p>
      <w:pPr>
        <w:spacing w:after="0" w:line="181" w:lineRule="exact"/>
        <w:rPr>
          <w:sz w:val="20"/>
          <w:szCs w:val="20"/>
          <w:color w:val="auto"/>
        </w:rPr>
      </w:pPr>
    </w:p>
    <w:p>
      <w:pPr>
        <w:jc w:val="both"/>
        <w:ind w:firstLine="1728"/>
        <w:spacing w:after="0" w:line="246" w:lineRule="auto"/>
        <w:rPr>
          <w:sz w:val="20"/>
          <w:szCs w:val="20"/>
          <w:color w:val="auto"/>
        </w:rPr>
      </w:pPr>
      <w:r>
        <w:rPr>
          <w:rFonts w:ascii="Arial" w:cs="Arial" w:eastAsia="Arial" w:hAnsi="Arial"/>
          <w:sz w:val="20"/>
          <w:szCs w:val="20"/>
          <w:color w:val="auto"/>
        </w:rPr>
        <w:t>b) For purposes of this Section 4.3, (i) references to COBRA shall be deemed to refer also to analogous provisions of state law, and (ii) any applicable insurance premiums that are paid by the Company shall not include any amounts payable by Executive under a Code Section 125 health care reimbursement plan, which amounts, if any, are the sole responsibility of Executive.</w:t>
      </w:r>
    </w:p>
    <w:p>
      <w:pPr>
        <w:spacing w:after="0" w:line="184"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8"/>
          <w:szCs w:val="18"/>
          <w:b w:val="1"/>
          <w:bCs w:val="1"/>
          <w:color w:val="auto"/>
        </w:rPr>
        <w:t>Stock Awards</w:t>
      </w:r>
      <w:r>
        <w:rPr>
          <w:rFonts w:ascii="Arial" w:cs="Arial" w:eastAsia="Arial" w:hAnsi="Arial"/>
          <w:sz w:val="18"/>
          <w:szCs w:val="18"/>
          <w:color w:val="auto"/>
        </w:rPr>
        <w:t>. Upon a Covered Termination:</w:t>
      </w:r>
    </w:p>
    <w:p>
      <w:pPr>
        <w:spacing w:after="0" w:line="221" w:lineRule="exact"/>
        <w:rPr>
          <w:sz w:val="20"/>
          <w:szCs w:val="20"/>
          <w:color w:val="auto"/>
        </w:rPr>
      </w:pPr>
    </w:p>
    <w:p>
      <w:pPr>
        <w:jc w:val="both"/>
        <w:ind w:firstLine="1735"/>
        <w:spacing w:after="0" w:line="242" w:lineRule="auto"/>
        <w:tabs>
          <w:tab w:leader="none" w:pos="2528"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vesting and exercisability of all outstanding options to purchase the Company’s common stock (or stock appreciation rights or other rights with respect to the stock of the Company issued pursuant to any equity incentive plan of the Company) that are held by Executive on the Termination Date shall be accelerated as to the number of shares of common stock issuable upon exercise of such option (“</w:t>
      </w:r>
      <w:r>
        <w:rPr>
          <w:rFonts w:ascii="Arial" w:cs="Arial" w:eastAsia="Arial" w:hAnsi="Arial"/>
          <w:sz w:val="20"/>
          <w:szCs w:val="20"/>
          <w:b w:val="1"/>
          <w:bCs w:val="1"/>
          <w:i w:val="1"/>
          <w:iCs w:val="1"/>
          <w:color w:val="auto"/>
        </w:rPr>
        <w:t>Option Shares</w:t>
      </w:r>
      <w:r>
        <w:rPr>
          <w:rFonts w:ascii="Arial" w:cs="Arial" w:eastAsia="Arial" w:hAnsi="Arial"/>
          <w:sz w:val="20"/>
          <w:szCs w:val="20"/>
          <w:color w:val="auto"/>
        </w:rPr>
        <w:t>”) as equals the number of Option Shares as would otherwise vest during the twelve (12) month period following the Termination Date in accordance with the applicable options’ vesting schedule were the Executive to remain an employee of the Company during such twelve (12) month period (disregarding any other basis for acceleration of vesting of Option Shares during such twelve (12) month period);</w:t>
      </w:r>
    </w:p>
    <w:p>
      <w:pPr>
        <w:spacing w:after="0" w:line="197" w:lineRule="exact"/>
        <w:rPr>
          <w:rFonts w:ascii="Arial" w:cs="Arial" w:eastAsia="Arial" w:hAnsi="Arial"/>
          <w:sz w:val="20"/>
          <w:szCs w:val="20"/>
          <w:color w:val="auto"/>
        </w:rPr>
      </w:pPr>
    </w:p>
    <w:p>
      <w:pPr>
        <w:jc w:val="both"/>
        <w:ind w:firstLine="1735"/>
        <w:spacing w:after="0" w:line="242" w:lineRule="auto"/>
        <w:tabs>
          <w:tab w:leader="none" w:pos="2539"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reacquisition or repurchase rights held by the Company with respect to common stock issued or issuable (or with respect to other rights with respect to the stock of the Company issued or issuable) pursuant to any option to purchase the Company’s common stock (or stock appreciation rights or other rights with respect to the stock of the Company) (“</w:t>
      </w:r>
      <w:r>
        <w:rPr>
          <w:rFonts w:ascii="Arial" w:cs="Arial" w:eastAsia="Arial" w:hAnsi="Arial"/>
          <w:sz w:val="20"/>
          <w:szCs w:val="20"/>
          <w:b w:val="1"/>
          <w:bCs w:val="1"/>
          <w:i w:val="1"/>
          <w:iCs w:val="1"/>
          <w:color w:val="auto"/>
        </w:rPr>
        <w:t>Restricted Shares</w:t>
      </w:r>
      <w:r>
        <w:rPr>
          <w:rFonts w:ascii="Arial" w:cs="Arial" w:eastAsia="Arial" w:hAnsi="Arial"/>
          <w:sz w:val="20"/>
          <w:szCs w:val="20"/>
          <w:color w:val="auto"/>
        </w:rPr>
        <w:t>”) held by the Executive as of the Termination Date shall lapse as to the number of Restricted Shares as equals the number of Restricted Shares as to which such reacquisition or repurchase rights would otherwise lapse during the twelve (12) month period following the Termination Date in accordance with the option’s vesting schedule were the Executive to remain an employee of the Company during such twelve (12) month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61" w:name="page62"/>
    <w:bookmarkEnd w:id="61"/>
    <w:p>
      <w:pPr>
        <w:spacing w:after="0" w:line="260" w:lineRule="auto"/>
        <w:rPr>
          <w:sz w:val="20"/>
          <w:szCs w:val="20"/>
          <w:color w:val="auto"/>
        </w:rPr>
      </w:pPr>
      <w:r>
        <w:rPr>
          <w:rFonts w:ascii="Arial" w:cs="Arial" w:eastAsia="Arial" w:hAnsi="Arial"/>
          <w:sz w:val="20"/>
          <w:szCs w:val="20"/>
          <w:color w:val="auto"/>
        </w:rPr>
        <w:t>(disregarding any other basis for acceleration of the lapsing of such reacquisition or repurchase rights on Restricted Shares during such twelve (12) month period); and</w:t>
      </w:r>
    </w:p>
    <w:p>
      <w:pPr>
        <w:spacing w:after="0" w:line="176" w:lineRule="exact"/>
        <w:rPr>
          <w:sz w:val="20"/>
          <w:szCs w:val="20"/>
          <w:color w:val="auto"/>
        </w:rPr>
      </w:pPr>
    </w:p>
    <w:p>
      <w:pPr>
        <w:jc w:val="both"/>
        <w:ind w:firstLine="1735"/>
        <w:spacing w:after="0" w:line="249" w:lineRule="auto"/>
        <w:tabs>
          <w:tab w:leader="none" w:pos="2528"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time period that Executive has to exercise any outstanding options to purchase the Company’s common stock that are held by Executive on the Termination Date shall be extended for a period equal to the shorter of (i) twelve (12) months or (ii) the remaining term of the outstanding option.</w:t>
      </w:r>
    </w:p>
    <w:p>
      <w:pPr>
        <w:spacing w:after="0" w:line="182"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ARTICLE 5</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LIMITATIONS AND CONDITIONS ON BENEFITS</w:t>
      </w:r>
    </w:p>
    <w:p>
      <w:pPr>
        <w:spacing w:after="0" w:line="215"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b w:val="1"/>
          <w:bCs w:val="1"/>
          <w:color w:val="auto"/>
        </w:rPr>
        <w:t>5.1 Rights Conditioned on Compliance</w:t>
      </w:r>
      <w:r>
        <w:rPr>
          <w:rFonts w:ascii="Arial" w:cs="Arial" w:eastAsia="Arial" w:hAnsi="Arial"/>
          <w:sz w:val="20"/>
          <w:szCs w:val="20"/>
          <w:color w:val="auto"/>
        </w:rPr>
        <w:t>. Executive’s rights to receive all severance benefits described in Article 3 and</w:t>
      </w:r>
      <w:r>
        <w:rPr>
          <w:rFonts w:ascii="Arial" w:cs="Arial" w:eastAsia="Arial" w:hAnsi="Arial"/>
          <w:sz w:val="20"/>
          <w:szCs w:val="20"/>
          <w:b w:val="1"/>
          <w:bCs w:val="1"/>
          <w:color w:val="auto"/>
        </w:rPr>
        <w:t xml:space="preserve"> </w:t>
      </w:r>
      <w:r>
        <w:rPr>
          <w:rFonts w:ascii="Arial" w:cs="Arial" w:eastAsia="Arial" w:hAnsi="Arial"/>
          <w:sz w:val="20"/>
          <w:szCs w:val="20"/>
          <w:color w:val="auto"/>
        </w:rPr>
        <w:t>Article 4 shall be conditioned upon and subject to Executive’s compliance with the limitations and conditions on benefits as described in this Article 5.</w:t>
      </w:r>
    </w:p>
    <w:p>
      <w:pPr>
        <w:spacing w:after="0" w:line="179" w:lineRule="exact"/>
        <w:rPr>
          <w:sz w:val="20"/>
          <w:szCs w:val="20"/>
          <w:color w:val="auto"/>
        </w:rPr>
      </w:pPr>
    </w:p>
    <w:p>
      <w:pPr>
        <w:jc w:val="both"/>
        <w:ind w:right="20" w:firstLine="864"/>
        <w:spacing w:after="0" w:line="266" w:lineRule="auto"/>
        <w:rPr>
          <w:sz w:val="20"/>
          <w:szCs w:val="20"/>
          <w:color w:val="auto"/>
        </w:rPr>
      </w:pPr>
      <w:r>
        <w:rPr>
          <w:rFonts w:ascii="Arial" w:cs="Arial" w:eastAsia="Arial" w:hAnsi="Arial"/>
          <w:sz w:val="20"/>
          <w:szCs w:val="20"/>
          <w:b w:val="1"/>
          <w:bCs w:val="1"/>
          <w:color w:val="auto"/>
        </w:rPr>
        <w:t>5.2 Continuation of Service Until Date of Termination</w:t>
      </w:r>
      <w:r>
        <w:rPr>
          <w:rFonts w:ascii="Arial" w:cs="Arial" w:eastAsia="Arial" w:hAnsi="Arial"/>
          <w:sz w:val="20"/>
          <w:szCs w:val="20"/>
          <w:color w:val="auto"/>
        </w:rPr>
        <w:t>. Executive shall continue to provide service to the Company in</w:t>
      </w:r>
      <w:r>
        <w:rPr>
          <w:rFonts w:ascii="Arial" w:cs="Arial" w:eastAsia="Arial" w:hAnsi="Arial"/>
          <w:sz w:val="20"/>
          <w:szCs w:val="20"/>
          <w:b w:val="1"/>
          <w:bCs w:val="1"/>
          <w:color w:val="auto"/>
        </w:rPr>
        <w:t xml:space="preserve"> </w:t>
      </w:r>
      <w:r>
        <w:rPr>
          <w:rFonts w:ascii="Arial" w:cs="Arial" w:eastAsia="Arial" w:hAnsi="Arial"/>
          <w:sz w:val="20"/>
          <w:szCs w:val="20"/>
          <w:color w:val="auto"/>
        </w:rPr>
        <w:t>good faith until the Termination Date, unless such performance is otherwise excused in writing by the Company.</w:t>
      </w:r>
    </w:p>
    <w:p>
      <w:pPr>
        <w:spacing w:after="0" w:line="164"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8"/>
          <w:szCs w:val="18"/>
          <w:b w:val="1"/>
          <w:bCs w:val="1"/>
          <w:color w:val="auto"/>
        </w:rPr>
        <w:t>5.3 Release Prior to Payment of Benefits</w:t>
      </w:r>
      <w:r>
        <w:rPr>
          <w:rFonts w:ascii="Arial" w:cs="Arial" w:eastAsia="Arial" w:hAnsi="Arial"/>
          <w:sz w:val="18"/>
          <w:szCs w:val="18"/>
          <w:color w:val="auto"/>
        </w:rPr>
        <w:t>. Upon the occurrence of a Change in Control Termination or a Covered</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as applicable, and prior to Executive earning any entitlement to any severance or separation benefits under this Agreement on account of such Change in Control Termination or Covered Termination, as applicable, Executive must execute the appropriate Release, and such Release must become effective in accordance with its terms, but in no event later than the Release Deadline Date. No amount shall be paid prior to such date. Instead, on the first regularly-scheduled payroll date occurring on or after the Release Deadline Date, the Company will pay Executive the severance amount that Executive would otherwise have received on or prior to such date but for the delay in payment related to the effectiveness of the Release, with the balance of the severance amount being paid as originally scheduled. The Company may modify the Release in its discretion to comply with changes in applicable law at any time prior to Executive’s execution of such Release. Such Release shall specifically relate to all of Executive’s rights and claims in existence at the time of such execution and shall confirm Executive’s obligations under the Confidentiality Agreement and any similar obligations under applicable law. It is understood that, as specified in the applicable Release, Executive has a certain number of calendar days to consider whether to execute such Release. If Executive does not execute and deliver such Release within the applicable period, no benefits shall be provided or payable under this Agreement, and Executive shall have no further rights, title or interests in or to any severance benefits or payments pursuant to this Agreement. It is further understood that if Executive is age 40 or older at the time of a Change in Control Termination or a Covered Termination, as applicable, Executive may revoke the applicable Release within seven (7) calendar days after its execution by Executive. If Executive revokes such Release within such subsequent seven (7) day period, no benefits shall be provided or payable under this Agreement pursuant to such Change in Control Termination or Covered Termination, as applicable.</w:t>
      </w:r>
    </w:p>
    <w:p>
      <w:pPr>
        <w:spacing w:after="0" w:line="169"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8"/>
          <w:szCs w:val="18"/>
          <w:b w:val="1"/>
          <w:bCs w:val="1"/>
          <w:color w:val="auto"/>
        </w:rPr>
        <w:t>5.4 Return of Company Property</w:t>
      </w:r>
      <w:r>
        <w:rPr>
          <w:rFonts w:ascii="Arial" w:cs="Arial" w:eastAsia="Arial" w:hAnsi="Arial"/>
          <w:sz w:val="18"/>
          <w:szCs w:val="18"/>
          <w:color w:val="auto"/>
        </w:rPr>
        <w:t>. Not later than the Termination Date, Executive shall return to the Company all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 all copies thereof) and other property belonging to the Company that Executive has in his or her possession or control. The documents and property to be returned include, but are not limited to, all files, correspondence, email, memoranda, notes, notebooks, records, plans, forecasts, reports, studies, analyses, compilations of data, proposals, agreements, financial information, research and development information, marketing information, operational and personnel information, databases, computer-recorded information, tangible property and equipment (including, but not limited to, computers, facsimile machines, mobile telephones and servers), credit cards, entry cards, identification badges and keys, and any materials of any kind which contain or embody any proprietary or confidential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62" w:name="page63"/>
    <w:bookmarkEnd w:id="62"/>
    <w:p>
      <w:pPr>
        <w:jc w:val="both"/>
        <w:spacing w:after="0" w:line="258" w:lineRule="auto"/>
        <w:rPr>
          <w:sz w:val="20"/>
          <w:szCs w:val="20"/>
          <w:color w:val="auto"/>
        </w:rPr>
      </w:pPr>
      <w:r>
        <w:rPr>
          <w:rFonts w:ascii="Arial" w:cs="Arial" w:eastAsia="Arial" w:hAnsi="Arial"/>
          <w:sz w:val="19"/>
          <w:szCs w:val="19"/>
          <w:color w:val="auto"/>
        </w:rPr>
        <w:t>information of the Company (and all reproductions thereof in whole or in part). Executive agrees to make a diligent search to locate any such documents, property and information. If Executive has used any personally owned computer, server or e-mail system to receive, store, review, prepare or transmit any Company confidential or proprietary data, materials or information, then within ten (10) business days after the Termination Date, Executive shall provide the Company with a computer-useable copy of all such information and then permanently delete and expunge such confidential or proprietary information from those systems. Executive agrees to provide the Company access to Executive’s system as requested to verify that the necessary copying and/or deletion is done.</w:t>
      </w:r>
    </w:p>
    <w:p>
      <w:pPr>
        <w:spacing w:after="0" w:line="176"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6"/>
          <w:szCs w:val="16"/>
          <w:b w:val="1"/>
          <w:bCs w:val="1"/>
          <w:color w:val="auto"/>
        </w:rPr>
        <w:t>Cooperation and Continued Compliance with Restrictive Covenants</w:t>
      </w:r>
      <w:r>
        <w:rPr>
          <w:rFonts w:ascii="Arial" w:cs="Arial" w:eastAsia="Arial" w:hAnsi="Arial"/>
          <w:sz w:val="16"/>
          <w:szCs w:val="16"/>
          <w:color w:val="auto"/>
        </w:rPr>
        <w:t>.</w:t>
      </w:r>
    </w:p>
    <w:p>
      <w:pPr>
        <w:spacing w:after="0" w:line="221" w:lineRule="exact"/>
        <w:rPr>
          <w:sz w:val="20"/>
          <w:szCs w:val="20"/>
          <w:color w:val="auto"/>
        </w:rPr>
      </w:pPr>
    </w:p>
    <w:p>
      <w:pPr>
        <w:jc w:val="both"/>
        <w:ind w:firstLine="1728"/>
        <w:spacing w:after="0" w:line="270" w:lineRule="auto"/>
        <w:rPr>
          <w:sz w:val="20"/>
          <w:szCs w:val="20"/>
          <w:color w:val="auto"/>
        </w:rPr>
      </w:pPr>
      <w:r>
        <w:rPr>
          <w:rFonts w:ascii="Arial" w:cs="Arial" w:eastAsia="Arial" w:hAnsi="Arial"/>
          <w:sz w:val="18"/>
          <w:szCs w:val="18"/>
          <w:color w:val="auto"/>
        </w:rPr>
        <w:t>a) From and after the Termination Date, Executive shall cooperate fully with the Company in connection with its actual or contemplated defense, prosecution or investigation of any existing or future litigation, arbitrations, mediations, claims, demands, audits, government or regulatory inquiries, or other matters arising from events, acts or failures to act that occurred during the time period in which Executive was employed by the Company (including any period of employment with an entity acquired by the Company). Such cooperation includes, without limitation, being available upon reasonable notice, without subpoena, to provide accurate and complete advice, assistance and information to the Company, including offering and explaining evidence, providing truthful and accurate sworn statements, and participating in discovery and trial preparation and testimony. Executive also agrees to promptly send the Company copies of all correspondence (for example, but not limited to, subpoenas) received by Executive in connection with any such legal proceedings, unless Executive is expressly prohibited by law from so doing. The Company will reimburse Executive for reasonable out-of-pocket expenses incurred in connection with any such cooperation (excluding foregone wages, salary or other compensation) within thirty (30) days of Executive’s timely presentation of appropriate documentation thereof, in accordance with the Company’s standard reimbursement policies and procedures, and will make reasonable efforts to accommodate Executive’s scheduling needs.</w:t>
      </w:r>
    </w:p>
    <w:p>
      <w:pPr>
        <w:spacing w:after="0" w:line="172" w:lineRule="exact"/>
        <w:rPr>
          <w:sz w:val="20"/>
          <w:szCs w:val="20"/>
          <w:color w:val="auto"/>
        </w:rPr>
      </w:pPr>
    </w:p>
    <w:p>
      <w:pPr>
        <w:jc w:val="both"/>
        <w:ind w:firstLine="1728"/>
        <w:spacing w:after="0" w:line="260" w:lineRule="auto"/>
        <w:rPr>
          <w:sz w:val="20"/>
          <w:szCs w:val="20"/>
          <w:color w:val="auto"/>
        </w:rPr>
      </w:pPr>
      <w:r>
        <w:rPr>
          <w:rFonts w:ascii="Arial" w:cs="Arial" w:eastAsia="Arial" w:hAnsi="Arial"/>
          <w:sz w:val="20"/>
          <w:szCs w:val="20"/>
          <w:color w:val="auto"/>
        </w:rPr>
        <w:t>b) From and after the Termination Date, Executive shall continue to abide by all of the terms and provisions of the Confidentiality Agreement (and any other comparable agreement signed by Executive), in accordance with its terms.</w:t>
      </w:r>
    </w:p>
    <w:p>
      <w:pPr>
        <w:spacing w:after="0" w:line="176" w:lineRule="exact"/>
        <w:rPr>
          <w:sz w:val="20"/>
          <w:szCs w:val="20"/>
          <w:color w:val="auto"/>
        </w:rPr>
      </w:pPr>
    </w:p>
    <w:p>
      <w:pPr>
        <w:ind w:left="1740"/>
        <w:spacing w:after="0"/>
        <w:tabs>
          <w:tab w:leader="none" w:pos="34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Executive acknowledges and agrees that Executive’s obligations under this Section 5.5 are an</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essential part of the consideration Executive is providing hereunder in exchange for which and in reliance upon which the Company has agreed to provide the payments and benefits under this Agreement. Executive further acknowledges and agrees that Executive’s violation of this Section 5.5 inevitably would involve use or disclosure of the Company’s proprietary and confidential information. Accordingly, Executive agrees that Executive will forfeit, effective as of the date of any breach, any right, entitlement, claim or interest in or to any unpaid portion of the severance payments or benefits provided in Article 3 or Article 4. If it is determined by a court of competent jurisdiction in any state that any restriction in this Section 5.5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78"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6"/>
          <w:szCs w:val="16"/>
          <w:b w:val="1"/>
          <w:bCs w:val="1"/>
          <w:color w:val="auto"/>
        </w:rPr>
        <w:t>Parachute Payments</w:t>
      </w:r>
      <w:r>
        <w:rPr>
          <w:rFonts w:ascii="Arial" w:cs="Arial" w:eastAsia="Arial" w:hAnsi="Arial"/>
          <w:sz w:val="16"/>
          <w:szCs w:val="16"/>
          <w:color w:val="auto"/>
        </w:rPr>
        <w:t>.</w:t>
      </w:r>
    </w:p>
    <w:p>
      <w:pPr>
        <w:spacing w:after="0" w:line="215" w:lineRule="exact"/>
        <w:rPr>
          <w:sz w:val="20"/>
          <w:szCs w:val="20"/>
          <w:color w:val="auto"/>
        </w:rPr>
      </w:pPr>
    </w:p>
    <w:p>
      <w:pPr>
        <w:jc w:val="both"/>
        <w:ind w:firstLine="1735"/>
        <w:spacing w:after="0" w:line="278" w:lineRule="auto"/>
        <w:tabs>
          <w:tab w:leader="none" w:pos="2528" w:val="left"/>
        </w:tabs>
        <w:numPr>
          <w:ilvl w:val="1"/>
          <w:numId w:val="45"/>
        </w:numPr>
        <w:rPr>
          <w:rFonts w:ascii="Arial" w:cs="Arial" w:eastAsia="Arial" w:hAnsi="Arial"/>
          <w:sz w:val="18"/>
          <w:szCs w:val="18"/>
          <w:color w:val="auto"/>
        </w:rPr>
      </w:pPr>
      <w:r>
        <w:rPr>
          <w:rFonts w:ascii="Arial" w:cs="Arial" w:eastAsia="Arial" w:hAnsi="Arial"/>
          <w:sz w:val="18"/>
          <w:szCs w:val="18"/>
          <w:b w:val="1"/>
          <w:bCs w:val="1"/>
          <w:color w:val="auto"/>
        </w:rPr>
        <w:t>Parachute Payment Limitation</w:t>
      </w:r>
      <w:r>
        <w:rPr>
          <w:rFonts w:ascii="Arial" w:cs="Arial" w:eastAsia="Arial" w:hAnsi="Arial"/>
          <w:sz w:val="18"/>
          <w:szCs w:val="18"/>
          <w:color w:val="auto"/>
        </w:rPr>
        <w:t>. If any payment or benefit (including payments and benefits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Executive would receive in connection with a Change in Control from the Company or otherwise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would</w:t>
      </w:r>
    </w:p>
    <w:p>
      <w:pPr>
        <w:ind w:firstLine="8"/>
        <w:spacing w:after="0" w:line="268" w:lineRule="auto"/>
        <w:tabs>
          <w:tab w:leader="none" w:pos="241" w:val="left"/>
        </w:tabs>
        <w:numPr>
          <w:ilvl w:val="0"/>
          <w:numId w:val="46"/>
        </w:numPr>
        <w:rPr>
          <w:rFonts w:ascii="Arial" w:cs="Arial" w:eastAsia="Arial" w:hAnsi="Arial"/>
          <w:sz w:val="19"/>
          <w:szCs w:val="19"/>
          <w:color w:val="auto"/>
        </w:rPr>
      </w:pPr>
      <w:r>
        <w:rPr>
          <w:rFonts w:ascii="Arial" w:cs="Arial" w:eastAsia="Arial" w:hAnsi="Arial"/>
          <w:sz w:val="19"/>
          <w:szCs w:val="19"/>
          <w:color w:val="auto"/>
        </w:rPr>
        <w:t>constitute a “parachute payment” within the meaning of Section 280G of the Code, and (ii) but for this paragraph,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the Company shall cause to be determined, before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63" w:name="page64"/>
    <w:bookmarkEnd w:id="63"/>
    <w:p>
      <w:pPr>
        <w:spacing w:after="0"/>
        <w:rPr>
          <w:sz w:val="20"/>
          <w:szCs w:val="20"/>
          <w:color w:val="auto"/>
        </w:rPr>
      </w:pPr>
      <w:r>
        <w:rPr>
          <w:rFonts w:ascii="Arial" w:cs="Arial" w:eastAsia="Arial" w:hAnsi="Arial"/>
          <w:sz w:val="19"/>
          <w:szCs w:val="19"/>
          <w:color w:val="auto"/>
        </w:rPr>
        <w:t>any amounts of the Payment are paid to Executive, which of the following two alternative forms of payment shall be paid to Executive:</w:t>
      </w:r>
    </w:p>
    <w:p>
      <w:pPr>
        <w:spacing w:after="0" w:line="27" w:lineRule="exact"/>
        <w:rPr>
          <w:sz w:val="20"/>
          <w:szCs w:val="20"/>
          <w:color w:val="auto"/>
        </w:rPr>
      </w:pPr>
    </w:p>
    <w:p>
      <w:pPr>
        <w:jc w:val="both"/>
        <w:ind w:firstLine="8"/>
        <w:spacing w:after="0" w:line="269" w:lineRule="auto"/>
        <w:tabs>
          <w:tab w:leader="none" w:pos="3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payment in full of the entire amount of the Payment (a “</w:t>
      </w:r>
      <w:r>
        <w:rPr>
          <w:rFonts w:ascii="Arial" w:cs="Arial" w:eastAsia="Arial" w:hAnsi="Arial"/>
          <w:sz w:val="18"/>
          <w:szCs w:val="18"/>
          <w:b w:val="1"/>
          <w:bCs w:val="1"/>
          <w:i w:val="1"/>
          <w:iCs w:val="1"/>
          <w:color w:val="auto"/>
        </w:rPr>
        <w:t>Full Payment</w:t>
      </w:r>
      <w:r>
        <w:rPr>
          <w:rFonts w:ascii="Arial" w:cs="Arial" w:eastAsia="Arial" w:hAnsi="Arial"/>
          <w:sz w:val="18"/>
          <w:szCs w:val="18"/>
          <w:color w:val="auto"/>
        </w:rPr>
        <w:t>”), or (B) payment of only a part of the Payment so that Executive receives the largest payment possible without the imposition of the Excise Tax (a “</w:t>
      </w:r>
      <w:r>
        <w:rPr>
          <w:rFonts w:ascii="Arial" w:cs="Arial" w:eastAsia="Arial" w:hAnsi="Arial"/>
          <w:sz w:val="18"/>
          <w:szCs w:val="18"/>
          <w:b w:val="1"/>
          <w:bCs w:val="1"/>
          <w:i w:val="1"/>
          <w:iCs w:val="1"/>
          <w:color w:val="auto"/>
        </w:rPr>
        <w:t>Reduced Payment</w:t>
      </w:r>
      <w:r>
        <w:rPr>
          <w:rFonts w:ascii="Arial" w:cs="Arial" w:eastAsia="Arial" w:hAnsi="Arial"/>
          <w:sz w:val="18"/>
          <w:szCs w:val="18"/>
          <w:color w:val="auto"/>
        </w:rPr>
        <w:t>”). A Full Payment shall be made in the event that the amount received by Executive on a net after-tax basis is greater than what would be received by Executive on a net after-tax basis if the Reduced Payment were made, otherwise a Reduced Payment shall be made. If a Reduced Payment is made, (i) the Payment shall be paid only to the extent permitted under the Reduced Payment alternative, and Executive shall have no rights to any additional payments and/or benefits constituting the Payment, and (ii) reduction in payments and/or benefits shall occur in the following order: (A) reduction of cash payments; (B) cancellation of accelerated vesting of equity awards other than stock options; (C) cancellation of accelerated vesting of stock options; and (D) reduction of other benefits paid to Executive. In the event that acceleration of compensation from Executive’s equity awards is to be reduced, such acceleration of vesting shall be canceled in the reverse order of the date of grant.</w:t>
      </w:r>
    </w:p>
    <w:p>
      <w:pPr>
        <w:spacing w:after="0" w:line="175" w:lineRule="exact"/>
        <w:rPr>
          <w:sz w:val="20"/>
          <w:szCs w:val="20"/>
          <w:color w:val="auto"/>
        </w:rPr>
      </w:pPr>
    </w:p>
    <w:p>
      <w:pPr>
        <w:jc w:val="both"/>
        <w:ind w:firstLine="1728"/>
        <w:spacing w:after="0" w:line="258" w:lineRule="auto"/>
        <w:rPr>
          <w:sz w:val="20"/>
          <w:szCs w:val="20"/>
          <w:color w:val="auto"/>
        </w:rPr>
      </w:pPr>
      <w:r>
        <w:rPr>
          <w:rFonts w:ascii="Arial" w:cs="Arial" w:eastAsia="Arial" w:hAnsi="Arial"/>
          <w:sz w:val="19"/>
          <w:szCs w:val="19"/>
          <w:color w:val="auto"/>
        </w:rPr>
        <w:t>b) The independent registered public accounting firm engaged by the Company for general audit purposes as of the day prior to the effective date of the Change in Control shall make all determinations required to be made under this Section 5.6. If the independent registered public accounting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182" w:lineRule="exact"/>
        <w:rPr>
          <w:sz w:val="20"/>
          <w:szCs w:val="20"/>
          <w:color w:val="auto"/>
        </w:rPr>
      </w:pPr>
    </w:p>
    <w:p>
      <w:pPr>
        <w:jc w:val="both"/>
        <w:ind w:firstLine="1728"/>
        <w:spacing w:after="0" w:line="247" w:lineRule="auto"/>
        <w:rPr>
          <w:sz w:val="20"/>
          <w:szCs w:val="20"/>
          <w:color w:val="auto"/>
        </w:rPr>
      </w:pPr>
      <w:r>
        <w:rPr>
          <w:rFonts w:ascii="Arial" w:cs="Arial" w:eastAsia="Arial" w:hAnsi="Arial"/>
          <w:sz w:val="20"/>
          <w:szCs w:val="20"/>
          <w:color w:val="auto"/>
        </w:rPr>
        <w:t>c) The independent registered public accounting firm engaged to make the determinations hereunder shall provide its calculations, together with detailed supporting documentation, to the Company and Executive within fifteen</w:t>
      </w:r>
    </w:p>
    <w:p>
      <w:pPr>
        <w:spacing w:after="0" w:line="1" w:lineRule="exact"/>
        <w:rPr>
          <w:sz w:val="20"/>
          <w:szCs w:val="20"/>
          <w:color w:val="auto"/>
        </w:rPr>
      </w:pPr>
    </w:p>
    <w:p>
      <w:pPr>
        <w:jc w:val="both"/>
        <w:ind w:firstLine="8"/>
        <w:spacing w:after="0" w:line="273"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calendar days after the date on which Executive’s right to a Payment is triggered (if requested at that time by the Company or Executive) or such other time as requested by the Company or Executive. If the independent registered public accounting firm determines that no Excise Tax is payable with respect to a Payment, either before or after the application of the Reduced Amount, it shall furnish the Company and Executive with an opinion reasonably acceptable to Executive that no Excise Tax will be imposed with respect to such Payment. Any good faith determinations of the accounting firm made hereunder shall be final, binding and conclusive upon the Company and Executive.</w:t>
      </w:r>
    </w:p>
    <w:p>
      <w:pPr>
        <w:spacing w:after="0" w:line="163"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5.7 Certain Reductions and Offsets</w:t>
      </w:r>
      <w:r>
        <w:rPr>
          <w:rFonts w:ascii="Arial" w:cs="Arial" w:eastAsia="Arial" w:hAnsi="Arial"/>
          <w:sz w:val="20"/>
          <w:szCs w:val="20"/>
          <w:color w:val="auto"/>
        </w:rPr>
        <w:t>. To the extent that any federal, state or local laws, including, without limitation, the</w:t>
      </w:r>
      <w:r>
        <w:rPr>
          <w:rFonts w:ascii="Arial" w:cs="Arial" w:eastAsia="Arial" w:hAnsi="Arial"/>
          <w:sz w:val="20"/>
          <w:szCs w:val="20"/>
          <w:b w:val="1"/>
          <w:bCs w:val="1"/>
          <w:color w:val="auto"/>
        </w:rPr>
        <w:t xml:space="preserve"> </w:t>
      </w:r>
      <w:r>
        <w:rPr>
          <w:rFonts w:ascii="Arial" w:cs="Arial" w:eastAsia="Arial" w:hAnsi="Arial"/>
          <w:sz w:val="20"/>
          <w:szCs w:val="20"/>
          <w:color w:val="auto"/>
        </w:rPr>
        <w:t>Worker Adjustment and Retraining Notification Act or any other so-called “plant closing” laws, require the Company to give advance notice or make a payment of any kind to Executive because of Executive’s involuntary termination due to a layoff, reduction in force, plant or facility closing, sale of business, change in control or any other similar event or reason, the benefits payable under this Agreement shall be correspondingly reduced. The benefits provided under this Agreement are intended to satisfy any and all statutory obligations that may arise out of Executive’s involuntary termination of employment for the foregoing reasons, and the parties shall construe and enforce the terms of this Agreement accordingly.</w:t>
      </w:r>
    </w:p>
    <w:p>
      <w:pPr>
        <w:spacing w:after="0" w:line="19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5.8 Mitigation</w:t>
      </w:r>
      <w:r>
        <w:rPr>
          <w:rFonts w:ascii="Arial" w:cs="Arial" w:eastAsia="Arial" w:hAnsi="Arial"/>
          <w:sz w:val="20"/>
          <w:szCs w:val="20"/>
          <w:color w:val="auto"/>
        </w:rPr>
        <w:t>. Except as otherwise specifically provided herein, Executive shall not be required to mitigate damages or</w:t>
      </w:r>
      <w:r>
        <w:rPr>
          <w:rFonts w:ascii="Arial" w:cs="Arial" w:eastAsia="Arial" w:hAnsi="Arial"/>
          <w:sz w:val="20"/>
          <w:szCs w:val="20"/>
          <w:b w:val="1"/>
          <w:bCs w:val="1"/>
          <w:color w:val="auto"/>
        </w:rPr>
        <w:t xml:space="preserve"> </w:t>
      </w:r>
      <w:r>
        <w:rPr>
          <w:rFonts w:ascii="Arial" w:cs="Arial" w:eastAsia="Arial" w:hAnsi="Arial"/>
          <w:sz w:val="20"/>
          <w:szCs w:val="20"/>
          <w:color w:val="auto"/>
        </w:rPr>
        <w:t>the amount of any payment provided under this Agreement by seeking other employment or otherwise, nor shall the amount of any payment provided for under this Agreement be reduced by any compensation earned by Executive as a result of employment by another employer or by any retirement benefits received by Executive after the date of a Change in Control Termination or Covered Termination (except as expressly provided in Sections 3.3 and 4.3 above).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64" w:name="page65"/>
    <w:bookmarkEnd w:id="64"/>
    <w:p>
      <w:pPr>
        <w:jc w:val="both"/>
        <w:ind w:firstLine="864"/>
        <w:spacing w:after="0" w:line="252" w:lineRule="auto"/>
        <w:rPr>
          <w:sz w:val="20"/>
          <w:szCs w:val="20"/>
          <w:color w:val="auto"/>
        </w:rPr>
      </w:pPr>
      <w:r>
        <w:rPr>
          <w:rFonts w:ascii="Arial" w:cs="Arial" w:eastAsia="Arial" w:hAnsi="Arial"/>
          <w:sz w:val="20"/>
          <w:szCs w:val="20"/>
          <w:b w:val="1"/>
          <w:bCs w:val="1"/>
          <w:color w:val="auto"/>
        </w:rPr>
        <w:t>5.9 Indebtedness of Executive</w:t>
      </w:r>
      <w:r>
        <w:rPr>
          <w:rFonts w:ascii="Arial" w:cs="Arial" w:eastAsia="Arial" w:hAnsi="Arial"/>
          <w:sz w:val="20"/>
          <w:szCs w:val="20"/>
          <w:color w:val="auto"/>
        </w:rPr>
        <w:t>. If Executive is indebted to the Company on the effective date of a Change in Control</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or Covered Termination, the Company reserves the right to offset any severance payments and benefits under this Agreement by the amount of such indebtedness.</w:t>
      </w:r>
    </w:p>
    <w:p>
      <w:pPr>
        <w:spacing w:after="0" w:line="17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5.10</w:t>
      </w:r>
      <w:r>
        <w:rPr>
          <w:sz w:val="20"/>
          <w:szCs w:val="20"/>
          <w:color w:val="auto"/>
        </w:rPr>
        <w:tab/>
      </w:r>
      <w:r>
        <w:rPr>
          <w:rFonts w:ascii="Arial" w:cs="Arial" w:eastAsia="Arial" w:hAnsi="Arial"/>
          <w:sz w:val="16"/>
          <w:szCs w:val="16"/>
          <w:b w:val="1"/>
          <w:bCs w:val="1"/>
          <w:color w:val="auto"/>
        </w:rPr>
        <w:t>Application of Section 409A</w:t>
      </w:r>
      <w:r>
        <w:rPr>
          <w:rFonts w:ascii="Arial" w:cs="Arial" w:eastAsia="Arial" w:hAnsi="Arial"/>
          <w:sz w:val="16"/>
          <w:szCs w:val="16"/>
          <w:color w:val="auto"/>
        </w:rPr>
        <w:t>.</w:t>
      </w:r>
    </w:p>
    <w:p>
      <w:pPr>
        <w:spacing w:after="0" w:line="215" w:lineRule="exact"/>
        <w:rPr>
          <w:sz w:val="20"/>
          <w:szCs w:val="20"/>
          <w:color w:val="auto"/>
        </w:rPr>
      </w:pPr>
    </w:p>
    <w:p>
      <w:pPr>
        <w:jc w:val="both"/>
        <w:ind w:firstLine="1735"/>
        <w:spacing w:after="0" w:line="272" w:lineRule="auto"/>
        <w:tabs>
          <w:tab w:leader="none" w:pos="2276"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Separation from Service</w:t>
      </w:r>
      <w:r>
        <w:rPr>
          <w:rFonts w:ascii="Arial" w:cs="Arial" w:eastAsia="Arial" w:hAnsi="Arial"/>
          <w:sz w:val="18"/>
          <w:szCs w:val="18"/>
          <w:color w:val="auto"/>
        </w:rPr>
        <w:t>. Notwithstanding any provision to the contrary in this Agreement, no amount deemed</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compensation subject to Section 409A of the Code shall be payable pursuant to Article 3 or Article 4 unless Executive’s termination of employment constitutes a “separation from service” with the Company within the meaning of Section 409A of the Code and the Department of Treasury Regulations and other guidance promulgated thereunder and, except as provided under Section 5.10(b) hereof, any such amount shall not be paid, or in the case of installments, commence payment, until the first regularly-scheduled payroll date occurring on or after the sixtieth (60</w:t>
      </w:r>
      <w:r>
        <w:rPr>
          <w:rFonts w:ascii="Arial" w:cs="Arial" w:eastAsia="Arial" w:hAnsi="Arial"/>
          <w:sz w:val="14"/>
          <w:szCs w:val="14"/>
          <w:color w:val="auto"/>
        </w:rPr>
        <w:t>th</w:t>
      </w:r>
      <w:r>
        <w:rPr>
          <w:rFonts w:ascii="Arial" w:cs="Arial" w:eastAsia="Arial" w:hAnsi="Arial"/>
          <w:sz w:val="18"/>
          <w:szCs w:val="18"/>
          <w:color w:val="auto"/>
        </w:rPr>
        <w:t>) day following Executive’s separation from service. Any installment payments that would have been made to Executive during the sixty (60) day period immediately following Executive’s separation from service but for the preceding sentence shall be paid to Executive on the first regularly-scheduled payroll date occurring on or after the sixtieth (60</w:t>
      </w:r>
      <w:r>
        <w:rPr>
          <w:rFonts w:ascii="Arial" w:cs="Arial" w:eastAsia="Arial" w:hAnsi="Arial"/>
          <w:sz w:val="14"/>
          <w:szCs w:val="14"/>
          <w:color w:val="auto"/>
        </w:rPr>
        <w:t>th</w:t>
      </w:r>
      <w:r>
        <w:rPr>
          <w:rFonts w:ascii="Arial" w:cs="Arial" w:eastAsia="Arial" w:hAnsi="Arial"/>
          <w:sz w:val="18"/>
          <w:szCs w:val="18"/>
          <w:color w:val="auto"/>
        </w:rPr>
        <w:t>) day after Executive’s separation from service and the remaining payments shall be made as provided in this Agreement.</w:t>
      </w:r>
    </w:p>
    <w:p>
      <w:pPr>
        <w:spacing w:after="0" w:line="167" w:lineRule="exact"/>
        <w:rPr>
          <w:rFonts w:ascii="Arial" w:cs="Arial" w:eastAsia="Arial" w:hAnsi="Arial"/>
          <w:sz w:val="18"/>
          <w:szCs w:val="18"/>
          <w:color w:val="auto"/>
        </w:rPr>
      </w:pPr>
    </w:p>
    <w:p>
      <w:pPr>
        <w:jc w:val="both"/>
        <w:ind w:firstLine="1735"/>
        <w:spacing w:after="0" w:line="256" w:lineRule="auto"/>
        <w:tabs>
          <w:tab w:leader="none" w:pos="2288" w:val="left"/>
        </w:tabs>
        <w:numPr>
          <w:ilvl w:val="0"/>
          <w:numId w:val="49"/>
        </w:numPr>
        <w:rPr>
          <w:rFonts w:ascii="Arial" w:cs="Arial" w:eastAsia="Arial" w:hAnsi="Arial"/>
          <w:sz w:val="19"/>
          <w:szCs w:val="19"/>
          <w:color w:val="auto"/>
        </w:rPr>
      </w:pPr>
      <w:r>
        <w:rPr>
          <w:rFonts w:ascii="Arial" w:cs="Arial" w:eastAsia="Arial" w:hAnsi="Arial"/>
          <w:sz w:val="19"/>
          <w:szCs w:val="19"/>
          <w:b w:val="1"/>
          <w:bCs w:val="1"/>
          <w:color w:val="auto"/>
        </w:rPr>
        <w:t>Specified Executive</w:t>
      </w:r>
      <w:r>
        <w:rPr>
          <w:rFonts w:ascii="Arial" w:cs="Arial" w:eastAsia="Arial" w:hAnsi="Arial"/>
          <w:sz w:val="19"/>
          <w:szCs w:val="19"/>
          <w:color w:val="auto"/>
        </w:rPr>
        <w:t>. Notwithstanding any provision to the contrary in this Agreement, if Executive is deemed</w:t>
      </w:r>
      <w:r>
        <w:rPr>
          <w:rFonts w:ascii="Arial" w:cs="Arial" w:eastAsia="Arial" w:hAnsi="Arial"/>
          <w:sz w:val="19"/>
          <w:szCs w:val="19"/>
          <w:b w:val="1"/>
          <w:bCs w:val="1"/>
          <w:color w:val="auto"/>
        </w:rPr>
        <w:t xml:space="preserve"> </w:t>
      </w:r>
      <w:r>
        <w:rPr>
          <w:rFonts w:ascii="Arial" w:cs="Arial" w:eastAsia="Arial" w:hAnsi="Arial"/>
          <w:sz w:val="19"/>
          <w:szCs w:val="19"/>
          <w:color w:val="auto"/>
        </w:rPr>
        <w:t>at the time of his or her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(i) the expiration of the six (6)-month period measured from the date of Executive’s “separation from service” with the Company (as such term is defined in the Treasury Regulations issued under Section 409A of the Code) or (ii) the date of Executive’s death. Upon the first business day following the expiration of the applicable Code Section 409A(a)(2)(B)(i) period, all payments deferred pursuant to this Section 5.10(b) shall be paid in a lump sum to Executive, and any remaining payments due under this Agreement shall be paid as otherwise provided herein.</w:t>
      </w:r>
    </w:p>
    <w:p>
      <w:pPr>
        <w:spacing w:after="0" w:line="181" w:lineRule="exact"/>
        <w:rPr>
          <w:rFonts w:ascii="Arial" w:cs="Arial" w:eastAsia="Arial" w:hAnsi="Arial"/>
          <w:sz w:val="19"/>
          <w:szCs w:val="19"/>
          <w:color w:val="auto"/>
        </w:rPr>
      </w:pPr>
    </w:p>
    <w:p>
      <w:pPr>
        <w:jc w:val="both"/>
        <w:ind w:firstLine="1735"/>
        <w:spacing w:after="0" w:line="262" w:lineRule="auto"/>
        <w:tabs>
          <w:tab w:leader="none" w:pos="2276" w:val="left"/>
        </w:tabs>
        <w:numPr>
          <w:ilvl w:val="0"/>
          <w:numId w:val="49"/>
        </w:numPr>
        <w:rPr>
          <w:rFonts w:ascii="Arial" w:cs="Arial" w:eastAsia="Arial" w:hAnsi="Arial"/>
          <w:sz w:val="19"/>
          <w:szCs w:val="19"/>
          <w:color w:val="auto"/>
        </w:rPr>
      </w:pPr>
      <w:r>
        <w:rPr>
          <w:rFonts w:ascii="Arial" w:cs="Arial" w:eastAsia="Arial" w:hAnsi="Arial"/>
          <w:sz w:val="19"/>
          <w:szCs w:val="19"/>
          <w:b w:val="1"/>
          <w:bCs w:val="1"/>
          <w:color w:val="auto"/>
        </w:rPr>
        <w:t>Expense Reimbursements</w:t>
      </w:r>
      <w:r>
        <w:rPr>
          <w:rFonts w:ascii="Arial" w:cs="Arial" w:eastAsia="Arial" w:hAnsi="Arial"/>
          <w:sz w:val="19"/>
          <w:szCs w:val="19"/>
          <w:color w:val="auto"/>
        </w:rPr>
        <w:t>. To the extent that any reimbursement payable pursuant to this Agreement is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provisions of Section 409A of the Code, any such reimbursement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69" w:lineRule="exact"/>
        <w:rPr>
          <w:rFonts w:ascii="Arial" w:cs="Arial" w:eastAsia="Arial" w:hAnsi="Arial"/>
          <w:sz w:val="19"/>
          <w:szCs w:val="19"/>
          <w:color w:val="auto"/>
        </w:rPr>
      </w:pPr>
    </w:p>
    <w:p>
      <w:pPr>
        <w:jc w:val="both"/>
        <w:ind w:firstLine="1735"/>
        <w:spacing w:after="0" w:line="248" w:lineRule="auto"/>
        <w:tabs>
          <w:tab w:leader="none" w:pos="2288" w:val="left"/>
        </w:tabs>
        <w:numPr>
          <w:ilvl w:val="0"/>
          <w:numId w:val="49"/>
        </w:numPr>
        <w:rPr>
          <w:rFonts w:ascii="Arial" w:cs="Arial" w:eastAsia="Arial" w:hAnsi="Arial"/>
          <w:sz w:val="20"/>
          <w:szCs w:val="20"/>
          <w:color w:val="auto"/>
        </w:rPr>
      </w:pPr>
      <w:r>
        <w:rPr>
          <w:rFonts w:ascii="Arial" w:cs="Arial" w:eastAsia="Arial" w:hAnsi="Arial"/>
          <w:sz w:val="20"/>
          <w:szCs w:val="20"/>
          <w:b w:val="1"/>
          <w:bCs w:val="1"/>
          <w:color w:val="auto"/>
        </w:rPr>
        <w:t>Installments</w:t>
      </w:r>
      <w:r>
        <w:rPr>
          <w:rFonts w:ascii="Arial" w:cs="Arial" w:eastAsia="Arial" w:hAnsi="Arial"/>
          <w:sz w:val="20"/>
          <w:szCs w:val="20"/>
          <w:color w:val="auto"/>
        </w:rPr>
        <w:t>. For purposes of Section 409A of the Code (including, without limitation, for purposes of</w:t>
      </w:r>
      <w:r>
        <w:rPr>
          <w:rFonts w:ascii="Arial" w:cs="Arial" w:eastAsia="Arial" w:hAnsi="Arial"/>
          <w:sz w:val="20"/>
          <w:szCs w:val="20"/>
          <w:b w:val="1"/>
          <w:bCs w:val="1"/>
          <w:color w:val="auto"/>
        </w:rPr>
        <w:t xml:space="preserve"> </w:t>
      </w:r>
      <w:r>
        <w:rPr>
          <w:rFonts w:ascii="Arial" w:cs="Arial" w:eastAsia="Arial" w:hAnsi="Arial"/>
          <w:sz w:val="20"/>
          <w:szCs w:val="20"/>
          <w:color w:val="auto"/>
        </w:rPr>
        <w:t>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82"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20"/>
          <w:szCs w:val="20"/>
          <w:b w:val="1"/>
          <w:bCs w:val="1"/>
          <w:color w:val="auto"/>
        </w:rPr>
        <w:t>5.11 Tax Withholding</w:t>
      </w:r>
      <w:r>
        <w:rPr>
          <w:rFonts w:ascii="Arial" w:cs="Arial" w:eastAsia="Arial" w:hAnsi="Arial"/>
          <w:sz w:val="20"/>
          <w:szCs w:val="20"/>
          <w:color w:val="auto"/>
        </w:rPr>
        <w:t>. All payments under this Agreement shall be subject to applicable withholding for federal, state and</w:t>
      </w:r>
      <w:r>
        <w:rPr>
          <w:rFonts w:ascii="Arial" w:cs="Arial" w:eastAsia="Arial" w:hAnsi="Arial"/>
          <w:sz w:val="20"/>
          <w:szCs w:val="20"/>
          <w:b w:val="1"/>
          <w:bCs w:val="1"/>
          <w:color w:val="auto"/>
        </w:rPr>
        <w:t xml:space="preserve"> </w:t>
      </w:r>
      <w:r>
        <w:rPr>
          <w:rFonts w:ascii="Arial" w:cs="Arial" w:eastAsia="Arial" w:hAnsi="Arial"/>
          <w:sz w:val="20"/>
          <w:szCs w:val="20"/>
          <w:color w:val="auto"/>
        </w:rPr>
        <w:t>local income and employment taxes.</w:t>
      </w:r>
    </w:p>
    <w:p>
      <w:pPr>
        <w:spacing w:after="0" w:line="164"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b w:val="1"/>
          <w:bCs w:val="1"/>
          <w:color w:val="auto"/>
        </w:rPr>
        <w:t xml:space="preserve">5.12 No Duplication of Severance Benefits. </w:t>
      </w:r>
      <w:r>
        <w:rPr>
          <w:rFonts w:ascii="Arial" w:cs="Arial" w:eastAsia="Arial" w:hAnsi="Arial"/>
          <w:sz w:val="20"/>
          <w:szCs w:val="20"/>
          <w:color w:val="auto"/>
        </w:rPr>
        <w:t>The severance and other benefits provided in Article 3 and Article 4 are</w:t>
      </w:r>
      <w:r>
        <w:rPr>
          <w:rFonts w:ascii="Arial" w:cs="Arial" w:eastAsia="Arial" w:hAnsi="Arial"/>
          <w:sz w:val="20"/>
          <w:szCs w:val="20"/>
          <w:b w:val="1"/>
          <w:bCs w:val="1"/>
          <w:color w:val="auto"/>
        </w:rPr>
        <w:t xml:space="preserve"> </w:t>
      </w:r>
      <w:r>
        <w:rPr>
          <w:rFonts w:ascii="Arial" w:cs="Arial" w:eastAsia="Arial" w:hAnsi="Arial"/>
          <w:sz w:val="20"/>
          <w:szCs w:val="20"/>
          <w:color w:val="auto"/>
        </w:rPr>
        <w:t>mutually exclusive of each other, and in no event shall Executive receive any severance or other benefits pursuant to both Article 3 and Article 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5" w:name="page66"/>
    <w:bookmarkEnd w:id="65"/>
    <w:p>
      <w:pPr>
        <w:ind w:left="4780"/>
        <w:spacing w:after="0"/>
        <w:rPr>
          <w:sz w:val="20"/>
          <w:szCs w:val="20"/>
          <w:color w:val="auto"/>
        </w:rPr>
      </w:pPr>
      <w:r>
        <w:rPr>
          <w:rFonts w:ascii="Arial" w:cs="Arial" w:eastAsia="Arial" w:hAnsi="Arial"/>
          <w:sz w:val="20"/>
          <w:szCs w:val="20"/>
          <w:b w:val="1"/>
          <w:bCs w:val="1"/>
          <w:color w:val="auto"/>
        </w:rPr>
        <w:t>ARTICLE 6</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TERMINATION WITH CAUSE OR BY VOLUNTARY RESIGNATION;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RIGHTS AND BENEFITS</w:t>
      </w:r>
    </w:p>
    <w:p>
      <w:pPr>
        <w:spacing w:after="0" w:line="193"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b w:val="1"/>
          <w:bCs w:val="1"/>
          <w:color w:val="auto"/>
        </w:rPr>
        <w:t>6.1 Termination for Cause by the Company</w:t>
      </w:r>
      <w:r>
        <w:rPr>
          <w:rFonts w:ascii="Arial" w:cs="Arial" w:eastAsia="Arial" w:hAnsi="Arial"/>
          <w:sz w:val="19"/>
          <w:szCs w:val="19"/>
          <w:color w:val="auto"/>
        </w:rPr>
        <w:t>. If the Company shall terminate the Executive’s employment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for Cause, then upon such termination, the Company shall have no further obligation to Executive hereunder except for the payment or provision, as applicable, of (a) the portion of the Annual Base Salary for the period prior to the effective date of termination earned but unpaid (if any), (b) all unreimbursed expenses (if any), subject to Sections 2.4 and 5.10(c), and (c) other payments, entitlements or benefits, if any, in accordance with terms of the applicable plans, programs, arrangements or other agreements of the Company (other than any severance plan or policy) as to which the Executive held rights to such payments, entitlements or benefits, whether as a participant, beneficiary or otherwise on the date of termination (“</w:t>
      </w:r>
      <w:r>
        <w:rPr>
          <w:rFonts w:ascii="Arial" w:cs="Arial" w:eastAsia="Arial" w:hAnsi="Arial"/>
          <w:sz w:val="19"/>
          <w:szCs w:val="19"/>
          <w:b w:val="1"/>
          <w:bCs w:val="1"/>
          <w:i w:val="1"/>
          <w:iCs w:val="1"/>
          <w:color w:val="auto"/>
        </w:rPr>
        <w:t>Other Benefits</w:t>
      </w:r>
      <w:r>
        <w:rPr>
          <w:rFonts w:ascii="Arial" w:cs="Arial" w:eastAsia="Arial" w:hAnsi="Arial"/>
          <w:sz w:val="19"/>
          <w:szCs w:val="19"/>
          <w:color w:val="auto"/>
        </w:rPr>
        <w:t>”). For the avoidance of doubt, Executive shall have no right to receive (and Other Benefits shall not include) any amounts under any Company severance plan or policy or pursuant to Article 3 or Article 4 upon Executive’s termination for Cause.</w:t>
      </w:r>
    </w:p>
    <w:p>
      <w:pPr>
        <w:spacing w:after="0" w:line="181"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6.2 Termination by Voluntary Resignation by the Executive (other than Resignation for Good Reason)</w:t>
      </w:r>
      <w:r>
        <w:rPr>
          <w:rFonts w:ascii="Arial" w:cs="Arial" w:eastAsia="Arial" w:hAnsi="Arial"/>
          <w:sz w:val="20"/>
          <w:szCs w:val="20"/>
          <w:color w:val="auto"/>
        </w:rPr>
        <w:t>. Upon any</w:t>
      </w:r>
      <w:r>
        <w:rPr>
          <w:rFonts w:ascii="Arial" w:cs="Arial" w:eastAsia="Arial" w:hAnsi="Arial"/>
          <w:sz w:val="20"/>
          <w:szCs w:val="20"/>
          <w:b w:val="1"/>
          <w:bCs w:val="1"/>
          <w:color w:val="auto"/>
        </w:rPr>
        <w:t xml:space="preserve"> </w:t>
      </w:r>
      <w:r>
        <w:rPr>
          <w:rFonts w:ascii="Arial" w:cs="Arial" w:eastAsia="Arial" w:hAnsi="Arial"/>
          <w:sz w:val="20"/>
          <w:szCs w:val="20"/>
          <w:color w:val="auto"/>
        </w:rPr>
        <w:t>voluntary resignation by Executive that is not a Resignation for Good Reason, the Company shall have no further obligation to the Executive hereunder except for the payment of (a) the portion of the Annual Base Salary for the period prior to the effective date of termination earned but unpaid (if any), (b) all unreimbursed expenses (if any), subject to Sections 2.4 and 5.10(c), and (c) the payment or provision of any Other Benefits. For the avoidance of doubt, Executive shall have no right to receive (and Other Benefits shall not include) any amounts under any Company severance plan or policy or pursuant to Article 3 or Article 4 upon any voluntary resignation by Executive that is not a Resignation for Good Reason.</w:t>
      </w:r>
    </w:p>
    <w:p>
      <w:pPr>
        <w:spacing w:after="0" w:line="19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 xml:space="preserve">6.3 Other Rights and Benefits. </w:t>
      </w:r>
      <w:r>
        <w:rPr>
          <w:rFonts w:ascii="Arial" w:cs="Arial" w:eastAsia="Arial" w:hAnsi="Arial"/>
          <w:sz w:val="20"/>
          <w:szCs w:val="20"/>
          <w:color w:val="auto"/>
        </w:rPr>
        <w:t>Nothing in this Agreement shall prevent or limit Executive’s continuing or future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any benefit, bonus, incentive or other plans, programs, policies or practices provided by the Company and for which Executive may otherwise qualify, nor shall anything herein limit or otherwise affect such rights as Executive may have under other agreements with the Company except as provided in Article 2, Article 5, Section 6.1 and Section 6.2 above. Except as otherwise expressly provided herein, amounts that are vested benefits or that Executive is otherwise entitled to receive under any plan, policy, practice or program of the Company at or subsequent to the date of a Change in Control shall be payable in accordance with such plan, policy, practice or program.</w:t>
      </w:r>
    </w:p>
    <w:p>
      <w:pPr>
        <w:spacing w:after="0" w:line="190"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ARTICLE 7</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Unless otherwise provided, for purposes of this Agreement, the following definitions shall apply:</w:t>
      </w:r>
    </w:p>
    <w:p>
      <w:pPr>
        <w:spacing w:after="0" w:line="209"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15"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upon a reasonable determination by the Company, Executive’s: (a) dishonest statements or acts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Company, any subsidiary or any affiliate of the Company or any subsidiary; (b) commission by or indictment for (i) a felony or</w:t>
      </w:r>
    </w:p>
    <w:p>
      <w:pPr>
        <w:spacing w:after="0" w:line="1" w:lineRule="exact"/>
        <w:rPr>
          <w:sz w:val="20"/>
          <w:szCs w:val="20"/>
          <w:color w:val="auto"/>
        </w:rPr>
      </w:pPr>
    </w:p>
    <w:p>
      <w:pPr>
        <w:jc w:val="both"/>
        <w:ind w:firstLine="8"/>
        <w:spacing w:after="0"/>
        <w:tabs>
          <w:tab w:leader="none" w:pos="322" w:val="left"/>
        </w:tabs>
        <w:numPr>
          <w:ilvl w:val="0"/>
          <w:numId w:val="50"/>
        </w:numPr>
        <w:rPr>
          <w:rFonts w:ascii="Arial" w:cs="Arial" w:eastAsia="Arial" w:hAnsi="Arial"/>
          <w:sz w:val="20"/>
          <w:szCs w:val="20"/>
          <w:color w:val="auto"/>
        </w:rPr>
      </w:pPr>
      <w:r>
        <w:rPr>
          <w:rFonts w:ascii="Arial" w:cs="Arial" w:eastAsia="Arial" w:hAnsi="Arial"/>
          <w:sz w:val="20"/>
          <w:szCs w:val="20"/>
          <w:color w:val="auto"/>
        </w:rPr>
        <w:t>any misdemeanor (excluding minor traffic violations) involving moral turpitude, deceit, dishonesty or fraud (“indictment,” for these purposes, meaning an indictment, probable cause hearing or any other procedure pursuant to which an initial determination of probable or reasonable cause with respect to such offense is made); (c) gross negligence, willful misconduct or insubordination with respect to the Company, any subsidiary or 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66" w:name="page67"/>
    <w:bookmarkEnd w:id="66"/>
    <w:p>
      <w:pPr>
        <w:jc w:val="both"/>
        <w:spacing w:after="0" w:line="282" w:lineRule="auto"/>
        <w:rPr>
          <w:sz w:val="20"/>
          <w:szCs w:val="20"/>
          <w:color w:val="auto"/>
        </w:rPr>
      </w:pPr>
      <w:r>
        <w:rPr>
          <w:rFonts w:ascii="Arial" w:cs="Arial" w:eastAsia="Arial" w:hAnsi="Arial"/>
          <w:sz w:val="18"/>
          <w:szCs w:val="18"/>
          <w:color w:val="auto"/>
        </w:rPr>
        <w:t>affiliate of the Company or any subsidiary; (d) material breach of any of Executive’s obligations under any agreement to which Executive and the Company or any subsidiary are a party; or (e) death or disability. With respect to clause (d), Executive will be given notice and a 30-day period in which to cure such breach, only to the extent such breach can be reasonably expected to be able to be cured within such period. Executive agrees that the breach of any confidentiality obligation to the Company or any subsidiary shall not be curable to any extent.</w:t>
      </w:r>
    </w:p>
    <w:p>
      <w:pPr>
        <w:spacing w:after="0" w:line="154"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20"/>
          <w:szCs w:val="20"/>
          <w:b w:val="1"/>
          <w:bCs w:val="1"/>
          <w:color w:val="auto"/>
        </w:rPr>
        <w:t xml:space="preserve">7.3 </w:t>
      </w: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the occurrence, in a single transaction or in a series of related transactions, of any one or</w:t>
      </w:r>
      <w:r>
        <w:rPr>
          <w:rFonts w:ascii="Arial" w:cs="Arial" w:eastAsia="Arial" w:hAnsi="Arial"/>
          <w:sz w:val="20"/>
          <w:szCs w:val="20"/>
          <w:b w:val="1"/>
          <w:bCs w:val="1"/>
          <w:color w:val="auto"/>
        </w:rPr>
        <w:t xml:space="preserve"> </w:t>
      </w:r>
      <w:r>
        <w:rPr>
          <w:rFonts w:ascii="Arial" w:cs="Arial" w:eastAsia="Arial" w:hAnsi="Arial"/>
          <w:sz w:val="20"/>
          <w:szCs w:val="20"/>
          <w:color w:val="auto"/>
        </w:rPr>
        <w:t>more of the following events:</w:t>
      </w:r>
    </w:p>
    <w:p>
      <w:pPr>
        <w:spacing w:after="0" w:line="170" w:lineRule="exact"/>
        <w:rPr>
          <w:sz w:val="20"/>
          <w:szCs w:val="20"/>
          <w:color w:val="auto"/>
        </w:rPr>
      </w:pPr>
    </w:p>
    <w:p>
      <w:pPr>
        <w:jc w:val="both"/>
        <w:ind w:firstLine="1735"/>
        <w:spacing w:after="0" w:line="268" w:lineRule="auto"/>
        <w:tabs>
          <w:tab w:leader="none" w:pos="2276"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natural person, entity or group within the meaning of Section 13(d) or 14(d) of the Securities Exchange Act of 1934, as amended (“</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(i) on account of the acquisition of securities of the Company by any institutional investor, any affiliate thereof or any other Exchange Act Person that acquires the Company’s securities in a transaction or series of related transactions that are primarily a private financing transaction for the Company or</w:t>
      </w:r>
    </w:p>
    <w:p>
      <w:pPr>
        <w:spacing w:after="0" w:line="4" w:lineRule="exact"/>
        <w:rPr>
          <w:rFonts w:ascii="Arial" w:cs="Arial" w:eastAsia="Arial" w:hAnsi="Arial"/>
          <w:sz w:val="18"/>
          <w:szCs w:val="18"/>
          <w:color w:val="auto"/>
        </w:rPr>
      </w:pPr>
    </w:p>
    <w:p>
      <w:pPr>
        <w:jc w:val="both"/>
        <w:ind w:firstLine="8"/>
        <w:spacing w:after="0" w:line="312" w:lineRule="auto"/>
        <w:tabs>
          <w:tab w:leader="none" w:pos="324" w:val="left"/>
        </w:tabs>
        <w:numPr>
          <w:ilvl w:val="0"/>
          <w:numId w:val="52"/>
        </w:numPr>
        <w:rPr>
          <w:rFonts w:ascii="Arial" w:cs="Arial" w:eastAsia="Arial" w:hAnsi="Arial"/>
          <w:sz w:val="16"/>
          <w:szCs w:val="16"/>
          <w:color w:val="auto"/>
        </w:rPr>
      </w:pPr>
      <w:r>
        <w:rPr>
          <w:rFonts w:ascii="Arial" w:cs="Arial" w:eastAsia="Arial" w:hAnsi="Arial"/>
          <w:sz w:val="16"/>
          <w:szCs w:val="16"/>
          <w:color w:val="auto"/>
        </w:rPr>
        <w:t>solely because the level of ownership held by any Exchange Act Person (the “</w:t>
      </w:r>
      <w:r>
        <w:rPr>
          <w:rFonts w:ascii="Arial" w:cs="Arial" w:eastAsia="Arial" w:hAnsi="Arial"/>
          <w:sz w:val="16"/>
          <w:szCs w:val="16"/>
          <w:b w:val="1"/>
          <w:bCs w:val="1"/>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40" w:lineRule="exact"/>
        <w:rPr>
          <w:rFonts w:ascii="Arial" w:cs="Arial" w:eastAsia="Arial" w:hAnsi="Arial"/>
          <w:sz w:val="16"/>
          <w:szCs w:val="16"/>
          <w:color w:val="auto"/>
        </w:rPr>
      </w:pPr>
    </w:p>
    <w:p>
      <w:pPr>
        <w:jc w:val="both"/>
        <w:ind w:firstLine="1735"/>
        <w:spacing w:after="0" w:line="243" w:lineRule="auto"/>
        <w:tabs>
          <w:tab w:leader="none" w:pos="2288"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There is consummated a merger, consolidation or similar transaction involving, directly or indirectly, the Company if, immediately after the consummation of such merger, consolidation or similar transaction, the stockholders of the Company immediately prior thereto do not own, directly or indirectly, either (i) outstanding voting securities representing more than fifty percent (50%) of the combined outstanding voting power of the surviving entity in such merger, consolidation or similar transaction or (ii) more than fifty percent (50%) of the combined outstanding voting power of the parent of the surviving entity in such merger, consolidation or similar transaction;</w:t>
      </w:r>
    </w:p>
    <w:p>
      <w:pPr>
        <w:spacing w:after="0" w:line="194" w:lineRule="exact"/>
        <w:rPr>
          <w:rFonts w:ascii="Arial" w:cs="Arial" w:eastAsia="Arial" w:hAnsi="Arial"/>
          <w:sz w:val="20"/>
          <w:szCs w:val="20"/>
          <w:color w:val="auto"/>
        </w:rPr>
      </w:pPr>
    </w:p>
    <w:p>
      <w:pPr>
        <w:ind w:right="20" w:firstLine="1735"/>
        <w:spacing w:after="0" w:line="260" w:lineRule="auto"/>
        <w:tabs>
          <w:tab w:leader="none" w:pos="2276"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 stockholders of the Company approve or the Board approves a plan of complete dissolution or liquidation of the Company, or a complete dissolution or liquidation of the Company shall otherwise occur; or</w:t>
      </w:r>
    </w:p>
    <w:p>
      <w:pPr>
        <w:spacing w:after="0" w:line="175" w:lineRule="exact"/>
        <w:rPr>
          <w:rFonts w:ascii="Arial" w:cs="Arial" w:eastAsia="Arial" w:hAnsi="Arial"/>
          <w:sz w:val="20"/>
          <w:szCs w:val="20"/>
          <w:color w:val="auto"/>
        </w:rPr>
      </w:pPr>
    </w:p>
    <w:p>
      <w:pPr>
        <w:jc w:val="both"/>
        <w:ind w:firstLine="1735"/>
        <w:spacing w:after="0" w:line="244" w:lineRule="auto"/>
        <w:tabs>
          <w:tab w:leader="none" w:pos="2288" w:val="left"/>
        </w:tabs>
        <w:numPr>
          <w:ilvl w:val="1"/>
          <w:numId w:val="52"/>
        </w:numPr>
        <w:rPr>
          <w:rFonts w:ascii="Arial" w:cs="Arial" w:eastAsia="Arial" w:hAnsi="Arial"/>
          <w:sz w:val="20"/>
          <w:szCs w:val="20"/>
          <w:color w:val="auto"/>
        </w:rPr>
      </w:pPr>
      <w:r>
        <w:rPr>
          <w:rFonts w:ascii="Arial" w:cs="Arial" w:eastAsia="Arial" w:hAnsi="Arial"/>
          <w:sz w:val="20"/>
          <w:szCs w:val="20"/>
          <w:color w:val="auto"/>
        </w:rPr>
        <w:t>There is consummated a sale, lease,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 as their ownership of the Company immediately prior to such sale, lease, license or other disposition.</w:t>
      </w:r>
    </w:p>
    <w:p>
      <w:pPr>
        <w:spacing w:after="0" w:line="193" w:lineRule="exact"/>
        <w:rPr>
          <w:sz w:val="20"/>
          <w:szCs w:val="20"/>
          <w:color w:val="auto"/>
        </w:rPr>
      </w:pPr>
    </w:p>
    <w:p>
      <w:pPr>
        <w:jc w:val="both"/>
        <w:ind w:firstLine="972"/>
        <w:spacing w:after="0" w:line="282" w:lineRule="auto"/>
        <w:rPr>
          <w:sz w:val="20"/>
          <w:szCs w:val="20"/>
          <w:color w:val="auto"/>
        </w:rPr>
      </w:pPr>
      <w:r>
        <w:rPr>
          <w:rFonts w:ascii="Arial" w:cs="Arial" w:eastAsia="Arial" w:hAnsi="Arial"/>
          <w:sz w:val="18"/>
          <w:szCs w:val="18"/>
          <w:color w:val="auto"/>
        </w:rPr>
        <w:t>The term Change in Control shall not include a sale of assets, merger or other transaction effected exclusively for the purpose of changing the domicile of the Company. Notwithstanding the foregoing or any other provision of this Agreement, the definition of Change in Control (or any analogous term) in an individual written agreement between the Company or any affiliate and the participant shall supersede the foregoing definition with respect to stock awards subject to such agreement (it being understood, however,</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67" w:name="page68"/>
    <w:bookmarkEnd w:id="67"/>
    <w:p>
      <w:pPr>
        <w:jc w:val="both"/>
        <w:spacing w:after="0" w:line="260" w:lineRule="auto"/>
        <w:rPr>
          <w:sz w:val="20"/>
          <w:szCs w:val="20"/>
          <w:color w:val="auto"/>
        </w:rPr>
      </w:pPr>
      <w:r>
        <w:rPr>
          <w:rFonts w:ascii="Arial" w:cs="Arial" w:eastAsia="Arial" w:hAnsi="Arial"/>
          <w:sz w:val="20"/>
          <w:szCs w:val="20"/>
          <w:color w:val="auto"/>
        </w:rPr>
        <w:t>that if no definition of Change in Control or any analogous term is set forth in such an individual written agreement, the foregoing definition shall apply).</w:t>
      </w:r>
    </w:p>
    <w:p>
      <w:pPr>
        <w:spacing w:after="0" w:line="170"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 Benefits Period</w:t>
      </w:r>
      <w:r>
        <w:rPr>
          <w:rFonts w:ascii="Arial" w:cs="Arial" w:eastAsia="Arial" w:hAnsi="Arial"/>
          <w:sz w:val="16"/>
          <w:szCs w:val="16"/>
          <w:color w:val="auto"/>
        </w:rPr>
        <w:t>” means the period of twelve (12) months commencing on the Termination Date.</w:t>
      </w:r>
    </w:p>
    <w:p>
      <w:pPr>
        <w:spacing w:after="0" w:line="215"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7.5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 Severance Period</w:t>
      </w:r>
      <w:r>
        <w:rPr>
          <w:rFonts w:ascii="Arial" w:cs="Arial" w:eastAsia="Arial" w:hAnsi="Arial"/>
          <w:sz w:val="16"/>
          <w:szCs w:val="16"/>
          <w:color w:val="auto"/>
        </w:rPr>
        <w:t>” means the period of twelve (12) months commencing on the Termination Date.</w:t>
      </w:r>
    </w:p>
    <w:p>
      <w:pPr>
        <w:spacing w:after="0" w:line="215"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7.6 </w:t>
      </w: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 Termination</w:t>
      </w:r>
      <w:r>
        <w:rPr>
          <w:rFonts w:ascii="Arial" w:cs="Arial" w:eastAsia="Arial" w:hAnsi="Arial"/>
          <w:sz w:val="20"/>
          <w:szCs w:val="20"/>
          <w:color w:val="auto"/>
        </w:rPr>
        <w:t>” means an “</w:t>
      </w:r>
      <w:r>
        <w:rPr>
          <w:rFonts w:ascii="Arial" w:cs="Arial" w:eastAsia="Arial" w:hAnsi="Arial"/>
          <w:sz w:val="20"/>
          <w:szCs w:val="20"/>
          <w:b w:val="1"/>
          <w:bCs w:val="1"/>
          <w:i w:val="1"/>
          <w:iCs w:val="1"/>
          <w:color w:val="auto"/>
        </w:rPr>
        <w:t>Involuntary Termination Without Cause</w:t>
      </w:r>
      <w:r>
        <w:rPr>
          <w:rFonts w:ascii="Arial" w:cs="Arial" w:eastAsia="Arial" w:hAnsi="Arial"/>
          <w:sz w:val="20"/>
          <w:szCs w:val="20"/>
          <w:color w:val="auto"/>
        </w:rPr>
        <w:t>” or “</w:t>
      </w:r>
      <w:r>
        <w:rPr>
          <w:rFonts w:ascii="Arial" w:cs="Arial" w:eastAsia="Arial" w:hAnsi="Arial"/>
          <w:sz w:val="20"/>
          <w:szCs w:val="20"/>
          <w:b w:val="1"/>
          <w:bCs w:val="1"/>
          <w:i w:val="1"/>
          <w:iCs w:val="1"/>
          <w:color w:val="auto"/>
        </w:rPr>
        <w:t>Resignation for Good</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Reason</w:t>
      </w:r>
      <w:r>
        <w:rPr>
          <w:rFonts w:ascii="Arial" w:cs="Arial" w:eastAsia="Arial" w:hAnsi="Arial"/>
          <w:sz w:val="20"/>
          <w:szCs w:val="20"/>
          <w:i w:val="1"/>
          <w:iCs w:val="1"/>
          <w:color w:val="auto"/>
        </w:rPr>
        <w:t>,</w:t>
      </w:r>
      <w:r>
        <w:rPr>
          <w:rFonts w:ascii="Arial" w:cs="Arial" w:eastAsia="Arial" w:hAnsi="Arial"/>
          <w:sz w:val="20"/>
          <w:szCs w:val="20"/>
          <w:color w:val="auto"/>
        </w:rPr>
        <w:t>” either of which occurs on, or within three (3) months prior to, or within twelve (12) months following, the effective date of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Change in Control, provided that any such termination is a “separation from service” within the meaning of Treasury Regulation Section 1.409A-1(h). Death and disability shall not be deemed Change in Control Terminations.</w:t>
      </w:r>
    </w:p>
    <w:p>
      <w:pPr>
        <w:spacing w:after="0" w:line="182"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7.7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means the Consolidated Omnibus Budget Reconciliation Act of 1985, as amended.</w:t>
      </w:r>
    </w:p>
    <w:p>
      <w:pPr>
        <w:spacing w:after="0" w:line="215"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7.8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w:t>
      </w:r>
    </w:p>
    <w:p>
      <w:pPr>
        <w:spacing w:after="0" w:line="21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20"/>
          <w:szCs w:val="20"/>
          <w:b w:val="1"/>
          <w:bCs w:val="1"/>
          <w:color w:val="auto"/>
        </w:rPr>
        <w:t xml:space="preserve">7.9 </w:t>
      </w:r>
      <w:r>
        <w:rPr>
          <w:rFonts w:ascii="Arial" w:cs="Arial" w:eastAsia="Arial" w:hAnsi="Arial"/>
          <w:sz w:val="20"/>
          <w:szCs w:val="20"/>
          <w:color w:val="auto"/>
        </w:rPr>
        <w:t>“</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means Syndax Pharmaceuticals, Inc. or, following a Change in Control, the surviving entity resulting from</w:t>
      </w:r>
      <w:r>
        <w:rPr>
          <w:rFonts w:ascii="Arial" w:cs="Arial" w:eastAsia="Arial" w:hAnsi="Arial"/>
          <w:sz w:val="20"/>
          <w:szCs w:val="20"/>
          <w:b w:val="1"/>
          <w:bCs w:val="1"/>
          <w:color w:val="auto"/>
        </w:rPr>
        <w:t xml:space="preserve"> </w:t>
      </w:r>
      <w:r>
        <w:rPr>
          <w:rFonts w:ascii="Arial" w:cs="Arial" w:eastAsia="Arial" w:hAnsi="Arial"/>
          <w:sz w:val="20"/>
          <w:szCs w:val="20"/>
          <w:color w:val="auto"/>
        </w:rPr>
        <w:t>such transaction, or any subsequent surviving entity resulting from any subsequent Change in Control.</w:t>
      </w:r>
    </w:p>
    <w:p>
      <w:pPr>
        <w:spacing w:after="0" w:line="164"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20"/>
          <w:szCs w:val="20"/>
          <w:b w:val="1"/>
          <w:bCs w:val="1"/>
          <w:color w:val="auto"/>
        </w:rPr>
        <w:t xml:space="preserve">7.10 </w:t>
      </w:r>
      <w:r>
        <w:rPr>
          <w:rFonts w:ascii="Arial" w:cs="Arial" w:eastAsia="Arial" w:hAnsi="Arial"/>
          <w:sz w:val="20"/>
          <w:szCs w:val="20"/>
          <w:color w:val="auto"/>
        </w:rPr>
        <w:t>“</w:t>
      </w:r>
      <w:r>
        <w:rPr>
          <w:rFonts w:ascii="Arial" w:cs="Arial" w:eastAsia="Arial" w:hAnsi="Arial"/>
          <w:sz w:val="20"/>
          <w:szCs w:val="20"/>
          <w:b w:val="1"/>
          <w:bCs w:val="1"/>
          <w:i w:val="1"/>
          <w:iCs w:val="1"/>
          <w:color w:val="auto"/>
        </w:rPr>
        <w:t>Confidentiality Agreement</w:t>
      </w:r>
      <w:r>
        <w:rPr>
          <w:rFonts w:ascii="Arial" w:cs="Arial" w:eastAsia="Arial" w:hAnsi="Arial"/>
          <w:sz w:val="20"/>
          <w:szCs w:val="20"/>
          <w:color w:val="auto"/>
        </w:rPr>
        <w:t>” means Executive’s Assignment of Developments, Non-Disclosure, and Non-Solicitation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with the Company (or any successor agreement thereto).</w:t>
      </w:r>
    </w:p>
    <w:p>
      <w:pPr>
        <w:spacing w:after="0" w:line="164"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7.11 </w:t>
      </w:r>
      <w:r>
        <w:rPr>
          <w:rFonts w:ascii="Arial" w:cs="Arial" w:eastAsia="Arial" w:hAnsi="Arial"/>
          <w:sz w:val="20"/>
          <w:szCs w:val="20"/>
          <w:color w:val="auto"/>
        </w:rPr>
        <w:t>“</w:t>
      </w:r>
      <w:r>
        <w:rPr>
          <w:rFonts w:ascii="Arial" w:cs="Arial" w:eastAsia="Arial" w:hAnsi="Arial"/>
          <w:sz w:val="20"/>
          <w:szCs w:val="20"/>
          <w:b w:val="1"/>
          <w:bCs w:val="1"/>
          <w:i w:val="1"/>
          <w:iCs w:val="1"/>
          <w:color w:val="auto"/>
        </w:rPr>
        <w:t>Covered Termination</w:t>
      </w:r>
      <w:r>
        <w:rPr>
          <w:rFonts w:ascii="Arial" w:cs="Arial" w:eastAsia="Arial" w:hAnsi="Arial"/>
          <w:sz w:val="20"/>
          <w:szCs w:val="20"/>
          <w:color w:val="auto"/>
        </w:rPr>
        <w:t>” means an “</w:t>
      </w:r>
      <w:r>
        <w:rPr>
          <w:rFonts w:ascii="Arial" w:cs="Arial" w:eastAsia="Arial" w:hAnsi="Arial"/>
          <w:sz w:val="20"/>
          <w:szCs w:val="20"/>
          <w:b w:val="1"/>
          <w:bCs w:val="1"/>
          <w:i w:val="1"/>
          <w:iCs w:val="1"/>
          <w:color w:val="auto"/>
        </w:rPr>
        <w:t>Involuntary Termination Without Cause</w:t>
      </w:r>
      <w:r>
        <w:rPr>
          <w:rFonts w:ascii="Arial" w:cs="Arial" w:eastAsia="Arial" w:hAnsi="Arial"/>
          <w:sz w:val="20"/>
          <w:szCs w:val="20"/>
          <w:color w:val="auto"/>
        </w:rPr>
        <w:t>” or “</w:t>
      </w:r>
      <w:r>
        <w:rPr>
          <w:rFonts w:ascii="Arial" w:cs="Arial" w:eastAsia="Arial" w:hAnsi="Arial"/>
          <w:sz w:val="20"/>
          <w:szCs w:val="20"/>
          <w:b w:val="1"/>
          <w:bCs w:val="1"/>
          <w:i w:val="1"/>
          <w:iCs w:val="1"/>
          <w:color w:val="auto"/>
        </w:rPr>
        <w:t>Resignation for Good Reason</w:t>
      </w:r>
      <w:r>
        <w:rPr>
          <w:rFonts w:ascii="Arial" w:cs="Arial" w:eastAsia="Arial" w:hAnsi="Arial"/>
          <w:sz w:val="20"/>
          <w:szCs w:val="20"/>
          <w:i w:val="1"/>
          <w:iCs w:val="1"/>
          <w:color w:val="auto"/>
        </w:rPr>
        <w: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that any such termination is a “separation from service” within the meaning of Treasury Regulation Section 1.409A-1(h). Death and disability shall not be deemed Covered Terminations. If an Involuntary Termination Without Cause or Resignation for Good Reason qualifies as a Change in Control Termination, it shall not constitute a Covered Termination.</w:t>
      </w:r>
    </w:p>
    <w:p>
      <w:pPr>
        <w:spacing w:after="0" w:line="18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Covered Termination Benefits Period</w:t>
      </w:r>
      <w:r>
        <w:rPr>
          <w:rFonts w:ascii="Arial" w:cs="Arial" w:eastAsia="Arial" w:hAnsi="Arial"/>
          <w:sz w:val="16"/>
          <w:szCs w:val="16"/>
          <w:color w:val="auto"/>
        </w:rPr>
        <w:t>” means the period of nine (9) months commencing on the Termination Date.</w:t>
      </w:r>
    </w:p>
    <w:p>
      <w:pPr>
        <w:spacing w:after="0" w:line="21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Covered Termination Severance Period</w:t>
      </w:r>
      <w:r>
        <w:rPr>
          <w:rFonts w:ascii="Arial" w:cs="Arial" w:eastAsia="Arial" w:hAnsi="Arial"/>
          <w:sz w:val="16"/>
          <w:szCs w:val="16"/>
          <w:color w:val="auto"/>
        </w:rPr>
        <w:t>” means the period of nine (9) months commencing on the Termination Date.</w:t>
      </w:r>
    </w:p>
    <w:p>
      <w:pPr>
        <w:spacing w:after="0" w:line="21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20"/>
          <w:szCs w:val="20"/>
          <w:b w:val="1"/>
          <w:bCs w:val="1"/>
          <w:color w:val="auto"/>
        </w:rPr>
        <w:t xml:space="preserve">7.14 </w:t>
      </w:r>
      <w:r>
        <w:rPr>
          <w:rFonts w:ascii="Arial" w:cs="Arial" w:eastAsia="Arial" w:hAnsi="Arial"/>
          <w:sz w:val="20"/>
          <w:szCs w:val="20"/>
          <w:color w:val="auto"/>
        </w:rPr>
        <w:t>“</w:t>
      </w:r>
      <w:r>
        <w:rPr>
          <w:rFonts w:ascii="Arial" w:cs="Arial" w:eastAsia="Arial" w:hAnsi="Arial"/>
          <w:sz w:val="20"/>
          <w:szCs w:val="20"/>
          <w:b w:val="1"/>
          <w:bCs w:val="1"/>
          <w:i w:val="1"/>
          <w:iCs w:val="1"/>
          <w:color w:val="auto"/>
        </w:rPr>
        <w:t>Involuntary Termination Without Cause</w:t>
      </w:r>
      <w:r>
        <w:rPr>
          <w:rFonts w:ascii="Arial" w:cs="Arial" w:eastAsia="Arial" w:hAnsi="Arial"/>
          <w:sz w:val="20"/>
          <w:szCs w:val="20"/>
          <w:color w:val="auto"/>
        </w:rPr>
        <w:t>” means Executive’s dismissal or discharge by the Company for reasons</w:t>
      </w:r>
      <w:r>
        <w:rPr>
          <w:rFonts w:ascii="Arial" w:cs="Arial" w:eastAsia="Arial" w:hAnsi="Arial"/>
          <w:sz w:val="20"/>
          <w:szCs w:val="20"/>
          <w:b w:val="1"/>
          <w:bCs w:val="1"/>
          <w:color w:val="auto"/>
        </w:rPr>
        <w:t xml:space="preserve"> </w:t>
      </w:r>
      <w:r>
        <w:rPr>
          <w:rFonts w:ascii="Arial" w:cs="Arial" w:eastAsia="Arial" w:hAnsi="Arial"/>
          <w:sz w:val="20"/>
          <w:szCs w:val="20"/>
          <w:color w:val="auto"/>
        </w:rPr>
        <w:t>other than Cause and other than as a result of death or disability.</w:t>
      </w:r>
    </w:p>
    <w:p>
      <w:pPr>
        <w:spacing w:after="0" w:line="16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7.15 </w:t>
      </w:r>
      <w:r>
        <w:rPr>
          <w:rFonts w:ascii="Arial" w:cs="Arial" w:eastAsia="Arial" w:hAnsi="Arial"/>
          <w:sz w:val="20"/>
          <w:szCs w:val="20"/>
          <w:color w:val="auto"/>
        </w:rPr>
        <w:t>“</w:t>
      </w:r>
      <w:r>
        <w:rPr>
          <w:rFonts w:ascii="Arial" w:cs="Arial" w:eastAsia="Arial" w:hAnsi="Arial"/>
          <w:sz w:val="20"/>
          <w:szCs w:val="20"/>
          <w:b w:val="1"/>
          <w:bCs w:val="1"/>
          <w:i w:val="1"/>
          <w:iCs w:val="1"/>
          <w:color w:val="auto"/>
        </w:rPr>
        <w:t>Monthly Base Salary</w:t>
      </w:r>
      <w:r>
        <w:rPr>
          <w:rFonts w:ascii="Arial" w:cs="Arial" w:eastAsia="Arial" w:hAnsi="Arial"/>
          <w:sz w:val="20"/>
          <w:szCs w:val="20"/>
          <w:color w:val="auto"/>
        </w:rPr>
        <w:t>” means 1/12</w:t>
      </w:r>
      <w:r>
        <w:rPr>
          <w:rFonts w:ascii="Arial" w:cs="Arial" w:eastAsia="Arial" w:hAnsi="Arial"/>
          <w:sz w:val="16"/>
          <w:szCs w:val="16"/>
          <w:color w:val="auto"/>
        </w:rPr>
        <w:t>th</w:t>
      </w:r>
      <w:r>
        <w:rPr>
          <w:rFonts w:ascii="Arial" w:cs="Arial" w:eastAsia="Arial" w:hAnsi="Arial"/>
          <w:sz w:val="20"/>
          <w:szCs w:val="20"/>
          <w:b w:val="1"/>
          <w:bCs w:val="1"/>
          <w:color w:val="auto"/>
        </w:rPr>
        <w:t xml:space="preserve"> </w:t>
      </w:r>
      <w:r>
        <w:rPr>
          <w:rFonts w:ascii="Arial" w:cs="Arial" w:eastAsia="Arial" w:hAnsi="Arial"/>
          <w:sz w:val="20"/>
          <w:szCs w:val="20"/>
          <w:color w:val="auto"/>
        </w:rPr>
        <w:t>of the greater of (i) Executive’s annual base salary (excluding incentive pay,</w:t>
      </w:r>
      <w:r>
        <w:rPr>
          <w:rFonts w:ascii="Arial" w:cs="Arial" w:eastAsia="Arial" w:hAnsi="Arial"/>
          <w:sz w:val="20"/>
          <w:szCs w:val="20"/>
          <w:b w:val="1"/>
          <w:bCs w:val="1"/>
          <w:color w:val="auto"/>
        </w:rPr>
        <w:t xml:space="preserve"> </w:t>
      </w:r>
      <w:r>
        <w:rPr>
          <w:rFonts w:ascii="Arial" w:cs="Arial" w:eastAsia="Arial" w:hAnsi="Arial"/>
          <w:sz w:val="20"/>
          <w:szCs w:val="20"/>
          <w:color w:val="auto"/>
        </w:rPr>
        <w:t>premium pay, commissions, overtime, bonuses and other forms of variable compensation) as in effect on the date of a Change in Control Termination or a Covered Termination, as applicable, or (ii) in the case of a Change in Control Termination, Executive’s annual base salary (excluding incentive pay, premium pay, commissions, overtime, bonuses and other forms of variable compensation) as in effect on the date of a Change in Control.</w:t>
      </w:r>
    </w:p>
    <w:p>
      <w:pPr>
        <w:spacing w:after="0" w:line="183" w:lineRule="exact"/>
        <w:rPr>
          <w:sz w:val="20"/>
          <w:szCs w:val="20"/>
          <w:color w:val="auto"/>
        </w:rPr>
      </w:pPr>
    </w:p>
    <w:p>
      <w:pPr>
        <w:jc w:val="both"/>
        <w:ind w:right="20" w:firstLine="864"/>
        <w:spacing w:after="0" w:line="266" w:lineRule="auto"/>
        <w:rPr>
          <w:sz w:val="20"/>
          <w:szCs w:val="20"/>
          <w:color w:val="auto"/>
        </w:rPr>
      </w:pPr>
      <w:r>
        <w:rPr>
          <w:rFonts w:ascii="Arial" w:cs="Arial" w:eastAsia="Arial" w:hAnsi="Arial"/>
          <w:sz w:val="20"/>
          <w:szCs w:val="20"/>
          <w:b w:val="1"/>
          <w:bCs w:val="1"/>
          <w:color w:val="auto"/>
        </w:rPr>
        <w:t xml:space="preserve">7.16 </w:t>
      </w:r>
      <w:r>
        <w:rPr>
          <w:rFonts w:ascii="Arial" w:cs="Arial" w:eastAsia="Arial" w:hAnsi="Arial"/>
          <w:sz w:val="20"/>
          <w:szCs w:val="20"/>
          <w:color w:val="auto"/>
        </w:rPr>
        <w:t>“</w:t>
      </w:r>
      <w:r>
        <w:rPr>
          <w:rFonts w:ascii="Arial" w:cs="Arial" w:eastAsia="Arial" w:hAnsi="Arial"/>
          <w:sz w:val="20"/>
          <w:szCs w:val="20"/>
          <w:b w:val="1"/>
          <w:bCs w:val="1"/>
          <w:i w:val="1"/>
          <w:iCs w:val="1"/>
          <w:color w:val="auto"/>
        </w:rPr>
        <w:t>Pro-Rata Bonus</w:t>
      </w:r>
      <w:r>
        <w:rPr>
          <w:rFonts w:ascii="Arial" w:cs="Arial" w:eastAsia="Arial" w:hAnsi="Arial"/>
          <w:sz w:val="20"/>
          <w:szCs w:val="20"/>
          <w:color w:val="auto"/>
        </w:rPr>
        <w:t>” means 1/12</w:t>
      </w:r>
      <w:r>
        <w:rPr>
          <w:rFonts w:ascii="Arial" w:cs="Arial" w:eastAsia="Arial" w:hAnsi="Arial"/>
          <w:sz w:val="16"/>
          <w:szCs w:val="16"/>
          <w:color w:val="auto"/>
        </w:rPr>
        <w:t>th</w:t>
      </w:r>
      <w:r>
        <w:rPr>
          <w:rFonts w:ascii="Arial" w:cs="Arial" w:eastAsia="Arial" w:hAnsi="Arial"/>
          <w:sz w:val="20"/>
          <w:szCs w:val="20"/>
          <w:b w:val="1"/>
          <w:bCs w:val="1"/>
          <w:color w:val="auto"/>
        </w:rPr>
        <w:t xml:space="preserve"> </w:t>
      </w:r>
      <w:r>
        <w:rPr>
          <w:rFonts w:ascii="Arial" w:cs="Arial" w:eastAsia="Arial" w:hAnsi="Arial"/>
          <w:sz w:val="20"/>
          <w:szCs w:val="20"/>
          <w:color w:val="auto"/>
        </w:rPr>
        <w:t>of the greater of (i) the average Target Performance Bonus paid to Executive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three years preceding the date of a Change in Control Termination (or such lesser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68" w:name="page69"/>
    <w:bookmarkEnd w:id="68"/>
    <w:p>
      <w:pPr>
        <w:jc w:val="both"/>
        <w:spacing w:after="0" w:line="260" w:lineRule="auto"/>
        <w:rPr>
          <w:sz w:val="20"/>
          <w:szCs w:val="20"/>
          <w:color w:val="auto"/>
        </w:rPr>
      </w:pPr>
      <w:r>
        <w:rPr>
          <w:rFonts w:ascii="Arial" w:cs="Arial" w:eastAsia="Arial" w:hAnsi="Arial"/>
          <w:sz w:val="20"/>
          <w:szCs w:val="20"/>
          <w:color w:val="auto"/>
        </w:rPr>
        <w:t>number of years during which Executive has been employed by the Company), or (ii) the Target Performance Bonus, as in effect on the date of a Change in Control Termination.</w:t>
      </w:r>
    </w:p>
    <w:p>
      <w:pPr>
        <w:spacing w:after="0" w:line="170"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7.17 </w:t>
      </w:r>
      <w:r>
        <w:rPr>
          <w:rFonts w:ascii="Arial" w:cs="Arial" w:eastAsia="Arial" w:hAnsi="Arial"/>
          <w:sz w:val="20"/>
          <w:szCs w:val="20"/>
          <w:color w:val="auto"/>
        </w:rPr>
        <w:t>“</w:t>
      </w:r>
      <w:r>
        <w:rPr>
          <w:rFonts w:ascii="Arial" w:cs="Arial" w:eastAsia="Arial" w:hAnsi="Arial"/>
          <w:sz w:val="20"/>
          <w:szCs w:val="20"/>
          <w:b w:val="1"/>
          <w:bCs w:val="1"/>
          <w:i w:val="1"/>
          <w:iCs w:val="1"/>
          <w:color w:val="auto"/>
        </w:rPr>
        <w:t>Resignation for Good Reason</w:t>
      </w:r>
      <w:r>
        <w:rPr>
          <w:rFonts w:ascii="Arial" w:cs="Arial" w:eastAsia="Arial" w:hAnsi="Arial"/>
          <w:sz w:val="20"/>
          <w:szCs w:val="20"/>
          <w:color w:val="auto"/>
        </w:rPr>
        <w:t>” means Executive’s resignation from all employee positions Executive then holds</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Company within sixty (60) days following any of the following events taken without Executive’s consent, provided Executive has given the Company written notice of such event within thirty (30) days after the first occurrence of such event and the Company has not cured such event within thirty (30) days thereafter:</w:t>
      </w:r>
    </w:p>
    <w:p>
      <w:pPr>
        <w:spacing w:after="0" w:line="188" w:lineRule="exact"/>
        <w:rPr>
          <w:sz w:val="20"/>
          <w:szCs w:val="20"/>
          <w:color w:val="auto"/>
        </w:rPr>
      </w:pPr>
    </w:p>
    <w:p>
      <w:pPr>
        <w:jc w:val="both"/>
        <w:ind w:firstLine="1735"/>
        <w:spacing w:after="0" w:line="269" w:lineRule="auto"/>
        <w:tabs>
          <w:tab w:leader="none" w:pos="2276" w:val="left"/>
        </w:tabs>
        <w:numPr>
          <w:ilvl w:val="0"/>
          <w:numId w:val="53"/>
        </w:numPr>
        <w:rPr>
          <w:rFonts w:ascii="Arial" w:cs="Arial" w:eastAsia="Arial" w:hAnsi="Arial"/>
          <w:sz w:val="19"/>
          <w:szCs w:val="19"/>
          <w:color w:val="auto"/>
        </w:rPr>
      </w:pPr>
      <w:r>
        <w:rPr>
          <w:rFonts w:ascii="Arial" w:cs="Arial" w:eastAsia="Arial" w:hAnsi="Arial"/>
          <w:sz w:val="19"/>
          <w:szCs w:val="19"/>
          <w:color w:val="auto"/>
        </w:rPr>
        <w:t>A decrease in Executive’s total target cash compensation (base and bonus) of more than 10% (i.e., a material reduction in Executive’s base compensation and a material breach by the Company of Executive’s employment terms with the Company), other than in connection with a comparable decrease in compensation for all comparable executives of the Company;</w:t>
      </w:r>
    </w:p>
    <w:p>
      <w:pPr>
        <w:spacing w:after="0" w:line="168" w:lineRule="exact"/>
        <w:rPr>
          <w:rFonts w:ascii="Arial" w:cs="Arial" w:eastAsia="Arial" w:hAnsi="Arial"/>
          <w:sz w:val="19"/>
          <w:szCs w:val="19"/>
          <w:color w:val="auto"/>
        </w:rPr>
      </w:pPr>
    </w:p>
    <w:p>
      <w:pPr>
        <w:jc w:val="both"/>
        <w:ind w:firstLine="1735"/>
        <w:spacing w:after="0" w:line="246" w:lineRule="auto"/>
        <w:tabs>
          <w:tab w:leader="none" w:pos="2288" w:val="left"/>
        </w:tabs>
        <w:numPr>
          <w:ilvl w:val="0"/>
          <w:numId w:val="53"/>
        </w:numPr>
        <w:rPr>
          <w:rFonts w:ascii="Arial" w:cs="Arial" w:eastAsia="Arial" w:hAnsi="Arial"/>
          <w:sz w:val="20"/>
          <w:szCs w:val="20"/>
          <w:color w:val="auto"/>
        </w:rPr>
      </w:pPr>
      <w:r>
        <w:rPr>
          <w:rFonts w:ascii="Arial" w:cs="Arial" w:eastAsia="Arial" w:hAnsi="Arial"/>
          <w:sz w:val="20"/>
          <w:szCs w:val="20"/>
          <w:color w:val="auto"/>
        </w:rPr>
        <w:t>Executive’s duties or responsibilities are materially diminished (not simply a change in title or reporting relationships); provided, that Executive shall not be deemed to have a “</w:t>
      </w:r>
      <w:r>
        <w:rPr>
          <w:rFonts w:ascii="Arial" w:cs="Arial" w:eastAsia="Arial" w:hAnsi="Arial"/>
          <w:sz w:val="20"/>
          <w:szCs w:val="20"/>
          <w:b w:val="1"/>
          <w:bCs w:val="1"/>
          <w:i w:val="1"/>
          <w:iCs w:val="1"/>
          <w:color w:val="auto"/>
        </w:rPr>
        <w:t>Resignation for Good Reason</w:t>
      </w:r>
      <w:r>
        <w:rPr>
          <w:rFonts w:ascii="Arial" w:cs="Arial" w:eastAsia="Arial" w:hAnsi="Arial"/>
          <w:sz w:val="20"/>
          <w:szCs w:val="20"/>
          <w:color w:val="auto"/>
        </w:rPr>
        <w:t>” if the Company survives as a separate legal entity or business unit following the Change in Control and Executive holds materially the same position in such legal entity or business unit as Executive held before the Change in Control;</w:t>
      </w:r>
    </w:p>
    <w:p>
      <w:pPr>
        <w:spacing w:after="0" w:line="189" w:lineRule="exact"/>
        <w:rPr>
          <w:rFonts w:ascii="Arial" w:cs="Arial" w:eastAsia="Arial" w:hAnsi="Arial"/>
          <w:sz w:val="20"/>
          <w:szCs w:val="20"/>
          <w:color w:val="auto"/>
        </w:rPr>
      </w:pPr>
    </w:p>
    <w:p>
      <w:pPr>
        <w:jc w:val="both"/>
        <w:ind w:firstLine="1735"/>
        <w:spacing w:after="0" w:line="278" w:lineRule="auto"/>
        <w:tabs>
          <w:tab w:leader="none" w:pos="2276" w:val="left"/>
        </w:tabs>
        <w:numPr>
          <w:ilvl w:val="0"/>
          <w:numId w:val="53"/>
        </w:numPr>
        <w:rPr>
          <w:rFonts w:ascii="Arial" w:cs="Arial" w:eastAsia="Arial" w:hAnsi="Arial"/>
          <w:sz w:val="18"/>
          <w:szCs w:val="18"/>
          <w:color w:val="auto"/>
        </w:rPr>
      </w:pPr>
      <w:r>
        <w:rPr>
          <w:rFonts w:ascii="Arial" w:cs="Arial" w:eastAsia="Arial" w:hAnsi="Arial"/>
          <w:sz w:val="18"/>
          <w:szCs w:val="18"/>
          <w:color w:val="auto"/>
        </w:rPr>
        <w:t>Either (i) Executive is required to establish residence in a location more than fifty (50) miles from Executive’s current principal personal residence or (ii) there is an increase in Executive’s round-trip driving distance of more than fifty (50) miles from Executive’s current principal personal residence to the principal office or business location at which Executive is required to perform services (except for required business travel to the extent consistent with Executive’s prior business travel obligations) (“</w:t>
      </w:r>
      <w:r>
        <w:rPr>
          <w:rFonts w:ascii="Arial" w:cs="Arial" w:eastAsia="Arial" w:hAnsi="Arial"/>
          <w:sz w:val="18"/>
          <w:szCs w:val="18"/>
          <w:b w:val="1"/>
          <w:bCs w:val="1"/>
          <w:i w:val="1"/>
          <w:iCs w:val="1"/>
          <w:color w:val="auto"/>
        </w:rPr>
        <w:t>Executive’s Principal Place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Business</w:t>
      </w:r>
      <w:r>
        <w:rPr>
          <w:rFonts w:ascii="Arial" w:cs="Arial" w:eastAsia="Arial" w:hAnsi="Arial"/>
          <w:sz w:val="18"/>
          <w:szCs w:val="18"/>
          <w:color w:val="auto"/>
        </w:rPr>
        <w:t>”) as a result of a change in location by the Company of Executive’s Principal Place of Business; or</w:t>
      </w:r>
    </w:p>
    <w:p>
      <w:pPr>
        <w:spacing w:after="0" w:line="163" w:lineRule="exact"/>
        <w:rPr>
          <w:rFonts w:ascii="Arial" w:cs="Arial" w:eastAsia="Arial" w:hAnsi="Arial"/>
          <w:sz w:val="18"/>
          <w:szCs w:val="18"/>
          <w:color w:val="auto"/>
        </w:rPr>
      </w:pPr>
    </w:p>
    <w:p>
      <w:pPr>
        <w:ind w:firstLine="1735"/>
        <w:spacing w:after="0" w:line="260" w:lineRule="auto"/>
        <w:tabs>
          <w:tab w:leader="none" w:pos="2288"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failure of the Company to obtain a satisfactory agreement from any successor to materially assume and materially agree to perform under the terms of this Agreement.</w:t>
      </w:r>
    </w:p>
    <w:p>
      <w:pPr>
        <w:spacing w:after="0" w:line="170"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20"/>
          <w:szCs w:val="20"/>
          <w:b w:val="1"/>
          <w:bCs w:val="1"/>
          <w:color w:val="auto"/>
        </w:rPr>
        <w:t xml:space="preserve">7.18 </w:t>
      </w:r>
      <w:r>
        <w:rPr>
          <w:rFonts w:ascii="Arial" w:cs="Arial" w:eastAsia="Arial" w:hAnsi="Arial"/>
          <w:sz w:val="20"/>
          <w:szCs w:val="20"/>
          <w:color w:val="auto"/>
        </w:rPr>
        <w:t>“</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 means the effective date of the Change in Control Termination, the Covered Termination or a</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for Cause, as applicable.</w:t>
      </w:r>
    </w:p>
    <w:p>
      <w:pPr>
        <w:spacing w:after="0" w:line="164"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ARTICLE 8</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w:t>
      </w:r>
    </w:p>
    <w:p>
      <w:pPr>
        <w:spacing w:after="0" w:line="215"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8.1 Employment Status</w:t>
      </w:r>
      <w:r>
        <w:rPr>
          <w:rFonts w:ascii="Arial" w:cs="Arial" w:eastAsia="Arial" w:hAnsi="Arial"/>
          <w:sz w:val="19"/>
          <w:szCs w:val="19"/>
          <w:color w:val="auto"/>
        </w:rPr>
        <w:t>. This Agreement does not constitute a contract of employment or impose upon Executive any</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 to remain as an employee, or impose on the Company any obligation (i) to retain Executive as an employee, (ii) to change the status of Executive as an at-will employee or (iii) to change the Company’s policies regarding termination of employment.</w:t>
      </w:r>
    </w:p>
    <w:p>
      <w:pPr>
        <w:spacing w:after="0" w:line="16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8.2 Notices</w:t>
      </w:r>
      <w:r>
        <w:rPr>
          <w:rFonts w:ascii="Arial" w:cs="Arial" w:eastAsia="Arial" w:hAnsi="Arial"/>
          <w:sz w:val="20"/>
          <w:szCs w:val="20"/>
          <w:color w:val="auto"/>
        </w:rPr>
        <w:t>. Any notices provided hereunder must be in writing, and such notices or any other written communication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deemed effective upon the earlier of personal delivery (including personal delivery by facsimile) or the third day after mailing by first class mail, to the Company at its primary office location and to Executive at Executive’s address as listed in the Company’s payroll records. Any payments made by the Company to Executive under the terms of this Agreement shall be delivered to Executive either in person or at the address as listed in the Company’s payroll records.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69" w:name="page70"/>
    <w:bookmarkEnd w:id="69"/>
    <w:p>
      <w:pPr>
        <w:jc w:val="both"/>
        <w:ind w:firstLine="864"/>
        <w:spacing w:after="0" w:line="246" w:lineRule="auto"/>
        <w:rPr>
          <w:sz w:val="20"/>
          <w:szCs w:val="20"/>
          <w:color w:val="auto"/>
        </w:rPr>
      </w:pPr>
      <w:r>
        <w:rPr>
          <w:rFonts w:ascii="Arial" w:cs="Arial" w:eastAsia="Arial" w:hAnsi="Arial"/>
          <w:sz w:val="20"/>
          <w:szCs w:val="20"/>
          <w:b w:val="1"/>
          <w:bCs w:val="1"/>
          <w:color w:val="auto"/>
        </w:rPr>
        <w:t>8.3 Severability</w:t>
      </w:r>
      <w:r>
        <w:rPr>
          <w:rFonts w:ascii="Arial" w:cs="Arial" w:eastAsia="Arial" w:hAnsi="Arial"/>
          <w:sz w:val="20"/>
          <w:szCs w:val="20"/>
          <w:color w:val="auto"/>
        </w:rPr>
        <w:t>. Whenever possible, each provision of this Agreement will be interpreted in such manner as to be</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83"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20"/>
          <w:szCs w:val="20"/>
          <w:b w:val="1"/>
          <w:bCs w:val="1"/>
          <w:color w:val="auto"/>
        </w:rPr>
        <w:t>8.4 Waiver</w:t>
      </w:r>
      <w:r>
        <w:rPr>
          <w:rFonts w:ascii="Arial" w:cs="Arial" w:eastAsia="Arial" w:hAnsi="Arial"/>
          <w:sz w:val="20"/>
          <w:szCs w:val="20"/>
          <w:color w:val="auto"/>
        </w:rPr>
        <w:t>. If either party should waive any breach of any provisions of this Agreement, he, she or it shall not thereby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to have waived any preceding or succeeding breach of the same or any other provision of this Agreement.</w:t>
      </w:r>
    </w:p>
    <w:p>
      <w:pPr>
        <w:spacing w:after="0" w:line="16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8.5 Complete Agreement</w:t>
      </w:r>
      <w:r>
        <w:rPr>
          <w:rFonts w:ascii="Arial" w:cs="Arial" w:eastAsia="Arial" w:hAnsi="Arial"/>
          <w:sz w:val="20"/>
          <w:szCs w:val="20"/>
          <w:color w:val="auto"/>
        </w:rPr>
        <w:t>. This Agreement, including</w:t>
      </w:r>
      <w:r>
        <w:rPr>
          <w:rFonts w:ascii="Arial" w:cs="Arial" w:eastAsia="Arial" w:hAnsi="Arial"/>
          <w:sz w:val="20"/>
          <w:szCs w:val="20"/>
          <w:b w:val="1"/>
          <w:bCs w:val="1"/>
          <w:color w:val="auto"/>
        </w:rPr>
        <w:t xml:space="preserve"> Exhibit A</w:t>
      </w:r>
      <w:r>
        <w:rPr>
          <w:rFonts w:ascii="Arial" w:cs="Arial" w:eastAsia="Arial" w:hAnsi="Arial"/>
          <w:sz w:val="20"/>
          <w:szCs w:val="20"/>
          <w:color w:val="auto"/>
        </w:rPr>
        <w:t>,</w:t>
      </w:r>
      <w:r>
        <w:rPr>
          <w:rFonts w:ascii="Arial" w:cs="Arial" w:eastAsia="Arial" w:hAnsi="Arial"/>
          <w:sz w:val="20"/>
          <w:szCs w:val="20"/>
          <w:b w:val="1"/>
          <w:bCs w:val="1"/>
          <w:color w:val="auto"/>
        </w:rPr>
        <w:t xml:space="preserve"> Exhibit B </w:t>
      </w:r>
      <w:r>
        <w:rPr>
          <w:rFonts w:ascii="Arial" w:cs="Arial" w:eastAsia="Arial" w:hAnsi="Arial"/>
          <w:sz w:val="20"/>
          <w:szCs w:val="20"/>
          <w:color w:val="auto"/>
        </w:rPr>
        <w:t>and</w:t>
      </w:r>
      <w:r>
        <w:rPr>
          <w:rFonts w:ascii="Arial" w:cs="Arial" w:eastAsia="Arial" w:hAnsi="Arial"/>
          <w:sz w:val="20"/>
          <w:szCs w:val="20"/>
          <w:b w:val="1"/>
          <w:bCs w:val="1"/>
          <w:color w:val="auto"/>
        </w:rPr>
        <w:t xml:space="preserve"> Exhibit C</w:t>
      </w:r>
      <w:r>
        <w:rPr>
          <w:rFonts w:ascii="Arial" w:cs="Arial" w:eastAsia="Arial" w:hAnsi="Arial"/>
          <w:sz w:val="20"/>
          <w:szCs w:val="20"/>
          <w:color w:val="auto"/>
        </w:rPr>
        <w:t>, and the Confidentiality</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constitute the entire agreement between Executive and the Company and is the complete, final and exclusive embodiment of their agreement with regard to this subject matter, wholly superseding all written and oral agreements with respect to payments and benefits to Executive in the event of employment termination. It is entered into without reliance on any promise or representation other than those expressly contained herein.</w:t>
      </w:r>
    </w:p>
    <w:p>
      <w:pPr>
        <w:spacing w:after="0" w:line="183"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b w:val="1"/>
          <w:bCs w:val="1"/>
          <w:color w:val="auto"/>
        </w:rPr>
        <w:t>8.6 Amendment or Termination of Agreement; Continuation of Agreement</w:t>
      </w:r>
      <w:r>
        <w:rPr>
          <w:rFonts w:ascii="Arial" w:cs="Arial" w:eastAsia="Arial" w:hAnsi="Arial"/>
          <w:sz w:val="19"/>
          <w:szCs w:val="19"/>
          <w:color w:val="auto"/>
        </w:rPr>
        <w:t>. This Agreement may be changed or</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terminated only upon the mutual written consent of the Company and Executive. The written consent of the Company to a change or termination of this Agreement must be signed by an executive officer of the Company (other than Executive) after such change or termination has been approved by the Board. Unless so terminated, this Agreement shall continue in effect for as long as Executive continues to be employed by the Company or by any surviving entity following any Change in Control. In other words, if, following a Change in Control, Executive continues to be employed by the surviving entity without a Change in Control Termination and the surviving entity then undergoes a Change in Control, following which Executive is terminated by the subsequent surviving entity in a Change in Control Termination, then Executive shall receive the benefits described in Article 3 hereof.</w:t>
      </w:r>
    </w:p>
    <w:p>
      <w:pPr>
        <w:spacing w:after="0" w:line="178"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20"/>
          <w:szCs w:val="20"/>
          <w:b w:val="1"/>
          <w:bCs w:val="1"/>
          <w:color w:val="auto"/>
        </w:rPr>
        <w:t>8.7 Counterparts</w:t>
      </w:r>
      <w:r>
        <w:rPr>
          <w:rFonts w:ascii="Arial" w:cs="Arial" w:eastAsia="Arial" w:hAnsi="Arial"/>
          <w:sz w:val="20"/>
          <w:szCs w:val="20"/>
          <w:color w:val="auto"/>
        </w:rPr>
        <w:t>. This Agreement may be executed in separate counterparts, any one of which need not contain</w:t>
      </w:r>
      <w:r>
        <w:rPr>
          <w:rFonts w:ascii="Arial" w:cs="Arial" w:eastAsia="Arial" w:hAnsi="Arial"/>
          <w:sz w:val="20"/>
          <w:szCs w:val="20"/>
          <w:b w:val="1"/>
          <w:bCs w:val="1"/>
          <w:color w:val="auto"/>
        </w:rPr>
        <w:t xml:space="preserve"> </w:t>
      </w:r>
      <w:r>
        <w:rPr>
          <w:rFonts w:ascii="Arial" w:cs="Arial" w:eastAsia="Arial" w:hAnsi="Arial"/>
          <w:sz w:val="20"/>
          <w:szCs w:val="20"/>
          <w:color w:val="auto"/>
        </w:rPr>
        <w:t>signatures of more than one party, but all of which taken together will constitute one and the same Agreement.</w:t>
      </w:r>
    </w:p>
    <w:p>
      <w:pPr>
        <w:spacing w:after="0" w:line="164"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20"/>
          <w:szCs w:val="20"/>
          <w:b w:val="1"/>
          <w:bCs w:val="1"/>
          <w:color w:val="auto"/>
        </w:rPr>
        <w:t>8.8 Headings</w:t>
      </w:r>
      <w:r>
        <w:rPr>
          <w:rFonts w:ascii="Arial" w:cs="Arial" w:eastAsia="Arial" w:hAnsi="Arial"/>
          <w:sz w:val="20"/>
          <w:szCs w:val="20"/>
          <w:color w:val="auto"/>
        </w:rPr>
        <w:t>. The headings of the Articles and Sections hereof are inserted for convenience only and shall not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to constitute a part hereof nor to affect the meaning thereof.</w:t>
      </w:r>
    </w:p>
    <w:p>
      <w:pPr>
        <w:spacing w:after="0" w:line="16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b w:val="1"/>
          <w:bCs w:val="1"/>
          <w:color w:val="auto"/>
        </w:rPr>
        <w:t>8.9 Successors and Assigns</w:t>
      </w:r>
      <w:r>
        <w:rPr>
          <w:rFonts w:ascii="Arial" w:cs="Arial" w:eastAsia="Arial" w:hAnsi="Arial"/>
          <w:sz w:val="20"/>
          <w:szCs w:val="20"/>
          <w:color w:val="auto"/>
        </w:rPr>
        <w:t>. This Agreement is intended to bind and inure to the benefit of and be enforceable by</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and the Company, and any surviving entity resulting from a Change in Control and upon any other person who is a successor by merger, acquisition, consolidation or otherwise to the business formerly carried on by the Company, and their respective successors, assigns, heirs, executors and administrators, without regard to whether or not such person actively assumes any rights or duties hereunder; provided, however, that Executive may not assign any duties hereunder and may not assign any rights hereunder without the written consent of the Company, which consent shall not be withheld unreasonably.</w:t>
      </w:r>
    </w:p>
    <w:p>
      <w:pPr>
        <w:spacing w:after="0" w:line="188" w:lineRule="exact"/>
        <w:rPr>
          <w:sz w:val="20"/>
          <w:szCs w:val="20"/>
          <w:color w:val="auto"/>
        </w:rPr>
      </w:pPr>
    </w:p>
    <w:p>
      <w:pPr>
        <w:jc w:val="both"/>
        <w:ind w:firstLine="864"/>
        <w:spacing w:after="0" w:line="262" w:lineRule="auto"/>
        <w:rPr>
          <w:sz w:val="20"/>
          <w:szCs w:val="20"/>
          <w:color w:val="auto"/>
        </w:rPr>
      </w:pPr>
      <w:r>
        <w:rPr>
          <w:rFonts w:ascii="Arial" w:cs="Arial" w:eastAsia="Arial" w:hAnsi="Arial"/>
          <w:sz w:val="19"/>
          <w:szCs w:val="19"/>
          <w:b w:val="1"/>
          <w:bCs w:val="1"/>
          <w:color w:val="auto"/>
        </w:rPr>
        <w:t>8.10 Choice of Law</w:t>
      </w:r>
      <w:r>
        <w:rPr>
          <w:rFonts w:ascii="Arial" w:cs="Arial" w:eastAsia="Arial" w:hAnsi="Arial"/>
          <w:sz w:val="19"/>
          <w:szCs w:val="19"/>
          <w:color w:val="auto"/>
        </w:rPr>
        <w:t>. Because of the Company’s and Executive’s interests in ensuring that disputes regarding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are resolved on a uniform basis, the parties agree that all questions concerning the construction, validity and interpretation of this Agreement will be governed by the law of the State of New York, without regard for any conflict of law principles. Further, the parties consent to the jurisdiction of the state and federal courts of the State of New York for all purposes in connection with this Agreement. The parties hereby irrevocably waive, to the fullest extent permitted by applicable law, 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0" w:name="page71"/>
    <w:bookmarkEnd w:id="70"/>
    <w:p>
      <w:pPr>
        <w:jc w:val="both"/>
        <w:spacing w:after="0" w:line="260" w:lineRule="auto"/>
        <w:rPr>
          <w:sz w:val="20"/>
          <w:szCs w:val="20"/>
          <w:color w:val="auto"/>
        </w:rPr>
      </w:pPr>
      <w:r>
        <w:rPr>
          <w:rFonts w:ascii="Arial" w:cs="Arial" w:eastAsia="Arial" w:hAnsi="Arial"/>
          <w:sz w:val="20"/>
          <w:szCs w:val="20"/>
          <w:color w:val="auto"/>
        </w:rPr>
        <w:t>objection which Executive or the Company may now or hereafter have to the laying of venue of any such dispute brought in such court or any defense of inconvenient forum for the maintenance of such dispute.</w:t>
      </w:r>
    </w:p>
    <w:p>
      <w:pPr>
        <w:spacing w:after="0" w:line="17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9"/>
          <w:szCs w:val="19"/>
          <w:b w:val="1"/>
          <w:bCs w:val="1"/>
          <w:color w:val="auto"/>
        </w:rPr>
        <w:t xml:space="preserve">8.11 Arbitration. </w:t>
      </w:r>
      <w:r>
        <w:rPr>
          <w:rFonts w:ascii="Arial" w:cs="Arial" w:eastAsia="Arial" w:hAnsi="Arial"/>
          <w:sz w:val="19"/>
          <w:szCs w:val="19"/>
          <w:color w:val="auto"/>
        </w:rPr>
        <w:t>To ensure the rapid and economical resolution of any disputes that may arise under or relate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Executive’s employment relationship, Executive and the Company agree that any and all disputes, claims, or causes of action, in law or equity, arising from or relating to the performance, enforcement, execution, or interpretation of this Agreement, Executive’s employment with the Company, or the termination of Executive’s employment (collectively,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xml:space="preserve">”), shall be resolved to the fullest extent permitted by law, by final, binding, and (to the extent permitted by law) confidential arbitration before a single arbitrator in the state where Executive is employed. The arbitration shall be governed by the Federal Arbitration Act, 9 U.S.C. Section 1 </w:t>
      </w:r>
      <w:r>
        <w:rPr>
          <w:rFonts w:ascii="Arial" w:cs="Arial" w:eastAsia="Arial" w:hAnsi="Arial"/>
          <w:sz w:val="19"/>
          <w:szCs w:val="19"/>
          <w:i w:val="1"/>
          <w:iCs w:val="1"/>
          <w:color w:val="auto"/>
        </w:rPr>
        <w:t>et seq.</w:t>
      </w:r>
      <w:r>
        <w:rPr>
          <w:rFonts w:ascii="Arial" w:cs="Arial" w:eastAsia="Arial" w:hAnsi="Arial"/>
          <w:sz w:val="19"/>
          <w:szCs w:val="19"/>
          <w:color w:val="auto"/>
        </w:rPr>
        <w:t>, as amended, and shall be administered by the Judicial Arbitration &amp; Mediation Services, Inc. (“</w:t>
      </w:r>
      <w:r>
        <w:rPr>
          <w:rFonts w:ascii="Arial" w:cs="Arial" w:eastAsia="Arial" w:hAnsi="Arial"/>
          <w:sz w:val="19"/>
          <w:szCs w:val="19"/>
          <w:b w:val="1"/>
          <w:bCs w:val="1"/>
          <w:i w:val="1"/>
          <w:iCs w:val="1"/>
          <w:color w:val="auto"/>
        </w:rPr>
        <w:t>JAMS</w:t>
      </w:r>
      <w:r>
        <w:rPr>
          <w:rFonts w:ascii="Arial" w:cs="Arial" w:eastAsia="Arial" w:hAnsi="Arial"/>
          <w:sz w:val="19"/>
          <w:szCs w:val="19"/>
          <w:color w:val="auto"/>
        </w:rPr>
        <w:t>”), in accordance with its then-current Employment Arbitration Rules &amp; Procedures (the “</w:t>
      </w:r>
      <w:r>
        <w:rPr>
          <w:rFonts w:ascii="Arial" w:cs="Arial" w:eastAsia="Arial" w:hAnsi="Arial"/>
          <w:sz w:val="19"/>
          <w:szCs w:val="19"/>
          <w:b w:val="1"/>
          <w:bCs w:val="1"/>
          <w:i w:val="1"/>
          <w:iCs w:val="1"/>
          <w:color w:val="auto"/>
        </w:rPr>
        <w:t>JAMS Rules</w:t>
      </w:r>
      <w:r>
        <w:rPr>
          <w:rFonts w:ascii="Arial" w:cs="Arial" w:eastAsia="Arial" w:hAnsi="Arial"/>
          <w:sz w:val="19"/>
          <w:szCs w:val="19"/>
          <w:color w:val="auto"/>
        </w:rPr>
        <w:t xml:space="preserve">”). The JAMS Rules are also available online at </w:t>
      </w:r>
      <w:r>
        <w:rPr>
          <w:rFonts w:ascii="Arial" w:cs="Arial" w:eastAsia="Arial" w:hAnsi="Arial"/>
          <w:sz w:val="19"/>
          <w:szCs w:val="19"/>
          <w:u w:val="single" w:color="auto"/>
          <w:color w:val="auto"/>
        </w:rPr>
        <w:t>http://www.jamsadr.com/rules-employment-arbitration/</w:t>
      </w:r>
      <w:r>
        <w:rPr>
          <w:rFonts w:ascii="Arial" w:cs="Arial" w:eastAsia="Arial" w:hAnsi="Arial"/>
          <w:sz w:val="19"/>
          <w:szCs w:val="19"/>
          <w:color w:val="auto"/>
        </w:rPr>
        <w:t>. The parties or their representatives may also call JAMS at 800.352.5267 if they have questions about the arbitration process. If the JAMS Rules are inconsistent with the terms of this Agreement, the terms of this Agreement shall govern. Notwithstanding the foregoing, this provision shall exclude Claims that by law are not subject to arbitration. The arbitrator shall: (a) have the authority to compel adequate discovery for the resolution of all Claims and to award such relief as would otherwise be permitted by law; and (b) issue a written arbitration decision including the arbitrator’s essential findings and conclusions and a statement of the award. The Company shall pay all JAMS fees in excess of the amount of filing and other court-related fees Executive would have been required to pay if the Claims were asserted in a court of law. EXECUTIVE AND THE COMPANY UNDERSTAND AND FULLY AGREE THAT BY ENTERING INTO THIS AGREEMENT, BOTH EXECUTIVE AND THE COMPANY ARE GIVING UP THE CONSTITUTIONAL RIGHT TO HAVE A TRIAL BY JURY, AND ARE GIVING UP THE NORMAL RIGHTS OF APPEAL FOLLOWING THE RENDERING OF A DECISION, EXCEPT AS THE FEDERAL ARBITRATION ACT AND APPLICABLE FEDERAL LAW ALLOW FOR JUDICIAL REVIEW OF ARBITRATION PROCEEDINGS. Nothing in this Agreement shall prevent either Executive or the Company from obtaining injunctive relief in court to prevent irreparable harm pending the conclusion of any such arbitration. Any awards or final orders in such arbitrations may be entered and enforced as judgments or orders in the federal and state courts of any competent jurisdiction in compliance with Section 8.11 of this Agreement.</w:t>
      </w:r>
    </w:p>
    <w:p>
      <w:pPr>
        <w:spacing w:after="0" w:line="192" w:lineRule="exact"/>
        <w:rPr>
          <w:sz w:val="20"/>
          <w:szCs w:val="20"/>
          <w:color w:val="auto"/>
        </w:rPr>
      </w:pPr>
    </w:p>
    <w:p>
      <w:pPr>
        <w:jc w:val="both"/>
        <w:ind w:right="20" w:firstLine="864"/>
        <w:spacing w:after="0" w:line="266" w:lineRule="auto"/>
        <w:rPr>
          <w:sz w:val="20"/>
          <w:szCs w:val="20"/>
          <w:color w:val="auto"/>
        </w:rPr>
      </w:pPr>
      <w:r>
        <w:rPr>
          <w:rFonts w:ascii="Arial" w:cs="Arial" w:eastAsia="Arial" w:hAnsi="Arial"/>
          <w:sz w:val="20"/>
          <w:szCs w:val="20"/>
          <w:b w:val="1"/>
          <w:bCs w:val="1"/>
          <w:color w:val="auto"/>
        </w:rPr>
        <w:t>8.12 Construction of Agreement</w:t>
      </w:r>
      <w:r>
        <w:rPr>
          <w:rFonts w:ascii="Arial" w:cs="Arial" w:eastAsia="Arial" w:hAnsi="Arial"/>
          <w:sz w:val="20"/>
          <w:szCs w:val="20"/>
          <w:color w:val="auto"/>
        </w:rPr>
        <w:t>. In the event of a conflict between the text of this Agreement and any summary,</w:t>
      </w:r>
      <w:r>
        <w:rPr>
          <w:rFonts w:ascii="Arial" w:cs="Arial" w:eastAsia="Arial" w:hAnsi="Arial"/>
          <w:sz w:val="20"/>
          <w:szCs w:val="20"/>
          <w:b w:val="1"/>
          <w:bCs w:val="1"/>
          <w:color w:val="auto"/>
        </w:rPr>
        <w:t xml:space="preserve"> </w:t>
      </w:r>
      <w:r>
        <w:rPr>
          <w:rFonts w:ascii="Arial" w:cs="Arial" w:eastAsia="Arial" w:hAnsi="Arial"/>
          <w:sz w:val="20"/>
          <w:szCs w:val="20"/>
          <w:color w:val="auto"/>
        </w:rPr>
        <w:t>description or other information regarding this Agreement, the text of this Agreement shall control.</w:t>
      </w:r>
    </w:p>
    <w:p>
      <w:pPr>
        <w:spacing w:after="0" w:line="16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8.13</w:t>
      </w:r>
      <w:r>
        <w:rPr>
          <w:sz w:val="20"/>
          <w:szCs w:val="20"/>
          <w:color w:val="auto"/>
        </w:rPr>
        <w:tab/>
      </w:r>
      <w:r>
        <w:rPr>
          <w:rFonts w:ascii="Arial" w:cs="Arial" w:eastAsia="Arial" w:hAnsi="Arial"/>
          <w:sz w:val="19"/>
          <w:szCs w:val="19"/>
          <w:b w:val="1"/>
          <w:bCs w:val="1"/>
          <w:color w:val="auto"/>
        </w:rPr>
        <w:t>Circular 230 Disclaimer</w:t>
      </w:r>
      <w:r>
        <w:rPr>
          <w:rFonts w:ascii="Arial" w:cs="Arial" w:eastAsia="Arial" w:hAnsi="Arial"/>
          <w:sz w:val="19"/>
          <w:szCs w:val="19"/>
          <w:color w:val="auto"/>
        </w:rPr>
        <w:t>.</w:t>
      </w:r>
      <w:r>
        <w:rPr>
          <w:rFonts w:ascii="Arial" w:cs="Arial" w:eastAsia="Arial" w:hAnsi="Arial"/>
          <w:sz w:val="19"/>
          <w:szCs w:val="19"/>
          <w:b w:val="1"/>
          <w:bCs w:val="1"/>
          <w:color w:val="auto"/>
        </w:rPr>
        <w:t xml:space="preserve"> THE FOLLOWING DISCLAIMER IS PROVIDED IN ACCORDANCE WITH THE</w:t>
      </w:r>
    </w:p>
    <w:p>
      <w:pPr>
        <w:spacing w:after="0" w:line="21" w:lineRule="exact"/>
        <w:rPr>
          <w:sz w:val="20"/>
          <w:szCs w:val="20"/>
          <w:color w:val="auto"/>
        </w:rPr>
      </w:pPr>
    </w:p>
    <w:p>
      <w:pPr>
        <w:jc w:val="both"/>
        <w:spacing w:after="0"/>
        <w:rPr>
          <w:sz w:val="20"/>
          <w:szCs w:val="20"/>
          <w:color w:val="auto"/>
        </w:rPr>
      </w:pPr>
      <w:r>
        <w:rPr>
          <w:rFonts w:ascii="Arial" w:cs="Arial" w:eastAsia="Arial" w:hAnsi="Arial"/>
          <w:sz w:val="20"/>
          <w:szCs w:val="20"/>
          <w:b w:val="1"/>
          <w:bCs w:val="1"/>
          <w:color w:val="auto"/>
        </w:rPr>
        <w:t>INTERNAL REVENUE SERVICE’S CIRCULAR 230 (21 C.F.R. PART 10). ANY TAX ADVICE CONTAINED IN THIS AGREEMENT IS INTENDED TO BE PRELIMINARY, FOR DISCUSSION PURPOSES ONLY AND NOT FINAL. ANY SUCH ADVICE IS NOT INTENDED TO BE USED FOR MARKETING, PROMOTING OR RECOMMENDING ANY TRANSACTION OR FOR THE USE OF ANY PERSON IN CONNECTION WITH THE PREPARATION OF ANY TAX RETURN. ACCORDINGLY, THIS ADVICE IS NOT INTENDED OR WRITTEN TO BE USED, AND IT CANNOT BE USED, BY ANY PERSON FOR THE PURPOSE OF AVOIDING TAX PENALTIES THAT MAY BE IMPOSED ON SUCH PERSON.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71" w:name="page72"/>
    <w:bookmarkEnd w:id="71"/>
    <w:p>
      <w:pPr>
        <w:ind w:left="88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on the Effective Date written above.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60" w:type="dxa"/>
            <w:vAlign w:val="bottom"/>
            <w:gridSpan w:val="3"/>
          </w:tcPr>
          <w:p>
            <w:pPr>
              <w:spacing w:after="0"/>
              <w:rPr>
                <w:sz w:val="20"/>
                <w:szCs w:val="20"/>
                <w:color w:val="auto"/>
              </w:rPr>
            </w:pPr>
            <w:r>
              <w:rPr>
                <w:rFonts w:ascii="Arial" w:cs="Arial" w:eastAsia="Arial" w:hAnsi="Arial"/>
                <w:sz w:val="20"/>
                <w:szCs w:val="20"/>
                <w:b w:val="1"/>
                <w:bCs w:val="1"/>
                <w:color w:val="auto"/>
              </w:rPr>
              <w:t>SYNDAX PHARMACEUTICALS, INC.</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940" w:type="dxa"/>
            <w:vAlign w:val="bottom"/>
            <w:gridSpan w:val="2"/>
          </w:tcPr>
          <w:p>
            <w:pPr>
              <w:spacing w:after="0"/>
              <w:rPr>
                <w:sz w:val="20"/>
                <w:szCs w:val="20"/>
                <w:color w:val="auto"/>
              </w:rPr>
            </w:pPr>
            <w:r>
              <w:rPr>
                <w:rFonts w:ascii="Arial" w:cs="Arial" w:eastAsia="Arial" w:hAnsi="Arial"/>
                <w:sz w:val="20"/>
                <w:szCs w:val="20"/>
                <w:b w:val="1"/>
                <w:bCs w:val="1"/>
                <w:color w:val="auto"/>
              </w:rPr>
              <w:t>EXECUTIVE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420" w:type="dxa"/>
            <w:vAlign w:val="bottom"/>
            <w:vMerge w:val="restart"/>
          </w:tcPr>
          <w:p>
            <w:pPr>
              <w:spacing w:after="0"/>
              <w:rPr>
                <w:sz w:val="20"/>
                <w:szCs w:val="20"/>
                <w:color w:val="auto"/>
              </w:rPr>
            </w:pPr>
            <w:r>
              <w:rPr>
                <w:rFonts w:ascii="Arial" w:cs="Arial" w:eastAsia="Arial" w:hAnsi="Arial"/>
                <w:sz w:val="20"/>
                <w:szCs w:val="20"/>
                <w:color w:val="auto"/>
              </w:rPr>
              <w:t>By:</w:t>
            </w:r>
          </w:p>
        </w:tc>
        <w:tc>
          <w:tcPr>
            <w:tcW w:w="4840" w:type="dxa"/>
            <w:vAlign w:val="bottom"/>
            <w:tcBorders>
              <w:bottom w:val="single" w:sz="8" w:color="auto"/>
            </w:tcBorders>
            <w:gridSpan w:val="2"/>
          </w:tcPr>
          <w:p>
            <w:pPr>
              <w:spacing w:after="0"/>
              <w:rPr>
                <w:sz w:val="24"/>
                <w:szCs w:val="24"/>
                <w:color w:val="auto"/>
              </w:rPr>
            </w:pPr>
          </w:p>
        </w:tc>
        <w:tc>
          <w:tcPr>
            <w:tcW w:w="100" w:type="dxa"/>
            <w:vAlign w:val="bottom"/>
            <w:vMerge w:val="restart"/>
          </w:tcPr>
          <w:p>
            <w:pPr>
              <w:spacing w:after="0"/>
              <w:rPr>
                <w:sz w:val="24"/>
                <w:szCs w:val="24"/>
                <w:color w:val="auto"/>
              </w:rPr>
            </w:pPr>
          </w:p>
        </w:tc>
        <w:tc>
          <w:tcPr>
            <w:tcW w:w="940" w:type="dxa"/>
            <w:vAlign w:val="bottom"/>
            <w:vMerge w:val="restart"/>
          </w:tcPr>
          <w:p>
            <w:pPr>
              <w:ind w:left="600"/>
              <w:spacing w:after="0"/>
              <w:rPr>
                <w:sz w:val="20"/>
                <w:szCs w:val="20"/>
                <w:color w:val="auto"/>
              </w:rPr>
            </w:pPr>
            <w:r>
              <w:rPr>
                <w:rFonts w:ascii="Arial" w:cs="Arial" w:eastAsia="Arial" w:hAnsi="Arial"/>
                <w:sz w:val="20"/>
                <w:szCs w:val="20"/>
                <w:color w:val="auto"/>
              </w:rPr>
              <w:t>By:</w:t>
            </w:r>
          </w:p>
        </w:tc>
        <w:tc>
          <w:tcPr>
            <w:tcW w:w="3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vMerge w:val="continue"/>
          </w:tcPr>
          <w:p>
            <w:pPr>
              <w:spacing w:after="0"/>
              <w:rPr>
                <w:sz w:val="19"/>
                <w:szCs w:val="19"/>
                <w:color w:val="auto"/>
              </w:rPr>
            </w:pPr>
          </w:p>
        </w:tc>
        <w:tc>
          <w:tcPr>
            <w:tcW w:w="48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0"/>
                <w:szCs w:val="20"/>
                <w:color w:val="auto"/>
              </w:rPr>
              <w:t>/s/ Luke J. Albrecht</w:t>
            </w:r>
          </w:p>
        </w:tc>
        <w:tc>
          <w:tcPr>
            <w:tcW w:w="1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9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0"/>
                <w:szCs w:val="20"/>
                <w:color w:val="auto"/>
              </w:rPr>
              <w:t>/s/ Catherine Madigan, M.D.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0"/>
        </w:trPr>
        <w:tc>
          <w:tcPr>
            <w:tcW w:w="760" w:type="dxa"/>
            <w:vAlign w:val="bottom"/>
            <w:gridSpan w:val="2"/>
          </w:tcPr>
          <w:p>
            <w:pPr>
              <w:spacing w:after="0"/>
              <w:rPr>
                <w:sz w:val="20"/>
                <w:szCs w:val="20"/>
                <w:color w:val="auto"/>
              </w:rPr>
            </w:pPr>
            <w:r>
              <w:rPr>
                <w:rFonts w:ascii="Arial" w:cs="Arial" w:eastAsia="Arial" w:hAnsi="Arial"/>
                <w:sz w:val="20"/>
                <w:szCs w:val="20"/>
                <w:color w:val="auto"/>
              </w:rPr>
              <w:t>Name:</w:t>
            </w:r>
          </w:p>
        </w:tc>
        <w:tc>
          <w:tcPr>
            <w:tcW w:w="4500" w:type="dxa"/>
            <w:vAlign w:val="bottom"/>
          </w:tcPr>
          <w:p>
            <w:pPr>
              <w:spacing w:after="0"/>
              <w:rPr>
                <w:sz w:val="20"/>
                <w:szCs w:val="20"/>
                <w:color w:val="auto"/>
              </w:rPr>
            </w:pPr>
            <w:r>
              <w:rPr>
                <w:rFonts w:ascii="Arial" w:cs="Arial" w:eastAsia="Arial" w:hAnsi="Arial"/>
                <w:sz w:val="20"/>
                <w:szCs w:val="20"/>
                <w:color w:val="auto"/>
              </w:rPr>
              <w:t>Luke J. Albrecht</w:t>
            </w:r>
          </w:p>
        </w:tc>
        <w:tc>
          <w:tcPr>
            <w:tcW w:w="100" w:type="dxa"/>
            <w:vAlign w:val="bottom"/>
          </w:tcPr>
          <w:p>
            <w:pPr>
              <w:spacing w:after="0"/>
              <w:rPr>
                <w:sz w:val="24"/>
                <w:szCs w:val="24"/>
                <w:color w:val="auto"/>
              </w:rPr>
            </w:pPr>
          </w:p>
        </w:tc>
        <w:tc>
          <w:tcPr>
            <w:tcW w:w="5880" w:type="dxa"/>
            <w:vAlign w:val="bottom"/>
            <w:gridSpan w:val="3"/>
          </w:tcPr>
          <w:p>
            <w:pPr>
              <w:ind w:left="520"/>
              <w:spacing w:after="0"/>
              <w:rPr>
                <w:sz w:val="20"/>
                <w:szCs w:val="20"/>
                <w:color w:val="auto"/>
              </w:rPr>
            </w:pPr>
            <w:r>
              <w:rPr>
                <w:rFonts w:ascii="Arial" w:cs="Arial" w:eastAsia="Arial" w:hAnsi="Arial"/>
                <w:sz w:val="20"/>
                <w:szCs w:val="20"/>
                <w:color w:val="auto"/>
              </w:rPr>
              <w:t>Name:   Catherine Madigan, M.D.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spacing w:after="0" w:line="223" w:lineRule="exact"/>
              <w:rPr>
                <w:sz w:val="20"/>
                <w:szCs w:val="20"/>
                <w:color w:val="auto"/>
              </w:rPr>
            </w:pPr>
            <w:r>
              <w:rPr>
                <w:rFonts w:ascii="Arial" w:cs="Arial" w:eastAsia="Arial" w:hAnsi="Arial"/>
                <w:sz w:val="20"/>
                <w:szCs w:val="20"/>
                <w:color w:val="auto"/>
              </w:rPr>
              <w:t>Title:</w:t>
            </w:r>
          </w:p>
        </w:tc>
        <w:tc>
          <w:tcPr>
            <w:tcW w:w="450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General Counsel, Secretary</w:t>
            </w: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46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8"/>
          <w:szCs w:val="18"/>
          <w:color w:val="auto"/>
        </w:rPr>
        <w:t>Release (Individual Termination – Age 40 or Older)</w:t>
      </w:r>
    </w:p>
    <w:p>
      <w:pPr>
        <w:spacing w:after="0" w:line="161" w:lineRule="exact"/>
        <w:rPr>
          <w:sz w:val="20"/>
          <w:szCs w:val="20"/>
          <w:color w:val="auto"/>
        </w:rPr>
      </w:pPr>
    </w:p>
    <w:p>
      <w:pPr>
        <w:spacing w:after="0"/>
        <w:tabs>
          <w:tab w:leader="none" w:pos="146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8"/>
          <w:szCs w:val="18"/>
          <w:color w:val="auto"/>
        </w:rPr>
        <w:t>Release (Individual and Group Termination – Under Age 40)</w:t>
      </w:r>
    </w:p>
    <w:p>
      <w:pPr>
        <w:spacing w:after="0" w:line="161" w:lineRule="exact"/>
        <w:rPr>
          <w:sz w:val="20"/>
          <w:szCs w:val="20"/>
          <w:color w:val="auto"/>
        </w:rPr>
      </w:pPr>
    </w:p>
    <w:p>
      <w:pPr>
        <w:spacing w:after="0"/>
        <w:tabs>
          <w:tab w:leader="none" w:pos="146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6"/>
          <w:szCs w:val="16"/>
          <w:color w:val="auto"/>
        </w:rPr>
        <w:t>Release (Group Termination – Age 40 or Older)</w:t>
      </w: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340"/>
          </w:cols>
          <w:pgMar w:left="320" w:top="562"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20"/>
          <w:szCs w:val="20"/>
          <w:b w:val="1"/>
          <w:bCs w:val="1"/>
          <w:color w:val="auto"/>
        </w:rPr>
        <w:t>EXHIBIT A</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(INDIVIDUAL TERMINATION – AGE 40 OR OLDER)</w:t>
      </w:r>
    </w:p>
    <w:p>
      <w:pPr>
        <w:spacing w:after="0" w:line="329"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Certain capitalized terms used in this Release are defined in the Executive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which I have executed and of which this Release is a part.</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184"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xml:space="preserve">”),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w:t>
      </w:r>
      <w:r>
        <w:rPr>
          <w:rFonts w:ascii="Arial" w:cs="Arial" w:eastAsia="Arial" w:hAnsi="Arial"/>
          <w:sz w:val="18"/>
          <w:szCs w:val="18"/>
          <w:b w:val="1"/>
          <w:bCs w:val="1"/>
          <w:color w:val="auto"/>
        </w:rPr>
        <w:t>States</w:t>
      </w:r>
      <w:r>
        <w:rPr>
          <w:rFonts w:ascii="Arial" w:cs="Arial" w:eastAsia="Arial" w:hAnsi="Arial"/>
          <w:sz w:val="18"/>
          <w:szCs w:val="18"/>
          <w:color w:val="auto"/>
        </w:rPr>
        <w:t xml:space="preserve"> Equal Employment Opportunity Commission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the National Labor Relations Board (“</w:t>
      </w:r>
      <w:r>
        <w:rPr>
          <w:rFonts w:ascii="Arial" w:cs="Arial" w:eastAsia="Arial" w:hAnsi="Arial"/>
          <w:sz w:val="18"/>
          <w:szCs w:val="18"/>
          <w:b w:val="1"/>
          <w:bCs w:val="1"/>
          <w:i w:val="1"/>
          <w:iCs w:val="1"/>
          <w:color w:val="auto"/>
        </w:rPr>
        <w:t>NLRB</w:t>
      </w:r>
      <w:r>
        <w:rPr>
          <w:rFonts w:ascii="Arial" w:cs="Arial" w:eastAsia="Arial" w:hAnsi="Arial"/>
          <w:sz w:val="18"/>
          <w:szCs w:val="18"/>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20"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twenty-one (21) days to consider this Release (although I may choose to voluntarily execute this Release earlier); (D) I have seven (7) days following my execution of this Release to revoke the Release by providing a written notice of revocation to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73" w:name="page74"/>
    <w:bookmarkEnd w:id="73"/>
    <w:p>
      <w:pPr>
        <w:jc w:val="both"/>
        <w:spacing w:after="0" w:line="260" w:lineRule="auto"/>
        <w:rPr>
          <w:sz w:val="20"/>
          <w:szCs w:val="20"/>
          <w:color w:val="auto"/>
        </w:rPr>
      </w:pPr>
      <w:r>
        <w:rPr>
          <w:rFonts w:ascii="Arial" w:cs="Arial" w:eastAsia="Arial" w:hAnsi="Arial"/>
          <w:sz w:val="20"/>
          <w:szCs w:val="20"/>
          <w:color w:val="auto"/>
        </w:rPr>
        <w:t>Company’s Chief Executive Officer; and (E) this Release shall not be effective until the date upon which the revocation period has expired, which shall be the eighth (8th) day after I execute this Release (provided that I do not revoke it).</w:t>
      </w:r>
    </w:p>
    <w:p>
      <w:pPr>
        <w:spacing w:after="0" w:line="122" w:lineRule="exact"/>
        <w:rPr>
          <w:sz w:val="20"/>
          <w:szCs w:val="20"/>
          <w:color w:val="auto"/>
        </w:rPr>
      </w:pPr>
    </w:p>
    <w:p>
      <w:pPr>
        <w:jc w:val="both"/>
        <w:ind w:firstLine="864"/>
        <w:spacing w:after="0" w:line="290" w:lineRule="auto"/>
        <w:rPr>
          <w:sz w:val="20"/>
          <w:szCs w:val="20"/>
          <w:color w:val="auto"/>
        </w:rPr>
      </w:pPr>
      <w:r>
        <w:rPr>
          <w:rFonts w:ascii="Arial" w:cs="Arial" w:eastAsia="Arial" w:hAnsi="Arial"/>
          <w:sz w:val="18"/>
          <w:szCs w:val="18"/>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on-the-job injury or illness for which I have not already filed a workers’ compensation claim.</w:t>
      </w:r>
    </w:p>
    <w:p>
      <w:pPr>
        <w:spacing w:after="0" w:line="99"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200" w:lineRule="exact"/>
        <w:rPr>
          <w:sz w:val="20"/>
          <w:szCs w:val="20"/>
          <w:color w:val="auto"/>
        </w:rPr>
      </w:pPr>
    </w:p>
    <w:p>
      <w:pPr>
        <w:spacing w:after="0" w:line="226"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58"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Printed Name</w:t>
      </w: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t>EXHIBIT B</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(INDIVIDUAL AND GROUP TERMINATION – UNDER AGE 40)</w:t>
      </w:r>
    </w:p>
    <w:p>
      <w:pPr>
        <w:spacing w:after="0" w:line="329"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Certain capitalized terms used in this Release are defined in the Executive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which I have executed and of which this Release is a part.</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184"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the National Labor Relations Board (“</w:t>
      </w:r>
      <w:r>
        <w:rPr>
          <w:rFonts w:ascii="Arial" w:cs="Arial" w:eastAsia="Arial" w:hAnsi="Arial"/>
          <w:sz w:val="18"/>
          <w:szCs w:val="18"/>
          <w:b w:val="1"/>
          <w:bCs w:val="1"/>
          <w:i w:val="1"/>
          <w:iCs w:val="1"/>
          <w:color w:val="auto"/>
        </w:rPr>
        <w:t>NLRB</w:t>
      </w:r>
      <w:r>
        <w:rPr>
          <w:rFonts w:ascii="Arial" w:cs="Arial" w:eastAsia="Arial" w:hAnsi="Arial"/>
          <w:sz w:val="18"/>
          <w:szCs w:val="18"/>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2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I acknowledge that the consideration given under the Agreement for the waiver and release in the preceding paragraph hereof is in addition to anything of value to which I was already entitled. I further acknowledge that I have been advised by this writing that: (A) my waiver and release do not apply to any rights or claims that may arise on or after the date I execute this Release; (B) I have the right to consult with an attorney prior to executing this Release; and (C) I have twenty-one (21) days to consider this Release (although I may choose to voluntarily execute this Release earlier).</w:t>
      </w:r>
    </w:p>
    <w:p>
      <w:pPr>
        <w:spacing w:after="0" w:line="139" w:lineRule="exact"/>
        <w:rPr>
          <w:sz w:val="20"/>
          <w:szCs w:val="20"/>
          <w:color w:val="auto"/>
        </w:rPr>
      </w:pPr>
    </w:p>
    <w:p>
      <w:pPr>
        <w:jc w:val="both"/>
        <w:ind w:firstLine="864"/>
        <w:spacing w:after="0" w:line="290" w:lineRule="auto"/>
        <w:rPr>
          <w:sz w:val="20"/>
          <w:szCs w:val="20"/>
          <w:color w:val="auto"/>
        </w:rPr>
      </w:pPr>
      <w:r>
        <w:rPr>
          <w:rFonts w:ascii="Arial" w:cs="Arial" w:eastAsia="Arial" w:hAnsi="Arial"/>
          <w:sz w:val="18"/>
          <w:szCs w:val="18"/>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on-the-job injury or illness for which I have not already filed a workers’ compensation claim.</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75" w:name="page76"/>
    <w:bookmarkEnd w:id="75"/>
    <w:p>
      <w:pPr>
        <w:jc w:val="both"/>
        <w:ind w:firstLine="864"/>
        <w:spacing w:after="0" w:line="246" w:lineRule="auto"/>
        <w:rPr>
          <w:sz w:val="20"/>
          <w:szCs w:val="20"/>
          <w:color w:val="auto"/>
        </w:rPr>
      </w:pPr>
      <w:r>
        <w:rPr>
          <w:rFonts w:ascii="Arial" w:cs="Arial" w:eastAsia="Arial" w:hAnsi="Arial"/>
          <w:sz w:val="20"/>
          <w:szCs w:val="20"/>
          <w:color w:val="auto"/>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200" w:lineRule="exact"/>
        <w:rPr>
          <w:sz w:val="20"/>
          <w:szCs w:val="20"/>
          <w:color w:val="auto"/>
        </w:rPr>
      </w:pPr>
    </w:p>
    <w:p>
      <w:pPr>
        <w:spacing w:after="0" w:line="226"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58"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Printed Name</w:t>
      </w: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20"/>
          <w:szCs w:val="20"/>
          <w:b w:val="1"/>
          <w:bCs w:val="1"/>
          <w:color w:val="auto"/>
        </w:rPr>
        <w:t>EXHIBIT 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(GROUP TERMINATION – AGE 40 OR OLDER)</w:t>
      </w:r>
    </w:p>
    <w:p>
      <w:pPr>
        <w:spacing w:after="0" w:line="329"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Certain capitalized terms used in this Release are defined in the Executive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which I have executed and of which this Release is a part.</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184"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the National Labor Relations Board (“</w:t>
      </w:r>
      <w:r>
        <w:rPr>
          <w:rFonts w:ascii="Arial" w:cs="Arial" w:eastAsia="Arial" w:hAnsi="Arial"/>
          <w:sz w:val="18"/>
          <w:szCs w:val="18"/>
          <w:b w:val="1"/>
          <w:bCs w:val="1"/>
          <w:i w:val="1"/>
          <w:iCs w:val="1"/>
          <w:color w:val="auto"/>
        </w:rPr>
        <w:t>NLRB</w:t>
      </w:r>
      <w:r>
        <w:rPr>
          <w:rFonts w:ascii="Arial" w:cs="Arial" w:eastAsia="Arial" w:hAnsi="Arial"/>
          <w:sz w:val="18"/>
          <w:szCs w:val="18"/>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20"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forty-five (45) days to consider this Release (although I may choose to voluntarily execute this Release earlier); (D) I have seven (7) days following my execution of this Release to revoke the Release by providing a written notice of revocation to the Company’s Chief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77" w:name="page78"/>
    <w:bookmarkEnd w:id="77"/>
    <w:p>
      <w:pPr>
        <w:jc w:val="both"/>
        <w:spacing w:after="0" w:line="282" w:lineRule="auto"/>
        <w:rPr>
          <w:sz w:val="20"/>
          <w:szCs w:val="20"/>
          <w:color w:val="auto"/>
        </w:rPr>
      </w:pPr>
      <w:r>
        <w:rPr>
          <w:rFonts w:ascii="Arial" w:cs="Arial" w:eastAsia="Arial" w:hAnsi="Arial"/>
          <w:sz w:val="18"/>
          <w:szCs w:val="18"/>
          <w:color w:val="auto"/>
        </w:rPr>
        <w:t>Executive Officer; (E) this Release shall not be effective until the date upon which the revocation period has expired, which shall be the eighth day (8th) after I execute this Release; and (F) I have received with this Release the required written disclosure for a “group termination” under the ADEA, including a detailed list of the job titles and ages of all employees who were terminated in this group termination and the ages of all employees of the Company in the same job classification or organizational unit who were not terminated.</w:t>
      </w:r>
    </w:p>
    <w:p>
      <w:pPr>
        <w:spacing w:after="0" w:line="106" w:lineRule="exact"/>
        <w:rPr>
          <w:sz w:val="20"/>
          <w:szCs w:val="20"/>
          <w:color w:val="auto"/>
        </w:rPr>
      </w:pPr>
    </w:p>
    <w:p>
      <w:pPr>
        <w:jc w:val="both"/>
        <w:ind w:firstLine="864"/>
        <w:spacing w:after="0" w:line="290" w:lineRule="auto"/>
        <w:rPr>
          <w:sz w:val="20"/>
          <w:szCs w:val="20"/>
          <w:color w:val="auto"/>
        </w:rPr>
      </w:pPr>
      <w:r>
        <w:rPr>
          <w:rFonts w:ascii="Arial" w:cs="Arial" w:eastAsia="Arial" w:hAnsi="Arial"/>
          <w:sz w:val="18"/>
          <w:szCs w:val="18"/>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on-the-job injury or illness for which I have not already filed a workers’ compensation claim.</w:t>
      </w:r>
    </w:p>
    <w:p>
      <w:pPr>
        <w:spacing w:after="0" w:line="167"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I agree that I will not engage in any conduct that is injurious to the reputation of the Company or its parents, subsidiaries and affiliates, including but not limited to disparagement of the Company, its officers, Board members, employees and shareholders. The foregoing shall not be violated by a statement made in a deposition, trial or administrative proceeding in response to legal process; by any statement made to a government agency; or whenever I make any statement to a court, administrative tribunal or government agency as required by law.</w:t>
      </w:r>
    </w:p>
    <w:p>
      <w:pPr>
        <w:spacing w:after="0" w:line="200"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58"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Printed Name</w:t>
      </w: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C-2</w:t>
      </w:r>
    </w:p>
    <w:p>
      <w:pPr>
        <w:sectPr>
          <w:pgSz w:w="11900" w:h="16838" w:orient="portrait"/>
          <w:cols w:equalWidth="0" w:num="1">
            <w:col w:w="11240"/>
          </w:cols>
          <w:pgMar w:left="320" w:top="446"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0"/>
          <w:szCs w:val="20"/>
          <w:b w:val="1"/>
          <w:bCs w:val="1"/>
          <w:color w:val="auto"/>
        </w:rPr>
        <w:t>Exhibit 10.2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EMPLOYMENT AGREEMENT</w:t>
      </w:r>
    </w:p>
    <w:p>
      <w:pPr>
        <w:spacing w:after="0" w:line="193"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EXECUTIVE EMPLOYMENT AGREEMENT</w:t>
      </w:r>
      <w:r>
        <w:rPr>
          <w:rFonts w:ascii="Arial" w:cs="Arial" w:eastAsia="Arial" w:hAnsi="Arial"/>
          <w:sz w:val="20"/>
          <w:szCs w:val="20"/>
          <w:color w:val="auto"/>
        </w:rPr>
        <w:t xml:space="preserve">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entered into as of the 30th day of September, 2021 (the “</w:t>
      </w:r>
      <w:r>
        <w:rPr>
          <w:rFonts w:ascii="Arial" w:cs="Arial" w:eastAsia="Arial" w:hAnsi="Arial"/>
          <w:sz w:val="20"/>
          <w:szCs w:val="20"/>
          <w:b w:val="1"/>
          <w:bCs w:val="1"/>
          <w:i w:val="1"/>
          <w:iCs w:val="1"/>
          <w:color w:val="auto"/>
        </w:rPr>
        <w:t>Execution Date</w:t>
      </w:r>
      <w:r>
        <w:rPr>
          <w:rFonts w:ascii="Arial" w:cs="Arial" w:eastAsia="Arial" w:hAnsi="Arial"/>
          <w:sz w:val="20"/>
          <w:szCs w:val="20"/>
          <w:color w:val="auto"/>
        </w:rPr>
        <w:t xml:space="preserve">”), between </w:t>
      </w:r>
      <w:r>
        <w:rPr>
          <w:rFonts w:ascii="Arial" w:cs="Arial" w:eastAsia="Arial" w:hAnsi="Arial"/>
          <w:sz w:val="20"/>
          <w:szCs w:val="20"/>
          <w:b w:val="1"/>
          <w:bCs w:val="1"/>
          <w:color w:val="auto"/>
        </w:rPr>
        <w:t>ANJALI GANGULI</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Executive</w:t>
      </w:r>
      <w:r>
        <w:rPr>
          <w:rFonts w:ascii="Arial" w:cs="Arial" w:eastAsia="Arial" w:hAnsi="Arial"/>
          <w:sz w:val="20"/>
          <w:szCs w:val="20"/>
          <w:color w:val="auto"/>
        </w:rPr>
        <w:t xml:space="preserve">”) and </w:t>
      </w:r>
      <w:r>
        <w:rPr>
          <w:rFonts w:ascii="Arial" w:cs="Arial" w:eastAsia="Arial" w:hAnsi="Arial"/>
          <w:sz w:val="20"/>
          <w:szCs w:val="20"/>
          <w:b w:val="1"/>
          <w:bCs w:val="1"/>
          <w:color w:val="auto"/>
        </w:rPr>
        <w:t>SYNDAX PHARMACEUTICALS, INC.</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Certain capitalized terms used in this Agreement are defined in Article 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1" w:lineRule="exact"/>
        <w:rPr>
          <w:sz w:val="20"/>
          <w:szCs w:val="20"/>
          <w:color w:val="auto"/>
        </w:rPr>
      </w:pPr>
    </w:p>
    <w:p>
      <w:pPr>
        <w:ind w:left="2360" w:hanging="1489"/>
        <w:spacing w:after="0"/>
        <w:tabs>
          <w:tab w:leader="none" w:pos="2360"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The Company is a biopharmaceutical company.</w:t>
      </w:r>
    </w:p>
    <w:p>
      <w:pPr>
        <w:spacing w:after="0" w:line="214" w:lineRule="exact"/>
        <w:rPr>
          <w:rFonts w:ascii="Arial" w:cs="Arial" w:eastAsia="Arial" w:hAnsi="Arial"/>
          <w:sz w:val="20"/>
          <w:szCs w:val="20"/>
          <w:b w:val="1"/>
          <w:bCs w:val="1"/>
          <w:color w:val="auto"/>
        </w:rPr>
      </w:pPr>
    </w:p>
    <w:p>
      <w:pPr>
        <w:ind w:firstLine="871"/>
        <w:spacing w:after="0" w:line="260" w:lineRule="auto"/>
        <w:tabs>
          <w:tab w:leader="none" w:pos="2339" w:val="left"/>
        </w:tabs>
        <w:numPr>
          <w:ilvl w:val="0"/>
          <w:numId w:val="54"/>
        </w:numPr>
        <w:rPr>
          <w:rFonts w:ascii="Arial" w:cs="Arial" w:eastAsia="Arial" w:hAnsi="Arial"/>
          <w:sz w:val="20"/>
          <w:szCs w:val="20"/>
          <w:b w:val="1"/>
          <w:bCs w:val="1"/>
          <w:color w:val="auto"/>
        </w:rPr>
      </w:pPr>
      <w:r>
        <w:rPr>
          <w:rFonts w:ascii="Arial" w:cs="Arial" w:eastAsia="Arial" w:hAnsi="Arial"/>
          <w:sz w:val="20"/>
          <w:szCs w:val="20"/>
          <w:color w:val="auto"/>
        </w:rPr>
        <w:t>The Company desires to employ Executive in the position set forth below, and Executive wishes to be employed by the Company in such position, upon the terms and conditions set forth in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1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contained herein, the Company and Executive agree as</w:t>
      </w: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193"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ARTICLE 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PRELIMINARY MATTERS</w:t>
      </w:r>
    </w:p>
    <w:p>
      <w:pPr>
        <w:spacing w:after="0" w:line="215"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6"/>
          <w:szCs w:val="16"/>
          <w:b w:val="1"/>
          <w:bCs w:val="1"/>
          <w:color w:val="auto"/>
        </w:rPr>
        <w:t>Effectiveness of Agreement</w:t>
      </w:r>
      <w:r>
        <w:rPr>
          <w:rFonts w:ascii="Arial" w:cs="Arial" w:eastAsia="Arial" w:hAnsi="Arial"/>
          <w:sz w:val="16"/>
          <w:szCs w:val="16"/>
          <w:color w:val="auto"/>
        </w:rPr>
        <w:t>. This Agreement shall be effective on the Execution Date.</w:t>
      </w:r>
    </w:p>
    <w:p>
      <w:pPr>
        <w:spacing w:after="0" w:line="215"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ARTICLE 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TERMS OF EMPLOYMENT</w:t>
      </w:r>
    </w:p>
    <w:p>
      <w:pPr>
        <w:spacing w:after="0" w:line="215"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b w:val="1"/>
          <w:bCs w:val="1"/>
          <w:color w:val="auto"/>
        </w:rPr>
        <w:t>2.1 Appointment</w:t>
      </w:r>
      <w:r>
        <w:rPr>
          <w:rFonts w:ascii="Arial" w:cs="Arial" w:eastAsia="Arial" w:hAnsi="Arial"/>
          <w:sz w:val="18"/>
          <w:szCs w:val="18"/>
          <w:color w:val="auto"/>
        </w:rPr>
        <w:t>. Executive shall serve as Chief Business Officer, reporting to the President and Chief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As Chief Business Officer, Executive will have such duties and responsibilities typically associated with such officer plus other reasonable duties as may from time to time be assigned to Executive. During Executive’s employment with the Company, Executive shall</w:t>
      </w:r>
    </w:p>
    <w:p>
      <w:pPr>
        <w:spacing w:after="0" w:line="1" w:lineRule="exact"/>
        <w:rPr>
          <w:sz w:val="20"/>
          <w:szCs w:val="20"/>
          <w:color w:val="auto"/>
        </w:rPr>
      </w:pPr>
    </w:p>
    <w:p>
      <w:pPr>
        <w:jc w:val="both"/>
        <w:ind w:firstLine="8"/>
        <w:spacing w:after="0" w:line="269" w:lineRule="auto"/>
        <w:tabs>
          <w:tab w:leader="none" w:pos="2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devote substantially all of Executive’s business efforts to the Company provided, however, that Executive may (a) participate in charitable, civic, educational, professional, community or industry affairs, and (b) serve as a board member, advisor or a similar position, of up to two other companies, so long as such service does not conflict with or is not detrimental to the Company’s best interests, as determined in good faith by the Board, and (ii) faithfully and to the best of Executive’s abilities and experience, and in accordance with the standards and ethics of the business in which the Company is engaged, perform all duties that may be required of Executive by this Agreement, the Company’s policies and procedures, and such other duties and responsibilities as may be assigned to Executive from time to time, as well as the directives of the Board. During Executive’s employment with the Company, Executive shall not engage in any activity that conflicts with or is detrimental to the Company’s best interests, as determined by the Board. Executive and the Company acknowledge that Executive’s primary office will be located at the Company’s New York, NY office.</w:t>
      </w:r>
    </w:p>
    <w:p>
      <w:pPr>
        <w:spacing w:after="0" w:line="169"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2.2 Employment Term</w:t>
      </w:r>
      <w:r>
        <w:rPr>
          <w:rFonts w:ascii="Arial" w:cs="Arial" w:eastAsia="Arial" w:hAnsi="Arial"/>
          <w:sz w:val="20"/>
          <w:szCs w:val="20"/>
          <w:color w:val="auto"/>
        </w:rPr>
        <w:t>. Executive will be employed by the Company on an “at-will” basis. This means that either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or Executive may terminate Executive’s employment at any time, for any reason, with or without Cause, and with or without advance notice (provided that Resignation for Good Reason (as defined below) requires certain advanced notice by Executive. It also means that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9" w:name="page80"/>
    <w:bookmarkEnd w:id="79"/>
    <w:p>
      <w:pPr>
        <w:jc w:val="both"/>
        <w:spacing w:after="0" w:line="342" w:lineRule="auto"/>
        <w:rPr>
          <w:sz w:val="20"/>
          <w:szCs w:val="20"/>
          <w:color w:val="auto"/>
        </w:rPr>
      </w:pPr>
      <w:r>
        <w:rPr>
          <w:rFonts w:ascii="Arial" w:cs="Arial" w:eastAsia="Arial" w:hAnsi="Arial"/>
          <w:sz w:val="16"/>
          <w:szCs w:val="16"/>
          <w:color w:val="auto"/>
        </w:rPr>
        <w:t>job title, duties, responsibilities, reporting level, compensation and benefits, as well as the Company’s personnel policies and procedures, may be changed with or without notice at any time in the Company’s sole discretion. This at-will employment relationship shall not be modified by any conflicting actions or representations of any Company employee or other party before or during the term of Executive’s employment.</w:t>
      </w:r>
    </w:p>
    <w:p>
      <w:pPr>
        <w:spacing w:after="0" w:line="111"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Compensation</w:t>
      </w:r>
      <w:r>
        <w:rPr>
          <w:rFonts w:ascii="Arial" w:cs="Arial" w:eastAsia="Arial" w:hAnsi="Arial"/>
          <w:sz w:val="16"/>
          <w:szCs w:val="16"/>
          <w:color w:val="auto"/>
        </w:rPr>
        <w:t>.</w:t>
      </w:r>
    </w:p>
    <w:p>
      <w:pPr>
        <w:spacing w:after="0" w:line="215" w:lineRule="exact"/>
        <w:rPr>
          <w:sz w:val="20"/>
          <w:szCs w:val="20"/>
          <w:color w:val="auto"/>
        </w:rPr>
      </w:pPr>
    </w:p>
    <w:p>
      <w:pPr>
        <w:jc w:val="both"/>
        <w:ind w:firstLine="1735"/>
        <w:spacing w:after="0" w:line="246" w:lineRule="auto"/>
        <w:tabs>
          <w:tab w:leader="none" w:pos="2528" w:val="left"/>
        </w:tabs>
        <w:numPr>
          <w:ilvl w:val="0"/>
          <w:numId w:val="56"/>
        </w:numPr>
        <w:rPr>
          <w:rFonts w:ascii="Arial" w:cs="Arial" w:eastAsia="Arial" w:hAnsi="Arial"/>
          <w:sz w:val="20"/>
          <w:szCs w:val="20"/>
          <w:color w:val="auto"/>
        </w:rPr>
      </w:pPr>
      <w:r>
        <w:rPr>
          <w:rFonts w:ascii="Arial" w:cs="Arial" w:eastAsia="Arial" w:hAnsi="Arial"/>
          <w:sz w:val="20"/>
          <w:szCs w:val="20"/>
          <w:b w:val="1"/>
          <w:bCs w:val="1"/>
          <w:color w:val="auto"/>
        </w:rPr>
        <w:t>Annual Base Salary</w:t>
      </w:r>
      <w:r>
        <w:rPr>
          <w:rFonts w:ascii="Arial" w:cs="Arial" w:eastAsia="Arial" w:hAnsi="Arial"/>
          <w:sz w:val="20"/>
          <w:szCs w:val="20"/>
          <w:color w:val="auto"/>
        </w:rPr>
        <w:t>. Executive’s annual base salary shall be $335,000 per year (“</w:t>
      </w:r>
      <w:r>
        <w:rPr>
          <w:rFonts w:ascii="Arial" w:cs="Arial" w:eastAsia="Arial" w:hAnsi="Arial"/>
          <w:sz w:val="20"/>
          <w:szCs w:val="20"/>
          <w:b w:val="1"/>
          <w:bCs w:val="1"/>
          <w:i w:val="1"/>
          <w:iCs w:val="1"/>
          <w:color w:val="auto"/>
        </w:rPr>
        <w:t>Annual Base Salary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payable in equal installments, less applicable deductions and withholdings, in accordance with the Company’s standard payroll practices. Executive’s Annual Base Salary shall be subject to review by the Company’s compensation committee and may be increased or decreased from time to time, but shall not be reduced unless, and only to the extent that, the base salaries of all other similarly situated executives of the Company are proportionately reduced.</w:t>
      </w:r>
    </w:p>
    <w:p>
      <w:pPr>
        <w:spacing w:after="0" w:line="183" w:lineRule="exact"/>
        <w:rPr>
          <w:rFonts w:ascii="Arial" w:cs="Arial" w:eastAsia="Arial" w:hAnsi="Arial"/>
          <w:sz w:val="20"/>
          <w:szCs w:val="20"/>
          <w:color w:val="auto"/>
        </w:rPr>
      </w:pPr>
    </w:p>
    <w:p>
      <w:pPr>
        <w:jc w:val="both"/>
        <w:ind w:firstLine="1735"/>
        <w:spacing w:after="0" w:line="248" w:lineRule="auto"/>
        <w:tabs>
          <w:tab w:leader="none" w:pos="2539" w:val="left"/>
        </w:tabs>
        <w:numPr>
          <w:ilvl w:val="0"/>
          <w:numId w:val="56"/>
        </w:numPr>
        <w:rPr>
          <w:rFonts w:ascii="Arial" w:cs="Arial" w:eastAsia="Arial" w:hAnsi="Arial"/>
          <w:sz w:val="20"/>
          <w:szCs w:val="20"/>
          <w:color w:val="auto"/>
        </w:rPr>
      </w:pPr>
      <w:r>
        <w:rPr>
          <w:rFonts w:ascii="Arial" w:cs="Arial" w:eastAsia="Arial" w:hAnsi="Arial"/>
          <w:sz w:val="20"/>
          <w:szCs w:val="20"/>
          <w:b w:val="1"/>
          <w:bCs w:val="1"/>
          <w:color w:val="auto"/>
        </w:rPr>
        <w:t>Benefits</w:t>
      </w:r>
      <w:r>
        <w:rPr>
          <w:rFonts w:ascii="Arial" w:cs="Arial" w:eastAsia="Arial" w:hAnsi="Arial"/>
          <w:sz w:val="20"/>
          <w:szCs w:val="20"/>
          <w:color w:val="auto"/>
        </w:rPr>
        <w:t>. Executive will be entitled to participate in all of the employee benefits and benefit plans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generally makes available to its full-time employees and executives and for which Executive is eligible in accordance with the Company’s policies as in effect from time to time. These benefits are subject to the terms, conditions, and eligibility requirements that govern or apply to them.</w:t>
      </w:r>
    </w:p>
    <w:p>
      <w:pPr>
        <w:spacing w:after="0" w:line="182" w:lineRule="exact"/>
        <w:rPr>
          <w:rFonts w:ascii="Arial" w:cs="Arial" w:eastAsia="Arial" w:hAnsi="Arial"/>
          <w:sz w:val="20"/>
          <w:szCs w:val="20"/>
          <w:color w:val="auto"/>
        </w:rPr>
      </w:pPr>
    </w:p>
    <w:p>
      <w:pPr>
        <w:jc w:val="both"/>
        <w:ind w:firstLine="1735"/>
        <w:spacing w:after="0" w:line="256" w:lineRule="auto"/>
        <w:tabs>
          <w:tab w:leader="none" w:pos="2528" w:val="left"/>
        </w:tabs>
        <w:numPr>
          <w:ilvl w:val="0"/>
          <w:numId w:val="56"/>
        </w:numPr>
        <w:rPr>
          <w:rFonts w:ascii="Arial" w:cs="Arial" w:eastAsia="Arial" w:hAnsi="Arial"/>
          <w:sz w:val="19"/>
          <w:szCs w:val="19"/>
          <w:color w:val="auto"/>
        </w:rPr>
      </w:pPr>
      <w:r>
        <w:rPr>
          <w:rFonts w:ascii="Arial" w:cs="Arial" w:eastAsia="Arial" w:hAnsi="Arial"/>
          <w:sz w:val="19"/>
          <w:szCs w:val="19"/>
          <w:b w:val="1"/>
          <w:bCs w:val="1"/>
          <w:color w:val="auto"/>
        </w:rPr>
        <w:t>Bonus</w:t>
      </w:r>
      <w:r>
        <w:rPr>
          <w:rFonts w:ascii="Arial" w:cs="Arial" w:eastAsia="Arial" w:hAnsi="Arial"/>
          <w:sz w:val="19"/>
          <w:szCs w:val="19"/>
          <w:color w:val="auto"/>
        </w:rPr>
        <w:t>. In addition to Annual Base Salary, Executive shall be eligible to earn an annual performance bonus</w:t>
      </w:r>
      <w:r>
        <w:rPr>
          <w:rFonts w:ascii="Arial" w:cs="Arial" w:eastAsia="Arial" w:hAnsi="Arial"/>
          <w:sz w:val="19"/>
          <w:szCs w:val="19"/>
          <w:b w:val="1"/>
          <w:bCs w:val="1"/>
          <w:color w:val="auto"/>
        </w:rPr>
        <w:t xml:space="preserve"> </w:t>
      </w:r>
      <w:r>
        <w:rPr>
          <w:rFonts w:ascii="Arial" w:cs="Arial" w:eastAsia="Arial" w:hAnsi="Arial"/>
          <w:sz w:val="19"/>
          <w:szCs w:val="19"/>
          <w:color w:val="auto"/>
        </w:rPr>
        <w:t>of up to forty percent (40%) of Executive’s Annual Base Salary, which bonus shall be earned upon Executive’s attainment of objectives to be determined by the Board (or the compensation committee thereof, as such determination may be delegated by the Board to the compensation committee) and continued employment with the Company as described below (the “</w:t>
      </w:r>
      <w:r>
        <w:rPr>
          <w:rFonts w:ascii="Arial" w:cs="Arial" w:eastAsia="Arial" w:hAnsi="Arial"/>
          <w:sz w:val="19"/>
          <w:szCs w:val="19"/>
          <w:b w:val="1"/>
          <w:bCs w:val="1"/>
          <w:i w:val="1"/>
          <w:iCs w:val="1"/>
          <w:color w:val="auto"/>
        </w:rPr>
        <w:t>Target Performance Bonus</w:t>
      </w:r>
      <w:r>
        <w:rPr>
          <w:rFonts w:ascii="Arial" w:cs="Arial" w:eastAsia="Arial" w:hAnsi="Arial"/>
          <w:sz w:val="19"/>
          <w:szCs w:val="19"/>
          <w:color w:val="auto"/>
        </w:rPr>
        <w:t>”). The amount of and Executive’s eligibility for the Target Performance Bonus shall be determined in the sole discretion of the Board (or the compensation committee thereof, as such determination may be delegated by the Board to the compensation committee). If earned, any Target Performance Bonus shall be paid to Executive, less authorized deductions and applicable withholdings, on or before the February 15th following the applicable bonus year. Except as provided in Sections 3.2 and 4.2, Executive shall be eligible to earn the Target Performance Bonus only if Executive is actively employed and in good standing with the Company on both the determination and payment dates for the Target Performance Bonus.</w:t>
      </w:r>
    </w:p>
    <w:p>
      <w:pPr>
        <w:spacing w:after="0" w:line="178"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b w:val="1"/>
          <w:bCs w:val="1"/>
          <w:color w:val="auto"/>
        </w:rPr>
        <w:t>2.4 Reimbursement of Expenses</w:t>
      </w:r>
      <w:r>
        <w:rPr>
          <w:rFonts w:ascii="Arial" w:cs="Arial" w:eastAsia="Arial" w:hAnsi="Arial"/>
          <w:sz w:val="20"/>
          <w:szCs w:val="20"/>
          <w:color w:val="auto"/>
        </w:rPr>
        <w:t>. Subject to Section 5.10(c), the Company shall reimburse Executive for Executive’s</w:t>
      </w:r>
      <w:r>
        <w:rPr>
          <w:rFonts w:ascii="Arial" w:cs="Arial" w:eastAsia="Arial" w:hAnsi="Arial"/>
          <w:sz w:val="20"/>
          <w:szCs w:val="20"/>
          <w:b w:val="1"/>
          <w:bCs w:val="1"/>
          <w:color w:val="auto"/>
        </w:rPr>
        <w:t xml:space="preserve"> </w:t>
      </w:r>
      <w:r>
        <w:rPr>
          <w:rFonts w:ascii="Arial" w:cs="Arial" w:eastAsia="Arial" w:hAnsi="Arial"/>
          <w:sz w:val="20"/>
          <w:szCs w:val="20"/>
          <w:color w:val="auto"/>
        </w:rPr>
        <w:t>necessary and reasonable business expenses incurred in connection with Executive’s duties in accordance with the Company’s generally applicable policies.</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880" w:type="dxa"/>
            <w:vAlign w:val="bottom"/>
          </w:tcPr>
          <w:p>
            <w:pPr>
              <w:spacing w:after="0"/>
              <w:rPr>
                <w:sz w:val="22"/>
                <w:szCs w:val="22"/>
                <w:color w:val="auto"/>
              </w:rPr>
            </w:pPr>
          </w:p>
        </w:tc>
        <w:tc>
          <w:tcPr>
            <w:tcW w:w="9480" w:type="dxa"/>
            <w:vAlign w:val="bottom"/>
          </w:tcPr>
          <w:p>
            <w:pPr>
              <w:ind w:left="3020"/>
              <w:spacing w:after="0"/>
              <w:rPr>
                <w:sz w:val="20"/>
                <w:szCs w:val="20"/>
                <w:color w:val="auto"/>
              </w:rPr>
            </w:pPr>
            <w:r>
              <w:rPr>
                <w:rFonts w:ascii="Arial" w:cs="Arial" w:eastAsia="Arial" w:hAnsi="Arial"/>
                <w:sz w:val="20"/>
                <w:szCs w:val="20"/>
                <w:b w:val="1"/>
                <w:bCs w:val="1"/>
                <w:color w:val="auto"/>
              </w:rPr>
              <w:t>ARTICLE 3</w:t>
            </w:r>
          </w:p>
        </w:tc>
      </w:tr>
      <w:tr>
        <w:trPr>
          <w:trHeight w:val="458"/>
        </w:trPr>
        <w:tc>
          <w:tcPr>
            <w:tcW w:w="880" w:type="dxa"/>
            <w:vAlign w:val="bottom"/>
          </w:tcPr>
          <w:p>
            <w:pPr>
              <w:spacing w:after="0"/>
              <w:rPr>
                <w:sz w:val="24"/>
                <w:szCs w:val="24"/>
                <w:color w:val="auto"/>
              </w:rPr>
            </w:pPr>
          </w:p>
        </w:tc>
        <w:tc>
          <w:tcPr>
            <w:tcW w:w="9480" w:type="dxa"/>
            <w:vAlign w:val="bottom"/>
          </w:tcPr>
          <w:p>
            <w:pPr>
              <w:ind w:left="1620"/>
              <w:spacing w:after="0"/>
              <w:rPr>
                <w:sz w:val="20"/>
                <w:szCs w:val="20"/>
                <w:color w:val="auto"/>
              </w:rPr>
            </w:pPr>
            <w:r>
              <w:rPr>
                <w:rFonts w:ascii="Arial" w:cs="Arial" w:eastAsia="Arial" w:hAnsi="Arial"/>
                <w:sz w:val="20"/>
                <w:szCs w:val="20"/>
                <w:b w:val="1"/>
                <w:bCs w:val="1"/>
                <w:color w:val="auto"/>
              </w:rPr>
              <w:t>CHANGE IN CONTROL SEVERANCE BENEFITS</w:t>
            </w:r>
          </w:p>
        </w:tc>
      </w:tr>
      <w:tr>
        <w:trPr>
          <w:trHeight w:val="440"/>
        </w:trPr>
        <w:tc>
          <w:tcPr>
            <w:tcW w:w="880" w:type="dxa"/>
            <w:vAlign w:val="bottom"/>
          </w:tcPr>
          <w:p>
            <w:pPr>
              <w:jc w:val="right"/>
              <w:ind w:right="541"/>
              <w:spacing w:after="0"/>
              <w:rPr>
                <w:sz w:val="20"/>
                <w:szCs w:val="20"/>
                <w:color w:val="auto"/>
              </w:rPr>
            </w:pPr>
            <w:r>
              <w:rPr>
                <w:rFonts w:ascii="Arial" w:cs="Arial" w:eastAsia="Arial" w:hAnsi="Arial"/>
                <w:sz w:val="20"/>
                <w:szCs w:val="20"/>
                <w:b w:val="1"/>
                <w:bCs w:val="1"/>
                <w:color w:val="auto"/>
                <w:w w:val="78"/>
              </w:rPr>
              <w:t>3.1</w:t>
            </w:r>
          </w:p>
        </w:tc>
        <w:tc>
          <w:tcPr>
            <w:tcW w:w="9480" w:type="dxa"/>
            <w:vAlign w:val="bottom"/>
          </w:tcPr>
          <w:p>
            <w:pPr>
              <w:ind w:left="660"/>
              <w:spacing w:after="0"/>
              <w:rPr>
                <w:sz w:val="20"/>
                <w:szCs w:val="20"/>
                <w:color w:val="auto"/>
              </w:rPr>
            </w:pPr>
            <w:r>
              <w:rPr>
                <w:rFonts w:ascii="Arial" w:cs="Arial" w:eastAsia="Arial" w:hAnsi="Arial"/>
                <w:sz w:val="20"/>
                <w:szCs w:val="20"/>
                <w:b w:val="1"/>
                <w:bCs w:val="1"/>
                <w:color w:val="auto"/>
                <w:w w:val="90"/>
              </w:rPr>
              <w:t>Severance Benefits</w:t>
            </w:r>
            <w:r>
              <w:rPr>
                <w:rFonts w:ascii="Arial" w:cs="Arial" w:eastAsia="Arial" w:hAnsi="Arial"/>
                <w:sz w:val="20"/>
                <w:szCs w:val="20"/>
                <w:color w:val="auto"/>
                <w:w w:val="90"/>
              </w:rPr>
              <w:t>. Upon a Change in Control Termination, and subject to the limitations and conditions set</w:t>
            </w:r>
          </w:p>
        </w:tc>
      </w:tr>
    </w:tbl>
    <w:p>
      <w:pPr>
        <w:jc w:val="both"/>
        <w:spacing w:after="0"/>
        <w:rPr>
          <w:sz w:val="20"/>
          <w:szCs w:val="20"/>
          <w:color w:val="auto"/>
        </w:rPr>
      </w:pPr>
      <w:r>
        <w:rPr>
          <w:rFonts w:ascii="Arial" w:cs="Arial" w:eastAsia="Arial" w:hAnsi="Arial"/>
          <w:sz w:val="20"/>
          <w:szCs w:val="20"/>
          <w:color w:val="auto"/>
        </w:rPr>
        <w:t>forth in this Agreement, Executive shall be eligible to receive the benefits set forth in this Article 3. The receipt of any severance payments or benefits pursuant to this Agreement is subject to Executive signing and not revoking a separation agreement and general release of claims (the “</w:t>
      </w:r>
      <w:r>
        <w:rPr>
          <w:rFonts w:ascii="Arial" w:cs="Arial" w:eastAsia="Arial" w:hAnsi="Arial"/>
          <w:sz w:val="20"/>
          <w:szCs w:val="20"/>
          <w:b w:val="1"/>
          <w:bCs w:val="1"/>
          <w:i w:val="1"/>
          <w:iCs w:val="1"/>
          <w:color w:val="auto"/>
        </w:rPr>
        <w:t>Release</w:t>
      </w:r>
      <w:r>
        <w:rPr>
          <w:rFonts w:ascii="Arial" w:cs="Arial" w:eastAsia="Arial" w:hAnsi="Arial"/>
          <w:sz w:val="20"/>
          <w:szCs w:val="20"/>
          <w:color w:val="auto"/>
        </w:rPr>
        <w:t xml:space="preserve">”), in substantially the form attached hereto and incorporated herein as </w:t>
      </w:r>
      <w:r>
        <w:rPr>
          <w:rFonts w:ascii="Arial" w:cs="Arial" w:eastAsia="Arial" w:hAnsi="Arial"/>
          <w:sz w:val="20"/>
          <w:szCs w:val="20"/>
          <w:b w:val="1"/>
          <w:bCs w:val="1"/>
          <w:color w:val="auto"/>
        </w:rPr>
        <w:t>Exhibit A</w:t>
      </w:r>
      <w:r>
        <w:rPr>
          <w:rFonts w:ascii="Arial" w:cs="Arial" w:eastAsia="Arial" w:hAnsi="Arial"/>
          <w:sz w:val="20"/>
          <w:szCs w:val="20"/>
          <w:color w:val="auto"/>
        </w:rPr>
        <w:t xml:space="preserve">, </w:t>
      </w:r>
      <w:r>
        <w:rPr>
          <w:rFonts w:ascii="Arial" w:cs="Arial" w:eastAsia="Arial" w:hAnsi="Arial"/>
          <w:sz w:val="20"/>
          <w:szCs w:val="20"/>
          <w:b w:val="1"/>
          <w:bCs w:val="1"/>
          <w:color w:val="auto"/>
        </w:rPr>
        <w:t>Exhibit B</w:t>
      </w:r>
      <w:r>
        <w:rPr>
          <w:rFonts w:ascii="Arial" w:cs="Arial" w:eastAsia="Arial" w:hAnsi="Arial"/>
          <w:sz w:val="20"/>
          <w:szCs w:val="20"/>
          <w:color w:val="auto"/>
        </w:rPr>
        <w:t xml:space="preserve"> or </w:t>
      </w:r>
      <w:r>
        <w:rPr>
          <w:rFonts w:ascii="Arial" w:cs="Arial" w:eastAsia="Arial" w:hAnsi="Arial"/>
          <w:sz w:val="20"/>
          <w:szCs w:val="20"/>
          <w:b w:val="1"/>
          <w:bCs w:val="1"/>
          <w:color w:val="auto"/>
        </w:rPr>
        <w:t>Exhibit C</w:t>
      </w:r>
      <w:r>
        <w:rPr>
          <w:rFonts w:ascii="Arial" w:cs="Arial" w:eastAsia="Arial" w:hAnsi="Arial"/>
          <w:sz w:val="20"/>
          <w:szCs w:val="20"/>
          <w:color w:val="auto"/>
        </w:rPr>
        <w:t>, as appropriate, which Release must become effective and irrevocable no later than the sixtieth (60</w:t>
      </w:r>
      <w:r>
        <w:rPr>
          <w:rFonts w:ascii="Arial" w:cs="Arial" w:eastAsia="Arial" w:hAnsi="Arial"/>
          <w:sz w:val="16"/>
          <w:szCs w:val="16"/>
          <w:color w:val="auto"/>
        </w:rPr>
        <w:t>th</w:t>
      </w:r>
      <w:r>
        <w:rPr>
          <w:rFonts w:ascii="Arial" w:cs="Arial" w:eastAsia="Arial" w:hAnsi="Arial"/>
          <w:sz w:val="20"/>
          <w:szCs w:val="20"/>
          <w:color w:val="auto"/>
        </w:rPr>
        <w:t>) day following Executive’s termination of employment (the “</w:t>
      </w:r>
      <w:r>
        <w:rPr>
          <w:rFonts w:ascii="Arial" w:cs="Arial" w:eastAsia="Arial" w:hAnsi="Arial"/>
          <w:sz w:val="20"/>
          <w:szCs w:val="20"/>
          <w:b w:val="1"/>
          <w:bCs w:val="1"/>
          <w:i w:val="1"/>
          <w:iCs w:val="1"/>
          <w:color w:val="auto"/>
        </w:rPr>
        <w:t>Release Deadline Date</w:t>
      </w:r>
      <w:r>
        <w:rPr>
          <w:rFonts w:ascii="Arial" w:cs="Arial" w:eastAsia="Arial" w:hAnsi="Arial"/>
          <w:sz w:val="20"/>
          <w:szCs w:val="20"/>
          <w:color w:val="auto"/>
        </w:rPr>
        <w:t>”). If the Release does not become effective and irrevocable by the Release Deadline Date, Executive will forfeit any right to any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80" w:name="page81"/>
    <w:bookmarkEnd w:id="80"/>
    <w:p>
      <w:pPr>
        <w:jc w:val="both"/>
        <w:ind w:right="20"/>
        <w:spacing w:after="0" w:line="260" w:lineRule="auto"/>
        <w:rPr>
          <w:sz w:val="20"/>
          <w:szCs w:val="20"/>
          <w:color w:val="auto"/>
        </w:rPr>
      </w:pPr>
      <w:r>
        <w:rPr>
          <w:rFonts w:ascii="Arial" w:cs="Arial" w:eastAsia="Arial" w:hAnsi="Arial"/>
          <w:sz w:val="20"/>
          <w:szCs w:val="20"/>
          <w:color w:val="auto"/>
        </w:rPr>
        <w:t>severance payments or benefits under this Agreement. In no event will severance payments or benefits be paid or provided until the Release actually becomes effective and irrevocable</w:t>
      </w:r>
    </w:p>
    <w:p>
      <w:pPr>
        <w:spacing w:after="0" w:line="17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8"/>
          <w:szCs w:val="18"/>
          <w:b w:val="1"/>
          <w:bCs w:val="1"/>
          <w:color w:val="auto"/>
        </w:rPr>
        <w:t>3.1 Salary and Pro-Rata Bonus Payment</w:t>
      </w:r>
      <w:r>
        <w:rPr>
          <w:rFonts w:ascii="Arial" w:cs="Arial" w:eastAsia="Arial" w:hAnsi="Arial"/>
          <w:sz w:val="18"/>
          <w:szCs w:val="18"/>
          <w:color w:val="auto"/>
        </w:rPr>
        <w:t>. In consideration of Executive’s execution and non-revocation of the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Release Deadline Date in a form provided by the Company and in accordance with Article 4, the Company shall pay Executive a severance payment equal to (a) the sum of Executive’s Monthly Base Salary and Pro-Rata Bonus multiplied by (b) the number of months in the Change in Control Severance Period, less applicable withholdings. The severance payment shall be payable (except as set forth in Article</w:t>
      </w:r>
    </w:p>
    <w:p>
      <w:pPr>
        <w:spacing w:after="0" w:line="1" w:lineRule="exact"/>
        <w:rPr>
          <w:sz w:val="20"/>
          <w:szCs w:val="20"/>
          <w:color w:val="auto"/>
        </w:rPr>
      </w:pPr>
    </w:p>
    <w:p>
      <w:pPr>
        <w:ind w:left="220" w:hanging="212"/>
        <w:spacing w:after="0"/>
        <w:tabs>
          <w:tab w:leader="none" w:pos="220" w:val="left"/>
        </w:tabs>
        <w:numPr>
          <w:ilvl w:val="0"/>
          <w:numId w:val="57"/>
        </w:numPr>
        <w:rPr>
          <w:rFonts w:ascii="Arial" w:cs="Arial" w:eastAsia="Arial" w:hAnsi="Arial"/>
          <w:sz w:val="20"/>
          <w:szCs w:val="20"/>
          <w:color w:val="auto"/>
        </w:rPr>
      </w:pPr>
      <w:r>
        <w:rPr>
          <w:rFonts w:ascii="Arial" w:cs="Arial" w:eastAsia="Arial" w:hAnsi="Arial"/>
          <w:sz w:val="20"/>
          <w:szCs w:val="20"/>
          <w:color w:val="auto"/>
        </w:rPr>
        <w:t>in a lump sum on the first regularly-scheduled payroll date occurring on or after the Release Deadline Date.</w:t>
      </w:r>
    </w:p>
    <w:p>
      <w:pPr>
        <w:spacing w:after="0" w:line="192" w:lineRule="exact"/>
        <w:rPr>
          <w:rFonts w:ascii="Arial" w:cs="Arial" w:eastAsia="Arial" w:hAnsi="Arial"/>
          <w:sz w:val="20"/>
          <w:szCs w:val="20"/>
          <w:color w:val="auto"/>
        </w:rPr>
      </w:pPr>
    </w:p>
    <w:p>
      <w:pPr>
        <w:ind w:left="880"/>
        <w:spacing w:after="0"/>
        <w:rPr>
          <w:rFonts w:ascii="Arial" w:cs="Arial" w:eastAsia="Arial" w:hAnsi="Arial"/>
          <w:sz w:val="20"/>
          <w:szCs w:val="20"/>
          <w:color w:val="auto"/>
        </w:rPr>
      </w:pPr>
      <w:r>
        <w:rPr>
          <w:rFonts w:ascii="Arial" w:cs="Arial" w:eastAsia="Arial" w:hAnsi="Arial"/>
          <w:sz w:val="20"/>
          <w:szCs w:val="20"/>
          <w:b w:val="1"/>
          <w:bCs w:val="1"/>
          <w:color w:val="auto"/>
        </w:rPr>
        <w:t>3.2</w:t>
      </w:r>
      <w:r>
        <w:rPr>
          <w:rFonts w:ascii="Arial" w:cs="Arial" w:eastAsia="Arial" w:hAnsi="Arial"/>
          <w:sz w:val="18"/>
          <w:szCs w:val="18"/>
          <w:b w:val="1"/>
          <w:bCs w:val="1"/>
          <w:color w:val="auto"/>
        </w:rPr>
        <w:t>Health Continuation Coverage.</w:t>
      </w:r>
    </w:p>
    <w:p>
      <w:pPr>
        <w:spacing w:after="0" w:line="221"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a) Provided that Executive is eligible and has made the necessary elections for continuation coverage pursuant to COBRA under a health, dental or vision plan sponsored by the Company, the Company shall pay the applicable premiums (inclusive of premiums for Executive’s dependents for such health, dental or vision plan coverage as in effect immediately prior to the date of the Change in Control Termination) for such continued health, dental or vision plan coverage following the date of the Change in Control Termination for up to the number of months equal to the Change in Control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 instead pay Executive on the first day of each month a fully taxable cash payment equal to the applicable premiums for that month, subject to applicable tax withholdings, for the remainder of the Change in Control Benefits Period. Such coverage shall be counted as coverage pursuant to COBRA. The Company shall have no obligation in respect of any premium payments (or any other payments in respect of health, dental or vision coverage from the Company) following the effective date of Executive’s coverage by a health, dental or vision insurance plan of a subsequent employer. Executive shall be required to notify the Company immediately if Executive becomes covered by a health, dental or vision insurance plan of a subsequent employer. If Executive and Executive’s dependents continue coverage pursuant to COBRA following the conclusion of the Change in Control Benefits Period, Executive will be responsible for the entire payment of such premiums required under COBRA for the duration of the COBRA period.</w:t>
      </w:r>
    </w:p>
    <w:p>
      <w:pPr>
        <w:spacing w:after="0" w:line="200" w:lineRule="exact"/>
        <w:rPr>
          <w:sz w:val="20"/>
          <w:szCs w:val="20"/>
          <w:color w:val="auto"/>
        </w:rPr>
      </w:pPr>
    </w:p>
    <w:p>
      <w:pPr>
        <w:spacing w:after="0" w:line="213" w:lineRule="exact"/>
        <w:rPr>
          <w:sz w:val="20"/>
          <w:szCs w:val="20"/>
          <w:color w:val="auto"/>
        </w:rPr>
      </w:pPr>
    </w:p>
    <w:p>
      <w:pPr>
        <w:jc w:val="both"/>
        <w:ind w:firstLine="1728"/>
        <w:spacing w:after="0" w:line="246" w:lineRule="auto"/>
        <w:rPr>
          <w:sz w:val="20"/>
          <w:szCs w:val="20"/>
          <w:color w:val="auto"/>
        </w:rPr>
      </w:pPr>
      <w:r>
        <w:rPr>
          <w:rFonts w:ascii="Arial" w:cs="Arial" w:eastAsia="Arial" w:hAnsi="Arial"/>
          <w:sz w:val="20"/>
          <w:szCs w:val="20"/>
          <w:color w:val="auto"/>
        </w:rPr>
        <w:t>b) For purposes of this Section 3.3, (i) references to COBRA shall be deemed to refer also to analogous provisions of state law, and (ii) any applicable insurance premiums that are paid by the Company shall not include any amounts payable by Executive under a Code Section 125 health care reimbursement plan, which amounts, if any, are the sole responsibility of Executive.</w:t>
      </w:r>
    </w:p>
    <w:p>
      <w:pPr>
        <w:spacing w:after="0" w:line="184"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3.3 Stock Awards</w:t>
      </w:r>
      <w:r>
        <w:rPr>
          <w:rFonts w:ascii="Arial" w:cs="Arial" w:eastAsia="Arial" w:hAnsi="Arial"/>
          <w:sz w:val="20"/>
          <w:szCs w:val="20"/>
          <w:color w:val="auto"/>
        </w:rPr>
        <w:t>. Upon a Change in Control Termination, (a) the vesting and exercisability of all outstanding options to</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the Company’s common stock (or stock appreciation rights or other rights with respect to the stock of the Company issued pursuant to any equity incentive plan of the Company) that are held by Executive on the Termination Date shall be accelerated in full, (b) any reacquisition or repurchase rights held by the Company with respect to common stock issued or issuable (or with respect to other rights with respect to the stock of the Company issued or issuable) pursuant to any other stock award granted to Executive pursuant to any equity incentive plan of the Company shall lapse and (c) the time period that Executive has to exercise any outstanding options to purchase the Company’s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81" w:name="page82"/>
    <w:bookmarkEnd w:id="81"/>
    <w:p>
      <w:pPr>
        <w:jc w:val="both"/>
        <w:spacing w:after="0" w:line="260" w:lineRule="auto"/>
        <w:rPr>
          <w:sz w:val="20"/>
          <w:szCs w:val="20"/>
          <w:color w:val="auto"/>
        </w:rPr>
      </w:pPr>
      <w:r>
        <w:rPr>
          <w:rFonts w:ascii="Arial" w:cs="Arial" w:eastAsia="Arial" w:hAnsi="Arial"/>
          <w:sz w:val="20"/>
          <w:szCs w:val="20"/>
          <w:color w:val="auto"/>
        </w:rPr>
        <w:t>common stock that are held by Executive on the Termination Date shall be extended for a period equal to the shorter of (i) twelve (12) months or (ii) the remaining term of the outstanding option.</w:t>
      </w:r>
    </w:p>
    <w:p>
      <w:pPr>
        <w:spacing w:after="0" w:line="170"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ARTICLE 4</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COVERED TERMINATION SEVERANCE BENEFITS</w:t>
      </w:r>
    </w:p>
    <w:p>
      <w:pPr>
        <w:spacing w:after="0" w:line="215"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9"/>
          <w:szCs w:val="19"/>
          <w:b w:val="1"/>
          <w:bCs w:val="1"/>
          <w:color w:val="auto"/>
        </w:rPr>
        <w:t>4.1 Severance Benefits</w:t>
      </w:r>
      <w:r>
        <w:rPr>
          <w:rFonts w:ascii="Arial" w:cs="Arial" w:eastAsia="Arial" w:hAnsi="Arial"/>
          <w:sz w:val="19"/>
          <w:szCs w:val="19"/>
          <w:color w:val="auto"/>
        </w:rPr>
        <w:t>. Upon a Covered Termination, and subject to the limitations and conditions set forth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Executive shall be eligible to receive the benefits set forth in this Article 4. The receipt of any severance payments or benefits pursuant to this Agreement is subject to Executive signing and not revoking the appropriate Release, which Release must become effective and irrevocable no later than the Release Deadline Date. If the Release does not become effective and irrevocable by the Release Deadline Date, Executive will forfeit any right to any severance payments or benefits under this Agreement. In no event will severance payments or benefits be paid or provided until the Release actually becomes effective and irrevocable.</w:t>
      </w:r>
    </w:p>
    <w:p>
      <w:pPr>
        <w:spacing w:after="0" w:line="171" w:lineRule="exact"/>
        <w:rPr>
          <w:sz w:val="20"/>
          <w:szCs w:val="20"/>
          <w:color w:val="auto"/>
        </w:rPr>
      </w:pPr>
    </w:p>
    <w:p>
      <w:pPr>
        <w:jc w:val="both"/>
        <w:ind w:firstLine="864"/>
        <w:spacing w:after="0" w:line="284" w:lineRule="auto"/>
        <w:rPr>
          <w:sz w:val="20"/>
          <w:szCs w:val="20"/>
          <w:color w:val="auto"/>
        </w:rPr>
      </w:pPr>
      <w:r>
        <w:rPr>
          <w:rFonts w:ascii="Arial" w:cs="Arial" w:eastAsia="Arial" w:hAnsi="Arial"/>
          <w:sz w:val="18"/>
          <w:szCs w:val="18"/>
          <w:b w:val="1"/>
          <w:bCs w:val="1"/>
          <w:color w:val="auto"/>
        </w:rPr>
        <w:t>4.2 Salary Payment</w:t>
      </w:r>
      <w:r>
        <w:rPr>
          <w:rFonts w:ascii="Arial" w:cs="Arial" w:eastAsia="Arial" w:hAnsi="Arial"/>
          <w:sz w:val="18"/>
          <w:szCs w:val="18"/>
          <w:color w:val="auto"/>
        </w:rPr>
        <w:t>. In consideration of Executive’s timely execution and non-revocation of the Release by the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Deadline Date, the Company shall pay Executive a severance payment equal to Executive’s Monthly Base Salary multiplied by the number of months in the Covered Termination Severance Period, less applicable withholdings. The severance payment shall be payable (except as set forth in Article 5) in a lump sum on the first regularly-scheduled payroll date occurring on or after the Release Deadline Date.</w:t>
      </w:r>
    </w:p>
    <w:p>
      <w:pPr>
        <w:spacing w:after="0" w:line="153"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18"/>
          <w:szCs w:val="18"/>
          <w:b w:val="1"/>
          <w:bCs w:val="1"/>
          <w:color w:val="auto"/>
        </w:rPr>
        <w:t>Health Continuation Coverage</w:t>
      </w:r>
      <w:r>
        <w:rPr>
          <w:rFonts w:ascii="Arial" w:cs="Arial" w:eastAsia="Arial" w:hAnsi="Arial"/>
          <w:sz w:val="18"/>
          <w:szCs w:val="18"/>
          <w:color w:val="auto"/>
        </w:rPr>
        <w:t>.</w:t>
      </w:r>
    </w:p>
    <w:p>
      <w:pPr>
        <w:spacing w:after="0" w:line="221" w:lineRule="exact"/>
        <w:rPr>
          <w:sz w:val="20"/>
          <w:szCs w:val="20"/>
          <w:color w:val="auto"/>
        </w:rPr>
      </w:pPr>
    </w:p>
    <w:p>
      <w:pPr>
        <w:jc w:val="both"/>
        <w:ind w:firstLine="1735"/>
        <w:spacing w:after="0" w:line="268" w:lineRule="auto"/>
        <w:tabs>
          <w:tab w:leader="none" w:pos="25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Provided that Executive is eligible and has made the necessary elections for continuation coverage pursuant to COBRA under a health, dental or vision plan sponsored by the Company, the Company shall pay for the applicable premiums (inclusive of premiums for Executive’s dependents for such health, dental or vision plan coverage as in effect immediately prior to the date of the Covered Termination) for such continued health, dental or vision plan coverage following the date of the Covered Termination for up to the number of months equal to the Covered Termination Benefits Period (but in no event after such time as Executive is eligible for coverage under a health, dental or vision insurance plan of a subsequent employer or as Executive and Executive’s dependents are no longer eligible for COBRA coverage); provided that if continued payment by the Company of the applicable premiums would result in a violation of the nondiscrimination rules of Section 105(h)(2) of the Internal Revenue Code of 1986, as amended, or any statute or regulation of similar effect (including, without limitation, the 2010 Patient Protection and Affordable Care Act, as amended by the 2010 Health Care and Education Reconciliation Act), then in lieu of providing such continued payment, the Company will instead pay Executive on the first day of each month a fully taxable cash payment equal to the applicable premiums for that month, subject to applicable tax withholdings, for the remainder of the Covered Termination Benefits Period. Such coverage shall be counted as coverage pursuant to COBRA. The Company shall have no obligation in respect of any premium payments (or any other payments in respect of health, dental or vision coverage from the Company) following the effective date of Executive’s coverage by a health, dental or vision insurance plan of a subsequent employer. Executive shall be required to notify the Company immediately if Executive becomes covered by a health, dental or vision insurance plan of a subsequent employer. If Executive and Executive’s dependents continue coverage pursuant to COBRA following the conclusion of the Covered Termination Benefits Period, Executive will be responsible for the entire payment of such premiums required under COBRA for the duration of the COBRA period.</w:t>
      </w:r>
    </w:p>
    <w:p>
      <w:pPr>
        <w:spacing w:after="0" w:line="181" w:lineRule="exact"/>
        <w:rPr>
          <w:sz w:val="20"/>
          <w:szCs w:val="20"/>
          <w:color w:val="auto"/>
        </w:rPr>
      </w:pPr>
    </w:p>
    <w:p>
      <w:pPr>
        <w:ind w:firstLine="1728"/>
        <w:spacing w:after="0" w:line="260" w:lineRule="auto"/>
        <w:rPr>
          <w:sz w:val="20"/>
          <w:szCs w:val="20"/>
          <w:color w:val="auto"/>
        </w:rPr>
      </w:pPr>
      <w:r>
        <w:rPr>
          <w:rFonts w:ascii="Arial" w:cs="Arial" w:eastAsia="Arial" w:hAnsi="Arial"/>
          <w:sz w:val="20"/>
          <w:szCs w:val="20"/>
          <w:color w:val="auto"/>
        </w:rPr>
        <w:t>b) For purposes of this Section 4.3, (i) references to COBRA shall be deemed to refer also to analogous provisions of state law, and (ii) any applicable insurance premiums that are paid by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82" w:name="page83"/>
    <w:bookmarkEnd w:id="82"/>
    <w:p>
      <w:pPr>
        <w:spacing w:after="0" w:line="260" w:lineRule="auto"/>
        <w:rPr>
          <w:sz w:val="20"/>
          <w:szCs w:val="20"/>
          <w:color w:val="auto"/>
        </w:rPr>
      </w:pPr>
      <w:r>
        <w:rPr>
          <w:rFonts w:ascii="Arial" w:cs="Arial" w:eastAsia="Arial" w:hAnsi="Arial"/>
          <w:sz w:val="20"/>
          <w:szCs w:val="20"/>
          <w:color w:val="auto"/>
        </w:rPr>
        <w:t>Company shall not include any amounts payable by Executive under a Code Section 125 health care reimbursement plan, which amounts, if any, are the sole responsibility of Executive.</w:t>
      </w:r>
    </w:p>
    <w:p>
      <w:pPr>
        <w:spacing w:after="0" w:line="170"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18"/>
          <w:szCs w:val="18"/>
          <w:b w:val="1"/>
          <w:bCs w:val="1"/>
          <w:color w:val="auto"/>
        </w:rPr>
        <w:t>Stock Awards</w:t>
      </w:r>
      <w:r>
        <w:rPr>
          <w:rFonts w:ascii="Arial" w:cs="Arial" w:eastAsia="Arial" w:hAnsi="Arial"/>
          <w:sz w:val="18"/>
          <w:szCs w:val="18"/>
          <w:color w:val="auto"/>
        </w:rPr>
        <w:t>. Upon a Covered Termination:</w:t>
      </w:r>
    </w:p>
    <w:p>
      <w:pPr>
        <w:spacing w:after="0" w:line="221" w:lineRule="exact"/>
        <w:rPr>
          <w:sz w:val="20"/>
          <w:szCs w:val="20"/>
          <w:color w:val="auto"/>
        </w:rPr>
      </w:pPr>
    </w:p>
    <w:p>
      <w:pPr>
        <w:jc w:val="both"/>
        <w:ind w:firstLine="1735"/>
        <w:spacing w:after="0" w:line="242" w:lineRule="auto"/>
        <w:tabs>
          <w:tab w:leader="none" w:pos="2528"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vesting and exercisability of all outstanding options to purchase the Company’s common stock (or stock appreciation rights or other rights with respect to the stock of the Company issued pursuant to any equity incentive plan of the Company) that are held by Executive on the Termination Date shall be accelerated as to the number of shares of common stock issuable upon exercise of such option (“</w:t>
      </w:r>
      <w:r>
        <w:rPr>
          <w:rFonts w:ascii="Arial" w:cs="Arial" w:eastAsia="Arial" w:hAnsi="Arial"/>
          <w:sz w:val="20"/>
          <w:szCs w:val="20"/>
          <w:b w:val="1"/>
          <w:bCs w:val="1"/>
          <w:i w:val="1"/>
          <w:iCs w:val="1"/>
          <w:color w:val="auto"/>
        </w:rPr>
        <w:t>Option Shares</w:t>
      </w:r>
      <w:r>
        <w:rPr>
          <w:rFonts w:ascii="Arial" w:cs="Arial" w:eastAsia="Arial" w:hAnsi="Arial"/>
          <w:sz w:val="20"/>
          <w:szCs w:val="20"/>
          <w:color w:val="auto"/>
        </w:rPr>
        <w:t>”) as equals the number of Option Shares as would otherwise vest during the twelve (12) month period following the Termination Date in accordance with the applicable options’ vesting schedule were the Executive to remain an employee of the Company during such twelve (12) month period (disregarding any other basis for acceleration of vesting of Option Shares during such twelve (12) month period);</w:t>
      </w:r>
    </w:p>
    <w:p>
      <w:pPr>
        <w:spacing w:after="0" w:line="197" w:lineRule="exact"/>
        <w:rPr>
          <w:rFonts w:ascii="Arial" w:cs="Arial" w:eastAsia="Arial" w:hAnsi="Arial"/>
          <w:sz w:val="20"/>
          <w:szCs w:val="20"/>
          <w:color w:val="auto"/>
        </w:rPr>
      </w:pPr>
    </w:p>
    <w:p>
      <w:pPr>
        <w:jc w:val="both"/>
        <w:ind w:firstLine="1735"/>
        <w:spacing w:after="0" w:line="256" w:lineRule="auto"/>
        <w:tabs>
          <w:tab w:leader="none" w:pos="2539" w:val="left"/>
        </w:tabs>
        <w:numPr>
          <w:ilvl w:val="0"/>
          <w:numId w:val="59"/>
        </w:numPr>
        <w:rPr>
          <w:rFonts w:ascii="Arial" w:cs="Arial" w:eastAsia="Arial" w:hAnsi="Arial"/>
          <w:sz w:val="19"/>
          <w:szCs w:val="19"/>
          <w:color w:val="auto"/>
        </w:rPr>
      </w:pPr>
      <w:r>
        <w:rPr>
          <w:rFonts w:ascii="Arial" w:cs="Arial" w:eastAsia="Arial" w:hAnsi="Arial"/>
          <w:sz w:val="19"/>
          <w:szCs w:val="19"/>
          <w:color w:val="auto"/>
        </w:rPr>
        <w:t>any reacquisition or repurchase rights held by the Company with respect to common stock issued or issuable (or with respect to other rights with respect to the stock of the Company issued or issuable) pursuant to any option to purchase the Company’s common stock (or stock appreciation rights or other rights with respect to the stock of the Company) (“</w:t>
      </w:r>
      <w:r>
        <w:rPr>
          <w:rFonts w:ascii="Arial" w:cs="Arial" w:eastAsia="Arial" w:hAnsi="Arial"/>
          <w:sz w:val="19"/>
          <w:szCs w:val="19"/>
          <w:b w:val="1"/>
          <w:bCs w:val="1"/>
          <w:i w:val="1"/>
          <w:iCs w:val="1"/>
          <w:color w:val="auto"/>
        </w:rPr>
        <w:t>Restricted Shares</w:t>
      </w:r>
      <w:r>
        <w:rPr>
          <w:rFonts w:ascii="Arial" w:cs="Arial" w:eastAsia="Arial" w:hAnsi="Arial"/>
          <w:sz w:val="19"/>
          <w:szCs w:val="19"/>
          <w:color w:val="auto"/>
        </w:rPr>
        <w:t>”) held by the Executive as of the Termination Date shall lapse as to the number of Restricted Shares as equals the number of Restricted Shares as to which such reacquisition or repurchase rights would otherwise lapse during the twelve (12) month period following the Termination Date in accordance with the option’s vesting schedule were the Executive to remain an employee of the Company during such twelve (12) month period (disregarding any other basis for acceleration of the lapsing of such reacquisition or repurchase rights on Restricted Shares during such twelve (12) month period); and</w:t>
      </w:r>
    </w:p>
    <w:p>
      <w:pPr>
        <w:spacing w:after="0" w:line="185" w:lineRule="exact"/>
        <w:rPr>
          <w:rFonts w:ascii="Arial" w:cs="Arial" w:eastAsia="Arial" w:hAnsi="Arial"/>
          <w:sz w:val="19"/>
          <w:szCs w:val="19"/>
          <w:color w:val="auto"/>
        </w:rPr>
      </w:pPr>
    </w:p>
    <w:p>
      <w:pPr>
        <w:jc w:val="both"/>
        <w:ind w:firstLine="1735"/>
        <w:spacing w:after="0" w:line="249" w:lineRule="auto"/>
        <w:tabs>
          <w:tab w:leader="none" w:pos="2528"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time period that Executive has to exercise any outstanding options to purchase the Company’s common stock that are held by Executive on the Termination Date shall be extended for a period equal to the shorter of (i) twelve (12) months or (ii) the remaining term of the outstanding option.</w:t>
      </w:r>
    </w:p>
    <w:p>
      <w:pPr>
        <w:spacing w:after="0" w:line="182"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ARTICLE 5</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LIMITATIONS AND CONDITIONS ON BENEFITS</w:t>
      </w:r>
    </w:p>
    <w:p>
      <w:pPr>
        <w:spacing w:after="0" w:line="215"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b w:val="1"/>
          <w:bCs w:val="1"/>
          <w:color w:val="auto"/>
        </w:rPr>
        <w:t>5.1 Rights Conditioned on Compliance</w:t>
      </w:r>
      <w:r>
        <w:rPr>
          <w:rFonts w:ascii="Arial" w:cs="Arial" w:eastAsia="Arial" w:hAnsi="Arial"/>
          <w:sz w:val="20"/>
          <w:szCs w:val="20"/>
          <w:color w:val="auto"/>
        </w:rPr>
        <w:t>. Executive’s rights to receive all severance benefits described in Article 3 and</w:t>
      </w:r>
      <w:r>
        <w:rPr>
          <w:rFonts w:ascii="Arial" w:cs="Arial" w:eastAsia="Arial" w:hAnsi="Arial"/>
          <w:sz w:val="20"/>
          <w:szCs w:val="20"/>
          <w:b w:val="1"/>
          <w:bCs w:val="1"/>
          <w:color w:val="auto"/>
        </w:rPr>
        <w:t xml:space="preserve"> </w:t>
      </w:r>
      <w:r>
        <w:rPr>
          <w:rFonts w:ascii="Arial" w:cs="Arial" w:eastAsia="Arial" w:hAnsi="Arial"/>
          <w:sz w:val="20"/>
          <w:szCs w:val="20"/>
          <w:color w:val="auto"/>
        </w:rPr>
        <w:t>Article 4 shall be conditioned upon and subject to Executive’s compliance with the limitations and conditions on benefits as described in this Article 5.</w:t>
      </w:r>
    </w:p>
    <w:p>
      <w:pPr>
        <w:spacing w:after="0" w:line="179" w:lineRule="exact"/>
        <w:rPr>
          <w:sz w:val="20"/>
          <w:szCs w:val="20"/>
          <w:color w:val="auto"/>
        </w:rPr>
      </w:pPr>
    </w:p>
    <w:p>
      <w:pPr>
        <w:jc w:val="both"/>
        <w:ind w:right="20" w:firstLine="864"/>
        <w:spacing w:after="0" w:line="266" w:lineRule="auto"/>
        <w:rPr>
          <w:sz w:val="20"/>
          <w:szCs w:val="20"/>
          <w:color w:val="auto"/>
        </w:rPr>
      </w:pPr>
      <w:r>
        <w:rPr>
          <w:rFonts w:ascii="Arial" w:cs="Arial" w:eastAsia="Arial" w:hAnsi="Arial"/>
          <w:sz w:val="20"/>
          <w:szCs w:val="20"/>
          <w:b w:val="1"/>
          <w:bCs w:val="1"/>
          <w:color w:val="auto"/>
        </w:rPr>
        <w:t>5.2 Continuation of Service Until Date of Termination</w:t>
      </w:r>
      <w:r>
        <w:rPr>
          <w:rFonts w:ascii="Arial" w:cs="Arial" w:eastAsia="Arial" w:hAnsi="Arial"/>
          <w:sz w:val="20"/>
          <w:szCs w:val="20"/>
          <w:color w:val="auto"/>
        </w:rPr>
        <w:t>. Executive shall continue to provide service to the Company in</w:t>
      </w:r>
      <w:r>
        <w:rPr>
          <w:rFonts w:ascii="Arial" w:cs="Arial" w:eastAsia="Arial" w:hAnsi="Arial"/>
          <w:sz w:val="20"/>
          <w:szCs w:val="20"/>
          <w:b w:val="1"/>
          <w:bCs w:val="1"/>
          <w:color w:val="auto"/>
        </w:rPr>
        <w:t xml:space="preserve"> </w:t>
      </w:r>
      <w:r>
        <w:rPr>
          <w:rFonts w:ascii="Arial" w:cs="Arial" w:eastAsia="Arial" w:hAnsi="Arial"/>
          <w:sz w:val="20"/>
          <w:szCs w:val="20"/>
          <w:color w:val="auto"/>
        </w:rPr>
        <w:t>good faith until the Termination Date, unless such performance is otherwise excused in writing by the Company.</w:t>
      </w:r>
    </w:p>
    <w:p>
      <w:pPr>
        <w:spacing w:after="0" w:line="164"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8"/>
          <w:szCs w:val="18"/>
          <w:b w:val="1"/>
          <w:bCs w:val="1"/>
          <w:color w:val="auto"/>
        </w:rPr>
        <w:t>5.3 Release Prior to Payment of Benefits</w:t>
      </w:r>
      <w:r>
        <w:rPr>
          <w:rFonts w:ascii="Arial" w:cs="Arial" w:eastAsia="Arial" w:hAnsi="Arial"/>
          <w:sz w:val="18"/>
          <w:szCs w:val="18"/>
          <w:color w:val="auto"/>
        </w:rPr>
        <w:t>. Upon the occurrence of a Change in Control Termination or a Covered</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as applicable, and prior to Executive earning any entitlement to any severance or separation benefits under this Agreement on account of such Change in Control Termination or Covered Termination, as applicable, Executive must execute the appropriate Release, and such Release must become effective in accordance with its terms, but in no event later than the Release Deadline Date. No amount shall be paid prior to such date. Instead, on the first regularly-scheduled payroll date occurring on or after the Release Deadline Date, the Company will pay Executive the severance amount that Executive would otherwise have received on or prior to such date but for the delay in payment related to the effectiveness of the Release, with the balance of the severance amount being paid as originally scheduled.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83" w:name="page84"/>
    <w:bookmarkEnd w:id="83"/>
    <w:p>
      <w:pPr>
        <w:jc w:val="both"/>
        <w:spacing w:after="0" w:line="271" w:lineRule="auto"/>
        <w:rPr>
          <w:sz w:val="20"/>
          <w:szCs w:val="20"/>
          <w:color w:val="auto"/>
        </w:rPr>
      </w:pPr>
      <w:r>
        <w:rPr>
          <w:rFonts w:ascii="Arial" w:cs="Arial" w:eastAsia="Arial" w:hAnsi="Arial"/>
          <w:sz w:val="18"/>
          <w:szCs w:val="18"/>
          <w:color w:val="auto"/>
        </w:rPr>
        <w:t>The Company may modify the Release in its discretion to comply with changes in applicable law at any time prior to Executive’s execution of such Release. Such Release shall specifically relate to all of Executive’s rights and claims in existence at the time of such execution and shall confirm Executive’s obligations under the Confidentiality Agreement and any similar obligations under applicable law. It is understood that, as specified in the applicable Release, Executive has a certain number of calendar days to consider whether to execute such Release. If Executive does not execute and deliver such Release within the applicable period, no benefits shall be provided or payable under this Agreement, and Executive shall have no further rights, title or interests in or to any severance benefits or payments pursuant to this Agreement. It is further understood that if Executive is age 40 or older at the time of a Change in Control Termination or a Covered Termination, as applicable, Executive may revoke the applicable Release within seven (7) calendar days after its execution by Executive. If Executive revokes such Release within such subsequent seven (7) day period, no benefits shall be provided or payable under this Agreement pursuant to such Change in Control Termination or Covered Termination, as applicable.</w:t>
      </w:r>
    </w:p>
    <w:p>
      <w:pPr>
        <w:spacing w:after="0" w:line="165"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8"/>
          <w:szCs w:val="18"/>
          <w:b w:val="1"/>
          <w:bCs w:val="1"/>
          <w:color w:val="auto"/>
        </w:rPr>
        <w:t>5.4 Return of Company Property</w:t>
      </w:r>
      <w:r>
        <w:rPr>
          <w:rFonts w:ascii="Arial" w:cs="Arial" w:eastAsia="Arial" w:hAnsi="Arial"/>
          <w:sz w:val="18"/>
          <w:szCs w:val="18"/>
          <w:color w:val="auto"/>
        </w:rPr>
        <w:t>. Not later than the Termination Date, Executive shall return to the Company all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 all copies thereof) and other property belonging to the Company that Executive has in his or her possession or control. The documents and property to be returned include, but are not limited to, all files, correspondence, email, memoranda, notes, notebooks, records, plans, forecasts, reports, studies, analyses, compilations of data, proposals, agreements, financial information, research and development information, marketing information, operational and personnel information, databases, computer-recorded information, tangible property and equipment (including, but not limited to, computers, facsimile machines, mobile telephones and servers), credit cards, entry cards, identification badges and keys, and any materials of any kind which contain or embody any proprietary or confidential information of the Company (and all reproductions thereof in whole or in part). Executive agrees to make a diligent search to locate any such documents, property and information. If Executive has used any personally owned computer, server or e-mail system to receive, store, review, prepare or transmit any Company confidential or proprietary data, materials or information, then within ten (10) business days after the Termination Date, Executive shall provide the Company with a computer-useable copy of all such information and then permanently delete and expunge such confidential or proprietary information from those systems. Executive agrees to provide the Company access to Executive’s system as requested to verify that the necessary copying and/or deletion is done.</w:t>
      </w:r>
    </w:p>
    <w:p>
      <w:pPr>
        <w:spacing w:after="0" w:line="169"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6"/>
          <w:szCs w:val="16"/>
          <w:b w:val="1"/>
          <w:bCs w:val="1"/>
          <w:color w:val="auto"/>
        </w:rPr>
        <w:t>Cooperation and Continued Compliance with Restrictive Covenants</w:t>
      </w:r>
      <w:r>
        <w:rPr>
          <w:rFonts w:ascii="Arial" w:cs="Arial" w:eastAsia="Arial" w:hAnsi="Arial"/>
          <w:sz w:val="16"/>
          <w:szCs w:val="16"/>
          <w:color w:val="auto"/>
        </w:rPr>
        <w:t>.</w:t>
      </w:r>
    </w:p>
    <w:p>
      <w:pPr>
        <w:spacing w:after="0" w:line="221" w:lineRule="exact"/>
        <w:rPr>
          <w:sz w:val="20"/>
          <w:szCs w:val="20"/>
          <w:color w:val="auto"/>
        </w:rPr>
      </w:pPr>
    </w:p>
    <w:p>
      <w:pPr>
        <w:jc w:val="both"/>
        <w:ind w:firstLine="1728"/>
        <w:spacing w:after="0" w:line="270" w:lineRule="auto"/>
        <w:rPr>
          <w:sz w:val="20"/>
          <w:szCs w:val="20"/>
          <w:color w:val="auto"/>
        </w:rPr>
      </w:pPr>
      <w:r>
        <w:rPr>
          <w:rFonts w:ascii="Arial" w:cs="Arial" w:eastAsia="Arial" w:hAnsi="Arial"/>
          <w:sz w:val="18"/>
          <w:szCs w:val="18"/>
          <w:color w:val="auto"/>
        </w:rPr>
        <w:t>a) From and after the Termination Date, Executive shall cooperate fully with the Company in connection with its actual or contemplated defense, prosecution or investigation of any existing or future litigation, arbitrations, mediations, claims, demands, audits, government or regulatory inquiries, or other matters arising from events, acts or failures to act that occurred during the time period in which Executive was employed by the Company (including any period of employment with an entity acquired by the Company). Such cooperation includes, without limitation, being available upon reasonable notice, without subpoena, to provide accurate and complete advice, assistance and information to the Company, including offering and explaining evidence, providing truthful and accurate sworn statements, and participating in discovery and trial preparation and testimony. Executive also agrees to promptly send the Company copies of all correspondence (for example, but not limited to, subpoenas) received by Executive in connection with any such legal proceedings, unless Executive is expressly prohibited by law from so doing. The Company will reimburse Executive for reasonable out-of-pocket expenses incurred in connection with any such cooperation (excluding foregone wages, salary or other compensation) within thirty (30) days of Executive’s timely presentation of appropriate documentation thereof, in accordance with the Company’s standard reimbursement policies and procedures, and will make reasonable efforts to accommodate Executive’s scheduling needs.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84" w:name="page85"/>
    <w:bookmarkEnd w:id="84"/>
    <w:p>
      <w:pPr>
        <w:jc w:val="both"/>
        <w:ind w:firstLine="1728"/>
        <w:spacing w:after="0" w:line="260" w:lineRule="auto"/>
        <w:rPr>
          <w:sz w:val="20"/>
          <w:szCs w:val="20"/>
          <w:color w:val="auto"/>
        </w:rPr>
      </w:pPr>
      <w:r>
        <w:rPr>
          <w:rFonts w:ascii="Arial" w:cs="Arial" w:eastAsia="Arial" w:hAnsi="Arial"/>
          <w:sz w:val="20"/>
          <w:szCs w:val="20"/>
          <w:color w:val="auto"/>
        </w:rPr>
        <w:t>b) From and after the Termination Date, Executive shall continue to abide by all of the terms and provisions of the Confidentiality Agreement (and any other comparable agreement signed by Executive), in accordance with its terms.</w:t>
      </w:r>
    </w:p>
    <w:p>
      <w:pPr>
        <w:spacing w:after="0" w:line="176" w:lineRule="exact"/>
        <w:rPr>
          <w:sz w:val="20"/>
          <w:szCs w:val="20"/>
          <w:color w:val="auto"/>
        </w:rPr>
      </w:pPr>
    </w:p>
    <w:p>
      <w:pPr>
        <w:ind w:left="1740"/>
        <w:spacing w:after="0"/>
        <w:tabs>
          <w:tab w:leader="none" w:pos="34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Executive acknowledges and agrees that Executive’s obligations under this Section 5.5 are an</w:t>
      </w:r>
    </w:p>
    <w:p>
      <w:pPr>
        <w:spacing w:after="0" w:line="38"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essential part of the consideration Executive is providing hereunder in exchange for which and in reliance upon which the Company has agreed to provide the payments and benefits under this Agreement. Executive further acknowledges and agrees that Executive’s violation of this Section 5.5 inevitably would involve use or disclosure of the Company’s proprietary and confidential information. Accordingly, Executive agrees that Executive will forfeit, effective as of the date of any breach, any right, entitlement, claim or interest in or to any unpaid portion of the severance payments or benefits provided in Article 3 or Article 4. If it is determined by a court of competent jurisdiction in any state that any restriction in this Section 5.5 is excessive in duration or scope or is unreasonable or unenforceable under the laws of that state, it is the intention of the parties that such restriction may be modified or amended by the court to render it enforceable to the maximum extent permitted by the law of that state.</w:t>
      </w:r>
    </w:p>
    <w:p>
      <w:pPr>
        <w:spacing w:after="0" w:line="178"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6"/>
          <w:szCs w:val="16"/>
          <w:b w:val="1"/>
          <w:bCs w:val="1"/>
          <w:color w:val="auto"/>
        </w:rPr>
        <w:t>Parachute Payments</w:t>
      </w:r>
      <w:r>
        <w:rPr>
          <w:rFonts w:ascii="Arial" w:cs="Arial" w:eastAsia="Arial" w:hAnsi="Arial"/>
          <w:sz w:val="16"/>
          <w:szCs w:val="16"/>
          <w:color w:val="auto"/>
        </w:rPr>
        <w:t>.</w:t>
      </w:r>
    </w:p>
    <w:p>
      <w:pPr>
        <w:spacing w:after="0" w:line="215" w:lineRule="exact"/>
        <w:rPr>
          <w:sz w:val="20"/>
          <w:szCs w:val="20"/>
          <w:color w:val="auto"/>
        </w:rPr>
      </w:pPr>
    </w:p>
    <w:p>
      <w:pPr>
        <w:jc w:val="both"/>
        <w:ind w:firstLine="1735"/>
        <w:spacing w:after="0" w:line="278" w:lineRule="auto"/>
        <w:tabs>
          <w:tab w:leader="none" w:pos="2528" w:val="left"/>
        </w:tabs>
        <w:numPr>
          <w:ilvl w:val="1"/>
          <w:numId w:val="60"/>
        </w:numPr>
        <w:rPr>
          <w:rFonts w:ascii="Arial" w:cs="Arial" w:eastAsia="Arial" w:hAnsi="Arial"/>
          <w:sz w:val="18"/>
          <w:szCs w:val="18"/>
          <w:color w:val="auto"/>
        </w:rPr>
      </w:pPr>
      <w:r>
        <w:rPr>
          <w:rFonts w:ascii="Arial" w:cs="Arial" w:eastAsia="Arial" w:hAnsi="Arial"/>
          <w:sz w:val="18"/>
          <w:szCs w:val="18"/>
          <w:b w:val="1"/>
          <w:bCs w:val="1"/>
          <w:color w:val="auto"/>
        </w:rPr>
        <w:t>Parachute Payment Limitation</w:t>
      </w:r>
      <w:r>
        <w:rPr>
          <w:rFonts w:ascii="Arial" w:cs="Arial" w:eastAsia="Arial" w:hAnsi="Arial"/>
          <w:sz w:val="18"/>
          <w:szCs w:val="18"/>
          <w:color w:val="auto"/>
        </w:rPr>
        <w:t>. If any payment or benefit (including payments and benefits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Executive would receive in connection with a Change in Control from the Company or otherwise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would</w:t>
      </w:r>
    </w:p>
    <w:p>
      <w:pPr>
        <w:jc w:val="both"/>
        <w:ind w:firstLine="8"/>
        <w:spacing w:after="0" w:line="268" w:lineRule="auto"/>
        <w:tabs>
          <w:tab w:leader="none" w:pos="241"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constitute a “parachute payment” within the meaning of Section 280G of the Code, and (ii) but for this paragraph, be subject to the excise tax imposed by Section 4999 of the Code (the “</w:t>
      </w:r>
      <w:r>
        <w:rPr>
          <w:rFonts w:ascii="Arial" w:cs="Arial" w:eastAsia="Arial" w:hAnsi="Arial"/>
          <w:sz w:val="18"/>
          <w:szCs w:val="18"/>
          <w:b w:val="1"/>
          <w:bCs w:val="1"/>
          <w:i w:val="1"/>
          <w:iCs w:val="1"/>
          <w:color w:val="auto"/>
        </w:rPr>
        <w:t>Excise Tax</w:t>
      </w:r>
      <w:r>
        <w:rPr>
          <w:rFonts w:ascii="Arial" w:cs="Arial" w:eastAsia="Arial" w:hAnsi="Arial"/>
          <w:sz w:val="18"/>
          <w:szCs w:val="18"/>
          <w:color w:val="auto"/>
        </w:rPr>
        <w:t>”), then the Company shall cause to be determined, before any amounts of the Payment are paid to Executive, which of the following two alternative forms of payment shall be paid to Executive: (A) payment in full of the entire amount of the Payment (a “</w:t>
      </w:r>
      <w:r>
        <w:rPr>
          <w:rFonts w:ascii="Arial" w:cs="Arial" w:eastAsia="Arial" w:hAnsi="Arial"/>
          <w:sz w:val="18"/>
          <w:szCs w:val="18"/>
          <w:b w:val="1"/>
          <w:bCs w:val="1"/>
          <w:i w:val="1"/>
          <w:iCs w:val="1"/>
          <w:color w:val="auto"/>
        </w:rPr>
        <w:t>Full Payment</w:t>
      </w:r>
      <w:r>
        <w:rPr>
          <w:rFonts w:ascii="Arial" w:cs="Arial" w:eastAsia="Arial" w:hAnsi="Arial"/>
          <w:sz w:val="18"/>
          <w:szCs w:val="18"/>
          <w:color w:val="auto"/>
        </w:rPr>
        <w:t>”), or (B) payment of only a part of the Payment so that Executive receives the largest payment possible without the imposition of the Excise Tax (a “</w:t>
      </w:r>
      <w:r>
        <w:rPr>
          <w:rFonts w:ascii="Arial" w:cs="Arial" w:eastAsia="Arial" w:hAnsi="Arial"/>
          <w:sz w:val="18"/>
          <w:szCs w:val="18"/>
          <w:b w:val="1"/>
          <w:bCs w:val="1"/>
          <w:i w:val="1"/>
          <w:iCs w:val="1"/>
          <w:color w:val="auto"/>
        </w:rPr>
        <w:t>Reduced Payment</w:t>
      </w:r>
      <w:r>
        <w:rPr>
          <w:rFonts w:ascii="Arial" w:cs="Arial" w:eastAsia="Arial" w:hAnsi="Arial"/>
          <w:sz w:val="18"/>
          <w:szCs w:val="18"/>
          <w:color w:val="auto"/>
        </w:rPr>
        <w:t>”). A Full Payment shall be made in the event that the amount received by Executive on a net after-tax basis is greater than what would be received by Executive on a net after-tax basis if the Reduced Payment were made, otherwise a Reduced Payment shall be made. If a Reduced Payment is made, (i) the Payment shall be paid only to the extent permitted under the Reduced Payment alternative, and Executive shall have no rights to any additional payments and/or benefits constituting the Payment, and (ii) reduction in payments and/or benefits shall occur in the following order: (A) reduction of cash payments; (B) cancellation of accelerated vesting of equity awards other than stock options; (C) cancellation of accelerated vesting of stock options; and (D) reduction of other benefits paid to Executive. In the event that acceleration of compensation from Executive’s equity awards is to be reduced, such acceleration of vesting shall be canceled in the reverse order of the date of grant.</w:t>
      </w:r>
    </w:p>
    <w:p>
      <w:pPr>
        <w:spacing w:after="0" w:line="177" w:lineRule="exact"/>
        <w:rPr>
          <w:sz w:val="20"/>
          <w:szCs w:val="20"/>
          <w:color w:val="auto"/>
        </w:rPr>
      </w:pPr>
    </w:p>
    <w:p>
      <w:pPr>
        <w:jc w:val="both"/>
        <w:ind w:firstLine="1728"/>
        <w:spacing w:after="0" w:line="258" w:lineRule="auto"/>
        <w:rPr>
          <w:sz w:val="20"/>
          <w:szCs w:val="20"/>
          <w:color w:val="auto"/>
        </w:rPr>
      </w:pPr>
      <w:r>
        <w:rPr>
          <w:rFonts w:ascii="Arial" w:cs="Arial" w:eastAsia="Arial" w:hAnsi="Arial"/>
          <w:sz w:val="19"/>
          <w:szCs w:val="19"/>
          <w:color w:val="auto"/>
        </w:rPr>
        <w:t>b) The independent registered public accounting firm engaged by the Company for general audit purposes as of the day prior to the effective date of the Change in Control shall make all determinations required to be made under this Section 5.6. If the independent registered public accounting firm so engaged by the Company is serving as accountant or auditor for the individual, entity or group effecting the Change in Control, the Company shall appoint a nationally recognized independent registered public accounting firm to make the determinations required hereunder. The Company shall bear all expenses with respect to the determinations by such independent registered public accounting firm required to be made hereunder.</w:t>
      </w:r>
    </w:p>
    <w:p>
      <w:pPr>
        <w:spacing w:after="0" w:line="182" w:lineRule="exact"/>
        <w:rPr>
          <w:sz w:val="20"/>
          <w:szCs w:val="20"/>
          <w:color w:val="auto"/>
        </w:rPr>
      </w:pPr>
    </w:p>
    <w:p>
      <w:pPr>
        <w:jc w:val="both"/>
        <w:ind w:firstLine="1728"/>
        <w:spacing w:after="0" w:line="247" w:lineRule="auto"/>
        <w:rPr>
          <w:sz w:val="20"/>
          <w:szCs w:val="20"/>
          <w:color w:val="auto"/>
        </w:rPr>
      </w:pPr>
      <w:r>
        <w:rPr>
          <w:rFonts w:ascii="Arial" w:cs="Arial" w:eastAsia="Arial" w:hAnsi="Arial"/>
          <w:sz w:val="20"/>
          <w:szCs w:val="20"/>
          <w:color w:val="auto"/>
        </w:rPr>
        <w:t>c) The independent registered public accounting firm engaged to make the determinations hereunder shall provide its calculations, together with detailed supporting documentation, to the Company and Executive within fifteen</w:t>
      </w:r>
    </w:p>
    <w:p>
      <w:pPr>
        <w:spacing w:after="0" w:line="1" w:lineRule="exact"/>
        <w:rPr>
          <w:sz w:val="20"/>
          <w:szCs w:val="20"/>
          <w:color w:val="auto"/>
        </w:rPr>
      </w:pPr>
    </w:p>
    <w:p>
      <w:pPr>
        <w:jc w:val="both"/>
        <w:ind w:firstLine="8"/>
        <w:spacing w:after="0" w:line="241" w:lineRule="auto"/>
        <w:tabs>
          <w:tab w:leader="none" w:pos="3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calendar days after the date on which Executive’s right to a Payment is triggered (if requested at that time by the Company or Executive) or such other time as requested by the Company or Executive. If the independent registered public accounting firm determines that no Excise Tax</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85" w:name="page86"/>
    <w:bookmarkEnd w:id="85"/>
    <w:p>
      <w:pPr>
        <w:jc w:val="both"/>
        <w:spacing w:after="0" w:line="290" w:lineRule="auto"/>
        <w:rPr>
          <w:sz w:val="20"/>
          <w:szCs w:val="20"/>
          <w:color w:val="auto"/>
        </w:rPr>
      </w:pPr>
      <w:r>
        <w:rPr>
          <w:rFonts w:ascii="Arial" w:cs="Arial" w:eastAsia="Arial" w:hAnsi="Arial"/>
          <w:sz w:val="18"/>
          <w:szCs w:val="18"/>
          <w:color w:val="auto"/>
        </w:rPr>
        <w:t>is payable with respect to a Payment, either before or after the application of the Reduced Amount, it shall furnish the Company and Executive with an opinion reasonably acceptable to Executive that no Excise Tax will be imposed with respect to such Payment. Any good faith determinations of the accounting firm made hereunder shall be final, binding and conclusive upon the Company and Executive.</w:t>
      </w:r>
    </w:p>
    <w:p>
      <w:pPr>
        <w:spacing w:after="0" w:line="14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5.7 Certain Reductions and Offsets</w:t>
      </w:r>
      <w:r>
        <w:rPr>
          <w:rFonts w:ascii="Arial" w:cs="Arial" w:eastAsia="Arial" w:hAnsi="Arial"/>
          <w:sz w:val="20"/>
          <w:szCs w:val="20"/>
          <w:color w:val="auto"/>
        </w:rPr>
        <w:t>. To the extent that any federal, state or local laws, including, without limitation, the</w:t>
      </w:r>
      <w:r>
        <w:rPr>
          <w:rFonts w:ascii="Arial" w:cs="Arial" w:eastAsia="Arial" w:hAnsi="Arial"/>
          <w:sz w:val="20"/>
          <w:szCs w:val="20"/>
          <w:b w:val="1"/>
          <w:bCs w:val="1"/>
          <w:color w:val="auto"/>
        </w:rPr>
        <w:t xml:space="preserve"> </w:t>
      </w:r>
      <w:r>
        <w:rPr>
          <w:rFonts w:ascii="Arial" w:cs="Arial" w:eastAsia="Arial" w:hAnsi="Arial"/>
          <w:sz w:val="20"/>
          <w:szCs w:val="20"/>
          <w:color w:val="auto"/>
        </w:rPr>
        <w:t>Worker Adjustment and Retraining Notification Act or any other so-called “plant closing” laws, require the Company to give advance notice or make a payment of any kind to Executive because of Executive’s involuntary termination due to a layoff, reduction in force, plant or facility closing, sale of business, change in control or any other similar event or reason, the benefits payable under this Agreement shall be correspondingly reduced. The benefits provided under this Agreement are intended to satisfy any and all statutory obligations that may arise out of Executive’s involuntary termination of employment for the foregoing reasons, and the parties shall construe and enforce the terms of this Agreement accordingly.</w:t>
      </w:r>
    </w:p>
    <w:p>
      <w:pPr>
        <w:spacing w:after="0" w:line="190"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5.8 Mitigation</w:t>
      </w:r>
      <w:r>
        <w:rPr>
          <w:rFonts w:ascii="Arial" w:cs="Arial" w:eastAsia="Arial" w:hAnsi="Arial"/>
          <w:sz w:val="20"/>
          <w:szCs w:val="20"/>
          <w:color w:val="auto"/>
        </w:rPr>
        <w:t>. Except as otherwise specifically provided herein, Executive shall not be required to mitigate damages or</w:t>
      </w:r>
      <w:r>
        <w:rPr>
          <w:rFonts w:ascii="Arial" w:cs="Arial" w:eastAsia="Arial" w:hAnsi="Arial"/>
          <w:sz w:val="20"/>
          <w:szCs w:val="20"/>
          <w:b w:val="1"/>
          <w:bCs w:val="1"/>
          <w:color w:val="auto"/>
        </w:rPr>
        <w:t xml:space="preserve"> </w:t>
      </w:r>
      <w:r>
        <w:rPr>
          <w:rFonts w:ascii="Arial" w:cs="Arial" w:eastAsia="Arial" w:hAnsi="Arial"/>
          <w:sz w:val="20"/>
          <w:szCs w:val="20"/>
          <w:color w:val="auto"/>
        </w:rPr>
        <w:t>the amount of any payment provided under this Agreement by seeking other employment or otherwise, nor shall the amount of any payment provided for under this Agreement be reduced by any compensation earned by Executive as a result of employment by another employer or by any retirement benefits received by Executive after the date of a Change in Control Termination or Covered Termination (except as expressly provided in Sections 3.3 and 4.3 above).</w:t>
      </w:r>
    </w:p>
    <w:p>
      <w:pPr>
        <w:spacing w:after="0" w:line="183"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b w:val="1"/>
          <w:bCs w:val="1"/>
          <w:color w:val="auto"/>
        </w:rPr>
        <w:t>5.9 Indebtedness of Executive</w:t>
      </w:r>
      <w:r>
        <w:rPr>
          <w:rFonts w:ascii="Arial" w:cs="Arial" w:eastAsia="Arial" w:hAnsi="Arial"/>
          <w:sz w:val="20"/>
          <w:szCs w:val="20"/>
          <w:color w:val="auto"/>
        </w:rPr>
        <w:t>. If Executive is indebted to the Company on the effective date of a Change in Control</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or Covered Termination, the Company reserves the right to offset any severance payments and benefits under this Agreement by the amount of such indebtedness.</w:t>
      </w:r>
    </w:p>
    <w:p>
      <w:pPr>
        <w:spacing w:after="0" w:line="179"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5.10</w:t>
      </w:r>
      <w:r>
        <w:rPr>
          <w:sz w:val="20"/>
          <w:szCs w:val="20"/>
          <w:color w:val="auto"/>
        </w:rPr>
        <w:tab/>
      </w:r>
      <w:r>
        <w:rPr>
          <w:rFonts w:ascii="Arial" w:cs="Arial" w:eastAsia="Arial" w:hAnsi="Arial"/>
          <w:sz w:val="16"/>
          <w:szCs w:val="16"/>
          <w:b w:val="1"/>
          <w:bCs w:val="1"/>
          <w:color w:val="auto"/>
        </w:rPr>
        <w:t>Application of Section 409A</w:t>
      </w:r>
      <w:r>
        <w:rPr>
          <w:rFonts w:ascii="Arial" w:cs="Arial" w:eastAsia="Arial" w:hAnsi="Arial"/>
          <w:sz w:val="16"/>
          <w:szCs w:val="16"/>
          <w:color w:val="auto"/>
        </w:rPr>
        <w:t>.</w:t>
      </w:r>
    </w:p>
    <w:p>
      <w:pPr>
        <w:spacing w:after="0" w:line="215" w:lineRule="exact"/>
        <w:rPr>
          <w:sz w:val="20"/>
          <w:szCs w:val="20"/>
          <w:color w:val="auto"/>
        </w:rPr>
      </w:pPr>
    </w:p>
    <w:p>
      <w:pPr>
        <w:jc w:val="both"/>
        <w:ind w:firstLine="1735"/>
        <w:spacing w:after="0" w:line="272" w:lineRule="auto"/>
        <w:tabs>
          <w:tab w:leader="none" w:pos="2276"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Separation from Service</w:t>
      </w:r>
      <w:r>
        <w:rPr>
          <w:rFonts w:ascii="Arial" w:cs="Arial" w:eastAsia="Arial" w:hAnsi="Arial"/>
          <w:sz w:val="18"/>
          <w:szCs w:val="18"/>
          <w:color w:val="auto"/>
        </w:rPr>
        <w:t>. Notwithstanding any provision to the contrary in this Agreement, no amount deemed</w:t>
      </w:r>
      <w:r>
        <w:rPr>
          <w:rFonts w:ascii="Arial" w:cs="Arial" w:eastAsia="Arial" w:hAnsi="Arial"/>
          <w:sz w:val="18"/>
          <w:szCs w:val="18"/>
          <w:b w:val="1"/>
          <w:bCs w:val="1"/>
          <w:color w:val="auto"/>
        </w:rPr>
        <w:t xml:space="preserve"> </w:t>
      </w:r>
      <w:r>
        <w:rPr>
          <w:rFonts w:ascii="Arial" w:cs="Arial" w:eastAsia="Arial" w:hAnsi="Arial"/>
          <w:sz w:val="18"/>
          <w:szCs w:val="18"/>
          <w:color w:val="auto"/>
        </w:rPr>
        <w:t>deferred compensation subject to Section 409A of the Code shall be payable pursuant to Article 3 or Article 4 unless Executive’s termination of employment constitutes a “separation from service” with the Company within the meaning of Section 409A of the Code and the Department of Treasury Regulations and other guidance promulgated thereunder and, except as provided under Section 5.10(b) hereof, any such amount shall not be paid, or in the case of installments, commence payment, until the first regularly-scheduled payroll date occurring on or after the sixtieth (60</w:t>
      </w:r>
      <w:r>
        <w:rPr>
          <w:rFonts w:ascii="Arial" w:cs="Arial" w:eastAsia="Arial" w:hAnsi="Arial"/>
          <w:sz w:val="14"/>
          <w:szCs w:val="14"/>
          <w:color w:val="auto"/>
        </w:rPr>
        <w:t>th</w:t>
      </w:r>
      <w:r>
        <w:rPr>
          <w:rFonts w:ascii="Arial" w:cs="Arial" w:eastAsia="Arial" w:hAnsi="Arial"/>
          <w:sz w:val="18"/>
          <w:szCs w:val="18"/>
          <w:color w:val="auto"/>
        </w:rPr>
        <w:t>) day following Executive’s separation from service. Any installment payments that would have been made to Executive during the sixty (60) day period immediately following Executive’s separation from service but for the preceding sentence shall be paid to Executive on the first regularly-scheduled payroll date occurring on or after the sixtieth (60</w:t>
      </w:r>
      <w:r>
        <w:rPr>
          <w:rFonts w:ascii="Arial" w:cs="Arial" w:eastAsia="Arial" w:hAnsi="Arial"/>
          <w:sz w:val="14"/>
          <w:szCs w:val="14"/>
          <w:color w:val="auto"/>
        </w:rPr>
        <w:t>th</w:t>
      </w:r>
      <w:r>
        <w:rPr>
          <w:rFonts w:ascii="Arial" w:cs="Arial" w:eastAsia="Arial" w:hAnsi="Arial"/>
          <w:sz w:val="18"/>
          <w:szCs w:val="18"/>
          <w:color w:val="auto"/>
        </w:rPr>
        <w:t>) day after Executive’s separation from service and the remaining payments shall be made as provided in this Agreement.</w:t>
      </w:r>
    </w:p>
    <w:p>
      <w:pPr>
        <w:spacing w:after="0" w:line="167" w:lineRule="exact"/>
        <w:rPr>
          <w:rFonts w:ascii="Arial" w:cs="Arial" w:eastAsia="Arial" w:hAnsi="Arial"/>
          <w:sz w:val="18"/>
          <w:szCs w:val="18"/>
          <w:color w:val="auto"/>
        </w:rPr>
      </w:pPr>
    </w:p>
    <w:p>
      <w:pPr>
        <w:jc w:val="both"/>
        <w:ind w:firstLine="1735"/>
        <w:spacing w:after="0" w:line="275" w:lineRule="auto"/>
        <w:tabs>
          <w:tab w:leader="none" w:pos="2288"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Specified Executive</w:t>
      </w:r>
      <w:r>
        <w:rPr>
          <w:rFonts w:ascii="Arial" w:cs="Arial" w:eastAsia="Arial" w:hAnsi="Arial"/>
          <w:sz w:val="18"/>
          <w:szCs w:val="18"/>
          <w:color w:val="auto"/>
        </w:rPr>
        <w:t>. Notwithstanding any provision to the contrary in this Agreement, if Executive is deemed</w:t>
      </w:r>
      <w:r>
        <w:rPr>
          <w:rFonts w:ascii="Arial" w:cs="Arial" w:eastAsia="Arial" w:hAnsi="Arial"/>
          <w:sz w:val="18"/>
          <w:szCs w:val="18"/>
          <w:b w:val="1"/>
          <w:bCs w:val="1"/>
          <w:color w:val="auto"/>
        </w:rPr>
        <w:t xml:space="preserve"> </w:t>
      </w:r>
      <w:r>
        <w:rPr>
          <w:rFonts w:ascii="Arial" w:cs="Arial" w:eastAsia="Arial" w:hAnsi="Arial"/>
          <w:sz w:val="18"/>
          <w:szCs w:val="18"/>
          <w:color w:val="auto"/>
        </w:rPr>
        <w:t>at the time of his or her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(i) the expiration of the six (6)-month period measured from the date of Executive’s “separation from service” with the Company (as such term is defined in the Treasury Regulations issued under Section 409A of the Code) or (ii) the date of Executive’s death. Upon the first business day following the expiration of the applicable Code Section 409A(a)(2)(B)(i) period,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86" w:name="page87"/>
    <w:bookmarkEnd w:id="86"/>
    <w:p>
      <w:pPr>
        <w:ind w:right="20"/>
        <w:spacing w:after="0" w:line="260" w:lineRule="auto"/>
        <w:rPr>
          <w:sz w:val="20"/>
          <w:szCs w:val="20"/>
          <w:color w:val="auto"/>
        </w:rPr>
      </w:pPr>
      <w:r>
        <w:rPr>
          <w:rFonts w:ascii="Arial" w:cs="Arial" w:eastAsia="Arial" w:hAnsi="Arial"/>
          <w:sz w:val="20"/>
          <w:szCs w:val="20"/>
          <w:color w:val="auto"/>
        </w:rPr>
        <w:t>all payments deferred pursuant to this Section 5.10(b) shall be paid in a lump sum to Executive, and any remaining payments due under this Agreement shall be paid as otherwise provided herein.</w:t>
      </w:r>
    </w:p>
    <w:p>
      <w:pPr>
        <w:spacing w:after="0" w:line="170" w:lineRule="exact"/>
        <w:rPr>
          <w:sz w:val="20"/>
          <w:szCs w:val="20"/>
          <w:color w:val="auto"/>
        </w:rPr>
      </w:pPr>
    </w:p>
    <w:p>
      <w:pPr>
        <w:jc w:val="both"/>
        <w:ind w:firstLine="1735"/>
        <w:spacing w:after="0" w:line="262" w:lineRule="auto"/>
        <w:tabs>
          <w:tab w:leader="none" w:pos="2276" w:val="left"/>
        </w:tabs>
        <w:numPr>
          <w:ilvl w:val="0"/>
          <w:numId w:val="64"/>
        </w:numPr>
        <w:rPr>
          <w:rFonts w:ascii="Arial" w:cs="Arial" w:eastAsia="Arial" w:hAnsi="Arial"/>
          <w:sz w:val="19"/>
          <w:szCs w:val="19"/>
          <w:color w:val="auto"/>
        </w:rPr>
      </w:pPr>
      <w:r>
        <w:rPr>
          <w:rFonts w:ascii="Arial" w:cs="Arial" w:eastAsia="Arial" w:hAnsi="Arial"/>
          <w:sz w:val="19"/>
          <w:szCs w:val="19"/>
          <w:b w:val="1"/>
          <w:bCs w:val="1"/>
          <w:color w:val="auto"/>
        </w:rPr>
        <w:t>Expense Reimbursements</w:t>
      </w:r>
      <w:r>
        <w:rPr>
          <w:rFonts w:ascii="Arial" w:cs="Arial" w:eastAsia="Arial" w:hAnsi="Arial"/>
          <w:sz w:val="19"/>
          <w:szCs w:val="19"/>
          <w:color w:val="auto"/>
        </w:rPr>
        <w:t>. To the extent that any reimbursement payable pursuant to this Agreement is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to the provisions of Section 409A of the Code, any such reimbursement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69" w:lineRule="exact"/>
        <w:rPr>
          <w:rFonts w:ascii="Arial" w:cs="Arial" w:eastAsia="Arial" w:hAnsi="Arial"/>
          <w:sz w:val="19"/>
          <w:szCs w:val="19"/>
          <w:color w:val="auto"/>
        </w:rPr>
      </w:pPr>
    </w:p>
    <w:p>
      <w:pPr>
        <w:jc w:val="both"/>
        <w:ind w:firstLine="1735"/>
        <w:spacing w:after="0" w:line="248" w:lineRule="auto"/>
        <w:tabs>
          <w:tab w:leader="none" w:pos="2288"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Installments</w:t>
      </w:r>
      <w:r>
        <w:rPr>
          <w:rFonts w:ascii="Arial" w:cs="Arial" w:eastAsia="Arial" w:hAnsi="Arial"/>
          <w:sz w:val="20"/>
          <w:szCs w:val="20"/>
          <w:color w:val="auto"/>
        </w:rPr>
        <w:t>. For purposes of Section 409A of the Code (including, without limitation, for purposes of</w:t>
      </w:r>
      <w:r>
        <w:rPr>
          <w:rFonts w:ascii="Arial" w:cs="Arial" w:eastAsia="Arial" w:hAnsi="Arial"/>
          <w:sz w:val="20"/>
          <w:szCs w:val="20"/>
          <w:b w:val="1"/>
          <w:bCs w:val="1"/>
          <w:color w:val="auto"/>
        </w:rPr>
        <w:t xml:space="preserve"> </w:t>
      </w:r>
      <w:r>
        <w:rPr>
          <w:rFonts w:ascii="Arial" w:cs="Arial" w:eastAsia="Arial" w:hAnsi="Arial"/>
          <w:sz w:val="20"/>
          <w:szCs w:val="20"/>
          <w:color w:val="auto"/>
        </w:rPr>
        <w:t>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182"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20"/>
          <w:szCs w:val="20"/>
          <w:b w:val="1"/>
          <w:bCs w:val="1"/>
          <w:color w:val="auto"/>
        </w:rPr>
        <w:t>5.11 Tax Withholding</w:t>
      </w:r>
      <w:r>
        <w:rPr>
          <w:rFonts w:ascii="Arial" w:cs="Arial" w:eastAsia="Arial" w:hAnsi="Arial"/>
          <w:sz w:val="20"/>
          <w:szCs w:val="20"/>
          <w:color w:val="auto"/>
        </w:rPr>
        <w:t>. All payments under this Agreement shall be subject to applicable withholding for federal, state and</w:t>
      </w:r>
      <w:r>
        <w:rPr>
          <w:rFonts w:ascii="Arial" w:cs="Arial" w:eastAsia="Arial" w:hAnsi="Arial"/>
          <w:sz w:val="20"/>
          <w:szCs w:val="20"/>
          <w:b w:val="1"/>
          <w:bCs w:val="1"/>
          <w:color w:val="auto"/>
        </w:rPr>
        <w:t xml:space="preserve"> </w:t>
      </w:r>
      <w:r>
        <w:rPr>
          <w:rFonts w:ascii="Arial" w:cs="Arial" w:eastAsia="Arial" w:hAnsi="Arial"/>
          <w:sz w:val="20"/>
          <w:szCs w:val="20"/>
          <w:color w:val="auto"/>
        </w:rPr>
        <w:t>local income and employment taxes.</w:t>
      </w:r>
    </w:p>
    <w:p>
      <w:pPr>
        <w:spacing w:after="0" w:line="164" w:lineRule="exact"/>
        <w:rPr>
          <w:sz w:val="20"/>
          <w:szCs w:val="20"/>
          <w:color w:val="auto"/>
        </w:rPr>
      </w:pPr>
    </w:p>
    <w:p>
      <w:pPr>
        <w:jc w:val="both"/>
        <w:ind w:firstLine="864"/>
        <w:spacing w:after="0" w:line="252" w:lineRule="auto"/>
        <w:rPr>
          <w:sz w:val="20"/>
          <w:szCs w:val="20"/>
          <w:color w:val="auto"/>
        </w:rPr>
      </w:pPr>
      <w:r>
        <w:rPr>
          <w:rFonts w:ascii="Arial" w:cs="Arial" w:eastAsia="Arial" w:hAnsi="Arial"/>
          <w:sz w:val="20"/>
          <w:szCs w:val="20"/>
          <w:b w:val="1"/>
          <w:bCs w:val="1"/>
          <w:color w:val="auto"/>
        </w:rPr>
        <w:t xml:space="preserve">5.12 No Duplication of Severance Benefits. </w:t>
      </w:r>
      <w:r>
        <w:rPr>
          <w:rFonts w:ascii="Arial" w:cs="Arial" w:eastAsia="Arial" w:hAnsi="Arial"/>
          <w:sz w:val="20"/>
          <w:szCs w:val="20"/>
          <w:color w:val="auto"/>
        </w:rPr>
        <w:t>The severance and other benefits provided in Article 3 and Article 4 are</w:t>
      </w:r>
      <w:r>
        <w:rPr>
          <w:rFonts w:ascii="Arial" w:cs="Arial" w:eastAsia="Arial" w:hAnsi="Arial"/>
          <w:sz w:val="20"/>
          <w:szCs w:val="20"/>
          <w:b w:val="1"/>
          <w:bCs w:val="1"/>
          <w:color w:val="auto"/>
        </w:rPr>
        <w:t xml:space="preserve"> </w:t>
      </w:r>
      <w:r>
        <w:rPr>
          <w:rFonts w:ascii="Arial" w:cs="Arial" w:eastAsia="Arial" w:hAnsi="Arial"/>
          <w:sz w:val="20"/>
          <w:szCs w:val="20"/>
          <w:color w:val="auto"/>
        </w:rPr>
        <w:t>mutually exclusive of each other, and in no event shall Executive receive any severance or other benefits pursuant to both Article 3 and Article 4.</w:t>
      </w:r>
    </w:p>
    <w:p>
      <w:pPr>
        <w:spacing w:after="0" w:line="179"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ARTICLE 6</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TERMINATION WITH CAUSE OR BY VOLUNTARY RESIGNATION;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RIGHTS AND BENEFITS</w:t>
      </w:r>
    </w:p>
    <w:p>
      <w:pPr>
        <w:spacing w:after="0" w:line="193"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b w:val="1"/>
          <w:bCs w:val="1"/>
          <w:color w:val="auto"/>
        </w:rPr>
        <w:t>6.1 Termination for Cause by the Company</w:t>
      </w:r>
      <w:r>
        <w:rPr>
          <w:rFonts w:ascii="Arial" w:cs="Arial" w:eastAsia="Arial" w:hAnsi="Arial"/>
          <w:sz w:val="19"/>
          <w:szCs w:val="19"/>
          <w:color w:val="auto"/>
        </w:rPr>
        <w:t>. If the Company shall terminate the Executive’s employment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for Cause, then upon such termination, the Company shall have no further obligation to Executive hereunder except for the payment or provision, as applicable, of (a) the portion of the Annual Base Salary for the period prior to the effective date of termination earned but unpaid (if any), (b) all unreimbursed expenses (if any), subject to Sections 2.4 and 5.10(c), and (c) other payments, entitlements or benefits, if any, in accordance with terms of the applicable plans, programs, arrangements or other agreements of the Company (other than any severance plan or policy) as to which the Executive held rights to such payments, entitlements or benefits, whether as a participant, beneficiary or otherwise on the date of termination (“</w:t>
      </w:r>
      <w:r>
        <w:rPr>
          <w:rFonts w:ascii="Arial" w:cs="Arial" w:eastAsia="Arial" w:hAnsi="Arial"/>
          <w:sz w:val="19"/>
          <w:szCs w:val="19"/>
          <w:b w:val="1"/>
          <w:bCs w:val="1"/>
          <w:i w:val="1"/>
          <w:iCs w:val="1"/>
          <w:color w:val="auto"/>
        </w:rPr>
        <w:t>Other Benefits</w:t>
      </w:r>
      <w:r>
        <w:rPr>
          <w:rFonts w:ascii="Arial" w:cs="Arial" w:eastAsia="Arial" w:hAnsi="Arial"/>
          <w:sz w:val="19"/>
          <w:szCs w:val="19"/>
          <w:color w:val="auto"/>
        </w:rPr>
        <w:t>”). For the avoidance of doubt, Executive shall have no right to receive (and Other Benefits shall not include) any amounts under any Company severance plan or policy or pursuant to Article 3 or Article 4 upon Executive’s termination for Cause.</w:t>
      </w:r>
    </w:p>
    <w:p>
      <w:pPr>
        <w:spacing w:after="0" w:line="181"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6.2 Termination by Voluntary Resignation by the Executive (other than Resignation for Good Reason)</w:t>
      </w:r>
      <w:r>
        <w:rPr>
          <w:rFonts w:ascii="Arial" w:cs="Arial" w:eastAsia="Arial" w:hAnsi="Arial"/>
          <w:sz w:val="20"/>
          <w:szCs w:val="20"/>
          <w:color w:val="auto"/>
        </w:rPr>
        <w:t>. Upon any</w:t>
      </w:r>
      <w:r>
        <w:rPr>
          <w:rFonts w:ascii="Arial" w:cs="Arial" w:eastAsia="Arial" w:hAnsi="Arial"/>
          <w:sz w:val="20"/>
          <w:szCs w:val="20"/>
          <w:b w:val="1"/>
          <w:bCs w:val="1"/>
          <w:color w:val="auto"/>
        </w:rPr>
        <w:t xml:space="preserve"> </w:t>
      </w:r>
      <w:r>
        <w:rPr>
          <w:rFonts w:ascii="Arial" w:cs="Arial" w:eastAsia="Arial" w:hAnsi="Arial"/>
          <w:sz w:val="20"/>
          <w:szCs w:val="20"/>
          <w:color w:val="auto"/>
        </w:rPr>
        <w:t>voluntary resignation by Executive that is not a Resignation for Good Reason, the Company shall have no further obligation to the Executive hereunder except for the payment of (a) the portion of the Annual Base Salary for the period prior to the effective date of termination earned but unpaid (if any), (b) all unreimbursed expenses (if any), subject to Sections 2.4 and 5.10(c), and (c) the payment or provision of any Other Benefits. For the avoidance of doubt, Executive shall have no right to receive (and Other Benefits shall not include) any amounts under any Company severance plan or policy or pursuant to Article 3 or Article 4 upon any voluntary resignation by Executive that is not a Resignation for Good Reason.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87" w:name="page88"/>
    <w:bookmarkEnd w:id="87"/>
    <w:p>
      <w:pPr>
        <w:jc w:val="both"/>
        <w:ind w:firstLine="864"/>
        <w:spacing w:after="0" w:line="243" w:lineRule="auto"/>
        <w:rPr>
          <w:sz w:val="20"/>
          <w:szCs w:val="20"/>
          <w:color w:val="auto"/>
        </w:rPr>
      </w:pPr>
      <w:r>
        <w:rPr>
          <w:rFonts w:ascii="Arial" w:cs="Arial" w:eastAsia="Arial" w:hAnsi="Arial"/>
          <w:sz w:val="20"/>
          <w:szCs w:val="20"/>
          <w:b w:val="1"/>
          <w:bCs w:val="1"/>
          <w:color w:val="auto"/>
        </w:rPr>
        <w:t xml:space="preserve">6.3 Other Rights and Benefits. </w:t>
      </w:r>
      <w:r>
        <w:rPr>
          <w:rFonts w:ascii="Arial" w:cs="Arial" w:eastAsia="Arial" w:hAnsi="Arial"/>
          <w:sz w:val="20"/>
          <w:szCs w:val="20"/>
          <w:color w:val="auto"/>
        </w:rPr>
        <w:t>Nothing in this Agreement shall prevent or limit Executive’s continuing or future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any benefit, bonus, incentive or other plans, programs, policies or practices provided by the Company and for which Executive may otherwise qualify, nor shall anything herein limit or otherwise affect such rights as Executive may have under other agreements with the Company except as provided in Article 2, Article 5, Section 6.1 and Section 6.2 above. Except as otherwise expressly provided herein, amounts that are vested benefits or that Executive is otherwise entitled to receive under any plan, policy, practice or program of the Company at or subsequent to the date of a Change in Control shall be payable in accordance with such plan, policy, practice or program.</w:t>
      </w:r>
    </w:p>
    <w:p>
      <w:pPr>
        <w:spacing w:after="0" w:line="190"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ARTICLE 7</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2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Unless otherwise provided, for purposes of this Agreement, the following definitions shall apply:</w:t>
      </w:r>
    </w:p>
    <w:p>
      <w:pPr>
        <w:spacing w:after="0" w:line="209"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15"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8"/>
          <w:szCs w:val="18"/>
          <w:b w:val="1"/>
          <w:bCs w:val="1"/>
          <w:color w:val="auto"/>
        </w:rPr>
        <w:t xml:space="preserve">7.2 </w:t>
      </w: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upon a reasonable determination by the Company, Executive’s: (a) dishonest statements or acts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Company, any subsidiary or any affiliate of the Company or any subsidiary; (b) commission by or indictment for (i) a felony or</w:t>
      </w:r>
    </w:p>
    <w:p>
      <w:pPr>
        <w:spacing w:after="0" w:line="1" w:lineRule="exact"/>
        <w:rPr>
          <w:sz w:val="20"/>
          <w:szCs w:val="20"/>
          <w:color w:val="auto"/>
        </w:rPr>
      </w:pPr>
    </w:p>
    <w:p>
      <w:pPr>
        <w:jc w:val="both"/>
        <w:ind w:firstLine="8"/>
        <w:spacing w:after="0" w:line="239" w:lineRule="auto"/>
        <w:tabs>
          <w:tab w:leader="none" w:pos="322"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misdemeanor (excluding minor traffic violations) involving moral turpitude, deceit, dishonesty or fraud (“indictment,” for these purposes, meaning an indictment, probable cause hearing or any other procedure pursuant to which an initial determination of probable or reasonable cause with respect to such offense is made); (c) gross negligence, willful misconduct or insubordination with respect to the Company, any subsidiary or any affiliate of the Company or any subsidiary; (d) material breach of any of Executive’s obligations under any agreement to which Executive and the Company or any subsidiary are a party; or (e) death or disability. With respect to clause (d), Executive will be given notice and a 30-day period in which to cure such breach, only to the extent such breach can be reasonably expected to be able to be cured within such period. Executive agrees that the breach of any confidentiality obligation to the Company or any subsidiary shall not be curable to any extent.</w:t>
      </w:r>
    </w:p>
    <w:p>
      <w:pPr>
        <w:spacing w:after="0" w:line="195" w:lineRule="exact"/>
        <w:rPr>
          <w:sz w:val="20"/>
          <w:szCs w:val="20"/>
          <w:color w:val="auto"/>
        </w:rPr>
      </w:pPr>
    </w:p>
    <w:p>
      <w:pPr>
        <w:ind w:firstLine="864"/>
        <w:spacing w:after="0" w:line="266" w:lineRule="auto"/>
        <w:rPr>
          <w:sz w:val="20"/>
          <w:szCs w:val="20"/>
          <w:color w:val="auto"/>
        </w:rPr>
      </w:pPr>
      <w:r>
        <w:rPr>
          <w:rFonts w:ascii="Arial" w:cs="Arial" w:eastAsia="Arial" w:hAnsi="Arial"/>
          <w:sz w:val="20"/>
          <w:szCs w:val="20"/>
          <w:b w:val="1"/>
          <w:bCs w:val="1"/>
          <w:color w:val="auto"/>
        </w:rPr>
        <w:t xml:space="preserve">7.3 </w:t>
      </w: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means the occurrence, in a single transaction or in a series of related transactions, of any one or</w:t>
      </w:r>
      <w:r>
        <w:rPr>
          <w:rFonts w:ascii="Arial" w:cs="Arial" w:eastAsia="Arial" w:hAnsi="Arial"/>
          <w:sz w:val="20"/>
          <w:szCs w:val="20"/>
          <w:b w:val="1"/>
          <w:bCs w:val="1"/>
          <w:color w:val="auto"/>
        </w:rPr>
        <w:t xml:space="preserve"> </w:t>
      </w:r>
      <w:r>
        <w:rPr>
          <w:rFonts w:ascii="Arial" w:cs="Arial" w:eastAsia="Arial" w:hAnsi="Arial"/>
          <w:sz w:val="20"/>
          <w:szCs w:val="20"/>
          <w:color w:val="auto"/>
        </w:rPr>
        <w:t>more of the following events:</w:t>
      </w:r>
    </w:p>
    <w:p>
      <w:pPr>
        <w:spacing w:after="0" w:line="170" w:lineRule="exact"/>
        <w:rPr>
          <w:sz w:val="20"/>
          <w:szCs w:val="20"/>
          <w:color w:val="auto"/>
        </w:rPr>
      </w:pPr>
    </w:p>
    <w:p>
      <w:pPr>
        <w:jc w:val="both"/>
        <w:ind w:firstLine="1735"/>
        <w:spacing w:after="0" w:line="268" w:lineRule="auto"/>
        <w:tabs>
          <w:tab w:leader="none" w:pos="2276"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natural person, entity or group within the meaning of Section 13(d) or 14(d) of the Securities Exchange Act of 1934, as amended (“</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(i) on account of the acquisition of securities of the Company by any institutional investor, any affiliate thereof or any other Exchange Act Person that acquires the Company’s securities in a transaction or series of related transactions that are primarily a private financing transaction for the Company or</w:t>
      </w:r>
    </w:p>
    <w:p>
      <w:pPr>
        <w:spacing w:after="0" w:line="4" w:lineRule="exact"/>
        <w:rPr>
          <w:rFonts w:ascii="Arial" w:cs="Arial" w:eastAsia="Arial" w:hAnsi="Arial"/>
          <w:sz w:val="18"/>
          <w:szCs w:val="18"/>
          <w:color w:val="auto"/>
        </w:rPr>
      </w:pPr>
    </w:p>
    <w:p>
      <w:pPr>
        <w:jc w:val="both"/>
        <w:ind w:firstLine="8"/>
        <w:spacing w:after="0" w:line="312" w:lineRule="auto"/>
        <w:tabs>
          <w:tab w:leader="none" w:pos="324" w:val="left"/>
        </w:tabs>
        <w:numPr>
          <w:ilvl w:val="0"/>
          <w:numId w:val="67"/>
        </w:numPr>
        <w:rPr>
          <w:rFonts w:ascii="Arial" w:cs="Arial" w:eastAsia="Arial" w:hAnsi="Arial"/>
          <w:sz w:val="16"/>
          <w:szCs w:val="16"/>
          <w:color w:val="auto"/>
        </w:rPr>
      </w:pPr>
      <w:r>
        <w:rPr>
          <w:rFonts w:ascii="Arial" w:cs="Arial" w:eastAsia="Arial" w:hAnsi="Arial"/>
          <w:sz w:val="16"/>
          <w:szCs w:val="16"/>
          <w:color w:val="auto"/>
        </w:rPr>
        <w:t>solely because the level of ownership held by any Exchange Act Person (the “</w:t>
      </w:r>
      <w:r>
        <w:rPr>
          <w:rFonts w:ascii="Arial" w:cs="Arial" w:eastAsia="Arial" w:hAnsi="Arial"/>
          <w:sz w:val="16"/>
          <w:szCs w:val="16"/>
          <w:b w:val="1"/>
          <w:bCs w:val="1"/>
          <w:i w:val="1"/>
          <w:iCs w:val="1"/>
          <w:color w:val="auto"/>
        </w:rPr>
        <w:t>Subject Person</w:t>
      </w:r>
      <w:r>
        <w:rPr>
          <w:rFonts w:ascii="Arial" w:cs="Arial" w:eastAsia="Arial" w:hAnsi="Arial"/>
          <w:sz w:val="16"/>
          <w:szCs w:val="16"/>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88" w:name="page89"/>
    <w:bookmarkEnd w:id="88"/>
    <w:p>
      <w:pPr>
        <w:jc w:val="both"/>
        <w:ind w:firstLine="1735"/>
        <w:spacing w:after="0" w:line="243" w:lineRule="auto"/>
        <w:tabs>
          <w:tab w:leader="none" w:pos="2288"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There is consummated a merger, consolidation or similar transaction involving, directly or indirectly, the Company if, immediately after the consummation of such merger, consolidation or similar transaction, the stockholders of the Company immediately prior thereto do not own, directly or indirectly, either (i) outstanding voting securities representing more than fifty percent (50%) of the combined outstanding voting power of the surviving entity in such merger, consolidation or similar transaction or (ii) more than fifty percent (50%) of the combined outstanding voting power of the parent of the surviving entity in such merger, consolidation or similar transaction;</w:t>
      </w:r>
    </w:p>
    <w:p>
      <w:pPr>
        <w:spacing w:after="0" w:line="194" w:lineRule="exact"/>
        <w:rPr>
          <w:rFonts w:ascii="Arial" w:cs="Arial" w:eastAsia="Arial" w:hAnsi="Arial"/>
          <w:sz w:val="20"/>
          <w:szCs w:val="20"/>
          <w:color w:val="auto"/>
        </w:rPr>
      </w:pPr>
    </w:p>
    <w:p>
      <w:pPr>
        <w:ind w:right="20" w:firstLine="1735"/>
        <w:spacing w:after="0" w:line="260" w:lineRule="auto"/>
        <w:tabs>
          <w:tab w:leader="none" w:pos="2276"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stockholders of the Company approve or the Board approves a plan of complete dissolution or liquidation of the Company, or a complete dissolution or liquidation of the Company shall otherwise occur; or</w:t>
      </w:r>
    </w:p>
    <w:p>
      <w:pPr>
        <w:spacing w:after="0" w:line="175" w:lineRule="exact"/>
        <w:rPr>
          <w:rFonts w:ascii="Arial" w:cs="Arial" w:eastAsia="Arial" w:hAnsi="Arial"/>
          <w:sz w:val="20"/>
          <w:szCs w:val="20"/>
          <w:color w:val="auto"/>
        </w:rPr>
      </w:pPr>
    </w:p>
    <w:p>
      <w:pPr>
        <w:jc w:val="both"/>
        <w:ind w:firstLine="1735"/>
        <w:spacing w:after="0" w:line="244" w:lineRule="auto"/>
        <w:tabs>
          <w:tab w:leader="none" w:pos="2288"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There is consummated a sale, lease,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 as their ownership of the Company immediately prior to such sale, lease, license or other disposition.</w:t>
      </w:r>
    </w:p>
    <w:p>
      <w:pPr>
        <w:spacing w:after="0" w:line="193" w:lineRule="exact"/>
        <w:rPr>
          <w:sz w:val="20"/>
          <w:szCs w:val="20"/>
          <w:color w:val="auto"/>
        </w:rPr>
      </w:pPr>
    </w:p>
    <w:p>
      <w:pPr>
        <w:jc w:val="both"/>
        <w:ind w:firstLine="972"/>
        <w:spacing w:after="0" w:line="278" w:lineRule="auto"/>
        <w:rPr>
          <w:sz w:val="20"/>
          <w:szCs w:val="20"/>
          <w:color w:val="auto"/>
        </w:rPr>
      </w:pPr>
      <w:r>
        <w:rPr>
          <w:rFonts w:ascii="Arial" w:cs="Arial" w:eastAsia="Arial" w:hAnsi="Arial"/>
          <w:sz w:val="18"/>
          <w:szCs w:val="18"/>
          <w:color w:val="auto"/>
        </w:rPr>
        <w:t>The term Change in Control shall not include a sale of assets, merger or other transaction effected exclusively for the purpose of changing the domicile of the Company. Notwithstanding the foregoing or any other provision of this Agreement, the definition of Change in Control (or any analogous term) in an individual written agreement between the Company or any affiliate and the participant shall supersede the foregoing definition with respect to stock awards subject to such agreement (it being understood, however, that if no definition of Change in Control or any analogous term is set forth in such an individual written agreement, the foregoing definition shall apply).</w:t>
      </w:r>
    </w:p>
    <w:p>
      <w:pPr>
        <w:spacing w:after="0" w:line="157"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 Benefits Period</w:t>
      </w:r>
      <w:r>
        <w:rPr>
          <w:rFonts w:ascii="Arial" w:cs="Arial" w:eastAsia="Arial" w:hAnsi="Arial"/>
          <w:sz w:val="16"/>
          <w:szCs w:val="16"/>
          <w:color w:val="auto"/>
        </w:rPr>
        <w:t>” means the period of twelve (12) months commencing on the Termination Date.</w:t>
      </w:r>
    </w:p>
    <w:p>
      <w:pPr>
        <w:spacing w:after="0" w:line="215"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7.5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 Severance Period</w:t>
      </w:r>
      <w:r>
        <w:rPr>
          <w:rFonts w:ascii="Arial" w:cs="Arial" w:eastAsia="Arial" w:hAnsi="Arial"/>
          <w:sz w:val="16"/>
          <w:szCs w:val="16"/>
          <w:color w:val="auto"/>
        </w:rPr>
        <w:t>” means the period of twelve (12) months commencing on the Termination Date.</w:t>
      </w:r>
    </w:p>
    <w:p>
      <w:pPr>
        <w:spacing w:after="0" w:line="215"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7.6 </w:t>
      </w: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 Termination</w:t>
      </w:r>
      <w:r>
        <w:rPr>
          <w:rFonts w:ascii="Arial" w:cs="Arial" w:eastAsia="Arial" w:hAnsi="Arial"/>
          <w:sz w:val="20"/>
          <w:szCs w:val="20"/>
          <w:color w:val="auto"/>
        </w:rPr>
        <w:t>” means an “</w:t>
      </w:r>
      <w:r>
        <w:rPr>
          <w:rFonts w:ascii="Arial" w:cs="Arial" w:eastAsia="Arial" w:hAnsi="Arial"/>
          <w:sz w:val="20"/>
          <w:szCs w:val="20"/>
          <w:b w:val="1"/>
          <w:bCs w:val="1"/>
          <w:i w:val="1"/>
          <w:iCs w:val="1"/>
          <w:color w:val="auto"/>
        </w:rPr>
        <w:t>Involuntary Termination Without Cause</w:t>
      </w:r>
      <w:r>
        <w:rPr>
          <w:rFonts w:ascii="Arial" w:cs="Arial" w:eastAsia="Arial" w:hAnsi="Arial"/>
          <w:sz w:val="20"/>
          <w:szCs w:val="20"/>
          <w:color w:val="auto"/>
        </w:rPr>
        <w:t>” or “</w:t>
      </w:r>
      <w:r>
        <w:rPr>
          <w:rFonts w:ascii="Arial" w:cs="Arial" w:eastAsia="Arial" w:hAnsi="Arial"/>
          <w:sz w:val="20"/>
          <w:szCs w:val="20"/>
          <w:b w:val="1"/>
          <w:bCs w:val="1"/>
          <w:i w:val="1"/>
          <w:iCs w:val="1"/>
          <w:color w:val="auto"/>
        </w:rPr>
        <w:t>Resignation for Good</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Reason</w:t>
      </w:r>
      <w:r>
        <w:rPr>
          <w:rFonts w:ascii="Arial" w:cs="Arial" w:eastAsia="Arial" w:hAnsi="Arial"/>
          <w:sz w:val="20"/>
          <w:szCs w:val="20"/>
          <w:i w:val="1"/>
          <w:iCs w:val="1"/>
          <w:color w:val="auto"/>
        </w:rPr>
        <w:t>,</w:t>
      </w:r>
      <w:r>
        <w:rPr>
          <w:rFonts w:ascii="Arial" w:cs="Arial" w:eastAsia="Arial" w:hAnsi="Arial"/>
          <w:sz w:val="20"/>
          <w:szCs w:val="20"/>
          <w:color w:val="auto"/>
        </w:rPr>
        <w:t>” either of which occurs on, or within three (3) months prior to, or within twelve (12) months following, the effective date of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Change in Control, provided that any such termination is a “separation from service” within the meaning of Treasury Regulation Section 1.409A-1(h). Death and disability shall not be deemed Change in Control Terminations.</w:t>
      </w:r>
    </w:p>
    <w:p>
      <w:pPr>
        <w:spacing w:after="0" w:line="182"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7.7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means the Consolidated Omnibus Budget Reconciliation Act of 1985, as amended.</w:t>
      </w:r>
    </w:p>
    <w:p>
      <w:pPr>
        <w:spacing w:after="0" w:line="215" w:lineRule="exact"/>
        <w:rPr>
          <w:sz w:val="20"/>
          <w:szCs w:val="20"/>
          <w:color w:val="auto"/>
        </w:rPr>
      </w:pPr>
    </w:p>
    <w:p>
      <w:pPr>
        <w:ind w:left="880"/>
        <w:spacing w:after="0"/>
        <w:tabs>
          <w:tab w:leader="none" w:pos="1740" w:val="left"/>
        </w:tabs>
        <w:rPr>
          <w:sz w:val="20"/>
          <w:szCs w:val="20"/>
          <w:color w:val="auto"/>
        </w:rPr>
      </w:pPr>
      <w:r>
        <w:rPr>
          <w:rFonts w:ascii="Arial" w:cs="Arial" w:eastAsia="Arial" w:hAnsi="Arial"/>
          <w:sz w:val="20"/>
          <w:szCs w:val="20"/>
          <w:b w:val="1"/>
          <w:bCs w:val="1"/>
          <w:color w:val="auto"/>
        </w:rPr>
        <w:t>7.8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w:t>
      </w:r>
    </w:p>
    <w:p>
      <w:pPr>
        <w:spacing w:after="0" w:line="21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20"/>
          <w:szCs w:val="20"/>
          <w:b w:val="1"/>
          <w:bCs w:val="1"/>
          <w:color w:val="auto"/>
        </w:rPr>
        <w:t xml:space="preserve">7.9 </w:t>
      </w:r>
      <w:r>
        <w:rPr>
          <w:rFonts w:ascii="Arial" w:cs="Arial" w:eastAsia="Arial" w:hAnsi="Arial"/>
          <w:sz w:val="20"/>
          <w:szCs w:val="20"/>
          <w:color w:val="auto"/>
        </w:rPr>
        <w:t>“</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means Syndax Pharmaceuticals, Inc. or, following a Change in Control, the surviving entity resulting from</w:t>
      </w:r>
      <w:r>
        <w:rPr>
          <w:rFonts w:ascii="Arial" w:cs="Arial" w:eastAsia="Arial" w:hAnsi="Arial"/>
          <w:sz w:val="20"/>
          <w:szCs w:val="20"/>
          <w:b w:val="1"/>
          <w:bCs w:val="1"/>
          <w:color w:val="auto"/>
        </w:rPr>
        <w:t xml:space="preserve"> </w:t>
      </w:r>
      <w:r>
        <w:rPr>
          <w:rFonts w:ascii="Arial" w:cs="Arial" w:eastAsia="Arial" w:hAnsi="Arial"/>
          <w:sz w:val="20"/>
          <w:szCs w:val="20"/>
          <w:color w:val="auto"/>
        </w:rPr>
        <w:t>such transaction, or any subsequent surviving entity resulting from any subsequent Change in Control.</w:t>
      </w:r>
    </w:p>
    <w:p>
      <w:pPr>
        <w:spacing w:after="0" w:line="164"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20"/>
          <w:szCs w:val="20"/>
          <w:b w:val="1"/>
          <w:bCs w:val="1"/>
          <w:color w:val="auto"/>
        </w:rPr>
        <w:t xml:space="preserve">7.10 </w:t>
      </w:r>
      <w:r>
        <w:rPr>
          <w:rFonts w:ascii="Arial" w:cs="Arial" w:eastAsia="Arial" w:hAnsi="Arial"/>
          <w:sz w:val="20"/>
          <w:szCs w:val="20"/>
          <w:color w:val="auto"/>
        </w:rPr>
        <w:t>“</w:t>
      </w:r>
      <w:r>
        <w:rPr>
          <w:rFonts w:ascii="Arial" w:cs="Arial" w:eastAsia="Arial" w:hAnsi="Arial"/>
          <w:sz w:val="20"/>
          <w:szCs w:val="20"/>
          <w:b w:val="1"/>
          <w:bCs w:val="1"/>
          <w:i w:val="1"/>
          <w:iCs w:val="1"/>
          <w:color w:val="auto"/>
        </w:rPr>
        <w:t>Confidentiality Agreement</w:t>
      </w:r>
      <w:r>
        <w:rPr>
          <w:rFonts w:ascii="Arial" w:cs="Arial" w:eastAsia="Arial" w:hAnsi="Arial"/>
          <w:sz w:val="20"/>
          <w:szCs w:val="20"/>
          <w:color w:val="auto"/>
        </w:rPr>
        <w:t>” means Executive’s Assignment of Developments, Non-Disclosure, and Non-Solicitation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with the Company (or any successor agreement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89" w:name="page90"/>
    <w:bookmarkEnd w:id="89"/>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7.11 </w:t>
      </w:r>
      <w:r>
        <w:rPr>
          <w:rFonts w:ascii="Arial" w:cs="Arial" w:eastAsia="Arial" w:hAnsi="Arial"/>
          <w:sz w:val="20"/>
          <w:szCs w:val="20"/>
          <w:color w:val="auto"/>
        </w:rPr>
        <w:t>“</w:t>
      </w:r>
      <w:r>
        <w:rPr>
          <w:rFonts w:ascii="Arial" w:cs="Arial" w:eastAsia="Arial" w:hAnsi="Arial"/>
          <w:sz w:val="20"/>
          <w:szCs w:val="20"/>
          <w:b w:val="1"/>
          <w:bCs w:val="1"/>
          <w:i w:val="1"/>
          <w:iCs w:val="1"/>
          <w:color w:val="auto"/>
        </w:rPr>
        <w:t>Covered Termination</w:t>
      </w:r>
      <w:r>
        <w:rPr>
          <w:rFonts w:ascii="Arial" w:cs="Arial" w:eastAsia="Arial" w:hAnsi="Arial"/>
          <w:sz w:val="20"/>
          <w:szCs w:val="20"/>
          <w:color w:val="auto"/>
        </w:rPr>
        <w:t>” means an “</w:t>
      </w:r>
      <w:r>
        <w:rPr>
          <w:rFonts w:ascii="Arial" w:cs="Arial" w:eastAsia="Arial" w:hAnsi="Arial"/>
          <w:sz w:val="20"/>
          <w:szCs w:val="20"/>
          <w:b w:val="1"/>
          <w:bCs w:val="1"/>
          <w:i w:val="1"/>
          <w:iCs w:val="1"/>
          <w:color w:val="auto"/>
        </w:rPr>
        <w:t>Involuntary Termination Without Cause</w:t>
      </w:r>
      <w:r>
        <w:rPr>
          <w:rFonts w:ascii="Arial" w:cs="Arial" w:eastAsia="Arial" w:hAnsi="Arial"/>
          <w:sz w:val="20"/>
          <w:szCs w:val="20"/>
          <w:color w:val="auto"/>
        </w:rPr>
        <w:t>” or “</w:t>
      </w:r>
      <w:r>
        <w:rPr>
          <w:rFonts w:ascii="Arial" w:cs="Arial" w:eastAsia="Arial" w:hAnsi="Arial"/>
          <w:sz w:val="20"/>
          <w:szCs w:val="20"/>
          <w:b w:val="1"/>
          <w:bCs w:val="1"/>
          <w:i w:val="1"/>
          <w:iCs w:val="1"/>
          <w:color w:val="auto"/>
        </w:rPr>
        <w:t>Resignation for Good Reason</w:t>
      </w:r>
      <w:r>
        <w:rPr>
          <w:rFonts w:ascii="Arial" w:cs="Arial" w:eastAsia="Arial" w:hAnsi="Arial"/>
          <w:sz w:val="20"/>
          <w:szCs w:val="20"/>
          <w:i w:val="1"/>
          <w:iCs w:val="1"/>
          <w:color w:val="auto"/>
        </w:rPr>
        <w: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that any such termination is a “separation from service” within the meaning of Treasury Regulation Section 1.409A-1(h). Death and disability shall not be deemed Covered Terminations. If an Involuntary Termination Without Cause or Resignation for Good Reason qualifies as a Change in Control Termination, it shall not constitute a Covered Termination.</w:t>
      </w:r>
    </w:p>
    <w:p>
      <w:pPr>
        <w:spacing w:after="0" w:line="182"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Covered Termination Benefits Period</w:t>
      </w:r>
      <w:r>
        <w:rPr>
          <w:rFonts w:ascii="Arial" w:cs="Arial" w:eastAsia="Arial" w:hAnsi="Arial"/>
          <w:sz w:val="16"/>
          <w:szCs w:val="16"/>
          <w:color w:val="auto"/>
        </w:rPr>
        <w:t>” means the period of nine (9) months commencing on the Termination Date.</w:t>
      </w:r>
    </w:p>
    <w:p>
      <w:pPr>
        <w:spacing w:after="0" w:line="215"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7.13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Covered Termination Severance Period</w:t>
      </w:r>
      <w:r>
        <w:rPr>
          <w:rFonts w:ascii="Arial" w:cs="Arial" w:eastAsia="Arial" w:hAnsi="Arial"/>
          <w:sz w:val="16"/>
          <w:szCs w:val="16"/>
          <w:color w:val="auto"/>
        </w:rPr>
        <w:t>” means the period of nine (9) months commencing on the Termination Date.</w:t>
      </w:r>
    </w:p>
    <w:p>
      <w:pPr>
        <w:spacing w:after="0" w:line="21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20"/>
          <w:szCs w:val="20"/>
          <w:b w:val="1"/>
          <w:bCs w:val="1"/>
          <w:color w:val="auto"/>
        </w:rPr>
        <w:t xml:space="preserve">7.14 </w:t>
      </w:r>
      <w:r>
        <w:rPr>
          <w:rFonts w:ascii="Arial" w:cs="Arial" w:eastAsia="Arial" w:hAnsi="Arial"/>
          <w:sz w:val="20"/>
          <w:szCs w:val="20"/>
          <w:color w:val="auto"/>
        </w:rPr>
        <w:t>“</w:t>
      </w:r>
      <w:r>
        <w:rPr>
          <w:rFonts w:ascii="Arial" w:cs="Arial" w:eastAsia="Arial" w:hAnsi="Arial"/>
          <w:sz w:val="20"/>
          <w:szCs w:val="20"/>
          <w:b w:val="1"/>
          <w:bCs w:val="1"/>
          <w:i w:val="1"/>
          <w:iCs w:val="1"/>
          <w:color w:val="auto"/>
        </w:rPr>
        <w:t>Involuntary Termination Without Cause</w:t>
      </w:r>
      <w:r>
        <w:rPr>
          <w:rFonts w:ascii="Arial" w:cs="Arial" w:eastAsia="Arial" w:hAnsi="Arial"/>
          <w:sz w:val="20"/>
          <w:szCs w:val="20"/>
          <w:color w:val="auto"/>
        </w:rPr>
        <w:t>” means Executive’s dismissal or discharge by the Company for reasons</w:t>
      </w:r>
      <w:r>
        <w:rPr>
          <w:rFonts w:ascii="Arial" w:cs="Arial" w:eastAsia="Arial" w:hAnsi="Arial"/>
          <w:sz w:val="20"/>
          <w:szCs w:val="20"/>
          <w:b w:val="1"/>
          <w:bCs w:val="1"/>
          <w:color w:val="auto"/>
        </w:rPr>
        <w:t xml:space="preserve"> </w:t>
      </w:r>
      <w:r>
        <w:rPr>
          <w:rFonts w:ascii="Arial" w:cs="Arial" w:eastAsia="Arial" w:hAnsi="Arial"/>
          <w:sz w:val="20"/>
          <w:szCs w:val="20"/>
          <w:color w:val="auto"/>
        </w:rPr>
        <w:t>other than Cause and other than as a result of death or disability.</w:t>
      </w:r>
    </w:p>
    <w:p>
      <w:pPr>
        <w:spacing w:after="0" w:line="16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 xml:space="preserve">7.15 </w:t>
      </w:r>
      <w:r>
        <w:rPr>
          <w:rFonts w:ascii="Arial" w:cs="Arial" w:eastAsia="Arial" w:hAnsi="Arial"/>
          <w:sz w:val="20"/>
          <w:szCs w:val="20"/>
          <w:color w:val="auto"/>
        </w:rPr>
        <w:t>“</w:t>
      </w:r>
      <w:r>
        <w:rPr>
          <w:rFonts w:ascii="Arial" w:cs="Arial" w:eastAsia="Arial" w:hAnsi="Arial"/>
          <w:sz w:val="20"/>
          <w:szCs w:val="20"/>
          <w:b w:val="1"/>
          <w:bCs w:val="1"/>
          <w:i w:val="1"/>
          <w:iCs w:val="1"/>
          <w:color w:val="auto"/>
        </w:rPr>
        <w:t>Monthly Base Salary</w:t>
      </w:r>
      <w:r>
        <w:rPr>
          <w:rFonts w:ascii="Arial" w:cs="Arial" w:eastAsia="Arial" w:hAnsi="Arial"/>
          <w:sz w:val="20"/>
          <w:szCs w:val="20"/>
          <w:color w:val="auto"/>
        </w:rPr>
        <w:t>” means 1/12</w:t>
      </w:r>
      <w:r>
        <w:rPr>
          <w:rFonts w:ascii="Arial" w:cs="Arial" w:eastAsia="Arial" w:hAnsi="Arial"/>
          <w:sz w:val="16"/>
          <w:szCs w:val="16"/>
          <w:color w:val="auto"/>
        </w:rPr>
        <w:t>th</w:t>
      </w:r>
      <w:r>
        <w:rPr>
          <w:rFonts w:ascii="Arial" w:cs="Arial" w:eastAsia="Arial" w:hAnsi="Arial"/>
          <w:sz w:val="20"/>
          <w:szCs w:val="20"/>
          <w:b w:val="1"/>
          <w:bCs w:val="1"/>
          <w:color w:val="auto"/>
        </w:rPr>
        <w:t xml:space="preserve"> </w:t>
      </w:r>
      <w:r>
        <w:rPr>
          <w:rFonts w:ascii="Arial" w:cs="Arial" w:eastAsia="Arial" w:hAnsi="Arial"/>
          <w:sz w:val="20"/>
          <w:szCs w:val="20"/>
          <w:color w:val="auto"/>
        </w:rPr>
        <w:t>of the greater of (i) Executive’s annual base salary (excluding incentive pay,</w:t>
      </w:r>
      <w:r>
        <w:rPr>
          <w:rFonts w:ascii="Arial" w:cs="Arial" w:eastAsia="Arial" w:hAnsi="Arial"/>
          <w:sz w:val="20"/>
          <w:szCs w:val="20"/>
          <w:b w:val="1"/>
          <w:bCs w:val="1"/>
          <w:color w:val="auto"/>
        </w:rPr>
        <w:t xml:space="preserve"> </w:t>
      </w:r>
      <w:r>
        <w:rPr>
          <w:rFonts w:ascii="Arial" w:cs="Arial" w:eastAsia="Arial" w:hAnsi="Arial"/>
          <w:sz w:val="20"/>
          <w:szCs w:val="20"/>
          <w:color w:val="auto"/>
        </w:rPr>
        <w:t>premium pay, commissions, overtime, bonuses and other forms of variable compensation) as in effect on the date of a Change in Control Termination or a Covered Termination, as applicable, or (ii) in the case of a Change in Control Termination, Executive’s annual base salary (excluding incentive pay, premium pay, commissions, overtime, bonuses and other forms of variable compensation) as in effect on the date of a Change in Control.</w:t>
      </w:r>
    </w:p>
    <w:p>
      <w:pPr>
        <w:spacing w:after="0" w:line="183"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 xml:space="preserve">7.16 </w:t>
      </w:r>
      <w:r>
        <w:rPr>
          <w:rFonts w:ascii="Arial" w:cs="Arial" w:eastAsia="Arial" w:hAnsi="Arial"/>
          <w:sz w:val="19"/>
          <w:szCs w:val="19"/>
          <w:color w:val="auto"/>
        </w:rPr>
        <w:t>“</w:t>
      </w:r>
      <w:r>
        <w:rPr>
          <w:rFonts w:ascii="Arial" w:cs="Arial" w:eastAsia="Arial" w:hAnsi="Arial"/>
          <w:sz w:val="19"/>
          <w:szCs w:val="19"/>
          <w:b w:val="1"/>
          <w:bCs w:val="1"/>
          <w:i w:val="1"/>
          <w:iCs w:val="1"/>
          <w:color w:val="auto"/>
        </w:rPr>
        <w:t>Pro-Rata Bonus</w:t>
      </w:r>
      <w:r>
        <w:rPr>
          <w:rFonts w:ascii="Arial" w:cs="Arial" w:eastAsia="Arial" w:hAnsi="Arial"/>
          <w:sz w:val="19"/>
          <w:szCs w:val="19"/>
          <w:color w:val="auto"/>
        </w:rPr>
        <w:t>” means 1/12</w:t>
      </w:r>
      <w:r>
        <w:rPr>
          <w:rFonts w:ascii="Arial" w:cs="Arial" w:eastAsia="Arial" w:hAnsi="Arial"/>
          <w:sz w:val="15"/>
          <w:szCs w:val="15"/>
          <w:color w:val="auto"/>
        </w:rPr>
        <w:t>th</w:t>
      </w:r>
      <w:r>
        <w:rPr>
          <w:rFonts w:ascii="Arial" w:cs="Arial" w:eastAsia="Arial" w:hAnsi="Arial"/>
          <w:sz w:val="19"/>
          <w:szCs w:val="19"/>
          <w:b w:val="1"/>
          <w:bCs w:val="1"/>
          <w:color w:val="auto"/>
        </w:rPr>
        <w:t xml:space="preserve"> </w:t>
      </w:r>
      <w:r>
        <w:rPr>
          <w:rFonts w:ascii="Arial" w:cs="Arial" w:eastAsia="Arial" w:hAnsi="Arial"/>
          <w:sz w:val="19"/>
          <w:szCs w:val="19"/>
          <w:color w:val="auto"/>
        </w:rPr>
        <w:t>of the greater of (i) the average Target Performance Bonus paid to Executive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three years preceding the date of a Change in Control Termination (or such lesser number of years during which Executive has been employed by the Company), or (ii) the Target Performance Bonus, as in effect on the date of a Change in Control Termination.</w:t>
      </w:r>
    </w:p>
    <w:p>
      <w:pPr>
        <w:spacing w:after="0" w:line="161"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0"/>
          <w:szCs w:val="20"/>
          <w:b w:val="1"/>
          <w:bCs w:val="1"/>
          <w:color w:val="auto"/>
        </w:rPr>
        <w:t xml:space="preserve">7.17 </w:t>
      </w:r>
      <w:r>
        <w:rPr>
          <w:rFonts w:ascii="Arial" w:cs="Arial" w:eastAsia="Arial" w:hAnsi="Arial"/>
          <w:sz w:val="20"/>
          <w:szCs w:val="20"/>
          <w:color w:val="auto"/>
        </w:rPr>
        <w:t>“</w:t>
      </w:r>
      <w:r>
        <w:rPr>
          <w:rFonts w:ascii="Arial" w:cs="Arial" w:eastAsia="Arial" w:hAnsi="Arial"/>
          <w:sz w:val="20"/>
          <w:szCs w:val="20"/>
          <w:b w:val="1"/>
          <w:bCs w:val="1"/>
          <w:i w:val="1"/>
          <w:iCs w:val="1"/>
          <w:color w:val="auto"/>
        </w:rPr>
        <w:t>Resignation for Good Reason</w:t>
      </w:r>
      <w:r>
        <w:rPr>
          <w:rFonts w:ascii="Arial" w:cs="Arial" w:eastAsia="Arial" w:hAnsi="Arial"/>
          <w:sz w:val="20"/>
          <w:szCs w:val="20"/>
          <w:color w:val="auto"/>
        </w:rPr>
        <w:t>” means Executive’s resignation from all employee positions Executive then holds</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Company within sixty (60) days following any of the following events taken without Executive’s consent, provided Executive has given the Company written notice of such event within thirty (30) days after the first occurrence of such event and the Company has not cured such event within thirty (30) days thereafter:</w:t>
      </w:r>
    </w:p>
    <w:p>
      <w:pPr>
        <w:spacing w:after="0" w:line="188" w:lineRule="exact"/>
        <w:rPr>
          <w:sz w:val="20"/>
          <w:szCs w:val="20"/>
          <w:color w:val="auto"/>
        </w:rPr>
      </w:pPr>
    </w:p>
    <w:p>
      <w:pPr>
        <w:jc w:val="both"/>
        <w:ind w:firstLine="1735"/>
        <w:spacing w:after="0" w:line="269" w:lineRule="auto"/>
        <w:tabs>
          <w:tab w:leader="none" w:pos="2276" w:val="left"/>
        </w:tabs>
        <w:numPr>
          <w:ilvl w:val="0"/>
          <w:numId w:val="69"/>
        </w:numPr>
        <w:rPr>
          <w:rFonts w:ascii="Arial" w:cs="Arial" w:eastAsia="Arial" w:hAnsi="Arial"/>
          <w:sz w:val="19"/>
          <w:szCs w:val="19"/>
          <w:color w:val="auto"/>
        </w:rPr>
      </w:pPr>
      <w:r>
        <w:rPr>
          <w:rFonts w:ascii="Arial" w:cs="Arial" w:eastAsia="Arial" w:hAnsi="Arial"/>
          <w:sz w:val="19"/>
          <w:szCs w:val="19"/>
          <w:color w:val="auto"/>
        </w:rPr>
        <w:t>A decrease in Executive’s total target cash compensation (base and bonus) of more than 10% (i.e., a material reduction in Executive’s base compensation and a material breach by the Company of Executive’s employment terms with the Company), other than in connection with a comparable decrease in compensation for all comparable executives of the Company;</w:t>
      </w:r>
    </w:p>
    <w:p>
      <w:pPr>
        <w:spacing w:after="0" w:line="168" w:lineRule="exact"/>
        <w:rPr>
          <w:rFonts w:ascii="Arial" w:cs="Arial" w:eastAsia="Arial" w:hAnsi="Arial"/>
          <w:sz w:val="19"/>
          <w:szCs w:val="19"/>
          <w:color w:val="auto"/>
        </w:rPr>
      </w:pPr>
    </w:p>
    <w:p>
      <w:pPr>
        <w:jc w:val="both"/>
        <w:ind w:firstLine="1735"/>
        <w:spacing w:after="0" w:line="246" w:lineRule="auto"/>
        <w:tabs>
          <w:tab w:leader="none" w:pos="2288" w:val="left"/>
        </w:tabs>
        <w:numPr>
          <w:ilvl w:val="0"/>
          <w:numId w:val="69"/>
        </w:numPr>
        <w:rPr>
          <w:rFonts w:ascii="Arial" w:cs="Arial" w:eastAsia="Arial" w:hAnsi="Arial"/>
          <w:sz w:val="20"/>
          <w:szCs w:val="20"/>
          <w:color w:val="auto"/>
        </w:rPr>
      </w:pPr>
      <w:r>
        <w:rPr>
          <w:rFonts w:ascii="Arial" w:cs="Arial" w:eastAsia="Arial" w:hAnsi="Arial"/>
          <w:sz w:val="20"/>
          <w:szCs w:val="20"/>
          <w:color w:val="auto"/>
        </w:rPr>
        <w:t>Executive’s duties or responsibilities are materially diminished (not simply a change in title or reporting relationships); provided, that Executive shall not be deemed to have a “</w:t>
      </w:r>
      <w:r>
        <w:rPr>
          <w:rFonts w:ascii="Arial" w:cs="Arial" w:eastAsia="Arial" w:hAnsi="Arial"/>
          <w:sz w:val="20"/>
          <w:szCs w:val="20"/>
          <w:b w:val="1"/>
          <w:bCs w:val="1"/>
          <w:i w:val="1"/>
          <w:iCs w:val="1"/>
          <w:color w:val="auto"/>
        </w:rPr>
        <w:t>Resignation for Good Reason</w:t>
      </w:r>
      <w:r>
        <w:rPr>
          <w:rFonts w:ascii="Arial" w:cs="Arial" w:eastAsia="Arial" w:hAnsi="Arial"/>
          <w:sz w:val="20"/>
          <w:szCs w:val="20"/>
          <w:color w:val="auto"/>
        </w:rPr>
        <w:t>” if the Company survives as a separate legal entity or business unit following the Change in Control and Executive holds materially the same position in such legal entity or business unit as Executive held before the Change in Control;</w:t>
      </w:r>
    </w:p>
    <w:p>
      <w:pPr>
        <w:spacing w:after="0" w:line="189" w:lineRule="exact"/>
        <w:rPr>
          <w:rFonts w:ascii="Arial" w:cs="Arial" w:eastAsia="Arial" w:hAnsi="Arial"/>
          <w:sz w:val="20"/>
          <w:szCs w:val="20"/>
          <w:color w:val="auto"/>
        </w:rPr>
      </w:pPr>
    </w:p>
    <w:p>
      <w:pPr>
        <w:jc w:val="both"/>
        <w:ind w:firstLine="1735"/>
        <w:spacing w:after="0" w:line="278" w:lineRule="auto"/>
        <w:tabs>
          <w:tab w:leader="none" w:pos="2276" w:val="left"/>
        </w:tabs>
        <w:numPr>
          <w:ilvl w:val="0"/>
          <w:numId w:val="69"/>
        </w:numPr>
        <w:rPr>
          <w:rFonts w:ascii="Arial" w:cs="Arial" w:eastAsia="Arial" w:hAnsi="Arial"/>
          <w:sz w:val="18"/>
          <w:szCs w:val="18"/>
          <w:color w:val="auto"/>
        </w:rPr>
      </w:pPr>
      <w:r>
        <w:rPr>
          <w:rFonts w:ascii="Arial" w:cs="Arial" w:eastAsia="Arial" w:hAnsi="Arial"/>
          <w:sz w:val="18"/>
          <w:szCs w:val="18"/>
          <w:color w:val="auto"/>
        </w:rPr>
        <w:t>Either (i) Executive is required to establish residence in a location more than fifty (50) miles from Executive’s current principal personal residence or (ii) there is an increase in Executive’s round-trip driving distance of more than fifty (50) miles from Executive’s current principal personal residence to the principal office or business location at which Executive is required to perform services (except for required business travel to the extent consistent with Executive’s prior business travel obligations) (“</w:t>
      </w:r>
      <w:r>
        <w:rPr>
          <w:rFonts w:ascii="Arial" w:cs="Arial" w:eastAsia="Arial" w:hAnsi="Arial"/>
          <w:sz w:val="18"/>
          <w:szCs w:val="18"/>
          <w:b w:val="1"/>
          <w:bCs w:val="1"/>
          <w:i w:val="1"/>
          <w:iCs w:val="1"/>
          <w:color w:val="auto"/>
        </w:rPr>
        <w:t>Executive’s Principal Place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Business</w:t>
      </w:r>
      <w:r>
        <w:rPr>
          <w:rFonts w:ascii="Arial" w:cs="Arial" w:eastAsia="Arial" w:hAnsi="Arial"/>
          <w:sz w:val="18"/>
          <w:szCs w:val="18"/>
          <w:color w:val="auto"/>
        </w:rPr>
        <w:t>”) as a result of a change in location by the Company of Executive’s Principal Place of Business; or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90" w:name="page91"/>
    <w:bookmarkEnd w:id="90"/>
    <w:p>
      <w:pPr>
        <w:ind w:firstLine="1735"/>
        <w:spacing w:after="0" w:line="260" w:lineRule="auto"/>
        <w:tabs>
          <w:tab w:leader="none" w:pos="2288"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The failure of the Company to obtain a satisfactory agreement from any successor to materially assume and materially agree to perform under the terms of this Agreement.</w:t>
      </w:r>
    </w:p>
    <w:p>
      <w:pPr>
        <w:spacing w:after="0" w:line="170"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20"/>
          <w:szCs w:val="20"/>
          <w:b w:val="1"/>
          <w:bCs w:val="1"/>
          <w:color w:val="auto"/>
        </w:rPr>
        <w:t xml:space="preserve">7.18 </w:t>
      </w:r>
      <w:r>
        <w:rPr>
          <w:rFonts w:ascii="Arial" w:cs="Arial" w:eastAsia="Arial" w:hAnsi="Arial"/>
          <w:sz w:val="20"/>
          <w:szCs w:val="20"/>
          <w:color w:val="auto"/>
        </w:rPr>
        <w:t>“</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 means the effective date of the Change in Control Termination, the Covered Termination or a</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for Cause, as applicable.</w:t>
      </w:r>
    </w:p>
    <w:p>
      <w:pPr>
        <w:spacing w:after="0" w:line="164" w:lineRule="exact"/>
        <w:rPr>
          <w:sz w:val="20"/>
          <w:szCs w:val="20"/>
          <w:color w:val="auto"/>
        </w:rPr>
      </w:pPr>
    </w:p>
    <w:p>
      <w:pPr>
        <w:ind w:left="4780"/>
        <w:spacing w:after="0"/>
        <w:rPr>
          <w:sz w:val="20"/>
          <w:szCs w:val="20"/>
          <w:color w:val="auto"/>
        </w:rPr>
      </w:pPr>
      <w:r>
        <w:rPr>
          <w:rFonts w:ascii="Arial" w:cs="Arial" w:eastAsia="Arial" w:hAnsi="Arial"/>
          <w:sz w:val="20"/>
          <w:szCs w:val="20"/>
          <w:b w:val="1"/>
          <w:bCs w:val="1"/>
          <w:color w:val="auto"/>
        </w:rPr>
        <w:t>ARTICLE 8</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w:t>
      </w:r>
    </w:p>
    <w:p>
      <w:pPr>
        <w:spacing w:after="0" w:line="215"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8.1 Employment Status</w:t>
      </w:r>
      <w:r>
        <w:rPr>
          <w:rFonts w:ascii="Arial" w:cs="Arial" w:eastAsia="Arial" w:hAnsi="Arial"/>
          <w:sz w:val="19"/>
          <w:szCs w:val="19"/>
          <w:color w:val="auto"/>
        </w:rPr>
        <w:t>. This Agreement does not constitute a contract of employment or impose upon Executive any</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 to remain as an employee, or impose on the Company any obligation (i) to retain Executive as an employee, (ii) to change the status of Executive as an at-will employee or (iii) to change the Company’s policies regarding termination of employment.</w:t>
      </w:r>
    </w:p>
    <w:p>
      <w:pPr>
        <w:spacing w:after="0" w:line="161"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8.2 Notices</w:t>
      </w:r>
      <w:r>
        <w:rPr>
          <w:rFonts w:ascii="Arial" w:cs="Arial" w:eastAsia="Arial" w:hAnsi="Arial"/>
          <w:sz w:val="20"/>
          <w:szCs w:val="20"/>
          <w:color w:val="auto"/>
        </w:rPr>
        <w:t>. Any notices provided hereunder must be in writing, and such notices or any other written communication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deemed effective upon the earlier of personal delivery (including personal delivery by facsimile) or the third day after mailing by first class mail, to the Company at its primary office location and to Executive at Executive’s address as listed in the Company’s payroll records. Any payments made by the Company to Executive under the terms of this Agreement shall be delivered to Executive either in person or at the address as listed in the Company’s payroll records.</w:t>
      </w:r>
    </w:p>
    <w:p>
      <w:pPr>
        <w:spacing w:after="0" w:line="183"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8.3 Severability</w:t>
      </w:r>
      <w:r>
        <w:rPr>
          <w:rFonts w:ascii="Arial" w:cs="Arial" w:eastAsia="Arial" w:hAnsi="Arial"/>
          <w:sz w:val="20"/>
          <w:szCs w:val="20"/>
          <w:color w:val="auto"/>
        </w:rPr>
        <w:t>. Whenever possible, each provision of this Agreement will be interpreted in such manner as to be</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83"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20"/>
          <w:szCs w:val="20"/>
          <w:b w:val="1"/>
          <w:bCs w:val="1"/>
          <w:color w:val="auto"/>
        </w:rPr>
        <w:t>8.4 Waiver</w:t>
      </w:r>
      <w:r>
        <w:rPr>
          <w:rFonts w:ascii="Arial" w:cs="Arial" w:eastAsia="Arial" w:hAnsi="Arial"/>
          <w:sz w:val="20"/>
          <w:szCs w:val="20"/>
          <w:color w:val="auto"/>
        </w:rPr>
        <w:t>. If either party should waive any breach of any provisions of this Agreement, he, she or it shall not thereby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to have waived any preceding or succeeding breach of the same or any other provision of this Agreement.</w:t>
      </w:r>
    </w:p>
    <w:p>
      <w:pPr>
        <w:spacing w:after="0" w:line="164"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b w:val="1"/>
          <w:bCs w:val="1"/>
          <w:color w:val="auto"/>
        </w:rPr>
        <w:t>8.5 Complete Agreement</w:t>
      </w:r>
      <w:r>
        <w:rPr>
          <w:rFonts w:ascii="Arial" w:cs="Arial" w:eastAsia="Arial" w:hAnsi="Arial"/>
          <w:sz w:val="20"/>
          <w:szCs w:val="20"/>
          <w:color w:val="auto"/>
        </w:rPr>
        <w:t>. This Agreement, including</w:t>
      </w:r>
      <w:r>
        <w:rPr>
          <w:rFonts w:ascii="Arial" w:cs="Arial" w:eastAsia="Arial" w:hAnsi="Arial"/>
          <w:sz w:val="20"/>
          <w:szCs w:val="20"/>
          <w:b w:val="1"/>
          <w:bCs w:val="1"/>
          <w:color w:val="auto"/>
        </w:rPr>
        <w:t xml:space="preserve"> Exhibit A</w:t>
      </w:r>
      <w:r>
        <w:rPr>
          <w:rFonts w:ascii="Arial" w:cs="Arial" w:eastAsia="Arial" w:hAnsi="Arial"/>
          <w:sz w:val="20"/>
          <w:szCs w:val="20"/>
          <w:color w:val="auto"/>
        </w:rPr>
        <w:t>,</w:t>
      </w:r>
      <w:r>
        <w:rPr>
          <w:rFonts w:ascii="Arial" w:cs="Arial" w:eastAsia="Arial" w:hAnsi="Arial"/>
          <w:sz w:val="20"/>
          <w:szCs w:val="20"/>
          <w:b w:val="1"/>
          <w:bCs w:val="1"/>
          <w:color w:val="auto"/>
        </w:rPr>
        <w:t xml:space="preserve"> Exhibit B </w:t>
      </w:r>
      <w:r>
        <w:rPr>
          <w:rFonts w:ascii="Arial" w:cs="Arial" w:eastAsia="Arial" w:hAnsi="Arial"/>
          <w:sz w:val="20"/>
          <w:szCs w:val="20"/>
          <w:color w:val="auto"/>
        </w:rPr>
        <w:t>and</w:t>
      </w:r>
      <w:r>
        <w:rPr>
          <w:rFonts w:ascii="Arial" w:cs="Arial" w:eastAsia="Arial" w:hAnsi="Arial"/>
          <w:sz w:val="20"/>
          <w:szCs w:val="20"/>
          <w:b w:val="1"/>
          <w:bCs w:val="1"/>
          <w:color w:val="auto"/>
        </w:rPr>
        <w:t xml:space="preserve"> Exhibit C</w:t>
      </w:r>
      <w:r>
        <w:rPr>
          <w:rFonts w:ascii="Arial" w:cs="Arial" w:eastAsia="Arial" w:hAnsi="Arial"/>
          <w:sz w:val="20"/>
          <w:szCs w:val="20"/>
          <w:color w:val="auto"/>
        </w:rPr>
        <w:t>, and the Confidentiality</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constitute the entire agreement between Executive and the Company and is the complete, final and exclusive embodiment of their agreement with regard to this subject matter, wholly superseding all written and oral agreements with respect to payments and benefits to Executive in the event of employment termination. It is entered into without reliance on any promise or representation other than those expressly contained herein.</w:t>
      </w:r>
    </w:p>
    <w:p>
      <w:pPr>
        <w:spacing w:after="0" w:line="183"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9"/>
          <w:szCs w:val="19"/>
          <w:b w:val="1"/>
          <w:bCs w:val="1"/>
          <w:color w:val="auto"/>
        </w:rPr>
        <w:t>8.6 Amendment or Termination of Agreement; Continuation of Agreement</w:t>
      </w:r>
      <w:r>
        <w:rPr>
          <w:rFonts w:ascii="Arial" w:cs="Arial" w:eastAsia="Arial" w:hAnsi="Arial"/>
          <w:sz w:val="19"/>
          <w:szCs w:val="19"/>
          <w:color w:val="auto"/>
        </w:rPr>
        <w:t>. This Agreement may be changed or</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terminated only upon the mutual written consent of the Company and Executive. The written consent of the Company to a change or termination of this Agreement must be signed by an executive officer of the Company (other than Executive) after such change or termination has been approved by the Board. Unless so terminated, this Agreement shall continue in effect for as long as Executive continues to be employed by the Company or by any surviving entity following any Change in Control. In other words, if, following a Change in Control, Executive continues to be employed by the surviving entity without a Change in Control Termination and the surviving entity then undergoes a Change in Control, following which Executive is terminated by the subsequent surviving entity in a Change in Control Termination, then Executive shall receive the benefits described in Article 3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91" w:name="page92"/>
    <w:bookmarkEnd w:id="91"/>
    <w:p>
      <w:pPr>
        <w:jc w:val="both"/>
        <w:ind w:firstLine="864"/>
        <w:spacing w:after="0" w:line="266" w:lineRule="auto"/>
        <w:rPr>
          <w:sz w:val="20"/>
          <w:szCs w:val="20"/>
          <w:color w:val="auto"/>
        </w:rPr>
      </w:pPr>
      <w:r>
        <w:rPr>
          <w:rFonts w:ascii="Arial" w:cs="Arial" w:eastAsia="Arial" w:hAnsi="Arial"/>
          <w:sz w:val="20"/>
          <w:szCs w:val="20"/>
          <w:b w:val="1"/>
          <w:bCs w:val="1"/>
          <w:color w:val="auto"/>
        </w:rPr>
        <w:t>8.7 Counterparts</w:t>
      </w:r>
      <w:r>
        <w:rPr>
          <w:rFonts w:ascii="Arial" w:cs="Arial" w:eastAsia="Arial" w:hAnsi="Arial"/>
          <w:sz w:val="20"/>
          <w:szCs w:val="20"/>
          <w:color w:val="auto"/>
        </w:rPr>
        <w:t>. This Agreement may be executed in separate counterparts, any one of which need not contain</w:t>
      </w:r>
      <w:r>
        <w:rPr>
          <w:rFonts w:ascii="Arial" w:cs="Arial" w:eastAsia="Arial" w:hAnsi="Arial"/>
          <w:sz w:val="20"/>
          <w:szCs w:val="20"/>
          <w:b w:val="1"/>
          <w:bCs w:val="1"/>
          <w:color w:val="auto"/>
        </w:rPr>
        <w:t xml:space="preserve"> </w:t>
      </w:r>
      <w:r>
        <w:rPr>
          <w:rFonts w:ascii="Arial" w:cs="Arial" w:eastAsia="Arial" w:hAnsi="Arial"/>
          <w:sz w:val="20"/>
          <w:szCs w:val="20"/>
          <w:color w:val="auto"/>
        </w:rPr>
        <w:t>signatures of more than one party, but all of which taken together will constitute one and the same Agreement.</w:t>
      </w:r>
    </w:p>
    <w:p>
      <w:pPr>
        <w:spacing w:after="0" w:line="164"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20"/>
          <w:szCs w:val="20"/>
          <w:b w:val="1"/>
          <w:bCs w:val="1"/>
          <w:color w:val="auto"/>
        </w:rPr>
        <w:t>8.8 Headings</w:t>
      </w:r>
      <w:r>
        <w:rPr>
          <w:rFonts w:ascii="Arial" w:cs="Arial" w:eastAsia="Arial" w:hAnsi="Arial"/>
          <w:sz w:val="20"/>
          <w:szCs w:val="20"/>
          <w:color w:val="auto"/>
        </w:rPr>
        <w:t>. The headings of the Articles and Sections hereof are inserted for convenience only and shall not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to constitute a part hereof nor to affect the meaning thereof.</w:t>
      </w:r>
    </w:p>
    <w:p>
      <w:pPr>
        <w:spacing w:after="0" w:line="164"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b w:val="1"/>
          <w:bCs w:val="1"/>
          <w:color w:val="auto"/>
        </w:rPr>
        <w:t>8.9 Successors and Assigns</w:t>
      </w:r>
      <w:r>
        <w:rPr>
          <w:rFonts w:ascii="Arial" w:cs="Arial" w:eastAsia="Arial" w:hAnsi="Arial"/>
          <w:sz w:val="20"/>
          <w:szCs w:val="20"/>
          <w:color w:val="auto"/>
        </w:rPr>
        <w:t>. This Agreement is intended to bind and inure to the benefit of and be enforceable by</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and the Company, and any surviving entity resulting from a Change in Control and upon any other person who is a successor by merger, acquisition, consolidation or otherwise to the business formerly carried on by the Company, and their respective successors, assigns, heirs, executors and administrators, without regard to whether or not such person actively assumes any rights or duties hereunder; provided, however, that Executive may not assign any duties hereunder and may not assign any rights hereunder without the written consent of the Company, which consent shall not be withheld unreasonably.</w:t>
      </w:r>
    </w:p>
    <w:p>
      <w:pPr>
        <w:spacing w:after="0" w:line="18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0"/>
          <w:szCs w:val="20"/>
          <w:b w:val="1"/>
          <w:bCs w:val="1"/>
          <w:color w:val="auto"/>
        </w:rPr>
        <w:t>8.10 Choice of Law</w:t>
      </w:r>
      <w:r>
        <w:rPr>
          <w:rFonts w:ascii="Arial" w:cs="Arial" w:eastAsia="Arial" w:hAnsi="Arial"/>
          <w:sz w:val="20"/>
          <w:szCs w:val="20"/>
          <w:color w:val="auto"/>
        </w:rPr>
        <w:t>. Because of the Company’s and Executive’s interests in ensuring that disputes regarding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are resolved on a uniform basis, the parties agree that all questions concerning the construction, validity and interpretation of this Agreement will be governed by the law of the State of New York, without regard for any conflict of law principles. Further, the parties consent to the jurisdiction of the state and federal courts of the State of New York for all purposes in connection with this Agreement. The parties hereby irrevocably waive, to the fullest extent permitted by applicable law, any objection which Executive or the Company may now or hereafter have to the laying of venue of any such dispute brought in such court or any defense of inconvenient forum for the maintenance of such dispute.</w:t>
      </w:r>
    </w:p>
    <w:p>
      <w:pPr>
        <w:spacing w:after="0" w:line="190"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b w:val="1"/>
          <w:bCs w:val="1"/>
          <w:color w:val="auto"/>
        </w:rPr>
        <w:t xml:space="preserve">8.11 Arbitration. </w:t>
      </w:r>
      <w:r>
        <w:rPr>
          <w:rFonts w:ascii="Arial" w:cs="Arial" w:eastAsia="Arial" w:hAnsi="Arial"/>
          <w:sz w:val="18"/>
          <w:szCs w:val="18"/>
          <w:color w:val="auto"/>
        </w:rPr>
        <w:t>To ensure the rapid and economical resolution of any disputes that may arise under or relate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Executive’s employment relationship, Executive and the Company agree that any and all disputes, claims, or causes of action, in law or equity, arising from or relating to the performance, enforcement, execution, or interpretation of this Agreement, Executive’s employment with the Company, or the termination of Executive’s employment (collectively, “</w:t>
      </w:r>
      <w:r>
        <w:rPr>
          <w:rFonts w:ascii="Arial" w:cs="Arial" w:eastAsia="Arial" w:hAnsi="Arial"/>
          <w:sz w:val="18"/>
          <w:szCs w:val="18"/>
          <w:b w:val="1"/>
          <w:bCs w:val="1"/>
          <w:i w:val="1"/>
          <w:iCs w:val="1"/>
          <w:color w:val="auto"/>
        </w:rPr>
        <w:t>Claims</w:t>
      </w:r>
      <w:r>
        <w:rPr>
          <w:rFonts w:ascii="Arial" w:cs="Arial" w:eastAsia="Arial" w:hAnsi="Arial"/>
          <w:sz w:val="18"/>
          <w:szCs w:val="18"/>
          <w:color w:val="auto"/>
        </w:rPr>
        <w:t xml:space="preserve">”), shall be resolved to the fullest extent permitted by law, by final, binding, and (to the extent permitted by law) confidential arbitration before a single arbitrator in the state where Executive is employed. The arbitration shall be governed by the Federal Arbitration Act, 9 U.S.C. Section 1 </w:t>
      </w:r>
      <w:r>
        <w:rPr>
          <w:rFonts w:ascii="Arial" w:cs="Arial" w:eastAsia="Arial" w:hAnsi="Arial"/>
          <w:sz w:val="18"/>
          <w:szCs w:val="18"/>
          <w:i w:val="1"/>
          <w:iCs w:val="1"/>
          <w:color w:val="auto"/>
        </w:rPr>
        <w:t>et seq.</w:t>
      </w:r>
      <w:r>
        <w:rPr>
          <w:rFonts w:ascii="Arial" w:cs="Arial" w:eastAsia="Arial" w:hAnsi="Arial"/>
          <w:sz w:val="18"/>
          <w:szCs w:val="18"/>
          <w:color w:val="auto"/>
        </w:rPr>
        <w:t>, as amended, and shall be administered by the Judicial Arbitration &amp; Mediation Services, Inc.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in accordance with its then-current Employment Arbitration Rules &amp; Procedures (the “</w:t>
      </w:r>
      <w:r>
        <w:rPr>
          <w:rFonts w:ascii="Arial" w:cs="Arial" w:eastAsia="Arial" w:hAnsi="Arial"/>
          <w:sz w:val="18"/>
          <w:szCs w:val="18"/>
          <w:b w:val="1"/>
          <w:bCs w:val="1"/>
          <w:i w:val="1"/>
          <w:iCs w:val="1"/>
          <w:color w:val="auto"/>
        </w:rPr>
        <w:t>JAMS Rules</w:t>
      </w:r>
      <w:r>
        <w:rPr>
          <w:rFonts w:ascii="Arial" w:cs="Arial" w:eastAsia="Arial" w:hAnsi="Arial"/>
          <w:sz w:val="18"/>
          <w:szCs w:val="18"/>
          <w:color w:val="auto"/>
        </w:rPr>
        <w:t xml:space="preserve">”). The JAMS Rules are also available online at </w:t>
      </w:r>
      <w:r>
        <w:rPr>
          <w:rFonts w:ascii="Arial" w:cs="Arial" w:eastAsia="Arial" w:hAnsi="Arial"/>
          <w:sz w:val="18"/>
          <w:szCs w:val="18"/>
          <w:u w:val="single" w:color="auto"/>
          <w:color w:val="auto"/>
        </w:rPr>
        <w:t>http://www.jamsadr.com/rules-employment-arbitration/</w:t>
      </w:r>
      <w:r>
        <w:rPr>
          <w:rFonts w:ascii="Arial" w:cs="Arial" w:eastAsia="Arial" w:hAnsi="Arial"/>
          <w:sz w:val="18"/>
          <w:szCs w:val="18"/>
          <w:color w:val="auto"/>
        </w:rPr>
        <w:t>. The parties or their representatives may also call JAMS at 800.352.5267 if they have questions about the arbitration process. If the JAMS Rules are inconsistent with the terms of this Agreement, the terms of this Agreement shall govern. Notwithstanding the foregoing, this provision shall exclude Claims that by law are not subject to arbitration. The arbitrator shall: (a) have the authority to compel adequate discovery for the resolution of all Claims and to award such relief as would otherwise be permitted by law; and (b) issue a written arbitration decision including the arbitrator’s essential findings and conclusions and a statement of the award. The Company shall pay all JAMS fees in excess of the amount of filing and other court-related fees Executive would have been required to pay if the Claims were asserted in a court of law. EXECUTIVE AND THE COMPANY UNDERSTAND AND FULLY AGREE THAT BY ENTERING INTO THIS AGREEMENT, BOTH EXECUTIVE AND THE COMPANY ARE GIVING UP THE CONSTITUTIONAL RIGHT TO HAVE A TRIAL BY JURY, AND ARE GIVING UP THE NORMAL RIGHTS OF APPEAL FOLLOWING THE RENDERING OF A DECISION, EXCEPT AS THE FEDERAL ARBITRATION ACT AND APPLICABLE FEDERAL LAW ALLOW FOR JUDICIAL REVIEW OF ARBITRATION PROCEEDINGS. Nothing in this Agreement shall prevent either Executive or the Company from obtaining injunctive relief in court to prevent irreparable harm pending the conclusion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92" w:name="page93"/>
    <w:bookmarkEnd w:id="92"/>
    <w:p>
      <w:pPr>
        <w:jc w:val="both"/>
        <w:ind w:right="20"/>
        <w:spacing w:after="0" w:line="260" w:lineRule="auto"/>
        <w:rPr>
          <w:sz w:val="20"/>
          <w:szCs w:val="20"/>
          <w:color w:val="auto"/>
        </w:rPr>
      </w:pPr>
      <w:r>
        <w:rPr>
          <w:rFonts w:ascii="Arial" w:cs="Arial" w:eastAsia="Arial" w:hAnsi="Arial"/>
          <w:sz w:val="20"/>
          <w:szCs w:val="20"/>
          <w:color w:val="auto"/>
        </w:rPr>
        <w:t>of any such arbitration. Any awards or final orders in such arbitrations may be entered and enforced as judgments or orders in the federal and state courts of any competent jurisdiction in compliance with Section 8.11 of this Agreement.</w:t>
      </w:r>
    </w:p>
    <w:p>
      <w:pPr>
        <w:spacing w:after="0" w:line="170" w:lineRule="exact"/>
        <w:rPr>
          <w:sz w:val="20"/>
          <w:szCs w:val="20"/>
          <w:color w:val="auto"/>
        </w:rPr>
      </w:pPr>
    </w:p>
    <w:p>
      <w:pPr>
        <w:jc w:val="both"/>
        <w:ind w:right="20" w:firstLine="864"/>
        <w:spacing w:after="0" w:line="266" w:lineRule="auto"/>
        <w:rPr>
          <w:sz w:val="20"/>
          <w:szCs w:val="20"/>
          <w:color w:val="auto"/>
        </w:rPr>
      </w:pPr>
      <w:r>
        <w:rPr>
          <w:rFonts w:ascii="Arial" w:cs="Arial" w:eastAsia="Arial" w:hAnsi="Arial"/>
          <w:sz w:val="20"/>
          <w:szCs w:val="20"/>
          <w:b w:val="1"/>
          <w:bCs w:val="1"/>
          <w:color w:val="auto"/>
        </w:rPr>
        <w:t>8.12 Construction of Agreement</w:t>
      </w:r>
      <w:r>
        <w:rPr>
          <w:rFonts w:ascii="Arial" w:cs="Arial" w:eastAsia="Arial" w:hAnsi="Arial"/>
          <w:sz w:val="20"/>
          <w:szCs w:val="20"/>
          <w:color w:val="auto"/>
        </w:rPr>
        <w:t>. In the event of a conflict between the text of this Agreement and any summary,</w:t>
      </w:r>
      <w:r>
        <w:rPr>
          <w:rFonts w:ascii="Arial" w:cs="Arial" w:eastAsia="Arial" w:hAnsi="Arial"/>
          <w:sz w:val="20"/>
          <w:szCs w:val="20"/>
          <w:b w:val="1"/>
          <w:bCs w:val="1"/>
          <w:color w:val="auto"/>
        </w:rPr>
        <w:t xml:space="preserve"> </w:t>
      </w:r>
      <w:r>
        <w:rPr>
          <w:rFonts w:ascii="Arial" w:cs="Arial" w:eastAsia="Arial" w:hAnsi="Arial"/>
          <w:sz w:val="20"/>
          <w:szCs w:val="20"/>
          <w:color w:val="auto"/>
        </w:rPr>
        <w:t>description or other information regarding this Agreement, the text of this Agreement shall control.</w:t>
      </w:r>
    </w:p>
    <w:p>
      <w:pPr>
        <w:spacing w:after="0" w:line="164" w:lineRule="exact"/>
        <w:rPr>
          <w:sz w:val="20"/>
          <w:szCs w:val="20"/>
          <w:color w:val="auto"/>
        </w:rPr>
      </w:pPr>
    </w:p>
    <w:p>
      <w:pPr>
        <w:ind w:left="880"/>
        <w:spacing w:after="0"/>
        <w:tabs>
          <w:tab w:leader="none" w:pos="1840" w:val="left"/>
        </w:tabs>
        <w:rPr>
          <w:sz w:val="20"/>
          <w:szCs w:val="20"/>
          <w:color w:val="auto"/>
        </w:rPr>
      </w:pPr>
      <w:r>
        <w:rPr>
          <w:rFonts w:ascii="Arial" w:cs="Arial" w:eastAsia="Arial" w:hAnsi="Arial"/>
          <w:sz w:val="20"/>
          <w:szCs w:val="20"/>
          <w:b w:val="1"/>
          <w:bCs w:val="1"/>
          <w:color w:val="auto"/>
        </w:rPr>
        <w:t>8.13</w:t>
      </w:r>
      <w:r>
        <w:rPr>
          <w:sz w:val="20"/>
          <w:szCs w:val="20"/>
          <w:color w:val="auto"/>
        </w:rPr>
        <w:tab/>
      </w:r>
      <w:r>
        <w:rPr>
          <w:rFonts w:ascii="Arial" w:cs="Arial" w:eastAsia="Arial" w:hAnsi="Arial"/>
          <w:sz w:val="19"/>
          <w:szCs w:val="19"/>
          <w:b w:val="1"/>
          <w:bCs w:val="1"/>
          <w:color w:val="auto"/>
        </w:rPr>
        <w:t>Circular 230 Disclaimer</w:t>
      </w:r>
      <w:r>
        <w:rPr>
          <w:rFonts w:ascii="Arial" w:cs="Arial" w:eastAsia="Arial" w:hAnsi="Arial"/>
          <w:sz w:val="19"/>
          <w:szCs w:val="19"/>
          <w:color w:val="auto"/>
        </w:rPr>
        <w:t>.</w:t>
      </w:r>
      <w:r>
        <w:rPr>
          <w:rFonts w:ascii="Arial" w:cs="Arial" w:eastAsia="Arial" w:hAnsi="Arial"/>
          <w:sz w:val="19"/>
          <w:szCs w:val="19"/>
          <w:b w:val="1"/>
          <w:bCs w:val="1"/>
          <w:color w:val="auto"/>
        </w:rPr>
        <w:t xml:space="preserve"> THE FOLLOWING DISCLAIMER IS PROVIDED IN ACCORDANCE WITH THE</w:t>
      </w:r>
    </w:p>
    <w:p>
      <w:pPr>
        <w:spacing w:after="0" w:line="21" w:lineRule="exact"/>
        <w:rPr>
          <w:sz w:val="20"/>
          <w:szCs w:val="20"/>
          <w:color w:val="auto"/>
        </w:rPr>
      </w:pPr>
    </w:p>
    <w:p>
      <w:pPr>
        <w:jc w:val="both"/>
        <w:spacing w:after="0"/>
        <w:rPr>
          <w:sz w:val="20"/>
          <w:szCs w:val="20"/>
          <w:color w:val="auto"/>
        </w:rPr>
      </w:pPr>
      <w:r>
        <w:rPr>
          <w:rFonts w:ascii="Arial" w:cs="Arial" w:eastAsia="Arial" w:hAnsi="Arial"/>
          <w:sz w:val="20"/>
          <w:szCs w:val="20"/>
          <w:b w:val="1"/>
          <w:bCs w:val="1"/>
          <w:color w:val="auto"/>
        </w:rPr>
        <w:t>INTERNAL REVENUE SERVICE’S CIRCULAR 230 (21 C.F.R. PART 10). ANY TAX ADVICE CONTAINED IN THIS AGREEMENT IS INTENDED TO BE PRELIMINARY, FOR DISCUSSION PURPOSES ONLY AND NOT FINAL. ANY SUCH ADVICE IS NOT INTENDED TO BE USED FOR MARKETING, PROMOTING OR RECOMMENDING ANY TRANSACTION OR FOR THE USE OF ANY PERSON IN CONNECTION WITH THE PREPARATION OF ANY TAX RETURN. ACCORDINGLY, THIS ADVICE IS NOT INTENDED OR WRITTEN TO BE USED, AND IT CANNOT BE USED, BY ANY PERSON FOR THE PURPOSE OF AVOIDING TAX PENALTIES THAT MAY BE IMPOSED ON SUCH PERSON.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93" w:name="page94"/>
    <w:bookmarkEnd w:id="93"/>
    <w:p>
      <w:pPr>
        <w:ind w:left="88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Agreement on the Effective Date written above.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60" w:type="dxa"/>
            <w:vAlign w:val="bottom"/>
            <w:gridSpan w:val="3"/>
          </w:tcPr>
          <w:p>
            <w:pPr>
              <w:spacing w:after="0"/>
              <w:rPr>
                <w:sz w:val="20"/>
                <w:szCs w:val="20"/>
                <w:color w:val="auto"/>
              </w:rPr>
            </w:pPr>
            <w:r>
              <w:rPr>
                <w:rFonts w:ascii="Arial" w:cs="Arial" w:eastAsia="Arial" w:hAnsi="Arial"/>
                <w:sz w:val="20"/>
                <w:szCs w:val="20"/>
                <w:b w:val="1"/>
                <w:bCs w:val="1"/>
                <w:color w:val="auto"/>
              </w:rPr>
              <w:t>SYNDAX PHARMACEUTICALS, INC.</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940" w:type="dxa"/>
            <w:vAlign w:val="bottom"/>
            <w:gridSpan w:val="2"/>
          </w:tcPr>
          <w:p>
            <w:pPr>
              <w:spacing w:after="0"/>
              <w:rPr>
                <w:sz w:val="20"/>
                <w:szCs w:val="20"/>
                <w:color w:val="auto"/>
              </w:rPr>
            </w:pPr>
            <w:r>
              <w:rPr>
                <w:rFonts w:ascii="Arial" w:cs="Arial" w:eastAsia="Arial" w:hAnsi="Arial"/>
                <w:sz w:val="20"/>
                <w:szCs w:val="20"/>
                <w:b w:val="1"/>
                <w:bCs w:val="1"/>
                <w:color w:val="auto"/>
              </w:rPr>
              <w:t>EXECUTIVE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420" w:type="dxa"/>
            <w:vAlign w:val="bottom"/>
            <w:vMerge w:val="restart"/>
          </w:tcPr>
          <w:p>
            <w:pPr>
              <w:spacing w:after="0"/>
              <w:rPr>
                <w:sz w:val="20"/>
                <w:szCs w:val="20"/>
                <w:color w:val="auto"/>
              </w:rPr>
            </w:pPr>
            <w:r>
              <w:rPr>
                <w:rFonts w:ascii="Arial" w:cs="Arial" w:eastAsia="Arial" w:hAnsi="Arial"/>
                <w:sz w:val="20"/>
                <w:szCs w:val="20"/>
                <w:color w:val="auto"/>
              </w:rPr>
              <w:t>By:</w:t>
            </w:r>
          </w:p>
        </w:tc>
        <w:tc>
          <w:tcPr>
            <w:tcW w:w="4840" w:type="dxa"/>
            <w:vAlign w:val="bottom"/>
            <w:tcBorders>
              <w:bottom w:val="single" w:sz="8" w:color="auto"/>
            </w:tcBorders>
            <w:gridSpan w:val="2"/>
          </w:tcPr>
          <w:p>
            <w:pPr>
              <w:spacing w:after="0"/>
              <w:rPr>
                <w:sz w:val="24"/>
                <w:szCs w:val="24"/>
                <w:color w:val="auto"/>
              </w:rPr>
            </w:pPr>
          </w:p>
        </w:tc>
        <w:tc>
          <w:tcPr>
            <w:tcW w:w="100" w:type="dxa"/>
            <w:vAlign w:val="bottom"/>
            <w:vMerge w:val="restart"/>
          </w:tcPr>
          <w:p>
            <w:pPr>
              <w:spacing w:after="0"/>
              <w:rPr>
                <w:sz w:val="24"/>
                <w:szCs w:val="24"/>
                <w:color w:val="auto"/>
              </w:rPr>
            </w:pPr>
          </w:p>
        </w:tc>
        <w:tc>
          <w:tcPr>
            <w:tcW w:w="940" w:type="dxa"/>
            <w:vAlign w:val="bottom"/>
            <w:vMerge w:val="restart"/>
          </w:tcPr>
          <w:p>
            <w:pPr>
              <w:ind w:left="600"/>
              <w:spacing w:after="0"/>
              <w:rPr>
                <w:sz w:val="20"/>
                <w:szCs w:val="20"/>
                <w:color w:val="auto"/>
              </w:rPr>
            </w:pPr>
            <w:r>
              <w:rPr>
                <w:rFonts w:ascii="Arial" w:cs="Arial" w:eastAsia="Arial" w:hAnsi="Arial"/>
                <w:sz w:val="20"/>
                <w:szCs w:val="20"/>
                <w:color w:val="auto"/>
              </w:rPr>
              <w:t>By:</w:t>
            </w:r>
          </w:p>
        </w:tc>
        <w:tc>
          <w:tcPr>
            <w:tcW w:w="3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vMerge w:val="continue"/>
          </w:tcPr>
          <w:p>
            <w:pPr>
              <w:spacing w:after="0"/>
              <w:rPr>
                <w:sz w:val="19"/>
                <w:szCs w:val="19"/>
                <w:color w:val="auto"/>
              </w:rPr>
            </w:pPr>
          </w:p>
        </w:tc>
        <w:tc>
          <w:tcPr>
            <w:tcW w:w="48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0"/>
                <w:szCs w:val="20"/>
                <w:color w:val="auto"/>
              </w:rPr>
              <w:t>/s/ Luke J. Albrecht</w:t>
            </w:r>
          </w:p>
        </w:tc>
        <w:tc>
          <w:tcPr>
            <w:tcW w:w="1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49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0"/>
                <w:szCs w:val="20"/>
                <w:color w:val="auto"/>
              </w:rPr>
              <w:t>/s/ Anjali Ganguli, Ph.D.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0"/>
        </w:trPr>
        <w:tc>
          <w:tcPr>
            <w:tcW w:w="760" w:type="dxa"/>
            <w:vAlign w:val="bottom"/>
            <w:gridSpan w:val="2"/>
          </w:tcPr>
          <w:p>
            <w:pPr>
              <w:spacing w:after="0"/>
              <w:rPr>
                <w:sz w:val="20"/>
                <w:szCs w:val="20"/>
                <w:color w:val="auto"/>
              </w:rPr>
            </w:pPr>
            <w:r>
              <w:rPr>
                <w:rFonts w:ascii="Arial" w:cs="Arial" w:eastAsia="Arial" w:hAnsi="Arial"/>
                <w:sz w:val="20"/>
                <w:szCs w:val="20"/>
                <w:color w:val="auto"/>
              </w:rPr>
              <w:t>Name:</w:t>
            </w:r>
          </w:p>
        </w:tc>
        <w:tc>
          <w:tcPr>
            <w:tcW w:w="4500" w:type="dxa"/>
            <w:vAlign w:val="bottom"/>
          </w:tcPr>
          <w:p>
            <w:pPr>
              <w:spacing w:after="0"/>
              <w:rPr>
                <w:sz w:val="20"/>
                <w:szCs w:val="20"/>
                <w:color w:val="auto"/>
              </w:rPr>
            </w:pPr>
            <w:r>
              <w:rPr>
                <w:rFonts w:ascii="Arial" w:cs="Arial" w:eastAsia="Arial" w:hAnsi="Arial"/>
                <w:sz w:val="20"/>
                <w:szCs w:val="20"/>
                <w:color w:val="auto"/>
              </w:rPr>
              <w:t>Luke J. Albrecht</w:t>
            </w:r>
          </w:p>
        </w:tc>
        <w:tc>
          <w:tcPr>
            <w:tcW w:w="100" w:type="dxa"/>
            <w:vAlign w:val="bottom"/>
          </w:tcPr>
          <w:p>
            <w:pPr>
              <w:spacing w:after="0"/>
              <w:rPr>
                <w:sz w:val="24"/>
                <w:szCs w:val="24"/>
                <w:color w:val="auto"/>
              </w:rPr>
            </w:pPr>
          </w:p>
        </w:tc>
        <w:tc>
          <w:tcPr>
            <w:tcW w:w="5880" w:type="dxa"/>
            <w:vAlign w:val="bottom"/>
            <w:gridSpan w:val="3"/>
          </w:tcPr>
          <w:p>
            <w:pPr>
              <w:ind w:left="520"/>
              <w:spacing w:after="0"/>
              <w:rPr>
                <w:sz w:val="20"/>
                <w:szCs w:val="20"/>
                <w:color w:val="auto"/>
              </w:rPr>
            </w:pPr>
            <w:r>
              <w:rPr>
                <w:rFonts w:ascii="Arial" w:cs="Arial" w:eastAsia="Arial" w:hAnsi="Arial"/>
                <w:sz w:val="20"/>
                <w:szCs w:val="20"/>
                <w:color w:val="auto"/>
              </w:rPr>
              <w:t>Name:   Anjali Ganguli, Ph.D.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0" w:type="dxa"/>
            <w:vAlign w:val="bottom"/>
            <w:gridSpan w:val="2"/>
          </w:tcPr>
          <w:p>
            <w:pPr>
              <w:spacing w:after="0" w:line="223" w:lineRule="exact"/>
              <w:rPr>
                <w:sz w:val="20"/>
                <w:szCs w:val="20"/>
                <w:color w:val="auto"/>
              </w:rPr>
            </w:pPr>
            <w:r>
              <w:rPr>
                <w:rFonts w:ascii="Arial" w:cs="Arial" w:eastAsia="Arial" w:hAnsi="Arial"/>
                <w:sz w:val="20"/>
                <w:szCs w:val="20"/>
                <w:color w:val="auto"/>
              </w:rPr>
              <w:t>Title:</w:t>
            </w:r>
          </w:p>
        </w:tc>
        <w:tc>
          <w:tcPr>
            <w:tcW w:w="4500" w:type="dxa"/>
            <w:vAlign w:val="bottom"/>
            <w:tcBorders>
              <w:top w:val="single" w:sz="8" w:color="auto"/>
              <w:bottom w:val="single" w:sz="8" w:color="auto"/>
            </w:tcBorders>
          </w:tcPr>
          <w:p>
            <w:pPr>
              <w:spacing w:after="0" w:line="223" w:lineRule="exact"/>
              <w:rPr>
                <w:sz w:val="20"/>
                <w:szCs w:val="20"/>
                <w:color w:val="auto"/>
              </w:rPr>
            </w:pPr>
            <w:r>
              <w:rPr>
                <w:rFonts w:ascii="Arial" w:cs="Arial" w:eastAsia="Arial" w:hAnsi="Arial"/>
                <w:sz w:val="20"/>
                <w:szCs w:val="20"/>
                <w:color w:val="auto"/>
              </w:rPr>
              <w:t>General Counsel, Secretary</w:t>
            </w: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1460" w:val="left"/>
        </w:tabs>
        <w:rPr>
          <w:sz w:val="20"/>
          <w:szCs w:val="20"/>
          <w:color w:val="auto"/>
        </w:rPr>
      </w:pPr>
      <w:r>
        <w:rPr>
          <w:rFonts w:ascii="Arial" w:cs="Arial" w:eastAsia="Arial" w:hAnsi="Arial"/>
          <w:sz w:val="20"/>
          <w:szCs w:val="20"/>
          <w:color w:val="auto"/>
        </w:rPr>
        <w:t>Exhibit A:</w:t>
      </w:r>
      <w:r>
        <w:rPr>
          <w:sz w:val="20"/>
          <w:szCs w:val="20"/>
          <w:color w:val="auto"/>
        </w:rPr>
        <w:tab/>
      </w:r>
      <w:r>
        <w:rPr>
          <w:rFonts w:ascii="Arial" w:cs="Arial" w:eastAsia="Arial" w:hAnsi="Arial"/>
          <w:sz w:val="18"/>
          <w:szCs w:val="18"/>
          <w:color w:val="auto"/>
        </w:rPr>
        <w:t>Release (Individual Termination – Age 40 or Older)</w:t>
      </w:r>
    </w:p>
    <w:p>
      <w:pPr>
        <w:spacing w:after="0" w:line="161" w:lineRule="exact"/>
        <w:rPr>
          <w:sz w:val="20"/>
          <w:szCs w:val="20"/>
          <w:color w:val="auto"/>
        </w:rPr>
      </w:pPr>
    </w:p>
    <w:p>
      <w:pPr>
        <w:spacing w:after="0"/>
        <w:tabs>
          <w:tab w:leader="none" w:pos="1460" w:val="left"/>
        </w:tabs>
        <w:rPr>
          <w:sz w:val="20"/>
          <w:szCs w:val="20"/>
          <w:color w:val="auto"/>
        </w:rPr>
      </w:pPr>
      <w:r>
        <w:rPr>
          <w:rFonts w:ascii="Arial" w:cs="Arial" w:eastAsia="Arial" w:hAnsi="Arial"/>
          <w:sz w:val="20"/>
          <w:szCs w:val="20"/>
          <w:color w:val="auto"/>
        </w:rPr>
        <w:t>Exhibit B:</w:t>
      </w:r>
      <w:r>
        <w:rPr>
          <w:sz w:val="20"/>
          <w:szCs w:val="20"/>
          <w:color w:val="auto"/>
        </w:rPr>
        <w:tab/>
      </w:r>
      <w:r>
        <w:rPr>
          <w:rFonts w:ascii="Arial" w:cs="Arial" w:eastAsia="Arial" w:hAnsi="Arial"/>
          <w:sz w:val="18"/>
          <w:szCs w:val="18"/>
          <w:color w:val="auto"/>
        </w:rPr>
        <w:t>Release (Individual and Group Termination – Under Age 40)</w:t>
      </w:r>
    </w:p>
    <w:p>
      <w:pPr>
        <w:spacing w:after="0" w:line="161" w:lineRule="exact"/>
        <w:rPr>
          <w:sz w:val="20"/>
          <w:szCs w:val="20"/>
          <w:color w:val="auto"/>
        </w:rPr>
      </w:pPr>
    </w:p>
    <w:p>
      <w:pPr>
        <w:spacing w:after="0"/>
        <w:tabs>
          <w:tab w:leader="none" w:pos="1460" w:val="left"/>
        </w:tabs>
        <w:rPr>
          <w:sz w:val="20"/>
          <w:szCs w:val="20"/>
          <w:color w:val="auto"/>
        </w:rPr>
      </w:pPr>
      <w:r>
        <w:rPr>
          <w:rFonts w:ascii="Arial" w:cs="Arial" w:eastAsia="Arial" w:hAnsi="Arial"/>
          <w:sz w:val="20"/>
          <w:szCs w:val="20"/>
          <w:color w:val="auto"/>
        </w:rPr>
        <w:t>Exhibit C:</w:t>
      </w:r>
      <w:r>
        <w:rPr>
          <w:sz w:val="20"/>
          <w:szCs w:val="20"/>
          <w:color w:val="auto"/>
        </w:rPr>
        <w:tab/>
      </w:r>
      <w:r>
        <w:rPr>
          <w:rFonts w:ascii="Arial" w:cs="Arial" w:eastAsia="Arial" w:hAnsi="Arial"/>
          <w:sz w:val="16"/>
          <w:szCs w:val="16"/>
          <w:color w:val="auto"/>
        </w:rPr>
        <w:t>Release (Group Termination – Age 40 or Older)</w:t>
      </w:r>
    </w:p>
    <w:p>
      <w:pPr>
        <w:spacing w:after="0" w:line="200" w:lineRule="exact"/>
        <w:rPr>
          <w:sz w:val="20"/>
          <w:szCs w:val="20"/>
          <w:color w:val="auto"/>
        </w:rPr>
      </w:pP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340"/>
          </w:cols>
          <w:pgMar w:left="320" w:top="562"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20"/>
          <w:szCs w:val="20"/>
          <w:b w:val="1"/>
          <w:bCs w:val="1"/>
          <w:color w:val="auto"/>
        </w:rPr>
        <w:t>EXHIBIT A</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(INDIVIDUAL TERMINATION – AGE 40 OR OLDER)</w:t>
      </w:r>
    </w:p>
    <w:p>
      <w:pPr>
        <w:spacing w:after="0" w:line="329"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Certain capitalized terms used in this Release are defined in the Executive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which I have executed and of which this Release is a part.</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184"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xml:space="preserve">”),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w:t>
      </w:r>
      <w:r>
        <w:rPr>
          <w:rFonts w:ascii="Arial" w:cs="Arial" w:eastAsia="Arial" w:hAnsi="Arial"/>
          <w:sz w:val="18"/>
          <w:szCs w:val="18"/>
          <w:b w:val="1"/>
          <w:bCs w:val="1"/>
          <w:color w:val="auto"/>
        </w:rPr>
        <w:t>States</w:t>
      </w:r>
      <w:r>
        <w:rPr>
          <w:rFonts w:ascii="Arial" w:cs="Arial" w:eastAsia="Arial" w:hAnsi="Arial"/>
          <w:sz w:val="18"/>
          <w:szCs w:val="18"/>
          <w:color w:val="auto"/>
        </w:rPr>
        <w:t xml:space="preserve"> Equal Employment Opportunity Commission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the National Labor Relations Board (“</w:t>
      </w:r>
      <w:r>
        <w:rPr>
          <w:rFonts w:ascii="Arial" w:cs="Arial" w:eastAsia="Arial" w:hAnsi="Arial"/>
          <w:sz w:val="18"/>
          <w:szCs w:val="18"/>
          <w:b w:val="1"/>
          <w:bCs w:val="1"/>
          <w:i w:val="1"/>
          <w:iCs w:val="1"/>
          <w:color w:val="auto"/>
        </w:rPr>
        <w:t>NLRB</w:t>
      </w:r>
      <w:r>
        <w:rPr>
          <w:rFonts w:ascii="Arial" w:cs="Arial" w:eastAsia="Arial" w:hAnsi="Arial"/>
          <w:sz w:val="18"/>
          <w:szCs w:val="18"/>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20"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twenty-one (21) days to consider this Release (although I may choose to voluntarily execute this Release earlier); (D) I have seven (7) days following my execution of this Release to revoke the Release by providing a written notice of revocation to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95" w:name="page96"/>
    <w:bookmarkEnd w:id="95"/>
    <w:p>
      <w:pPr>
        <w:jc w:val="both"/>
        <w:spacing w:after="0" w:line="260" w:lineRule="auto"/>
        <w:rPr>
          <w:sz w:val="20"/>
          <w:szCs w:val="20"/>
          <w:color w:val="auto"/>
        </w:rPr>
      </w:pPr>
      <w:r>
        <w:rPr>
          <w:rFonts w:ascii="Arial" w:cs="Arial" w:eastAsia="Arial" w:hAnsi="Arial"/>
          <w:sz w:val="20"/>
          <w:szCs w:val="20"/>
          <w:color w:val="auto"/>
        </w:rPr>
        <w:t>Company’s Chief Executive Officer; and (E) this Release shall not be effective until the date upon which the revocation period has expired, which shall be the eighth (8th) day after I execute this Release (provided that I do not revoke it).</w:t>
      </w:r>
    </w:p>
    <w:p>
      <w:pPr>
        <w:spacing w:after="0" w:line="122" w:lineRule="exact"/>
        <w:rPr>
          <w:sz w:val="20"/>
          <w:szCs w:val="20"/>
          <w:color w:val="auto"/>
        </w:rPr>
      </w:pPr>
    </w:p>
    <w:p>
      <w:pPr>
        <w:jc w:val="both"/>
        <w:ind w:firstLine="864"/>
        <w:spacing w:after="0" w:line="290" w:lineRule="auto"/>
        <w:rPr>
          <w:sz w:val="20"/>
          <w:szCs w:val="20"/>
          <w:color w:val="auto"/>
        </w:rPr>
      </w:pPr>
      <w:r>
        <w:rPr>
          <w:rFonts w:ascii="Arial" w:cs="Arial" w:eastAsia="Arial" w:hAnsi="Arial"/>
          <w:sz w:val="18"/>
          <w:szCs w:val="18"/>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on-the-job injury or illness for which I have not already filed a workers’ compensation claim.</w:t>
      </w:r>
    </w:p>
    <w:p>
      <w:pPr>
        <w:spacing w:after="0" w:line="99"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200" w:lineRule="exact"/>
        <w:rPr>
          <w:sz w:val="20"/>
          <w:szCs w:val="20"/>
          <w:color w:val="auto"/>
        </w:rPr>
      </w:pPr>
    </w:p>
    <w:p>
      <w:pPr>
        <w:spacing w:after="0" w:line="226"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58"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Printed Name</w:t>
      </w: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20"/>
          <w:szCs w:val="20"/>
          <w:b w:val="1"/>
          <w:bCs w:val="1"/>
          <w:color w:val="auto"/>
        </w:rPr>
        <w:t>EXHIBIT B</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(INDIVIDUAL AND GROUP TERMINATION – UNDER AGE 40)</w:t>
      </w:r>
    </w:p>
    <w:p>
      <w:pPr>
        <w:spacing w:after="0" w:line="329"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Certain capitalized terms used in this Release are defined in the Executive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which I have executed and of which this Release is a part.</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184"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the National Labor Relations Board (“</w:t>
      </w:r>
      <w:r>
        <w:rPr>
          <w:rFonts w:ascii="Arial" w:cs="Arial" w:eastAsia="Arial" w:hAnsi="Arial"/>
          <w:sz w:val="18"/>
          <w:szCs w:val="18"/>
          <w:b w:val="1"/>
          <w:bCs w:val="1"/>
          <w:i w:val="1"/>
          <w:iCs w:val="1"/>
          <w:color w:val="auto"/>
        </w:rPr>
        <w:t>NLRB</w:t>
      </w:r>
      <w:r>
        <w:rPr>
          <w:rFonts w:ascii="Arial" w:cs="Arial" w:eastAsia="Arial" w:hAnsi="Arial"/>
          <w:sz w:val="18"/>
          <w:szCs w:val="18"/>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2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I acknowledge that the consideration given under the Agreement for the waiver and release in the preceding paragraph hereof is in addition to anything of value to which I was already entitled. I further acknowledge that I have been advised by this writing that: (A) my waiver and release do not apply to any rights or claims that may arise on or after the date I execute this Release; (B) I have the right to consult with an attorney prior to executing this Release; and (C) I have twenty-one (21) days to consider this Release (although I may choose to voluntarily execute this Release earlier).</w:t>
      </w:r>
    </w:p>
    <w:p>
      <w:pPr>
        <w:spacing w:after="0" w:line="139" w:lineRule="exact"/>
        <w:rPr>
          <w:sz w:val="20"/>
          <w:szCs w:val="20"/>
          <w:color w:val="auto"/>
        </w:rPr>
      </w:pPr>
    </w:p>
    <w:p>
      <w:pPr>
        <w:jc w:val="both"/>
        <w:ind w:firstLine="864"/>
        <w:spacing w:after="0" w:line="290" w:lineRule="auto"/>
        <w:rPr>
          <w:sz w:val="20"/>
          <w:szCs w:val="20"/>
          <w:color w:val="auto"/>
        </w:rPr>
      </w:pPr>
      <w:r>
        <w:rPr>
          <w:rFonts w:ascii="Arial" w:cs="Arial" w:eastAsia="Arial" w:hAnsi="Arial"/>
          <w:sz w:val="18"/>
          <w:szCs w:val="18"/>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on-the-job injury or illness for which I have not already filed a workers’ compensation claim.</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97" w:name="page98"/>
    <w:bookmarkEnd w:id="97"/>
    <w:p>
      <w:pPr>
        <w:jc w:val="both"/>
        <w:ind w:firstLine="864"/>
        <w:spacing w:after="0" w:line="246" w:lineRule="auto"/>
        <w:rPr>
          <w:sz w:val="20"/>
          <w:szCs w:val="20"/>
          <w:color w:val="auto"/>
        </w:rPr>
      </w:pPr>
      <w:r>
        <w:rPr>
          <w:rFonts w:ascii="Arial" w:cs="Arial" w:eastAsia="Arial" w:hAnsi="Arial"/>
          <w:sz w:val="20"/>
          <w:szCs w:val="20"/>
          <w:color w:val="auto"/>
        </w:rPr>
        <w:t>I agree that I will not make any disparaging statements regarding the Company or its officers, directors, shareholders, members, agents or products jointly or severally. The foregoing shall not be violated by truthful statements in response to legal process, required governmental testimony or filings, or administrative or arbitral proceedings (including, without limitation, depositions in connection with such proceedings).</w:t>
      </w:r>
    </w:p>
    <w:p>
      <w:pPr>
        <w:spacing w:after="0" w:line="200" w:lineRule="exact"/>
        <w:rPr>
          <w:sz w:val="20"/>
          <w:szCs w:val="20"/>
          <w:color w:val="auto"/>
        </w:rPr>
      </w:pPr>
    </w:p>
    <w:p>
      <w:pPr>
        <w:spacing w:after="0" w:line="226"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58"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Printed Name</w:t>
      </w: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6"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20"/>
          <w:szCs w:val="20"/>
          <w:b w:val="1"/>
          <w:bCs w:val="1"/>
          <w:color w:val="auto"/>
        </w:rPr>
        <w:t>EXHIBIT 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RELEASE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(GROUP TERMINATION – AGE 40 OR OLDER)</w:t>
      </w:r>
    </w:p>
    <w:p>
      <w:pPr>
        <w:spacing w:after="0" w:line="329"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Certain capitalized terms used in this Release are defined in the Executive Employment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which I have executed and of which this Release is a part.</w:t>
      </w:r>
    </w:p>
    <w:p>
      <w:pPr>
        <w:spacing w:after="0" w:line="12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 hereby confirm my obligations under the Confidentiality Agreement (or other comparable agreement that I have signed, if any).</w:t>
      </w:r>
    </w:p>
    <w:p>
      <w:pPr>
        <w:spacing w:after="0" w:line="184" w:lineRule="exact"/>
        <w:rPr>
          <w:sz w:val="20"/>
          <w:szCs w:val="20"/>
          <w:color w:val="auto"/>
        </w:rPr>
      </w:pPr>
    </w:p>
    <w:p>
      <w:pPr>
        <w:jc w:val="both"/>
        <w:ind w:firstLine="864"/>
        <w:spacing w:after="0" w:line="268" w:lineRule="auto"/>
        <w:rPr>
          <w:sz w:val="20"/>
          <w:szCs w:val="20"/>
          <w:color w:val="auto"/>
        </w:rPr>
      </w:pPr>
      <w:r>
        <w:rPr>
          <w:rFonts w:ascii="Arial" w:cs="Arial" w:eastAsia="Arial" w:hAnsi="Arial"/>
          <w:sz w:val="18"/>
          <w:szCs w:val="18"/>
          <w:color w:val="auto"/>
        </w:rPr>
        <w:t>Except as otherwise set forth in this Release, I hereby release, acquit and forever discharge the Company, its parents and subsidiaries, and their officers, directors, agents, servants, employees, shareholders, successors, assigns and affiliates, of and from any and all claims, liabilities, demands, causes of action, costs, expenses, attorneys’ fees, damages, indemnities and obligations of every kind and nature, in law, equity or otherwise, known and unknown, suspected and unsuspected, disclosed and undisclosed (other than any claim for indemnification I may have as a result of any third party action against me based on my employment with the Company), arising out of or in any way related to agreements, events, acts or conduct at any time prior to the date I execute this Release, including, but not limited to: all such claims and demands directly or indirectly arising out of or in any way connected with my employment with the Company or the termination of that employment, including, but not limited to, claims of intentional and negligent infliction of emotional distress, any and all tort claims for personal injury, claims or demands related to salary, bonuses, commissions, stock, stock options, or any other ownership interests in the Company, vacation pay, fringe benefits, expense reimbursements, severance pay, or any other form of compensation; and claims pursuant to any federal, state or local law or cause of action including, but not limited to, the federal Civil Rights Act of 1964, as amended, the federal Age Discrimination in Employment Act of 1967, as amended (“</w:t>
      </w:r>
      <w:r>
        <w:rPr>
          <w:rFonts w:ascii="Arial" w:cs="Arial" w:eastAsia="Arial" w:hAnsi="Arial"/>
          <w:sz w:val="18"/>
          <w:szCs w:val="18"/>
          <w:b w:val="1"/>
          <w:bCs w:val="1"/>
          <w:i w:val="1"/>
          <w:iCs w:val="1"/>
          <w:color w:val="auto"/>
        </w:rPr>
        <w:t>ADEA</w:t>
      </w:r>
      <w:r>
        <w:rPr>
          <w:rFonts w:ascii="Arial" w:cs="Arial" w:eastAsia="Arial" w:hAnsi="Arial"/>
          <w:sz w:val="18"/>
          <w:szCs w:val="18"/>
          <w:color w:val="auto"/>
        </w:rPr>
        <w:t>”), the federal Employee Retirement Income Security Act of 1974, as amended, the federal Americans with Disabilities Act of 1990, the California Fair Employment and Housing Act, as amended, the New York City Human Rights Law, as amended, the Massachusetts Fair Employment Practices Law, as amended, the South Carolina Human Affairs Law, as amended, tort law, contract law, wrongful discharge, discrimination, fraud, defamation, emotional distress, and breach of the implied covenant of good faith and fair dealing; provided, however, that nothing in this paragraph shall be construed in any way to (1) release the Company from its obligation to indemnify me pursuant to the Company’s indemnification obligation pursuant to written agreement or applicable law; (2) release any claim by me against the Company relating to the validity or enforceability of this release or the Agreement; (3) prohibit me from exercising any non-waivable right to file a charge with the United States Equal Employment Opportunity Commission (“</w:t>
      </w:r>
      <w:r>
        <w:rPr>
          <w:rFonts w:ascii="Arial" w:cs="Arial" w:eastAsia="Arial" w:hAnsi="Arial"/>
          <w:sz w:val="18"/>
          <w:szCs w:val="18"/>
          <w:b w:val="1"/>
          <w:bCs w:val="1"/>
          <w:i w:val="1"/>
          <w:iCs w:val="1"/>
          <w:color w:val="auto"/>
        </w:rPr>
        <w:t>EEOC</w:t>
      </w:r>
      <w:r>
        <w:rPr>
          <w:rFonts w:ascii="Arial" w:cs="Arial" w:eastAsia="Arial" w:hAnsi="Arial"/>
          <w:sz w:val="18"/>
          <w:szCs w:val="18"/>
          <w:color w:val="auto"/>
        </w:rPr>
        <w:t>”), the National Labor Relations Board (“</w:t>
      </w:r>
      <w:r>
        <w:rPr>
          <w:rFonts w:ascii="Arial" w:cs="Arial" w:eastAsia="Arial" w:hAnsi="Arial"/>
          <w:sz w:val="18"/>
          <w:szCs w:val="18"/>
          <w:b w:val="1"/>
          <w:bCs w:val="1"/>
          <w:i w:val="1"/>
          <w:iCs w:val="1"/>
          <w:color w:val="auto"/>
        </w:rPr>
        <w:t>NLRB</w:t>
      </w:r>
      <w:r>
        <w:rPr>
          <w:rFonts w:ascii="Arial" w:cs="Arial" w:eastAsia="Arial" w:hAnsi="Arial"/>
          <w:sz w:val="18"/>
          <w:szCs w:val="18"/>
          <w:color w:val="auto"/>
        </w:rPr>
        <w:t>”), or any other government agency (provided, however, that I shall not be entitled to recover any monetary damages or to obtain non-monetary relief if the agency were to pursue any claims relating to my employment with the Company).</w:t>
      </w:r>
    </w:p>
    <w:p>
      <w:pPr>
        <w:spacing w:after="0" w:line="120"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8"/>
          <w:szCs w:val="18"/>
          <w:color w:val="auto"/>
        </w:rPr>
        <w:t>I acknowledge that I am knowingly and voluntarily waiving and releasing any rights I may have to assert claims for age discrimination under applicable law, including under the ADEA. I also acknowledge that the consideration given under the Agreement for the waiver and release in the preceding paragraph hereof is in addition to anything of value to which I was already entitled. I further acknowledge that I have been advised by this writing, as required by the ADEA, that: (A) my waiver and release do not apply to any rights or claims that may arise on or after the date I execute this Release; (B) I have the right to consult with an attorney prior to executing this Release; (C) I have forty-five (45) days to consider this Release (although I may choose to voluntarily execute this Release earlier); (D) I have seven (7) days following my execution of this Release to revoke the Release by providing a written notice of revocation to the Company’s Chief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4" w:right="339" w:bottom="1440" w:gutter="0" w:footer="0" w:header="0"/>
        </w:sectPr>
      </w:pPr>
    </w:p>
    <w:bookmarkStart w:id="99" w:name="page100"/>
    <w:bookmarkEnd w:id="99"/>
    <w:p>
      <w:pPr>
        <w:jc w:val="both"/>
        <w:spacing w:after="0" w:line="282" w:lineRule="auto"/>
        <w:rPr>
          <w:sz w:val="20"/>
          <w:szCs w:val="20"/>
          <w:color w:val="auto"/>
        </w:rPr>
      </w:pPr>
      <w:r>
        <w:rPr>
          <w:rFonts w:ascii="Arial" w:cs="Arial" w:eastAsia="Arial" w:hAnsi="Arial"/>
          <w:sz w:val="18"/>
          <w:szCs w:val="18"/>
          <w:color w:val="auto"/>
        </w:rPr>
        <w:t>Executive Officer; (E) this Release shall not be effective until the date upon which the revocation period has expired, which shall be the eighth day (8th) after I execute this Release; and (F) I have received with this Release the required written disclosure for a “group termination” under the ADEA, including a detailed list of the job titles and ages of all employees who were terminated in this group termination and the ages of all employees of the Company in the same job classification or organizational unit who were not terminated.</w:t>
      </w:r>
    </w:p>
    <w:p>
      <w:pPr>
        <w:spacing w:after="0" w:line="106" w:lineRule="exact"/>
        <w:rPr>
          <w:sz w:val="20"/>
          <w:szCs w:val="20"/>
          <w:color w:val="auto"/>
        </w:rPr>
      </w:pPr>
    </w:p>
    <w:p>
      <w:pPr>
        <w:jc w:val="both"/>
        <w:ind w:firstLine="864"/>
        <w:spacing w:after="0" w:line="290" w:lineRule="auto"/>
        <w:rPr>
          <w:sz w:val="20"/>
          <w:szCs w:val="20"/>
          <w:color w:val="auto"/>
        </w:rPr>
      </w:pPr>
      <w:r>
        <w:rPr>
          <w:rFonts w:ascii="Arial" w:cs="Arial" w:eastAsia="Arial" w:hAnsi="Arial"/>
          <w:sz w:val="18"/>
          <w:szCs w:val="18"/>
          <w:color w:val="auto"/>
        </w:rPr>
        <w:t>I hereby represent that I have been paid all compensation owed and for all hours worked, I have received all the leave and leave benefits and protections for which I am eligible, pursuant to the federal Family and Medical Leave Act, any Company policy or applicable law, and I have not suffered any on-the-job injury or illness for which I have not already filed a workers’ compensation claim.</w:t>
      </w:r>
    </w:p>
    <w:p>
      <w:pPr>
        <w:spacing w:after="0" w:line="167"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I agree that I will not engage in any conduct that is injurious to the reputation of the Company or its parents, subsidiaries and affiliates, including but not limited to disparagement of the Company, its officers, Board members, employees and shareholders. The foregoing shall not be violated by a statement made in a deposition, trial or administrative proceeding in response to legal process; by any statement made to a government agency; or whenever I make any statement to a court, administrative tribunal or government agency as required by law.</w:t>
      </w:r>
    </w:p>
    <w:p>
      <w:pPr>
        <w:spacing w:after="0" w:line="200" w:lineRule="exact"/>
        <w:rPr>
          <w:sz w:val="20"/>
          <w:szCs w:val="20"/>
          <w:color w:val="auto"/>
        </w:rPr>
      </w:pPr>
    </w:p>
    <w:p>
      <w:pPr>
        <w:jc w:val="center"/>
        <w:ind w:left="36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58"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Printed Name</w:t>
      </w:r>
    </w:p>
    <w:p>
      <w:pPr>
        <w:spacing w:after="0" w:line="200" w:lineRule="exact"/>
        <w:rPr>
          <w:sz w:val="20"/>
          <w:szCs w:val="20"/>
          <w:color w:val="auto"/>
        </w:rPr>
      </w:pPr>
    </w:p>
    <w:p>
      <w:pPr>
        <w:spacing w:after="0" w:line="258"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C-2</w:t>
      </w:r>
    </w:p>
    <w:p>
      <w:pPr>
        <w:sectPr>
          <w:pgSz w:w="11900" w:h="16838" w:orient="portrait"/>
          <w:cols w:equalWidth="0" w:num="1">
            <w:col w:w="11240"/>
          </w:cols>
          <w:pgMar w:left="320" w:top="446"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A. Metzger, certify that:</w:t>
      </w:r>
    </w:p>
    <w:p>
      <w:pPr>
        <w:spacing w:after="0" w:line="225" w:lineRule="exact"/>
        <w:rPr>
          <w:sz w:val="20"/>
          <w:szCs w:val="20"/>
          <w:color w:val="auto"/>
        </w:rPr>
      </w:pPr>
    </w:p>
    <w:p>
      <w:pPr>
        <w:ind w:left="700" w:hanging="182"/>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4" w:lineRule="exact"/>
        <w:rPr>
          <w:rFonts w:ascii="Arial" w:cs="Arial" w:eastAsia="Arial" w:hAnsi="Arial"/>
          <w:sz w:val="18"/>
          <w:szCs w:val="18"/>
          <w:color w:val="auto"/>
        </w:rPr>
      </w:pPr>
    </w:p>
    <w:p>
      <w:pPr>
        <w:ind w:right="80" w:firstLine="518"/>
        <w:spacing w:after="0" w:line="341" w:lineRule="auto"/>
        <w:tabs>
          <w:tab w:leader="none" w:pos="69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right="60" w:firstLine="518"/>
        <w:spacing w:after="0" w:line="277" w:lineRule="auto"/>
        <w:tabs>
          <w:tab w:leader="none" w:pos="6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ind w:right="100" w:firstLine="518"/>
        <w:spacing w:after="0" w:line="263" w:lineRule="auto"/>
        <w:tabs>
          <w:tab w:leader="none" w:pos="69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520" w:right="440" w:firstLine="483"/>
        <w:spacing w:after="0" w:line="263" w:lineRule="auto"/>
        <w:tabs>
          <w:tab w:leader="none" w:pos="1251"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520" w:right="180" w:firstLine="483"/>
        <w:spacing w:after="0" w:line="263" w:lineRule="auto"/>
        <w:tabs>
          <w:tab w:leader="none" w:pos="1261"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520" w:right="300" w:firstLine="483"/>
        <w:spacing w:after="0" w:line="341" w:lineRule="auto"/>
        <w:tabs>
          <w:tab w:leader="none" w:pos="1251"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260" w:firstLine="483"/>
        <w:spacing w:after="0" w:line="263" w:lineRule="auto"/>
        <w:tabs>
          <w:tab w:leader="none" w:pos="1261"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right="60" w:firstLine="518"/>
        <w:spacing w:after="0" w:line="307" w:lineRule="auto"/>
        <w:tabs>
          <w:tab w:leader="none" w:pos="69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520" w:right="520" w:firstLine="483"/>
        <w:spacing w:after="0" w:line="307" w:lineRule="auto"/>
        <w:tabs>
          <w:tab w:leader="none" w:pos="1251"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520" w:right="200" w:firstLine="483"/>
        <w:spacing w:after="0" w:line="277" w:lineRule="auto"/>
        <w:tabs>
          <w:tab w:leader="none" w:pos="1261"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Date: May 9, 2022</w:t>
            </w:r>
          </w:p>
        </w:tc>
        <w:tc>
          <w:tcPr>
            <w:tcW w:w="7180" w:type="dxa"/>
            <w:vAlign w:val="bottom"/>
            <w:gridSpan w:val="2"/>
          </w:tcPr>
          <w:p>
            <w:pPr>
              <w:ind w:left="2720"/>
              <w:spacing w:after="0"/>
              <w:rPr>
                <w:sz w:val="20"/>
                <w:szCs w:val="20"/>
                <w:color w:val="auto"/>
              </w:rPr>
            </w:pPr>
            <w:r>
              <w:rPr>
                <w:rFonts w:ascii="Arial" w:cs="Arial" w:eastAsia="Arial" w:hAnsi="Arial"/>
                <w:sz w:val="18"/>
                <w:szCs w:val="18"/>
                <w:color w:val="auto"/>
              </w:rPr>
              <w:t>By:  /s/ Michael A. Metzger</w:t>
            </w:r>
          </w:p>
        </w:tc>
      </w:tr>
      <w:tr>
        <w:trPr>
          <w:trHeight w:val="195"/>
        </w:trPr>
        <w:tc>
          <w:tcPr>
            <w:tcW w:w="40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A. Metzger</w:t>
            </w:r>
          </w:p>
        </w:tc>
      </w:tr>
      <w:tr>
        <w:trPr>
          <w:trHeight w:val="216"/>
        </w:trPr>
        <w:tc>
          <w:tcPr>
            <w:tcW w:w="40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0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37"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Alexander Nolte, certify that:</w:t>
      </w:r>
    </w:p>
    <w:p>
      <w:pPr>
        <w:spacing w:after="0" w:line="225" w:lineRule="exact"/>
        <w:rPr>
          <w:sz w:val="20"/>
          <w:szCs w:val="20"/>
          <w:color w:val="auto"/>
        </w:rPr>
      </w:pPr>
    </w:p>
    <w:p>
      <w:pPr>
        <w:ind w:left="700" w:hanging="182"/>
        <w:spacing w:after="0"/>
        <w:tabs>
          <w:tab w:leader="none" w:pos="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Syndax Pharmaceuticals, Inc.;</w:t>
      </w:r>
    </w:p>
    <w:p>
      <w:pPr>
        <w:spacing w:after="0" w:line="224" w:lineRule="exact"/>
        <w:rPr>
          <w:rFonts w:ascii="Arial" w:cs="Arial" w:eastAsia="Arial" w:hAnsi="Arial"/>
          <w:sz w:val="18"/>
          <w:szCs w:val="18"/>
          <w:color w:val="auto"/>
        </w:rPr>
      </w:pPr>
    </w:p>
    <w:p>
      <w:pPr>
        <w:ind w:right="80" w:firstLine="518"/>
        <w:spacing w:after="0" w:line="341" w:lineRule="auto"/>
        <w:tabs>
          <w:tab w:leader="none" w:pos="69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right="60" w:firstLine="518"/>
        <w:spacing w:after="0" w:line="277" w:lineRule="auto"/>
        <w:tabs>
          <w:tab w:leader="none" w:pos="6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ind w:right="100" w:firstLine="518"/>
        <w:spacing w:after="0" w:line="263" w:lineRule="auto"/>
        <w:tabs>
          <w:tab w:leader="none" w:pos="6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520" w:right="440" w:firstLine="483"/>
        <w:spacing w:after="0" w:line="263" w:lineRule="auto"/>
        <w:tabs>
          <w:tab w:leader="none" w:pos="1251"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520" w:right="180" w:firstLine="483"/>
        <w:spacing w:after="0" w:line="263" w:lineRule="auto"/>
        <w:tabs>
          <w:tab w:leader="none" w:pos="1261"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520" w:right="300" w:firstLine="483"/>
        <w:spacing w:after="0" w:line="341" w:lineRule="auto"/>
        <w:tabs>
          <w:tab w:leader="none" w:pos="1251"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520" w:right="260" w:firstLine="483"/>
        <w:spacing w:after="0" w:line="263" w:lineRule="auto"/>
        <w:tabs>
          <w:tab w:leader="none" w:pos="1261"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right="60" w:firstLine="518"/>
        <w:spacing w:after="0" w:line="307" w:lineRule="auto"/>
        <w:tabs>
          <w:tab w:leader="none" w:pos="69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520" w:right="520" w:firstLine="483"/>
        <w:spacing w:after="0" w:line="307" w:lineRule="auto"/>
        <w:tabs>
          <w:tab w:leader="none" w:pos="1251" w:val="left"/>
        </w:tabs>
        <w:numPr>
          <w:ilvl w:val="1"/>
          <w:numId w:val="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7"/>
          <w:szCs w:val="17"/>
          <w:color w:val="auto"/>
        </w:rPr>
      </w:pPr>
    </w:p>
    <w:p>
      <w:pPr>
        <w:ind w:left="520" w:right="200" w:firstLine="483"/>
        <w:spacing w:after="0" w:line="277" w:lineRule="auto"/>
        <w:tabs>
          <w:tab w:leader="none" w:pos="1261"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Date: May 9, 2022</w:t>
            </w:r>
          </w:p>
        </w:tc>
        <w:tc>
          <w:tcPr>
            <w:tcW w:w="7160" w:type="dxa"/>
            <w:vAlign w:val="bottom"/>
            <w:gridSpan w:val="2"/>
          </w:tcPr>
          <w:p>
            <w:pPr>
              <w:ind w:left="2740"/>
              <w:spacing w:after="0"/>
              <w:rPr>
                <w:sz w:val="20"/>
                <w:szCs w:val="20"/>
                <w:color w:val="auto"/>
              </w:rPr>
            </w:pPr>
            <w:r>
              <w:rPr>
                <w:rFonts w:ascii="Arial" w:cs="Arial" w:eastAsia="Arial" w:hAnsi="Arial"/>
                <w:sz w:val="18"/>
                <w:szCs w:val="18"/>
                <w:color w:val="auto"/>
              </w:rPr>
              <w:t>By:  /s/ Alexander Nolte</w:t>
            </w:r>
          </w:p>
        </w:tc>
      </w:tr>
      <w:tr>
        <w:trPr>
          <w:trHeight w:val="195"/>
        </w:trPr>
        <w:tc>
          <w:tcPr>
            <w:tcW w:w="40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Alexander Nolte</w:t>
            </w:r>
          </w:p>
        </w:tc>
      </w:tr>
      <w:tr>
        <w:trPr>
          <w:trHeight w:val="216"/>
        </w:trPr>
        <w:tc>
          <w:tcPr>
            <w:tcW w:w="40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216"/>
        </w:trPr>
        <w:tc>
          <w:tcPr>
            <w:tcW w:w="40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(Interim Principal Financial Officer and Principal</w:t>
            </w:r>
          </w:p>
        </w:tc>
      </w:tr>
      <w:tr>
        <w:trPr>
          <w:trHeight w:val="230"/>
        </w:trPr>
        <w:tc>
          <w:tcPr>
            <w:tcW w:w="4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Accounting Officer)</w:t>
            </w:r>
          </w:p>
        </w:tc>
      </w:tr>
    </w:tbl>
    <w:p>
      <w:pPr>
        <w:sectPr>
          <w:pgSz w:w="11900" w:h="16838" w:orient="portrait"/>
          <w:cols w:equalWidth="0" w:num="1">
            <w:col w:w="11240"/>
          </w:cols>
          <w:pgMar w:left="320" w:top="512"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In connection with the Quarterly Report on Form 10-Q of Syndax Pharmaceuticals, Inc. (the “Company”) for the period ended March 31, 2022, as filed with the Securities and Exchange Commission on the date hereof (the “Report”), each of the undersigned officers of the Company hereby certifies, pursuant to 18 U.S.C. Section 1350, that to his or her knowledge:</w:t>
      </w:r>
    </w:p>
    <w:p>
      <w:pPr>
        <w:spacing w:after="0" w:line="183" w:lineRule="exact"/>
        <w:rPr>
          <w:sz w:val="20"/>
          <w:szCs w:val="20"/>
          <w:color w:val="auto"/>
        </w:rPr>
      </w:pPr>
    </w:p>
    <w:p>
      <w:pPr>
        <w:ind w:left="1000" w:hanging="493"/>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Date: May 9, 2022</w:t>
            </w:r>
          </w:p>
        </w:tc>
        <w:tc>
          <w:tcPr>
            <w:tcW w:w="3140" w:type="dxa"/>
            <w:vAlign w:val="bottom"/>
          </w:tcPr>
          <w:p>
            <w:pPr>
              <w:ind w:left="272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A. Metzger</w:t>
            </w:r>
          </w:p>
        </w:tc>
      </w:tr>
      <w:tr>
        <w:trPr>
          <w:trHeight w:val="195"/>
        </w:trPr>
        <w:tc>
          <w:tcPr>
            <w:tcW w:w="40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Michael A. Metzger</w:t>
            </w:r>
          </w:p>
        </w:tc>
      </w:tr>
      <w:tr>
        <w:trPr>
          <w:trHeight w:val="230"/>
        </w:trPr>
        <w:tc>
          <w:tcPr>
            <w:tcW w:w="40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12"/>
        </w:trPr>
        <w:tc>
          <w:tcPr>
            <w:tcW w:w="4060" w:type="dxa"/>
            <w:vAlign w:val="bottom"/>
          </w:tcPr>
          <w:p>
            <w:pPr>
              <w:spacing w:after="0"/>
              <w:rPr>
                <w:sz w:val="20"/>
                <w:szCs w:val="20"/>
                <w:color w:val="auto"/>
              </w:rPr>
            </w:pPr>
            <w:r>
              <w:rPr>
                <w:rFonts w:ascii="Arial" w:cs="Arial" w:eastAsia="Arial" w:hAnsi="Arial"/>
                <w:sz w:val="18"/>
                <w:szCs w:val="18"/>
                <w:color w:val="auto"/>
              </w:rPr>
              <w:t>Date: May 9, 2022</w:t>
            </w:r>
          </w:p>
        </w:tc>
        <w:tc>
          <w:tcPr>
            <w:tcW w:w="3140" w:type="dxa"/>
            <w:vAlign w:val="bottom"/>
          </w:tcPr>
          <w:p>
            <w:pPr>
              <w:ind w:left="272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Nolte</w:t>
            </w:r>
          </w:p>
        </w:tc>
      </w:tr>
      <w:tr>
        <w:trPr>
          <w:trHeight w:val="195"/>
        </w:trPr>
        <w:tc>
          <w:tcPr>
            <w:tcW w:w="40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Alexander Nolte</w:t>
            </w:r>
          </w:p>
        </w:tc>
      </w:tr>
      <w:tr>
        <w:trPr>
          <w:trHeight w:val="216"/>
        </w:trPr>
        <w:tc>
          <w:tcPr>
            <w:tcW w:w="40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Accounting Officer and Interim Principal</w:t>
            </w:r>
          </w:p>
        </w:tc>
      </w:tr>
      <w:tr>
        <w:trPr>
          <w:trHeight w:val="230"/>
        </w:trPr>
        <w:tc>
          <w:tcPr>
            <w:tcW w:w="40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Financial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1."/>
      <w:numFmt w:val="decimal"/>
      <w:start w:val="3"/>
    </w:lvl>
  </w:abstractNum>
  <w:abstractNum w:abstractNumId="4">
    <w:nsid w:val="5E884ADC"/>
    <w:multiLevelType w:val="hybridMultilevel"/>
    <w:lvl w:ilvl="0">
      <w:lvlJc w:val="left"/>
      <w:lvlText w:val="%1."/>
      <w:numFmt w:val="decimal"/>
      <w:start w:val="4"/>
    </w:lvl>
  </w:abstractNum>
  <w:abstractNum w:abstractNumId="5">
    <w:nsid w:val="51EAD36B"/>
    <w:multiLevelType w:val="hybridMultilevel"/>
    <w:lvl w:ilvl="0">
      <w:lvlJc w:val="left"/>
      <w:lvlText w:val="(%1)"/>
      <w:numFmt w:val="lowerRoman"/>
      <w:start w:val="2"/>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1)"/>
      <w:numFmt w:val="lowerLetter"/>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1"/>
      <w:numFmt w:val="decimal"/>
      <w:start w:val="10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1."/>
      <w:numFmt w:val="upperLetter"/>
      <w:start w:val="1"/>
    </w:lvl>
  </w:abstractNum>
  <w:abstractNum w:abstractNumId="37">
    <w:nsid w:val="649BB77C"/>
    <w:multiLevelType w:val="hybridMultilevel"/>
    <w:lvl w:ilvl="0">
      <w:lvlJc w:val="left"/>
      <w:lvlText w:val="(%1)"/>
      <w:numFmt w:val="lowerRoman"/>
      <w:start w:val="1"/>
    </w:lvl>
  </w:abstractNum>
  <w:abstractNum w:abstractNumId="38">
    <w:nsid w:val="275AC794"/>
    <w:multiLevelType w:val="hybridMultilevel"/>
    <w:lvl w:ilvl="0">
      <w:lvlJc w:val="left"/>
      <w:lvlText w:val="%1)"/>
      <w:numFmt w:val="lowerLetter"/>
      <w:start w:val="1"/>
    </w:lvl>
  </w:abstractNum>
  <w:abstractNum w:abstractNumId="39">
    <w:nsid w:val="39386575"/>
    <w:multiLevelType w:val="hybridMultilevel"/>
    <w:lvl w:ilvl="0">
      <w:lvlJc w:val="left"/>
      <w:lvlText w:val="%1)"/>
      <w:numFmt w:val="decimal"/>
      <w:start w:val="5"/>
    </w:lvl>
  </w:abstractNum>
  <w:abstractNum w:abstractNumId="40">
    <w:nsid w:val="1CF10FD8"/>
    <w:multiLevelType w:val="hybridMultilevel"/>
    <w:lvl w:ilvl="0">
      <w:lvlJc w:val="left"/>
      <w:lvlText w:val="(%1)"/>
      <w:numFmt w:val="decimal"/>
      <w:start w:val="12"/>
    </w:lvl>
  </w:abstractNum>
  <w:abstractNum w:abstractNumId="41">
    <w:nsid w:val="180115BE"/>
    <w:multiLevelType w:val="hybridMultilevel"/>
    <w:lvl w:ilvl="0">
      <w:lvlJc w:val="left"/>
      <w:lvlText w:val="%1)"/>
      <w:numFmt w:val="lowerLetter"/>
      <w:start w:val="1"/>
    </w:lvl>
  </w:abstractNum>
  <w:abstractNum w:abstractNumId="42">
    <w:nsid w:val="235BA861"/>
    <w:multiLevelType w:val="hybridMultilevel"/>
    <w:lvl w:ilvl="0">
      <w:lvlJc w:val="left"/>
      <w:lvlText w:val="%1)"/>
      <w:numFmt w:val="lowerLetter"/>
      <w:start w:val="1"/>
    </w:lvl>
  </w:abstractNum>
  <w:abstractNum w:abstractNumId="43">
    <w:nsid w:val="47398C89"/>
    <w:multiLevelType w:val="hybridMultilevel"/>
    <w:lvl w:ilvl="0">
      <w:lvlJc w:val="left"/>
      <w:lvlText w:val="%1)"/>
      <w:numFmt w:val="lowerLetter"/>
      <w:start w:val="3"/>
    </w:lvl>
  </w:abstractNum>
  <w:abstractNum w:abstractNumId="44">
    <w:nsid w:val="354FE9F9"/>
    <w:multiLevelType w:val="hybridMultilevel"/>
    <w:lvl w:ilvl="0">
      <w:lvlJc w:val="left"/>
      <w:lvlText w:val="%1"/>
      <w:numFmt w:val="lowerRoman"/>
      <w:start w:val="1"/>
    </w:lvl>
    <w:lvl w:ilvl="1">
      <w:lvlJc w:val="left"/>
      <w:lvlText w:val="%2)"/>
      <w:numFmt w:val="lowerLetter"/>
      <w:start w:val="1"/>
    </w:lvl>
  </w:abstractNum>
  <w:abstractNum w:abstractNumId="45">
    <w:nsid w:val="15B5AF5C"/>
    <w:multiLevelType w:val="hybridMultilevel"/>
    <w:lvl w:ilvl="0">
      <w:lvlJc w:val="left"/>
      <w:lvlText w:val="(%1)"/>
      <w:numFmt w:val="lowerRoman"/>
      <w:start w:val="1"/>
    </w:lvl>
    <w:lvl w:ilvl="1">
      <w:lvlJc w:val="left"/>
      <w:lvlText w:val="%2"/>
      <w:numFmt w:val="lowerLetter"/>
      <w:start w:val="1"/>
    </w:lvl>
  </w:abstractNum>
  <w:abstractNum w:abstractNumId="46">
    <w:nsid w:val="741226BB"/>
    <w:multiLevelType w:val="hybridMultilevel"/>
    <w:lvl w:ilvl="0">
      <w:lvlJc w:val="left"/>
      <w:lvlText w:val="(%1)"/>
      <w:numFmt w:val="upperLetter"/>
      <w:start w:val="1"/>
    </w:lvl>
  </w:abstractNum>
  <w:abstractNum w:abstractNumId="47">
    <w:nsid w:val="D34B6A8"/>
    <w:multiLevelType w:val="hybridMultilevel"/>
    <w:lvl w:ilvl="0">
      <w:lvlJc w:val="left"/>
      <w:lvlText w:val="(%1)"/>
      <w:numFmt w:val="decimal"/>
      <w:start w:val="15"/>
    </w:lvl>
  </w:abstractNum>
  <w:abstractNum w:abstractNumId="48">
    <w:nsid w:val="10233C99"/>
    <w:multiLevelType w:val="hybridMultilevel"/>
    <w:lvl w:ilvl="0">
      <w:lvlJc w:val="left"/>
      <w:lvlText w:val="%1)"/>
      <w:numFmt w:val="lowerLetter"/>
      <w:start w:val="1"/>
    </w:lvl>
  </w:abstractNum>
  <w:abstractNum w:abstractNumId="49">
    <w:nsid w:val="3F6AB60F"/>
    <w:multiLevelType w:val="hybridMultilevel"/>
    <w:lvl w:ilvl="0">
      <w:lvlJc w:val="left"/>
      <w:lvlText w:val="(%1)"/>
      <w:numFmt w:val="lowerRoman"/>
      <w:start w:val="2"/>
    </w:lvl>
  </w:abstractNum>
  <w:abstractNum w:abstractNumId="50">
    <w:nsid w:val="61574095"/>
    <w:multiLevelType w:val="hybridMultilevel"/>
    <w:lvl w:ilvl="0">
      <w:lvlJc w:val="left"/>
      <w:lvlText w:val="%1"/>
      <w:numFmt w:val="lowerRoman"/>
      <w:start w:val="1"/>
    </w:lvl>
    <w:lvl w:ilvl="1">
      <w:lvlJc w:val="left"/>
      <w:lvlText w:val="%2)"/>
      <w:numFmt w:val="lowerLetter"/>
      <w:start w:val="1"/>
    </w:lvl>
  </w:abstractNum>
  <w:abstractNum w:abstractNumId="51">
    <w:nsid w:val="7E0C57B1"/>
    <w:multiLevelType w:val="hybridMultilevel"/>
    <w:lvl w:ilvl="0">
      <w:lvlJc w:val="left"/>
      <w:lvlText w:val="(%1)"/>
      <w:numFmt w:val="lowerRoman"/>
      <w:start w:val="2"/>
    </w:lvl>
    <w:lvl w:ilvl="1">
      <w:lvlJc w:val="left"/>
      <w:lvlText w:val="%2)"/>
      <w:numFmt w:val="lowerLetter"/>
      <w:start w:val="2"/>
    </w:lvl>
  </w:abstractNum>
  <w:abstractNum w:abstractNumId="52">
    <w:nsid w:val="77AE35EB"/>
    <w:multiLevelType w:val="hybridMultilevel"/>
    <w:lvl w:ilvl="0">
      <w:lvlJc w:val="left"/>
      <w:lvlText w:val="%1)"/>
      <w:numFmt w:val="lowerLetter"/>
      <w:start w:val="1"/>
    </w:lvl>
  </w:abstractNum>
  <w:abstractNum w:abstractNumId="53">
    <w:nsid w:val="579BE4F1"/>
    <w:multiLevelType w:val="hybridMultilevel"/>
    <w:lvl w:ilvl="0">
      <w:lvlJc w:val="left"/>
      <w:lvlText w:val="%1."/>
      <w:numFmt w:val="upperLetter"/>
      <w:start w:val="1"/>
    </w:lvl>
  </w:abstractNum>
  <w:abstractNum w:abstractNumId="54">
    <w:nsid w:val="310C50B3"/>
    <w:multiLevelType w:val="hybridMultilevel"/>
    <w:lvl w:ilvl="0">
      <w:lvlJc w:val="left"/>
      <w:lvlText w:val="(%1)"/>
      <w:numFmt w:val="lowerRoman"/>
      <w:start w:val="1"/>
    </w:lvl>
  </w:abstractNum>
  <w:abstractNum w:abstractNumId="55">
    <w:nsid w:val="5FF87E05"/>
    <w:multiLevelType w:val="hybridMultilevel"/>
    <w:lvl w:ilvl="0">
      <w:lvlJc w:val="left"/>
      <w:lvlText w:val="%1)"/>
      <w:numFmt w:val="lowerLetter"/>
      <w:start w:val="1"/>
    </w:lvl>
  </w:abstractNum>
  <w:abstractNum w:abstractNumId="56">
    <w:nsid w:val="2F305DEF"/>
    <w:multiLevelType w:val="hybridMultilevel"/>
    <w:lvl w:ilvl="0">
      <w:lvlJc w:val="left"/>
      <w:lvlText w:val="%1)"/>
      <w:numFmt w:val="decimal"/>
      <w:start w:val="5"/>
    </w:lvl>
  </w:abstractNum>
  <w:abstractNum w:abstractNumId="57">
    <w:nsid w:val="25A70BF7"/>
    <w:multiLevelType w:val="hybridMultilevel"/>
    <w:lvl w:ilvl="0">
      <w:lvlJc w:val="left"/>
      <w:lvlText w:val="%1)"/>
      <w:numFmt w:val="lowerLetter"/>
      <w:start w:val="1"/>
    </w:lvl>
  </w:abstractNum>
  <w:abstractNum w:abstractNumId="58">
    <w:nsid w:val="1DBABF00"/>
    <w:multiLevelType w:val="hybridMultilevel"/>
    <w:lvl w:ilvl="0">
      <w:lvlJc w:val="left"/>
      <w:lvlText w:val="%1)"/>
      <w:numFmt w:val="lowerLetter"/>
      <w:start w:val="1"/>
    </w:lvl>
  </w:abstractNum>
  <w:abstractNum w:abstractNumId="59">
    <w:nsid w:val="4AD084E9"/>
    <w:multiLevelType w:val="hybridMultilevel"/>
    <w:lvl w:ilvl="0">
      <w:lvlJc w:val="left"/>
      <w:lvlText w:val="%1"/>
      <w:numFmt w:val="lowerRoman"/>
      <w:start w:val="1"/>
    </w:lvl>
    <w:lvl w:ilvl="1">
      <w:lvlJc w:val="left"/>
      <w:lvlText w:val="%2)"/>
      <w:numFmt w:val="lowerLetter"/>
      <w:start w:val="1"/>
    </w:lvl>
  </w:abstractNum>
  <w:abstractNum w:abstractNumId="60">
    <w:nsid w:val="1F48EAA1"/>
    <w:multiLevelType w:val="hybridMultilevel"/>
    <w:lvl w:ilvl="0">
      <w:lvlJc w:val="left"/>
      <w:lvlText w:val="(%1)"/>
      <w:numFmt w:val="lowerRoman"/>
      <w:start w:val="1"/>
    </w:lvl>
    <w:lvl w:ilvl="1">
      <w:lvlJc w:val="left"/>
      <w:lvlText w:val="%2"/>
      <w:numFmt w:val="lowerLetter"/>
      <w:start w:val="1"/>
    </w:lvl>
  </w:abstractNum>
  <w:abstractNum w:abstractNumId="61">
    <w:nsid w:val="1381823A"/>
    <w:multiLevelType w:val="hybridMultilevel"/>
    <w:lvl w:ilvl="0">
      <w:lvlJc w:val="left"/>
      <w:lvlText w:val="(%1)"/>
      <w:numFmt w:val="decimal"/>
      <w:start w:val="15"/>
    </w:lvl>
  </w:abstractNum>
  <w:abstractNum w:abstractNumId="62">
    <w:nsid w:val="5DB70AE5"/>
    <w:multiLevelType w:val="hybridMultilevel"/>
    <w:lvl w:ilvl="0">
      <w:lvlJc w:val="left"/>
      <w:lvlText w:val="%1)"/>
      <w:numFmt w:val="lowerLetter"/>
      <w:start w:val="1"/>
    </w:lvl>
  </w:abstractNum>
  <w:abstractNum w:abstractNumId="63">
    <w:nsid w:val="100F8FCA"/>
    <w:multiLevelType w:val="hybridMultilevel"/>
    <w:lvl w:ilvl="0">
      <w:lvlJc w:val="left"/>
      <w:lvlText w:val="%1)"/>
      <w:numFmt w:val="lowerLetter"/>
      <w:start w:val="3"/>
    </w:lvl>
  </w:abstractNum>
  <w:abstractNum w:abstractNumId="64">
    <w:nsid w:val="6590700B"/>
    <w:multiLevelType w:val="hybridMultilevel"/>
    <w:lvl w:ilvl="0">
      <w:lvlJc w:val="left"/>
      <w:lvlText w:val="(%1)"/>
      <w:numFmt w:val="lowerRoman"/>
      <w:start w:val="2"/>
    </w:lvl>
  </w:abstractNum>
  <w:abstractNum w:abstractNumId="65">
    <w:nsid w:val="15014ACB"/>
    <w:multiLevelType w:val="hybridMultilevel"/>
    <w:lvl w:ilvl="0">
      <w:lvlJc w:val="left"/>
      <w:lvlText w:val="%1"/>
      <w:numFmt w:val="lowerRoman"/>
      <w:start w:val="1"/>
    </w:lvl>
    <w:lvl w:ilvl="1">
      <w:lvlJc w:val="left"/>
      <w:lvlText w:val="%2)"/>
      <w:numFmt w:val="lowerLetter"/>
      <w:start w:val="1"/>
    </w:lvl>
  </w:abstractNum>
  <w:abstractNum w:abstractNumId="66">
    <w:nsid w:val="5F5E7FD0"/>
    <w:multiLevelType w:val="hybridMultilevel"/>
    <w:lvl w:ilvl="0">
      <w:lvlJc w:val="left"/>
      <w:lvlText w:val="(%1)"/>
      <w:numFmt w:val="lowerRoman"/>
      <w:start w:val="2"/>
    </w:lvl>
    <w:lvl w:ilvl="1">
      <w:lvlJc w:val="left"/>
      <w:lvlText w:val="%2"/>
      <w:numFmt w:val="lowerLetter"/>
      <w:start w:val="1"/>
    </w:lvl>
  </w:abstractNum>
  <w:abstractNum w:abstractNumId="67">
    <w:nsid w:val="98A3148"/>
    <w:multiLevelType w:val="hybridMultilevel"/>
    <w:lvl w:ilvl="0">
      <w:lvlJc w:val="left"/>
      <w:lvlText w:val="%1)"/>
      <w:numFmt w:val="lowerLetter"/>
      <w:start w:val="2"/>
    </w:lvl>
  </w:abstractNum>
  <w:abstractNum w:abstractNumId="68">
    <w:nsid w:val="799D0247"/>
    <w:multiLevelType w:val="hybridMultilevel"/>
    <w:lvl w:ilvl="0">
      <w:lvlJc w:val="left"/>
      <w:lvlText w:val="%1)"/>
      <w:numFmt w:val="lowerLetter"/>
      <w:start w:val="1"/>
    </w:lvl>
  </w:abstractNum>
  <w:abstractNum w:abstractNumId="69">
    <w:nsid w:val="6B94764"/>
    <w:multiLevelType w:val="hybridMultilevel"/>
    <w:lvl w:ilvl="0">
      <w:lvlJc w:val="left"/>
      <w:lvlText w:val="%1)"/>
      <w:numFmt w:val="lowerLetter"/>
      <w:start w:val="4"/>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76" Type="http://schemas.openxmlformats.org/officeDocument/2006/relationships/hyperlink" Target="http://www.sec.gov/Archives/edgar/data/1395937/000119312516496764/d119516dex31.htm" TargetMode="External"/><Relationship Id="rId77" Type="http://schemas.openxmlformats.org/officeDocument/2006/relationships/hyperlink" Target="http://www.sec.gov/Archives/edgar/data/1395937/000119312516496764/d11951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2022-05-09T15:24:09Z</dcterms:created>
  <dcterms:modified xsi:type="dcterms:W3CDTF">2022-05-09T15:24:09Z</dcterms:modified>
</cp:coreProperties>
</file>