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rFonts w:ascii="MS PGothic" w:cs="MS PGothic" w:eastAsia="MS PGothic" w:hAnsi="MS PGothic"/>
          <w:sz w:val="18"/>
          <w:szCs w:val="18"/>
          <w:color w:val="auto"/>
        </w:rPr>
      </w:pPr>
    </w:p>
    <w:p>
      <w:pPr>
        <w:ind w:left="40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6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3641090</wp:posOffset>
            </wp:positionH>
            <wp:positionV relativeFrom="paragraph">
              <wp:posOffset>-3175</wp:posOffset>
            </wp:positionV>
            <wp:extent cx="539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Syndax Pharmaceuticals,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tbl>
      <w:tblPr>
        <w:tblLayout w:type="fixed"/>
        <w:tblInd w:w="1580" w:type="dxa"/>
        <w:tblCellMar>
          <w:top w:w="0" w:type="dxa"/>
          <w:left w:w="0" w:type="dxa"/>
          <w:bottom w:w="0" w:type="dxa"/>
          <w:right w:w="0" w:type="dxa"/>
        </w:tblCellMar>
      </w:tblPr>
      <w:tr>
        <w:trPr>
          <w:trHeight w:val="194"/>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0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32-0162505</w:t>
            </w:r>
          </w:p>
        </w:tc>
      </w:tr>
      <w:tr>
        <w:trPr>
          <w:trHeight w:val="148"/>
        </w:trPr>
        <w:tc>
          <w:tcPr>
            <w:tcW w:w="6020" w:type="dxa"/>
            <w:vAlign w:val="bottom"/>
          </w:tcPr>
          <w:p>
            <w:pPr>
              <w:jc w:val="center"/>
              <w:ind w:right="348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0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0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9"/>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6"/>
                <w:szCs w:val="16"/>
                <w:b w:val="1"/>
                <w:bCs w:val="1"/>
                <w:color w:val="auto"/>
              </w:rPr>
              <w:t>730 Third Avenue, 9th Floor</w:t>
            </w:r>
          </w:p>
        </w:tc>
        <w:tc>
          <w:tcPr>
            <w:tcW w:w="1400" w:type="dxa"/>
            <w:vAlign w:val="bottom"/>
          </w:tcPr>
          <w:p>
            <w:pPr>
              <w:spacing w:after="0"/>
              <w:rPr>
                <w:sz w:val="24"/>
                <w:szCs w:val="24"/>
                <w:color w:val="auto"/>
              </w:rPr>
            </w:pPr>
          </w:p>
        </w:tc>
      </w:tr>
      <w:tr>
        <w:trPr>
          <w:trHeight w:val="194"/>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140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10017</w:t>
            </w:r>
          </w:p>
        </w:tc>
      </w:tr>
      <w:tr>
        <w:trPr>
          <w:trHeight w:val="190"/>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6020" w:type="dxa"/>
            <w:vAlign w:val="bottom"/>
          </w:tcPr>
          <w:p>
            <w:pPr>
              <w:jc w:val="right"/>
              <w:ind w:right="1424"/>
              <w:spacing w:after="0"/>
              <w:rPr>
                <w:sz w:val="20"/>
                <w:szCs w:val="20"/>
                <w:color w:val="auto"/>
              </w:rPr>
            </w:pPr>
            <w:r>
              <w:rPr>
                <w:rFonts w:ascii="Times New Roman" w:cs="Times New Roman" w:eastAsia="Times New Roman" w:hAnsi="Times New Roman"/>
                <w:sz w:val="16"/>
                <w:szCs w:val="16"/>
                <w:b w:val="1"/>
                <w:bCs w:val="1"/>
                <w:color w:val="auto"/>
              </w:rPr>
              <w:t>(781) 419-1400</w:t>
            </w:r>
          </w:p>
        </w:tc>
        <w:tc>
          <w:tcPr>
            <w:tcW w:w="1400" w:type="dxa"/>
            <w:vAlign w:val="bottom"/>
          </w:tcPr>
          <w:p>
            <w:pPr>
              <w:spacing w:after="0"/>
              <w:rPr>
                <w:sz w:val="23"/>
                <w:szCs w:val="23"/>
                <w:color w:val="auto"/>
              </w:rPr>
            </w:pPr>
          </w:p>
        </w:tc>
      </w:tr>
      <w:tr>
        <w:trPr>
          <w:trHeight w:val="190"/>
        </w:trPr>
        <w:tc>
          <w:tcPr>
            <w:tcW w:w="6020" w:type="dxa"/>
            <w:vAlign w:val="bottom"/>
          </w:tcPr>
          <w:p>
            <w:pPr>
              <w:jc w:val="center"/>
              <w:ind w:left="196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590" w:type="dxa"/>
        <w:tblCellMar>
          <w:top w:w="0" w:type="dxa"/>
          <w:left w:w="0" w:type="dxa"/>
          <w:bottom w:w="0" w:type="dxa"/>
          <w:right w:w="0" w:type="dxa"/>
        </w:tblCellMar>
      </w:tblPr>
      <w:tr>
        <w:trPr>
          <w:trHeight w:val="219"/>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79"/>
        </w:trPr>
        <w:tc>
          <w:tcPr>
            <w:tcW w:w="338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SNDX</w:t>
            </w:r>
          </w:p>
        </w:tc>
        <w:tc>
          <w:tcPr>
            <w:tcW w:w="488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4" w:lineRule="exact"/>
        <w:rPr>
          <w:sz w:val="24"/>
          <w:szCs w:val="24"/>
          <w:color w:val="auto"/>
        </w:rPr>
      </w:pPr>
    </w:p>
    <w:p>
      <w:pPr>
        <w:ind w:firstLine="382"/>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75" w:lineRule="exact"/>
        <w:rPr>
          <w:sz w:val="24"/>
          <w:szCs w:val="24"/>
          <w:color w:val="auto"/>
        </w:rPr>
      </w:pPr>
    </w:p>
    <w:p>
      <w:pPr>
        <w:ind w:right="260" w:firstLine="38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88" w:lineRule="exact"/>
        <w:rPr>
          <w:sz w:val="24"/>
          <w:szCs w:val="24"/>
          <w:color w:val="auto"/>
        </w:rPr>
      </w:pPr>
    </w:p>
    <w:p>
      <w:pPr>
        <w:ind w:right="18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80" w:right="222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 2025, there were 86,141,862 shares of the registrant’s Common Stock, par value $0.0001 per share, outstanding.</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7"/>
          <w:szCs w:val="7"/>
          <w:color w:val="auto"/>
        </w:rPr>
        <w:t>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this Quarterly Report, contains forward-looking statements and information within the meaning of Section 27A of the Securities Act of 1933, as amended, and Section 21E of the Securities Exchange Act of 1934, as amended, which are subject to the "safe harbor" created by those sections. All statements other than statements of historical fact are “forward-looking statements” for purposes of this Quarterly Report on Form 10-Q.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revenues, anticipated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results in future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 candidates and the timing or likelihood of regulatory filings and approvals for such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licenses with UCB Biopharma Sprl, and Vitae Pharmaceuticals, LLC, a subsidiary of AbbVie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Incyte Corporation, or Incyte, to further develop and commercialize axatilimab;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milestone and royalty payments under certain of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establish and maintain for intellectual property rights covering our product candidates and our technology;</w:t>
      </w:r>
    </w:p>
    <w:p>
      <w:pPr>
        <w:spacing w:after="0" w:line="123" w:lineRule="exact"/>
        <w:rPr>
          <w:rFonts w:ascii="Times New Roman" w:cs="Times New Roman" w:eastAsia="Times New Roman" w:hAnsi="Times New Roman"/>
          <w:sz w:val="18"/>
          <w:szCs w:val="18"/>
          <w:color w:val="auto"/>
        </w:rPr>
      </w:pPr>
    </w:p>
    <w:p>
      <w:pPr>
        <w:ind w:left="1020" w:right="160" w:hanging="503"/>
        <w:spacing w:after="0" w:line="23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(revumenib) and NIKTIMVO™ (axatilimab-csfr) and our other product candidates by physicians and patients;</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actions, including tariffs, war or the perception that hostilities may be imminent (such as the ongoing war between Russia and Ukraine),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0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80" w:type="dxa"/>
            <w:vAlign w:val="bottom"/>
          </w:tcPr>
          <w:p>
            <w:pPr>
              <w:spacing w:after="0"/>
              <w:rPr>
                <w:sz w:val="24"/>
                <w:szCs w:val="24"/>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7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as of June 30, 2025 and December 31,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 and six months ended June 30, 2025 and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86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and six months ended June 30, 2025 and 2024</w:t>
            </w:r>
          </w:p>
        </w:tc>
        <w:tc>
          <w:tcPr>
            <w:tcW w:w="7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2025 and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1040" w:type="dxa"/>
            <w:vAlign w:val="bottom"/>
          </w:tcPr>
          <w:p>
            <w:pPr>
              <w:spacing w:after="0"/>
              <w:rPr>
                <w:sz w:val="24"/>
                <w:szCs w:val="24"/>
                <w:color w:val="auto"/>
              </w:rPr>
            </w:pPr>
          </w:p>
        </w:tc>
        <w:tc>
          <w:tcPr>
            <w:tcW w:w="6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98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24"/>
                <w:szCs w:val="24"/>
                <w:color w:val="auto"/>
              </w:rPr>
            </w:pPr>
          </w:p>
        </w:tc>
        <w:tc>
          <w:tcPr>
            <w:tcW w:w="296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2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64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81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 w:type="dxa"/>
            <w:vAlign w:val="bottom"/>
            <w:tcBorders>
              <w:top w:val="single" w:sz="8" w:color="0000FF"/>
              <w:bottom w:val="single" w:sz="8" w:color="0000EE"/>
            </w:tcBorders>
          </w:tcPr>
          <w:p>
            <w:pPr>
              <w:spacing w:after="0"/>
              <w:rPr>
                <w:sz w:val="24"/>
                <w:szCs w:val="24"/>
                <w:color w:val="auto"/>
              </w:rPr>
            </w:pPr>
          </w:p>
        </w:tc>
        <w:tc>
          <w:tcPr>
            <w:tcW w:w="680" w:type="dxa"/>
            <w:vAlign w:val="bottom"/>
            <w:tcBorders>
              <w:top w:val="single" w:sz="8" w:color="0000FF"/>
            </w:tcBorders>
            <w:gridSpan w:val="3"/>
          </w:tcPr>
          <w:p>
            <w:pPr>
              <w:spacing w:after="0"/>
              <w:rPr>
                <w:sz w:val="24"/>
                <w:szCs w:val="24"/>
                <w:color w:val="auto"/>
              </w:rPr>
            </w:pPr>
          </w:p>
        </w:tc>
        <w:tc>
          <w:tcPr>
            <w:tcW w:w="81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346,597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deposits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receivable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Collaboration receivable, net</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531,676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596,149</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 payable, net</w:t>
            </w:r>
          </w:p>
        </w:tc>
        <w:tc>
          <w:tcPr>
            <w:tcW w:w="2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payable</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royalty interest financing liability</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right-of-use liability</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capital lease</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Royalty interest financing liability, less current portion</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325,738</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438,725</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0 shares</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at June 30, 2025 and December 31, 2024</w:t>
            </w:r>
          </w:p>
        </w:tc>
        <w:tc>
          <w:tcPr>
            <w:tcW w:w="28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86,059,077</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85,694,443 shares issued and outstanding at June 30, 2025 and</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(1,377,851)</w:t>
            </w:r>
          </w:p>
        </w:tc>
        <w:tc>
          <w:tcPr>
            <w:tcW w:w="18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(1,221,158)</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157,424</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596,149</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w:t>
            </w:r>
          </w:p>
        </w:tc>
        <w:tc>
          <w:tcPr>
            <w:tcW w:w="1780" w:type="dxa"/>
            <w:vAlign w:val="bottom"/>
            <w:tcBorders>
              <w:bottom w:val="single" w:sz="8" w:color="auto"/>
            </w:tcBorders>
            <w:gridSpan w:val="2"/>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300" w:type="dxa"/>
            <w:vAlign w:val="bottom"/>
            <w:vMerge w:val="continue"/>
          </w:tcPr>
          <w:p>
            <w:pPr>
              <w:spacing w:after="0"/>
              <w:rPr>
                <w:sz w:val="15"/>
                <w:szCs w:val="15"/>
                <w:color w:val="auto"/>
              </w:rPr>
            </w:pPr>
          </w:p>
        </w:tc>
        <w:tc>
          <w:tcPr>
            <w:tcW w:w="17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financial statements.</w:t>
            </w:r>
          </w:p>
        </w:tc>
        <w:tc>
          <w:tcPr>
            <w:tcW w:w="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7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-4731385</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-3325495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-2759710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-2468245</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-942340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48,642</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revenue,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Milestone and license revenue</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37,958</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57,753</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123,863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84,836</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107,311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210,863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(69,353)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(153,110)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(153,730)</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Royalty interest expense</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interest expense</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(71,847)</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(68,063)</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(156,693)</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(140,463)</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(71,847)</w:t>
            </w:r>
          </w:p>
        </w:tc>
        <w:tc>
          <w:tcPr>
            <w:tcW w:w="48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(68,063)</w:t>
            </w:r>
          </w:p>
        </w:tc>
        <w:tc>
          <w:tcPr>
            <w:tcW w:w="4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(156,693)</w:t>
            </w:r>
          </w:p>
        </w:tc>
        <w:tc>
          <w:tcPr>
            <w:tcW w:w="5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(140,463)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loss per share attributable to common stockholders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(0.83)</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(0.80)</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 attributable to common stockholders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(0.83)</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used in calculating: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loss per share attributable to common stockholders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86,337,237</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85,274,829</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86,255,020</w:t>
            </w:r>
          </w:p>
        </w:tc>
        <w:tc>
          <w:tcPr>
            <w:tcW w:w="12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85,244,015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loss per share attributable to common stockholders</w:t>
            </w:r>
          </w:p>
        </w:tc>
        <w:tc>
          <w:tcPr>
            <w:tcW w:w="32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86,337,237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85,274,829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86,255,020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85,244,015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60" w:type="dxa"/>
            <w:vAlign w:val="bottom"/>
            <w:gridSpan w:val="12"/>
          </w:tcPr>
          <w:p>
            <w:pPr>
              <w:ind w:left="2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4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-4028440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-4028440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-4028440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-3338195</wp:posOffset>
            </wp:positionV>
            <wp:extent cx="939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-3338195</wp:posOffset>
            </wp:positionV>
            <wp:extent cx="939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-3338195</wp:posOffset>
            </wp:positionV>
            <wp:extent cx="939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-3338195</wp:posOffset>
            </wp:positionV>
            <wp:extent cx="939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-2348230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-2348230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-2348230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-2056765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-2039620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-2056765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-2039620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-2056765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-2039620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bl>
      <w:tblPr>
        <w:tblLayout w:type="fixed"/>
        <w:tblInd w:w="0" w:type="dxa"/>
        <w:tblCellMar>
          <w:top w:w="0" w:type="dxa"/>
          <w:left w:w="0" w:type="dxa"/>
          <w:bottom w:w="0" w:type="dxa"/>
          <w:right w:w="0" w:type="dxa"/>
        </w:tblCellMar>
      </w:tblPr>
      <w:tr>
        <w:trPr>
          <w:trHeight w:val="127"/>
        </w:trPr>
        <w:tc>
          <w:tcPr>
            <w:tcW w:w="3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6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$0.0001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1"/>
                <w:szCs w:val="11"/>
                <w:color w:val="auto"/>
              </w:rPr>
            </w:pPr>
          </w:p>
        </w:tc>
        <w:tc>
          <w:tcPr>
            <w:tcW w:w="11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62"/>
        </w:trPr>
        <w:tc>
          <w:tcPr>
            <w:tcW w:w="31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4"/>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85,694,443</w:t>
            </w:r>
          </w:p>
        </w:tc>
        <w:tc>
          <w:tcPr>
            <w:tcW w:w="100" w:type="dxa"/>
            <w:vAlign w:val="bottom"/>
            <w:shd w:val="clear" w:color="auto" w:fill="CFF0FC"/>
          </w:tcPr>
          <w:p>
            <w:pPr>
              <w:spacing w:after="0"/>
              <w:rPr>
                <w:sz w:val="18"/>
                <w:szCs w:val="18"/>
                <w:color w:val="auto"/>
              </w:rPr>
            </w:pPr>
          </w:p>
        </w:tc>
        <w:tc>
          <w:tcPr>
            <w:tcW w:w="4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1,509,110</w:t>
            </w:r>
          </w:p>
        </w:tc>
        <w:tc>
          <w:tcPr>
            <w:tcW w:w="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FF0FC"/>
          </w:tcPr>
          <w:p>
            <w:pPr>
              <w:spacing w:after="0"/>
              <w:rPr>
                <w:sz w:val="18"/>
                <w:szCs w:val="18"/>
                <w:color w:val="auto"/>
              </w:rPr>
            </w:pPr>
          </w:p>
        </w:tc>
        <w:tc>
          <w:tcPr>
            <w:tcW w:w="2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(1,221,158)</w:t>
            </w:r>
          </w:p>
        </w:tc>
        <w:tc>
          <w:tcPr>
            <w:tcW w:w="2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288,124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4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205,527</w:t>
            </w: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4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42,947</w:t>
            </w: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(84,846)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(84,846)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86,047,032</w:t>
            </w:r>
          </w:p>
        </w:tc>
        <w:tc>
          <w:tcPr>
            <w:tcW w:w="100" w:type="dxa"/>
            <w:vAlign w:val="bottom"/>
            <w:shd w:val="clear" w:color="auto" w:fill="CFF0FC"/>
          </w:tcPr>
          <w:p>
            <w:pPr>
              <w:spacing w:after="0"/>
              <w:rPr>
                <w:sz w:val="21"/>
                <w:szCs w:val="21"/>
                <w:color w:val="auto"/>
              </w:rPr>
            </w:pPr>
          </w:p>
        </w:tc>
        <w:tc>
          <w:tcPr>
            <w:tcW w:w="4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1,520,527</w:t>
            </w:r>
          </w:p>
        </w:tc>
        <w:tc>
          <w:tcPr>
            <w:tcW w:w="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shd w:val="clear" w:color="auto" w:fill="CFF0FC"/>
          </w:tcPr>
          <w:p>
            <w:pPr>
              <w:spacing w:after="0"/>
              <w:rPr>
                <w:sz w:val="21"/>
                <w:szCs w:val="21"/>
                <w:color w:val="auto"/>
              </w:rPr>
            </w:pPr>
          </w:p>
        </w:tc>
        <w:tc>
          <w:tcPr>
            <w:tcW w:w="2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(1,306,004)</w:t>
            </w:r>
          </w:p>
        </w:tc>
        <w:tc>
          <w:tcPr>
            <w:tcW w:w="2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215,059</w:t>
            </w:r>
          </w:p>
        </w:tc>
        <w:tc>
          <w:tcPr>
            <w:tcW w:w="120" w:type="dxa"/>
            <w:vAlign w:val="bottom"/>
            <w:tcBorders>
              <w:left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13,903</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13,903</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(71,847)</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(71,847)</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86,059,077</w:t>
            </w:r>
          </w:p>
        </w:tc>
        <w:tc>
          <w:tcPr>
            <w:tcW w:w="1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1,534,981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(1,377,851)</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gridSpan w:val="5"/>
            <w:vMerge w:val="restart"/>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040" w:type="dxa"/>
            <w:vAlign w:val="bottom"/>
            <w:gridSpan w:val="5"/>
          </w:tcPr>
          <w:p>
            <w:pPr>
              <w:jc w:val="center"/>
              <w:ind w:left="1252"/>
              <w:spacing w:after="0" w:line="135" w:lineRule="exact"/>
              <w:rPr>
                <w:sz w:val="20"/>
                <w:szCs w:val="20"/>
                <w:color w:val="auto"/>
              </w:rPr>
            </w:pPr>
            <w:r>
              <w:rPr>
                <w:rFonts w:ascii="Times New Roman" w:cs="Times New Roman" w:eastAsia="Times New Roman" w:hAnsi="Times New Roman"/>
                <w:sz w:val="14"/>
                <w:szCs w:val="14"/>
                <w:b w:val="1"/>
                <w:bCs w:val="1"/>
                <w:color w:val="auto"/>
              </w:rPr>
              <w:t>$0.0001</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53"/>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2"/>
        </w:trPr>
        <w:tc>
          <w:tcPr>
            <w:tcW w:w="31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4"/>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Borders>
              <w:top w:val="single" w:sz="8" w:color="auto"/>
              <w:bottom w:val="single" w:sz="8" w:color="auto"/>
            </w:tcBorders>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2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84,826,632</w:t>
            </w: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1,456,370</w:t>
            </w:r>
          </w:p>
        </w:tc>
        <w:tc>
          <w:tcPr>
            <w:tcW w:w="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Borders>
              <w:left w:val="single" w:sz="8" w:color="CFF0FC"/>
            </w:tcBorders>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(902,400)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554,196</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82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2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113,841</w:t>
            </w: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(72,400)</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(72,400)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460" w:type="dxa"/>
            <w:vAlign w:val="bottom"/>
            <w:shd w:val="clear" w:color="auto" w:fill="CFF0FC"/>
          </w:tcPr>
          <w:p>
            <w:pPr>
              <w:spacing w:after="0"/>
              <w:rPr>
                <w:sz w:val="21"/>
                <w:szCs w:val="21"/>
                <w:color w:val="auto"/>
              </w:rPr>
            </w:pPr>
          </w:p>
        </w:tc>
        <w:tc>
          <w:tcPr>
            <w:tcW w:w="13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84,979,686</w:t>
            </w: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1,467,437</w:t>
            </w:r>
          </w:p>
        </w:tc>
        <w:tc>
          <w:tcPr>
            <w:tcW w:w="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320" w:type="dxa"/>
            <w:vAlign w:val="bottom"/>
            <w:tcBorders>
              <w:left w:val="single" w:sz="8" w:color="CFF0FC"/>
            </w:tcBorders>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(974,800)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491,889</w:t>
            </w:r>
          </w:p>
        </w:tc>
        <w:tc>
          <w:tcPr>
            <w:tcW w:w="120" w:type="dxa"/>
            <w:vAlign w:val="bottom"/>
            <w:tcBorders>
              <w:left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9,896</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9,896</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2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Par value adjustment</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(68,063)</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(68,063)</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4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85,028,629</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1,478,009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(1,042,863)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-5057140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-5039995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-5057140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-5039995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-5057140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-5039995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-5057140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-5039995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-5057140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-5039995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-5057140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-5039995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-4208145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-4208145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-4208145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-4208145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-4208145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-2202180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-2185035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-2202180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-2185035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-2202180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-2185035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-2202180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-2185035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-2202180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-2185035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-2202180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-2185035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-1216660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-1216660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-1216660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-1216660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-1216660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9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(156,693)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(140,463)</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Accretion of investments</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(6,810)</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(7,470)</w:t>
            </w: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(11,852)</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(17,107)</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(4,778)</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w:t>
            </w:r>
          </w:p>
        </w:tc>
      </w:tr>
      <w:tr>
        <w:trPr>
          <w:trHeight w:val="216"/>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Collaboration (payable) receivable, net</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(31,547)</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(4,129)</w:t>
            </w: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(9,582)</w:t>
            </w:r>
          </w:p>
        </w:tc>
      </w:tr>
      <w:tr>
        <w:trPr>
          <w:trHeight w:val="216"/>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(13,553)</w:t>
            </w:r>
          </w:p>
        </w:tc>
      </w:tr>
      <w:tr>
        <w:trPr>
          <w:trHeight w:val="20"/>
        </w:trPr>
        <w:tc>
          <w:tcPr>
            <w:tcW w:w="7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(182,957)</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(155,193)</w:t>
            </w:r>
          </w:p>
        </w:tc>
      </w:tr>
      <w:tr>
        <w:trPr>
          <w:trHeight w:val="209"/>
        </w:trPr>
        <w:tc>
          <w:tcPr>
            <w:tcW w:w="7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short and long-term investments</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(102,251)</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(167,385)</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238,280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129,736</w:t>
            </w:r>
          </w:p>
        </w:tc>
        <w:tc>
          <w:tcPr>
            <w:tcW w:w="100" w:type="dxa"/>
            <w:vAlign w:val="bottom"/>
          </w:tcPr>
          <w:p>
            <w:pPr>
              <w:spacing w:after="0"/>
              <w:rPr>
                <w:sz w:val="18"/>
                <w:szCs w:val="18"/>
                <w:color w:val="auto"/>
              </w:rPr>
            </w:pPr>
          </w:p>
        </w:tc>
      </w:tr>
      <w:tr>
        <w:trPr>
          <w:trHeight w:val="210"/>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136,029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(37,649)</w:t>
            </w:r>
          </w:p>
        </w:tc>
      </w:tr>
      <w:tr>
        <w:trPr>
          <w:trHeight w:val="210"/>
        </w:trPr>
        <w:tc>
          <w:tcPr>
            <w:tcW w:w="7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18"/>
                <w:szCs w:val="18"/>
                <w:color w:val="auto"/>
              </w:rPr>
            </w:pPr>
          </w:p>
        </w:tc>
      </w:tr>
      <w:tr>
        <w:trPr>
          <w:trHeight w:val="209"/>
        </w:trPr>
        <w:tc>
          <w:tcPr>
            <w:tcW w:w="7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CASH, CASH EQUIVALENTS AND RESTRICTED CASH</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(45,447)</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(189,998)</w:t>
            </w:r>
          </w:p>
        </w:tc>
      </w:tr>
      <w:tr>
        <w:trPr>
          <w:trHeight w:val="216"/>
        </w:trPr>
        <w:tc>
          <w:tcPr>
            <w:tcW w:w="7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154,300</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108,853</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105,613</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-1584960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-1019175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-453390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Syndax Pharmaceuticals, Inc. is a commercial-stage biopharmaceutical company advancing innovative cancer therapies. We currently have two commercially approved products and a robust slate of clinical development programs. We were incorporated in Delaware in 2005. We have operations in New York, NY, and we operate in one segment. References in these notes to consolidated financial statements to “Syndax,” “the Company,” “we,” “us” or “our” refer to Syndax Pharmaceuticals, Inc. and its wholly owned subsidiaries.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revenue generation from Revuforj and Niktimvo; obtaining regulatory approval of additional indications for our approved products;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conformity with U.S. generally accepted accounting principles, or U.S. GAAP. Any reference in these notes to applicable guidance is meant to refer to U.S. GAAP as found in the Accounting Standards Codification, or ASC, and Accounting Standards Updates, or ASU, of the Financial Accounting Standards Board, or FASB.</w:t>
      </w:r>
    </w:p>
    <w:p>
      <w:pPr>
        <w:spacing w:after="0" w:line="10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financial statements include all normal and recurring adjustments (which consist primarily of accruals and estimates that impact the financial statements) considered necessary to present fairly the Company's financial position as of June 30, 2025 and its results of operations for the three and six months ended June 30, 2025 and 2024 and cash flows for the six months ended June 30, 2025 and 2024. Operating results for the three and six months ended June 30, 2025 are not necessarily indicative of the results that may be expected for the year ending December 31, 2025. The unaudited interim financial statements presented herein do not contain the required disclosures under U.S. GAAP for annual financial statements. The accompanying unaudited interim financial statements should be read in conjunction with the annual audited financial statements and related notes as of and for the year ended December 31, 2024 contained in the Company’s annual report on Form 10-K, filed with the SEC on March 3, 2025.</w:t>
      </w:r>
    </w:p>
    <w:p>
      <w:pPr>
        <w:spacing w:after="0" w:line="111" w:lineRule="exact"/>
        <w:rPr>
          <w:sz w:val="20"/>
          <w:szCs w:val="20"/>
          <w:color w:val="auto"/>
        </w:rPr>
      </w:pPr>
    </w:p>
    <w:p>
      <w:pPr>
        <w:jc w:val="both"/>
        <w:ind w:right="380" w:firstLine="509"/>
        <w:spacing w:after="0" w:line="261" w:lineRule="auto"/>
        <w:rPr>
          <w:sz w:val="20"/>
          <w:szCs w:val="20"/>
          <w:color w:val="auto"/>
        </w:rPr>
      </w:pPr>
      <w:r>
        <w:rPr>
          <w:rFonts w:ascii="Times New Roman" w:cs="Times New Roman" w:eastAsia="Times New Roman" w:hAnsi="Times New Roman"/>
          <w:sz w:val="18"/>
          <w:szCs w:val="18"/>
          <w:color w:val="auto"/>
        </w:rPr>
        <w:t>In 2011, the Company established a wholly owned subsidiary in the United Kingdom, which the Company dissolved in June 2024. In 2014, the Company established a wholly owned U.S. subsidiary, which the Company dissolved in July 2025. In 2021, the Company established a wholly owned subsidiary in the Netherlands. To date, there have been no material activities for these entities. All intercompany balances and transactions have been eliminated in consolidation.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which are disclosed in the audited consolidated financial statements for the year ended December 31, 2024, and the notes thereto are included in the Company’s Annual Report on Form 10-K that was filed with the SEC on March 3, 2025. Since the date of filing, there have been no material changes to the Company’s significant accounting policies except as noted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 w:name="page9"/>
    <w:bookmarkEnd w:id="8"/>
    <w:p>
      <w:pPr>
        <w:ind w:right="200"/>
        <w:spacing w:after="0" w:line="282" w:lineRule="auto"/>
        <w:rPr>
          <w:sz w:val="20"/>
          <w:szCs w:val="20"/>
          <w:color w:val="auto"/>
        </w:rPr>
      </w:pPr>
      <w:r>
        <w:rPr>
          <w:rFonts w:ascii="Times New Roman" w:cs="Times New Roman" w:eastAsia="Times New Roman" w:hAnsi="Times New Roman"/>
          <w:sz w:val="18"/>
          <w:szCs w:val="18"/>
          <w:color w:val="auto"/>
        </w:rPr>
        <w:t>in the consolidated financial statements as soon as they become known. Actual results could differ from those estimates and any such differences may be material to the Company’s consolidated financial statements.</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Topic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and Topic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is required at the end of each interim period to determine the best estimate of its annual effective tax rate and then apply that rate in providing for income taxes on a current year-to-date (interim period) basis. For the six months ended June 30, 2025 and 2024, the Company recorded no tax expense or benefit due to the expected current year loss and its historical losses. As of June 30, 2025 and December 31, 2024, the Company concluded that a full valuation allowance would be necessary for all of its net deferred tax assets. The Company had no amounts recorded for uncertain tax positions, interest or penalties in the accompanying consolidated financial statements.</w:t>
      </w:r>
    </w:p>
    <w:p>
      <w:pPr>
        <w:spacing w:after="0" w:line="18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On July 4, 2025, the One Big Beautiful Bill Act, or OBBBA, was enacted in the United States. The OBBBA includes significant changes, such as the permanent extension of certain expiring provisions of the Tax Cuts and Jobs Act, modifications to certain aspects of the international tax framework and the restoration of favorable tax treatment for certain business expense provisions. The legislation has multiple effective dates, with certain provisions effective in 2025 and others implemented through 2027. The Company is currently assessing its impact on its consolidated financial statements.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Collaboration revenue, net</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and Collaboration Agreement, or the Incyte License, with Incyte covering the worldwide development and commercialization of axatilimab. In August 2024, the U.S. Food and Drug Administration, or FDA, approved Niktimvo for the treatment of chronic graft-versus host disease, or cGVHD, after failure of at least two prior lines of systemic therapy in adult and pediatric patients weighing at least 40 kg (88.2 lbs). See Note 4 — Incyte Collaboration for further details on the Incyte License and Collaboration Agreement.</w:t>
      </w:r>
    </w:p>
    <w:p>
      <w:pPr>
        <w:spacing w:after="0" w:line="17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Topic ASC 808, </w:t>
      </w:r>
      <w:r>
        <w:rPr>
          <w:rFonts w:ascii="Times New Roman" w:cs="Times New Roman" w:eastAsia="Times New Roman" w:hAnsi="Times New Roman"/>
          <w:sz w:val="18"/>
          <w:szCs w:val="18"/>
          <w:i w:val="1"/>
          <w:iCs w:val="1"/>
          <w:color w:val="auto"/>
        </w:rPr>
        <w:t>Collaboration Arrangements,</w:t>
      </w:r>
      <w:r>
        <w:rPr>
          <w:rFonts w:ascii="Times New Roman" w:cs="Times New Roman" w:eastAsia="Times New Roman" w:hAnsi="Times New Roman"/>
          <w:sz w:val="18"/>
          <w:szCs w:val="18"/>
          <w:color w:val="auto"/>
        </w:rPr>
        <w:t xml:space="preserve"> Incyte has been identified as the principal in product sales, therefore, the Company will recognize its share of any profits or losses in the amount of net product sales less cost of goods sold and shared commercial and other expenses, in the period in which the underlying sales and costs are recognized. The Company’s share of net profits in connection with commercialization of products will be presented as “Collaboration revenue, net” and its share of net losses will be presented as “Collaboration loss” within operating expenses. The year to date "Collaboration revenue, net" or "Collaboration loss" will be presented as the net cumulative amount for all periods reported on in the financial statements. The Company will continue to recognize the costs associated with ongoing development services in the R&amp;D operating expense line, including any cost-sharing components with Incyte.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6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 (ASU “2024-03”)</w:t>
      </w:r>
      <w:r>
        <w:rPr>
          <w:rFonts w:ascii="Times New Roman" w:cs="Times New Roman" w:eastAsia="Times New Roman" w:hAnsi="Times New Roman"/>
          <w:sz w:val="18"/>
          <w:szCs w:val="18"/>
          <w:color w:val="auto"/>
        </w:rPr>
        <w:t>. Among other items, the requirements include expanded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around employee compensation and selling expenses. ASU 2024-03 will be effective for the Company for the year ending December 31, 2027. The Company is still evaluating the impact of this new guidance on its consolidated financial statements but expect the adoption to result in disclosure changes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Collaborative Research and License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Incyte Collaboration</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are co-commercializing and co-promoting axatilimab as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Niktimvo™ (axatilimab-csfr). The Company and Incyte share equally the profits and losses from co-commercialization efforts in the United States.</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and Incyte have agreed to continue to co-develop axatilimab and to share development costs associated with global and additional U.S.-specific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p>
    <w:p>
      <w:pPr>
        <w:spacing w:after="0" w:line="7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8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August 2024, the FDA approved Niktimvo for the treatment of cGVHD after failure of at least two prior lines of systemic therapy in adult and pediatric patients weighing at least 40 kg (88.2 lbs).</w:t>
      </w:r>
    </w:p>
    <w:p>
      <w:pPr>
        <w:spacing w:after="0" w:line="5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2025, the Company has recognized collaboration revenue of $9.4 million. As of June 30, 2025, the Company has recorded approximately $16.6 million as a collaboration receivable due from Incyte related to the Collaboration revenue and the Company’s development and pre-commercialization costs under the Incyte Agreements and has recorded approximately $4.3 million as a collaboration payable due to Incyte for development and pre-commercialization costs incurred by Incyte as of June 30, 2025. R&amp;D expense and cost offset are recorded as part of operating expenses. The Company’s share of Collaboration profit or loss is based on net sales of Niktimvo and the collaborative commercialization expenses.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Vitae Pharmaceuticals, Inc.</w:t>
      </w:r>
    </w:p>
    <w:p>
      <w:pPr>
        <w:spacing w:after="0" w:line="12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October 2017, the Company entered into a license agreement, or the Vitae License Agreement, with Vitae Pharmaceuticals, Inc., or Vitae, a subsidiary of AbbVie, Inc., under which the Company was granted an exclusive, sublicensable, worldwide license to a portfolio of preclinical, orally available, small molecule inhibitors of the Menin–KMT2A binding interaction, or the Menin Assets. Upon execution of the agreement, the Company agreed to pay Allergan up to $99.0 million in one-time development and regulatory milestone payments over the term of the Vitae License Agreement, subject to the achievement of certain milestone events. In the event that the Company or any of its affiliates or sublicensees commercializes the Menin Assets, the Company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Vitae License Agreement for the other party’s uncured material breach or insolvency, and the Company may terminate the Vitae License Agreement at any time upon advance written notice to Vitae. Vitae may terminate the Vitae License Agreement if the Company or any of its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the date of the Vitae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the three months ended June 30, 2025 the Company the submitted an supplemental New Drug Application (sNDA) to the U.S. FDA for a second indication for Revuforj. As a result, an expense of $5.0 million was recognized under the Vitae License agreement for the successful completion of the first pivotal trial of a second indication for Revuforj. Since the inception of the agreement, we have recognized, in the aggregate, $31.0 million of expense for the achievement of development and regulatory milestones. AbbVie is eligible to receive up to $68.0 million of additional future contingent development and regulatory milestones. The Company has not recognized any expense for the achievement of sales-based milestones since the inception of the agreement.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UCB Biopharma Sprl</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Upon execution of the agreement, the Company agreed to pay UCB up to $119.5 million in one-time development and regulatory milestone payments over the term of the UCB</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 w:name="page11"/>
    <w:bookmarkEnd w:id="10"/>
    <w:p>
      <w:pPr>
        <w:ind w:right="20"/>
        <w:spacing w:after="0" w:line="253" w:lineRule="auto"/>
        <w:rPr>
          <w:sz w:val="20"/>
          <w:szCs w:val="20"/>
          <w:color w:val="auto"/>
        </w:rPr>
      </w:pPr>
      <w:r>
        <w:rPr>
          <w:rFonts w:ascii="Times New Roman" w:cs="Times New Roman" w:eastAsia="Times New Roman" w:hAnsi="Times New Roman"/>
          <w:sz w:val="18"/>
          <w:szCs w:val="18"/>
          <w:color w:val="auto"/>
        </w:rPr>
        <w:t>License Agreement, subject to the achievement of certain milestone events.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connection with its most recent amendment of the UCB License Agreement, in the second quarter of 2022 the Company paid UCB $5.8 million, which was recognized as a milestone expense. In the first quarter of 2025, the Company paid a $10.0 million milestone as a result of the first patient dosed in a Phase III Study with the licensed compound in a combination with another agent for any indication. Since the inception of the agreement, we have recognized in the aggregate, $41.0 million of expense for the achievement of development and regulatory milestones. UCB is eligible to receive up to $78.5 million of additional future contingent development and regulatory milestones. The Company has not recognized any expense for the achievement of sales-based milestones since the inception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per Share Attributable to Common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73"/>
              </w:rPr>
              <w:t>except</w:t>
            </w:r>
          </w:p>
        </w:tc>
        <w:tc>
          <w:tcPr>
            <w:tcW w:w="4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vMerge w:val="continue"/>
          </w:tcPr>
          <w:p>
            <w:pPr>
              <w:spacing w:after="0"/>
              <w:rPr>
                <w:sz w:val="10"/>
                <w:szCs w:val="10"/>
                <w:color w:val="auto"/>
              </w:rPr>
            </w:pPr>
          </w:p>
        </w:tc>
        <w:tc>
          <w:tcPr>
            <w:tcW w:w="1420" w:type="dxa"/>
            <w:vAlign w:val="bottom"/>
            <w:gridSpan w:val="2"/>
          </w:tcPr>
          <w:p>
            <w:pPr>
              <w:jc w:val="right"/>
              <w:ind w:right="354"/>
              <w:spacing w:after="0" w:line="118" w:lineRule="exact"/>
              <w:rPr>
                <w:sz w:val="20"/>
                <w:szCs w:val="20"/>
                <w:color w:val="auto"/>
              </w:rPr>
            </w:pPr>
            <w:r>
              <w:rPr>
                <w:rFonts w:ascii="Times New Roman" w:cs="Times New Roman" w:eastAsia="Times New Roman" w:hAnsi="Times New Roman"/>
                <w:sz w:val="13"/>
                <w:szCs w:val="13"/>
                <w:b w:val="1"/>
                <w:bCs w:val="1"/>
                <w:color w:val="auto"/>
              </w:rPr>
              <w:t>share and per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600" w:type="dxa"/>
            <w:vAlign w:val="bottom"/>
            <w:gridSpan w:val="3"/>
          </w:tcPr>
          <w:p>
            <w:pPr>
              <w:jc w:val="right"/>
              <w:ind w:right="254"/>
              <w:spacing w:after="0" w:line="118" w:lineRule="exact"/>
              <w:rPr>
                <w:sz w:val="20"/>
                <w:szCs w:val="20"/>
                <w:color w:val="auto"/>
              </w:rPr>
            </w:pPr>
            <w:r>
              <w:rPr>
                <w:rFonts w:ascii="Times New Roman" w:cs="Times New Roman" w:eastAsia="Times New Roman" w:hAnsi="Times New Roman"/>
                <w:sz w:val="13"/>
                <w:szCs w:val="13"/>
                <w:b w:val="1"/>
                <w:bCs w:val="1"/>
                <w:color w:val="auto"/>
              </w:rPr>
              <w:t>except share and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Numerator—basic and diluted:</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(71,847)</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(68,063)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(156,693)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(140,463)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740" w:type="dxa"/>
            <w:vAlign w:val="bottom"/>
            <w:vMerge w:val="restart"/>
            <w:shd w:val="clear" w:color="auto" w:fill="CFF0FC"/>
          </w:tcPr>
          <w:p>
            <w:pPr>
              <w:spacing w:after="0"/>
              <w:rPr>
                <w:sz w:val="16"/>
                <w:szCs w:val="16"/>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restart"/>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(71,847)</w:t>
            </w:r>
          </w:p>
        </w:tc>
        <w:tc>
          <w:tcPr>
            <w:tcW w:w="400" w:type="dxa"/>
            <w:vAlign w:val="bottom"/>
            <w:vMerge w:val="restart"/>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(68,063)</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(156,693)</w:t>
            </w: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(140,463)</w:t>
            </w:r>
          </w:p>
        </w:tc>
        <w:tc>
          <w:tcPr>
            <w:tcW w:w="0" w:type="dxa"/>
            <w:vAlign w:val="bottom"/>
          </w:tcPr>
          <w:p>
            <w:pPr>
              <w:spacing w:after="0"/>
              <w:rPr>
                <w:sz w:val="1"/>
                <w:szCs w:val="1"/>
                <w:color w:val="auto"/>
              </w:rPr>
            </w:pPr>
          </w:p>
        </w:tc>
      </w:tr>
      <w:tr>
        <w:trPr>
          <w:trHeight w:val="214"/>
        </w:trPr>
        <w:tc>
          <w:tcPr>
            <w:tcW w:w="422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stockholders—basic and diluted</w:t>
            </w:r>
          </w:p>
        </w:tc>
        <w:tc>
          <w:tcPr>
            <w:tcW w:w="74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74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8"/>
                <w:szCs w:val="18"/>
                <w:color w:val="auto"/>
              </w:rPr>
              <w:t>(0.83)</w:t>
            </w:r>
          </w:p>
        </w:tc>
        <w:tc>
          <w:tcPr>
            <w:tcW w:w="400" w:type="dxa"/>
            <w:vAlign w:val="bottom"/>
            <w:vMerge w:val="restart"/>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4"/>
        </w:trPr>
        <w:tc>
          <w:tcPr>
            <w:tcW w:w="4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stockholders—basic and diluted</w:t>
            </w:r>
          </w:p>
        </w:tc>
        <w:tc>
          <w:tcPr>
            <w:tcW w:w="7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Denominator—basic and diluted:</w:t>
            </w: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used to compute net loss per share attributable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86,337,237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85,274,829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86,255,020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85,244,015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to common stockholders—basic and diluted</w:t>
            </w:r>
          </w:p>
        </w:tc>
        <w:tc>
          <w:tcPr>
            <w:tcW w:w="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-847725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-830580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-847725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-830580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-847725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-830580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-830580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ind w:left="8300"/>
        <w:spacing w:after="0" w:line="231" w:lineRule="auto"/>
        <w:rPr>
          <w:sz w:val="20"/>
          <w:szCs w:val="20"/>
          <w:color w:val="auto"/>
        </w:rPr>
      </w:pPr>
      <w:r>
        <w:rPr>
          <w:rFonts w:ascii="Times New Roman" w:cs="Times New Roman" w:eastAsia="Times New Roman" w:hAnsi="Times New Roman"/>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15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20" w:type="dxa"/>
            <w:vAlign w:val="bottom"/>
            <w:tcBorders>
              <w:top w:val="single" w:sz="8" w:color="auto"/>
              <w:bottom w:val="single" w:sz="8" w:color="auto"/>
            </w:tcBorders>
          </w:tcPr>
          <w:p>
            <w:pPr>
              <w:jc w:val="right"/>
              <w:ind w:right="10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13,933,003</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12,226,274</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88,999</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29,426</w:t>
            </w:r>
          </w:p>
        </w:tc>
        <w:tc>
          <w:tcPr>
            <w:tcW w:w="100" w:type="dxa"/>
            <w:vAlign w:val="bottom"/>
          </w:tcPr>
          <w:p>
            <w:pPr>
              <w:spacing w:after="0"/>
              <w:rPr>
                <w:sz w:val="18"/>
                <w:szCs w:val="18"/>
                <w:color w:val="auto"/>
              </w:rPr>
            </w:pPr>
          </w:p>
        </w:tc>
      </w:tr>
      <w:tr>
        <w:trPr>
          <w:trHeight w:val="216"/>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restricted stock units (RSUs)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2,577,678</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1,486,146</w:t>
            </w:r>
          </w:p>
        </w:tc>
        <w:tc>
          <w:tcPr>
            <w:tcW w:w="100" w:type="dxa"/>
            <w:vAlign w:val="bottom"/>
            <w:shd w:val="clear" w:color="auto" w:fill="CFF0FC"/>
          </w:tcPr>
          <w:p>
            <w:pPr>
              <w:spacing w:after="0"/>
              <w:rPr>
                <w:sz w:val="18"/>
                <w:szCs w:val="18"/>
                <w:color w:val="auto"/>
              </w:rPr>
            </w:pPr>
          </w:p>
        </w:tc>
      </w:tr>
      <w:tr>
        <w:trPr>
          <w:trHeight w:val="432"/>
        </w:trPr>
        <w:tc>
          <w:tcPr>
            <w:tcW w:w="6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6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For additional information related to the Company’s common stock see Note 12 — Stock Based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Receivables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April 2024, entinostat received marketing approval in China. As a result the Company recorded $3.5 million of milestone revenue in 2024. As of June 30, 2025, the Company recorded a $3.6 million milestone receivable related to achieved milestones under the license agreement with Eddingpharm. Full payment of the receivable is expected by December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market date for identical unrestricted assets or liabilities.</w:t>
      </w:r>
    </w:p>
    <w:p>
      <w:pPr>
        <w:spacing w:after="0" w:line="117" w:lineRule="exact"/>
        <w:rPr>
          <w:sz w:val="20"/>
          <w:szCs w:val="20"/>
          <w:color w:val="auto"/>
        </w:rPr>
      </w:pPr>
    </w:p>
    <w:p>
      <w:pPr>
        <w:jc w:val="both"/>
        <w:ind w:left="1020" w:right="360" w:hanging="48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tbl>
      <w:tblPr>
        <w:tblLayout w:type="fixed"/>
        <w:tblInd w:w="0" w:type="dxa"/>
        <w:tblCellMar>
          <w:top w:w="0" w:type="dxa"/>
          <w:left w:w="0" w:type="dxa"/>
          <w:bottom w:w="0" w:type="dxa"/>
          <w:right w:w="0" w:type="dxa"/>
        </w:tblCellMar>
      </w:tblPr>
      <w:tr>
        <w:trPr>
          <w:trHeight w:val="156"/>
        </w:trPr>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(unadjusted)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3"/>
          </w:tcPr>
          <w:p>
            <w:pPr>
              <w:jc w:val="center"/>
              <w:ind w:right="73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60" w:type="dxa"/>
            <w:vAlign w:val="bottom"/>
            <w:tcBorders>
              <w:bottom w:val="single" w:sz="8" w:color="auto"/>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2025</w:t>
            </w:r>
          </w:p>
        </w:tc>
        <w:tc>
          <w:tcPr>
            <w:tcW w:w="476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108,636</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108,636</w:t>
            </w:r>
          </w:p>
        </w:tc>
        <w:tc>
          <w:tcPr>
            <w:tcW w:w="380" w:type="dxa"/>
            <w:vAlign w:val="bottom"/>
            <w:gridSpan w:val="2"/>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346,597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517,860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108,636</w:t>
            </w:r>
          </w:p>
        </w:tc>
        <w:tc>
          <w:tcPr>
            <w:tcW w:w="3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409,224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2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43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154,083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129,187</w:t>
            </w:r>
          </w:p>
        </w:tc>
        <w:tc>
          <w:tcPr>
            <w:tcW w:w="380" w:type="dxa"/>
            <w:vAlign w:val="bottom"/>
            <w:gridSpan w:val="2"/>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692,404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129,187</w:t>
            </w:r>
          </w:p>
        </w:tc>
        <w:tc>
          <w:tcPr>
            <w:tcW w:w="3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563,217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-1028065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-1028065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-1028065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during the periods ended June 30, 2025 and 2024. In addition, there have been no changes in valuation techniques during the periods ended June 30, 2025 and 2024. The fair value of Level 1 instruments classified as cash equivalents are valued using quoted market prices in active markets. The fair value of Level 2 instruments classified as short and long-term investments are determined based on quoted prices in active markets, which are either directly or indirectly observable as of the reporting date with fair value being determined using models or other valuation methodologies.</w:t>
      </w:r>
    </w:p>
    <w:p>
      <w:pPr>
        <w:spacing w:after="0" w:line="183"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The Company’s short and long-term investments are classified as available-for-sale securities. As of June 30, 2025, the remaining contractual maturities of the available-for-sale securities were 1 to 16 months, and the balance in the Company’s</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 w:name="page13"/>
    <w:bookmarkEnd w:id="12"/>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accumulated other comprehensive gain was comprised solely of activity related to the Company’s available-for-sale securities. There were no realized gains or losses recognized on the sale or maturity of available-for-sale securities, during the three and six months ended June 30, 2025 and 2024. As a result, the Company did not reclassify any amounts out of accumulated other comprehensive gain for the same periods.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center"/>
              <w:ind w:right="734"/>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60" w:type="dxa"/>
            <w:vAlign w:val="bottom"/>
            <w:tcBorders>
              <w:bottom w:val="single" w:sz="8" w:color="auto"/>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2025</w:t>
            </w:r>
          </w:p>
        </w:tc>
        <w:tc>
          <w:tcPr>
            <w:tcW w:w="476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215,379</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3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408,942</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00" w:type="dxa"/>
            <w:vAlign w:val="bottom"/>
            <w:gridSpan w:val="3"/>
            <w:shd w:val="clear" w:color="auto" w:fill="CFF0FC"/>
          </w:tcPr>
          <w:p>
            <w:pPr>
              <w:jc w:val="center"/>
              <w:ind w:lef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82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263,952</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center"/>
              <w:ind w:lef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233,945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538,158</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-744855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-728345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-744855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-728345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-728345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 on investments</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subscription</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state and local taxes</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6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5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9. Inventory</w:t>
            </w:r>
          </w:p>
        </w:tc>
        <w:tc>
          <w:tcPr>
            <w:tcW w:w="36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Pr>
          <w:p>
            <w:pPr>
              <w:spacing w:after="0"/>
              <w:rPr>
                <w:sz w:val="24"/>
                <w:szCs w:val="24"/>
                <w:color w:val="auto"/>
              </w:rPr>
            </w:pPr>
          </w:p>
        </w:tc>
        <w:tc>
          <w:tcPr>
            <w:tcW w:w="19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20" w:type="dxa"/>
            <w:vAlign w:val="bottom"/>
          </w:tcPr>
          <w:p>
            <w:pPr>
              <w:spacing w:after="0"/>
              <w:rPr>
                <w:sz w:val="18"/>
                <w:szCs w:val="18"/>
                <w:color w:val="auto"/>
              </w:rPr>
            </w:pPr>
          </w:p>
        </w:tc>
        <w:tc>
          <w:tcPr>
            <w:tcW w:w="4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-1456690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-1439545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as determined on a first-in, first-out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6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top w:val="single" w:sz="8" w:color="auto"/>
            </w:tcBorders>
          </w:tcPr>
          <w:p>
            <w:pPr>
              <w:jc w:val="right"/>
              <w:ind w:right="13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3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study and trial costs</w:t>
            </w:r>
          </w:p>
        </w:tc>
        <w:tc>
          <w:tcPr>
            <w:tcW w:w="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21,203</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selling, general, and administrative costs</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14,505</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milestone costs</w:t>
            </w:r>
          </w:p>
        </w:tc>
        <w:tc>
          <w:tcPr>
            <w:tcW w:w="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royalty interest expense</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18,954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580" w:type="dxa"/>
            <w:vAlign w:val="bottom"/>
            <w:gridSpan w:val="2"/>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71,066</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-170815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Royalty Interest Financing Liability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4, 2024, the Company entered into a Purchase and Sale Agreement, or the Purchase and Sale Agreement, with Royalty Pharma Development Funding, LLC, or Royalty Pharma, pursuant to which Royalty Pharma purchased rights to certain revenue streams from net sales of products comprising or containing axatilimab (including Niktimvo™) by Syndax, its affiliates and its licensees in the United States and its respective territories, districts, commonwealths and possessions (including Guam and Puerto Rico) in exchange for an upfront fee of $350 million.</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the Purchase and Sale Agreement, Royalty Pharma purchased the right to receive a percentage of net sales equal to a royalty rate of 13.8% on quarterly net sales of Niktimvo in the United States and its respective territories; provided that the royalty rate is subject to certain adjustments based on future aggregate net sales of the product in the United States and its respective territories, or the Revenue Participation Right. Aggregate payments made to Royalty Pharma in respect of the Revenue Participation Right will be capped at $822.5 million, or the Royalty Cap.</w:t>
      </w:r>
    </w:p>
    <w:p>
      <w:pPr>
        <w:spacing w:after="0" w:line="180"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The Purchase and Sale Agreement contains customary representations, warranties and indemnities of the Company and Royalty Pharma and customary covenants relating to the royalty payments, including the grant of a back-up security interest in the purchased royalties and certain assets related to the product and restrictions on the incurrence of additional indebtedness and on the existence of liens on the Company’s assets related to the product.</w:t>
      </w:r>
    </w:p>
    <w:p>
      <w:pPr>
        <w:spacing w:after="0" w:line="15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Upon a change of control, the Company will have the right, but not the obligation, to repurchase the Revenue Participation Right at a repurchase price set forth in the Purchase and Sale Agreement. In addition, the Purchase and Sale Agreement provides that if certain events of default occur, including certain bankruptcy events or certain termination events with respect to the Company’s license agreement with UCB Biopharma Srl, Royalty Pharma may require the Company to repurchase Royalty Pharma’s interests in the Revenue Participation Right at a repurchase price equal to the Royalty Cap.</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assessed the Purchase and Sale Agreement and identified it as a sale of future revenue in the form of a debt instrument to be accounted for as a liability under Topic ASC 470, </w:t>
      </w:r>
      <w:r>
        <w:rPr>
          <w:rFonts w:ascii="Times New Roman" w:cs="Times New Roman" w:eastAsia="Times New Roman" w:hAnsi="Times New Roman"/>
          <w:sz w:val="18"/>
          <w:szCs w:val="18"/>
          <w:i w:val="1"/>
          <w:iCs w:val="1"/>
          <w:color w:val="auto"/>
        </w:rPr>
        <w:t>Borrower’s Accounting for Debt Modifications</w:t>
      </w:r>
      <w:r>
        <w:rPr>
          <w:rFonts w:ascii="Times New Roman" w:cs="Times New Roman" w:eastAsia="Times New Roman" w:hAnsi="Times New Roman"/>
          <w:sz w:val="18"/>
          <w:szCs w:val="18"/>
          <w:color w:val="auto"/>
        </w:rPr>
        <w:t>. The Company has elected to use the prospective method in its calculation of its effective interest rate and will update this calculation quarterly when there are changes in the projected sales. The debt is allocated on the balance sheet as short term and long term. The short term portion represents the royalty payments owed over the next 12 months. The long term portion is recorded on the balance sheet as net of issuance costs. Issuance costs pursuant to the Purchase and Sale Agreement consisted primarily of bank and legal fees and totaled $6.3 million. These issuance costs were recorded as a direct deduction to the carrying amount of the liability and will be amortized under the effective interest method over the estimated period the liability will be repaid. For the period ended June 30, 2025, the Company estimated an effective annual interest rate of approximately 9.08%. Over the course of the Purchase and Sale agreement, the annual interest rate will be affected by the amount and timing of net Niktimvo revenue recognized and change in timing of forecasted net Niktimvo revenue. On a quarterly basis, the Company reassesses the expected timing of the net Niktimvo revenue, recalculates the amortization and effective interest rate, and adjusts the accounting prospectively, as needed. For the three months ended June 30, 2025, the Company recognized interest expense of $15.9 million related to the Purchase and Sale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 of royalty interest financing liability</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100" w:type="dxa"/>
            <w:vAlign w:val="bottom"/>
          </w:tcPr>
          <w:p>
            <w:pPr>
              <w:spacing w:after="0"/>
              <w:rPr>
                <w:sz w:val="18"/>
                <w:szCs w:val="18"/>
                <w:color w:val="auto"/>
              </w:rPr>
            </w:pPr>
          </w:p>
        </w:tc>
        <w:tc>
          <w:tcPr>
            <w:tcW w:w="6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interest financing liability, less current portion</w:t>
            </w:r>
          </w:p>
        </w:tc>
        <w:tc>
          <w:tcPr>
            <w:tcW w:w="1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330,565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royalty interest financing liability, net</w:t>
            </w:r>
          </w:p>
        </w:tc>
        <w:tc>
          <w:tcPr>
            <w:tcW w:w="17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343,848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4740" w:type="dxa"/>
            <w:vAlign w:val="bottom"/>
          </w:tcPr>
          <w:p>
            <w:pPr>
              <w:spacing w:after="0"/>
              <w:rPr>
                <w:sz w:val="24"/>
                <w:szCs w:val="24"/>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-796290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-779145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January 2025, the number of shares of common stock available for issuance under the Company’s 2015 Omnibus Incentive Plan, or the 2015 Plan, was increased by 3,427,778 shares of common stock due to the automatic annual provision to increase shares of common stock available under the 2015 Plan. Additionally in July 2024 and in December 2024, the Company’s board of directors approved increases of 500,000 shares and 1,200,000 shares, respectively, of common stock available for issuance under the Company’s 2023 Inducement Plan, or the Inducement Plan.</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there were 4,781,319 shares of common stock available for issuance under the 2015 Plan and 966,200 shares of common stock available for issuance under the Inducement Plan.</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stock option awards and restricted stock units to employees and non-employees and related to the Company’s 2015 Employee Stock Purchase Plan, or ESPP, in the consolidated statements of comprehensive loss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6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48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22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3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100" w:type="dxa"/>
            <w:vAlign w:val="bottom"/>
          </w:tcPr>
          <w:p>
            <w:pPr>
              <w:spacing w:after="0"/>
              <w:rPr>
                <w:sz w:val="18"/>
                <w:szCs w:val="18"/>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22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shd w:val="clear" w:color="auto" w:fill="CFF0FC"/>
          </w:tcPr>
          <w:p>
            <w:pPr>
              <w:spacing w:after="0"/>
              <w:rPr>
                <w:sz w:val="19"/>
                <w:szCs w:val="19"/>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-25400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expense by type of award in the three and six months ended June 30, 2025 and 2024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304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0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4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16,392</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8"/>
                <w:szCs w:val="18"/>
                <w:color w:val="auto"/>
              </w:rPr>
            </w:pP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40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-800735</wp:posOffset>
            </wp:positionV>
            <wp:extent cx="9398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-800735</wp:posOffset>
            </wp:positionV>
            <wp:extent cx="9398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-800735</wp:posOffset>
            </wp:positionV>
            <wp:extent cx="9398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-800735</wp:posOffset>
            </wp:positionV>
            <wp:extent cx="9398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addition, stock-based compensation expense of $0.2 million was capitalized to inventory as of June 30, 2025, which represents the stock-based compensation expense incurred related to employees involved in the manufacturing process of finished goods and samples.</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there were $92.2 million of unrecognized compensation costs related to employee and non-employee unvested stock options and RSUs granted under the Inducement Plan, 2015 Plan and the Company’s 2007 Stock Plan, which are expected to be recognized over a weighted-average remaining service period of 2.57 years.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401(k) retirement plan. For the three and six months ended June 30, 2025, the Company made $0.3 million and $2.6 million of contributions to the plan, respectively. For the three and six months ended June 30, 2024, the Company made $0.6 million and $2.1 million of contributions to the plan, respectively. The Company’s contributions are made in cash.</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December 2021, the Company sold pre-funded warrants to purchase 1,142,856 shares of common stock. As of June 30, 2025, 285,714 pre-funded warrants were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pay royalties pursuant to the Vitae License Agreement and the UCB License Agreement as a percentage of net product sales for direct licensed products, such as Revuforj and Niktimvo. The obligation to pay royalties expires, on</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p>
      <w:pPr>
        <w:ind w:right="300"/>
        <w:spacing w:after="0" w:line="266" w:lineRule="auto"/>
        <w:rPr>
          <w:sz w:val="20"/>
          <w:szCs w:val="20"/>
          <w:color w:val="auto"/>
        </w:rPr>
      </w:pPr>
      <w:r>
        <w:rPr>
          <w:rFonts w:ascii="Times New Roman" w:cs="Times New Roman" w:eastAsia="Times New Roman" w:hAnsi="Times New Roman"/>
          <w:sz w:val="18"/>
          <w:szCs w:val="18"/>
          <w:color w:val="auto"/>
        </w:rPr>
        <w:t>a country-by-country basis and licensed product-by-licensed product basis at the later of (i) the expiration of all of the licensed patent rights in such country; (ii) the expiration of all regulatory exclusivity applicable to the product in such country; and (iii) 10 years from the date of the first commercial sale of the product in such country. These fees were recorded as cost of product sales.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June 30, 2025.</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33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operate as a single operating and reportable segment: Syndax Pharmaceuticals. The Company primarily derives revenue in the United States through milestone revenue and product sales on the approved products, Revuforj® (revumenib) and Niktimvo™ (axatilimab-csfr). The accounting policies of the segment are the same as those described in Note 3 – Summary of Significant Accounting Policies.</w:t>
      </w:r>
    </w:p>
    <w:p>
      <w:pPr>
        <w:spacing w:after="0" w:line="28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To assess performance, the Company’s Chief Operating Decision Maker, or CODM, Michael Metzger, uses consolidated net loss as the segment’s measure of segment profit or loss. The CODM uses net loss in the budget and forecasting process and considers budget-to actual variances on a quarterly bases when making decisions about the allocation of operating and capital resources.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biopharmaceutical cancer therapeutics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3"/>
                <w:szCs w:val="13"/>
                <w:color w:val="auto"/>
              </w:rPr>
            </w:pPr>
          </w:p>
        </w:tc>
        <w:tc>
          <w:tcPr>
            <w:tcW w:w="25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89"/>
        </w:trPr>
        <w:tc>
          <w:tcPr>
            <w:tcW w:w="106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 2025</w:t>
            </w:r>
          </w:p>
        </w:tc>
        <w:tc>
          <w:tcPr>
            <w:tcW w:w="33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37,958</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57,753</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 of product sales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Revumenib-related costs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51,880</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Axatilimab-related costs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R&amp;D programs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Commercial-related expenses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SG&amp;A expenses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Royalty interest expense</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(5,946)</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(6,239)</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(13,440)</w:t>
            </w:r>
          </w:p>
        </w:tc>
      </w:tr>
      <w:tr>
        <w:trPr>
          <w:trHeight w:val="216"/>
        </w:trPr>
        <w:tc>
          <w:tcPr>
            <w:tcW w:w="43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Segment net loss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(71,847)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(68,063)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(156,693)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(140,463)</w:t>
            </w:r>
          </w:p>
        </w:tc>
      </w:tr>
      <w:tr>
        <w:trPr>
          <w:trHeight w:val="20"/>
        </w:trPr>
        <w:tc>
          <w:tcPr>
            <w:tcW w:w="1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10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99"/>
              </w:rPr>
              <w:t>13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0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-1216660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-1216660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-1216660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3, 2025.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We are a commercial-stage biopharmaceutical company advancing innovative cancer therapies. We currently have two commercially approved products, 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(revumenib) and Niktimvo™ (axatilimab-csfr), and a robust slate of clinical development programs. Revuforj is our first-in-class menin inhibitor that was approved by the U.S. Food and Drug Administration, or FDA, in November 2024 for the treatment of relapsed or refractory, or R/R, acute leukemia with a lysine methyltransferase 2A gene, or KMT2A, translocation in adult and pediatric patients one year old and older. In April 2025, we completed the submission of a supplemental New Drug Application, or sNDA, for revumenib as a treatment for R/R acute myeloid leukemia, or AML, with a nucleophosmin 1 mutation, or mNPM1, based on the positive pivotal data from our AUGMENT-101 trial. In June 2025, the FDA granted Priority Review to our sNDA and assigned a Prescription Drug User Fee Act, or PDUFA, target action date of October 25, 2025. We are also studying revumenib in combination with standard-of-care agents in mNPM1 AML or KMT2A-rearranged acute leukemia across the treatment landscape, including in newly diagnosed patients. Additionally, we are exploring the use of revumenib as a treatment in solid tumors, specifically its activity in metastatic colorectal cancer. Niktimvo is our first-in-class colony stimulating factor-1 receptor, or CSF-1R, blocking antibody that was approved by the FDA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standard-of-care therapies, as well for the treatment of idiopathic pulmonary fibrosis, or IPF. We plan to continue to leverage the technical and business expertise of our management team and scientific collaborators to license, acquire and develop additional therapeutics to expand our pipeline.</w:t>
      </w:r>
    </w:p>
    <w:p>
      <w:pPr>
        <w:spacing w:after="0" w:line="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begun generating product revenue from sales of Revuforj and collaboration revenue from sales of Niktimvo and plan to continue to leverage the technical and business expertise of our management team and scientific collaborators to license, acquire and develop additional therapeutics to expand our pipeline. We continue to incur significant research and development and other expenses related to our ongoing operations. Except for 2021, we have not been profitable and have incurred losses in each period since our inception in 2005. For the six months ended June 30, 2025 and 2024, we reported a net loss of $71.8 million and $68.1 million, respectively. As of June 30, 2025, we had an accumulated deficit of $1.4 billion. As of June 30, 2025, we had cash, cash equivalents and short- and long-term investments of $517.9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i w:val="1"/>
          <w:iCs w:val="1"/>
          <w:color w:val="auto"/>
        </w:rPr>
        <w:t xml:space="preserve"> (revumenib)</w:t>
      </w:r>
    </w:p>
    <w:p>
      <w:pPr>
        <w:spacing w:after="0" w:line="271" w:lineRule="exact"/>
        <w:rPr>
          <w:sz w:val="20"/>
          <w:szCs w:val="20"/>
          <w:color w:val="auto"/>
        </w:rPr>
      </w:pPr>
    </w:p>
    <w:p>
      <w:pPr>
        <w:jc w:val="both"/>
        <w:ind w:left="1020" w:right="3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Revuforj achieved $28.6 million in net revenue in the second quarter of 2025, representing a 43% increase over the first quarter of 2025. Revuforj was launched in the U.S. in November 2024 for the treatment of R/R acute leukemia with a KMT2A translocation in adult and pediatric patients one year and older.</w:t>
      </w:r>
    </w:p>
    <w:p>
      <w:pPr>
        <w:spacing w:after="0" w:line="67"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that the FDA granted Priority Review to the Company’s sNDA for Revuforj for the treatment of R/R mNPM1 AML. The sNDA is being reviewed under the FDA's Real-Time Oncology Review program and has been assigned a PDUFA target action date of October 25, 2025.</w:t>
      </w:r>
    </w:p>
    <w:p>
      <w:pPr>
        <w:spacing w:after="0" w:line="6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new Revuforj data in R/R mNPM1 AML and R/R NUP98-rearranged, or NUP98r, AML from the AUGMENT-101 trial at the European Hematology Association, or EHA, Annual Congress Meeting in June 2025.</w:t>
      </w:r>
    </w:p>
    <w:p>
      <w:pPr>
        <w:spacing w:after="0" w:line="53" w:lineRule="exact"/>
        <w:rPr>
          <w:rFonts w:ascii="Times New Roman" w:cs="Times New Roman" w:eastAsia="Times New Roman" w:hAnsi="Times New Roman"/>
          <w:sz w:val="18"/>
          <w:szCs w:val="18"/>
          <w:color w:val="auto"/>
        </w:rPr>
      </w:pPr>
    </w:p>
    <w:p>
      <w:pPr>
        <w:ind w:left="1780" w:hanging="515"/>
        <w:spacing w:after="0" w:line="256" w:lineRule="auto"/>
        <w:tabs>
          <w:tab w:leader="none" w:pos="1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results from all efficacy-evaluable R/R mNPM1 AML patients in the pivotal Phase 2 portion of the AUGMENT-101 trial of revumenib (n=77) show an overall response rate, or ORR of 48% (37/77). The complete remission, or CR, plus complete remission with partial hematologic recovery, or CRh, rate was 26% (20/77). Median duration of CR/CRh response was 4.7 months. Among patients with CR/CRh assessed for measurable residual disease, or MRD, 63% (12/19) were MRD negative. Subpopulation analysis showed that a median overall survival, or OS, of 23.3 months (95% CI: 8.4-NR) was observed among the 37 patients who achieved an overall response, based on a Kaplan-Meier estimate from this single-arm trial.</w:t>
      </w:r>
    </w:p>
    <w:p>
      <w:pPr>
        <w:spacing w:after="0" w:line="79"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patients with R/R NUP98r AML included in the Phase 1 portion of AUGMENT-101, the ORR was 60% (3/5). One patient</w:t>
      </w:r>
    </w:p>
    <w:p>
      <w:pPr>
        <w:spacing w:after="0" w:line="27" w:lineRule="exact"/>
        <w:rPr>
          <w:sz w:val="20"/>
          <w:szCs w:val="20"/>
          <w:color w:val="auto"/>
        </w:rPr>
      </w:pPr>
    </w:p>
    <w:p>
      <w:pPr>
        <w:ind w:left="1780" w:right="240"/>
        <w:spacing w:after="0" w:line="250" w:lineRule="auto"/>
        <w:rPr>
          <w:sz w:val="20"/>
          <w:szCs w:val="20"/>
          <w:color w:val="auto"/>
        </w:rPr>
      </w:pPr>
      <w:r>
        <w:rPr>
          <w:rFonts w:ascii="Times New Roman" w:cs="Times New Roman" w:eastAsia="Times New Roman" w:hAnsi="Times New Roman"/>
          <w:sz w:val="18"/>
          <w:szCs w:val="18"/>
          <w:color w:val="auto"/>
        </w:rPr>
        <w:t>who proceeded to transplant resumed revumenib post-transplant and was in maintenance cycle 10 as of the data cutoff date. The safety profile of revumenib in patients with R/R NUP98r AML was consistent with previous reports observed in KMT2Ar or mNPM1 AML.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 w:name="page18"/>
    <w:bookmarkEnd w:id="17"/>
    <w:p>
      <w:pPr>
        <w:ind w:left="1020" w:right="8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pivotal data from patients with R/R mNPM1 AML in the Phase 2 portion of the AUGMENT-101 trial in the journal </w:t>
      </w:r>
      <w:r>
        <w:rPr>
          <w:rFonts w:ascii="Times New Roman" w:cs="Times New Roman" w:eastAsia="Times New Roman" w:hAnsi="Times New Roman"/>
          <w:sz w:val="18"/>
          <w:szCs w:val="18"/>
          <w:i w:val="1"/>
          <w:iCs w:val="1"/>
          <w:color w:val="auto"/>
        </w:rPr>
        <w:t>Blood</w:t>
      </w:r>
      <w:r>
        <w:rPr>
          <w:rFonts w:ascii="Times New Roman" w:cs="Times New Roman" w:eastAsia="Times New Roman" w:hAnsi="Times New Roman"/>
          <w:sz w:val="18"/>
          <w:szCs w:val="18"/>
          <w:color w:val="auto"/>
        </w:rPr>
        <w:t xml:space="preserve"> in May 2025. The results published from the primary efficacy analysis (n=64) are consistent with the data presented at the EHA Annual Congress Meeting in June 2025 from the larger efficacy-evaluable population (n=77).</w:t>
      </w:r>
    </w:p>
    <w:p>
      <w:pPr>
        <w:spacing w:after="0" w:line="175"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trials evaluating revumenib in mNPM1 and KMT2Ar acute leukemia across the treatment landscape are ongoing. These trials include:</w:t>
      </w:r>
    </w:p>
    <w:p>
      <w:pPr>
        <w:spacing w:after="0" w:line="161" w:lineRule="exact"/>
        <w:rPr>
          <w:rFonts w:ascii="Times New Roman" w:cs="Times New Roman" w:eastAsia="Times New Roman" w:hAnsi="Times New Roman"/>
          <w:sz w:val="18"/>
          <w:szCs w:val="18"/>
          <w:color w:val="auto"/>
        </w:rPr>
      </w:pPr>
    </w:p>
    <w:p>
      <w:pPr>
        <w:ind w:left="1780" w:hanging="515"/>
        <w:spacing w:after="0" w:line="261" w:lineRule="auto"/>
        <w:tabs>
          <w:tab w:leader="none" w:pos="1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EVOLVE-2: A pivotal, Phase 3, randomized, double-blind, placebo-controlled trial evaluating revumenib in combination with venetoclax and azacitidine in newly diagnosed mNPM1 AML patients who are unfit for intensive chemotherapy. The trial is being conducted in collaboration with the HOVON network, a leading cooperative clinical trial group with extensive experience studying novel therapies for hematologic malignancies.</w:t>
      </w:r>
    </w:p>
    <w:p>
      <w:pPr>
        <w:spacing w:after="0" w:line="179" w:lineRule="exact"/>
        <w:rPr>
          <w:rFonts w:ascii="Times New Roman" w:cs="Times New Roman" w:eastAsia="Times New Roman" w:hAnsi="Times New Roman"/>
          <w:sz w:val="18"/>
          <w:szCs w:val="18"/>
          <w:color w:val="auto"/>
        </w:rPr>
      </w:pPr>
    </w:p>
    <w:p>
      <w:pPr>
        <w:ind w:left="1780" w:right="100" w:hanging="515"/>
        <w:spacing w:after="0" w:line="258" w:lineRule="auto"/>
        <w:tabs>
          <w:tab w:leader="none" w:pos="1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BEAT AML: A Phase 1 trial evaluating the combination of revumenib with venetoclax and azacitidine in newly diagnosed older adults (≥60 years) with mNPM1 or KMT2Ar AML. The trial is being conducted as part of the Leukemia &amp; Lymphoma Society's Beat AML® Master Clinical Trial. Updated data that showed a 67% (29/43) CR rate and 100% (37/37) flow-MRD negativity rate among evaluable responders were published in the Journal of Clinical Oncology and simultaneously presented in an oral presentation at the EHA Annual Congress Meeting in June 2025.</w:t>
      </w:r>
    </w:p>
    <w:p>
      <w:pPr>
        <w:spacing w:after="0" w:line="183" w:lineRule="exact"/>
        <w:rPr>
          <w:rFonts w:ascii="Times New Roman" w:cs="Times New Roman" w:eastAsia="Times New Roman" w:hAnsi="Times New Roman"/>
          <w:sz w:val="18"/>
          <w:szCs w:val="18"/>
          <w:color w:val="auto"/>
        </w:rPr>
      </w:pPr>
    </w:p>
    <w:p>
      <w:pPr>
        <w:ind w:left="1780" w:right="60" w:hanging="515"/>
        <w:spacing w:after="0" w:line="258" w:lineRule="auto"/>
        <w:tabs>
          <w:tab w:leader="none" w:pos="1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 Phase 1/2 trial evaluating an all-oral combination of revumenib with venetoclax and decitabine/cedazuridine in pediatric and adult patients with R/R AML or mixed-lineage acute leukemia (MPAL) harboring either mNPM1, KMT2Ar, or NUP98r alterations. The trial is being conducted by investigators from MD Anderson Cancer Center. Updated data that showed an ORR of 82% (27/33) and a CR/CRh rate of 48% (16/33) were presented at the 66th ASH Annual Meeting. The trial is now enrolling a cohort of newly diagnosed patients.</w:t>
      </w:r>
    </w:p>
    <w:p>
      <w:pPr>
        <w:spacing w:after="0" w:line="183" w:lineRule="exact"/>
        <w:rPr>
          <w:rFonts w:ascii="Times New Roman" w:cs="Times New Roman" w:eastAsia="Times New Roman" w:hAnsi="Times New Roman"/>
          <w:sz w:val="18"/>
          <w:szCs w:val="18"/>
          <w:color w:val="auto"/>
        </w:rPr>
      </w:pPr>
    </w:p>
    <w:p>
      <w:pPr>
        <w:ind w:left="1780" w:right="100" w:hanging="515"/>
        <w:spacing w:after="0" w:line="266" w:lineRule="auto"/>
        <w:tabs>
          <w:tab w:leader="none" w:pos="1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Intensive chemotherapy: A Phase 1 trial evaluating the combination of revumenib with intensive chemotherapy (7+3) followed by revumenib maintenance treatment in newly diagnosed mNPM1 or KMT2Ar acute leukemia patients. The Company expects to report data in the fourth quarter of 2025 supporting pivotal dose selection.</w:t>
      </w:r>
    </w:p>
    <w:p>
      <w:pPr>
        <w:spacing w:after="0" w:line="173" w:lineRule="exact"/>
        <w:rPr>
          <w:rFonts w:ascii="Times New Roman" w:cs="Times New Roman" w:eastAsia="Times New Roman" w:hAnsi="Times New Roman"/>
          <w:sz w:val="18"/>
          <w:szCs w:val="18"/>
          <w:color w:val="auto"/>
        </w:rPr>
      </w:pPr>
    </w:p>
    <w:p>
      <w:pPr>
        <w:ind w:left="1780" w:right="240" w:hanging="515"/>
        <w:spacing w:after="0" w:line="267" w:lineRule="auto"/>
        <w:tabs>
          <w:tab w:leader="none" w:pos="1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A Phase 2 trial studying whether the combination of revumenib and venetoclax can eliminate MRD in patients with AML and extend progression-free survival. The trial is being conducted by 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a collaboration between leading U.S. cancer research centers.</w:t>
      </w:r>
    </w:p>
    <w:p>
      <w:pPr>
        <w:spacing w:after="0" w:line="175" w:lineRule="exact"/>
        <w:rPr>
          <w:rFonts w:ascii="Times New Roman" w:cs="Times New Roman" w:eastAsia="Times New Roman" w:hAnsi="Times New Roman"/>
          <w:sz w:val="18"/>
          <w:szCs w:val="18"/>
          <w:color w:val="auto"/>
        </w:rPr>
      </w:pPr>
    </w:p>
    <w:p>
      <w:pPr>
        <w:ind w:left="1780" w:right="40" w:hanging="515"/>
        <w:spacing w:after="0" w:line="261" w:lineRule="auto"/>
        <w:tabs>
          <w:tab w:leader="none" w:pos="1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INTERCEPT: A Phase 1 trial evaluating the use of novel therapies, including revumenib, to target MRD and early relapse in AML. The trial is being conducted by the Australasian Leukaemia and Lymphoma Group as part of the INTERCEPT AML master clinical trial. Data that showed 54% (6/11) of patients had MRD reduction at any time, including 36% (4/11) who achieved MRD negativity, were presented at the 66th ASH Annual Meeting.</w:t>
      </w:r>
    </w:p>
    <w:p>
      <w:pPr>
        <w:spacing w:after="0" w:line="179"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 activities are underway for two trials, known as the REVEAL trials, that will evaluate revumenib in combination with standard of care regimens in newly diagnosed acute leukemia patients with mNPM1 or KMT2A-rearranged AML who are fit to receive intensive chemotherapy, with trial initiation expected in the fourth quarter of 2025.</w:t>
      </w:r>
    </w:p>
    <w:p>
      <w:pPr>
        <w:spacing w:after="0" w:line="175" w:lineRule="exact"/>
        <w:rPr>
          <w:rFonts w:ascii="Times New Roman" w:cs="Times New Roman" w:eastAsia="Times New Roman" w:hAnsi="Times New Roman"/>
          <w:sz w:val="18"/>
          <w:szCs w:val="18"/>
          <w:color w:val="auto"/>
        </w:rPr>
      </w:pPr>
    </w:p>
    <w:p>
      <w:pPr>
        <w:ind w:left="1020" w:right="240" w:hanging="503"/>
        <w:spacing w:after="0" w:line="29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evaluating revumenib in patients with R/R metastatic microsatellite stable (MSS) colorectal cancer (CRC). The Company expects to report data from the trial by the end of 2025.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Niktimvo™ (axatilimab-csfr)</w:t>
      </w:r>
    </w:p>
    <w:p>
      <w:pPr>
        <w:spacing w:after="0" w:line="337" w:lineRule="exact"/>
        <w:rPr>
          <w:sz w:val="20"/>
          <w:szCs w:val="20"/>
          <w:color w:val="auto"/>
        </w:rPr>
      </w:pPr>
    </w:p>
    <w:p>
      <w:pPr>
        <w:ind w:left="1020" w:right="10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Niktimvo achieved $36.2 million in net revenue in the second quarter of 2025, the first full quarter of the U.S. launch, representing significant growth compared to the $13.6 million in net revenue in the first quarter of 2025. Niktimvo was launched in the U.S. in late January 2025 for the treatment of chronic graft-versus-host disease, or cGVHD, after failure of at least two prior lines of systemic therapy in adult and pediatric patients weighing at least 40 kg (88.2 lbs). Syndax and Incyte are co-commercializing Niktimvo. Syndax records 50% of the Niktimvo net commercial profit/loss, defined as net product revenue minus the cost of sales and commercial expenses. For the second quarter of 2025, Syndax’s share of the Niktimvo product contribution, reported as Collaboration revenue, was $9.4 million.</w:t>
      </w:r>
    </w:p>
    <w:p>
      <w:pPr>
        <w:spacing w:after="0" w:line="79"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at the EHA Annual Congress Meeting in June 2025 highlighting the robust and rapid responses observed in different organs and subgroups of patients with cGVHD in the pivotal AGAVE-201 trial that supported the FDA approval of Niktimvo.</w:t>
      </w: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8" w:name="page19"/>
    <w:bookmarkEnd w:id="18"/>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trials evaluating axatilimab in combination with standard of care therapies in newly diagnosed cGVHD patients are ongoing, including:</w:t>
      </w:r>
    </w:p>
    <w:p>
      <w:pPr>
        <w:spacing w:after="0" w:line="117" w:lineRule="exact"/>
        <w:rPr>
          <w:rFonts w:ascii="Times New Roman" w:cs="Times New Roman" w:eastAsia="Times New Roman" w:hAnsi="Times New Roman"/>
          <w:sz w:val="18"/>
          <w:szCs w:val="18"/>
          <w:color w:val="auto"/>
        </w:rPr>
      </w:pPr>
    </w:p>
    <w:p>
      <w:pPr>
        <w:ind w:left="1780" w:right="340" w:hanging="515"/>
        <w:spacing w:after="0" w:line="282" w:lineRule="auto"/>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2, open-label, randomized, multicenter trial of axatilimab in combination with ruxolitinib in patients ≥ 12 years of age with newly diagnosed cGVHD.</w:t>
      </w:r>
    </w:p>
    <w:p>
      <w:pPr>
        <w:spacing w:after="0" w:line="161" w:lineRule="exact"/>
        <w:rPr>
          <w:rFonts w:ascii="Times New Roman" w:cs="Times New Roman" w:eastAsia="Times New Roman" w:hAnsi="Times New Roman"/>
          <w:sz w:val="18"/>
          <w:szCs w:val="18"/>
          <w:color w:val="auto"/>
        </w:rPr>
      </w:pPr>
    </w:p>
    <w:p>
      <w:pPr>
        <w:ind w:left="1780" w:right="1000" w:hanging="515"/>
        <w:spacing w:after="0" w:line="282" w:lineRule="auto"/>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pivotal Phase 3, randomized, double-blind, placebo-controlled, multi-center trial of axatilimab in combination with corticosteroids in patients ≥ 12 years of age with newly diagnosed cGVHD.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is ongoing in MAXPIRe, a Phase 2, 26-week randomized, double-blinded, placebo-controlled trial of axatilimab on top of standard of care in patients with idiopathic pulmonary fibrosis (IPF). The Company expects to complete enrollment in the trial in the fourth quarter of 2025 with topline data anticipated in the second half of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Updates</w:t>
      </w:r>
    </w:p>
    <w:p>
      <w:pPr>
        <w:spacing w:after="0" w:line="229" w:lineRule="exact"/>
        <w:rPr>
          <w:sz w:val="20"/>
          <w:szCs w:val="20"/>
          <w:color w:val="auto"/>
        </w:rPr>
      </w:pPr>
    </w:p>
    <w:p>
      <w:pPr>
        <w:jc w:val="both"/>
        <w:ind w:left="1020" w:right="4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announced the appointment of Dr. Nick Botwood as Head of Research and Development and Chief Medical Officer. Dr. Botwood brings 25 years of industry experience leading drug development, R&amp;D strategy, and global commercialization of novel oncology therapeutics.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the Company announced the resignation of William Meury from its Board of Directors after seven years of service due to his acceptance of the role of President and Chief Executive Officer and a member of the Board of Directors at Incyte, the Company’s collaboration partner for Niktimvo.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second FDA-approved product, Revuforj, was approved by the FDA for commercial sale in the U.S. on November 15, 2024. In accordance with GAAP, we determine net product revenue for Revuforj, with specific assumptions for variable consideration components including, but not limited to, trade discounts and allowances, co-pay assistance programs and payor rebates.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generated no product revenue during the three and six months ended June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 net</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September 2021, we entered into the Incyte License and Collaboration Agreement, or the Incyte License, with Incyte covering the worldwide development and commercialization of axatilimab. In August 2024, the FDA approved Niktimvo for the treatment of cGVHD after failure of at least two prior lines of systemic therapy in adult and pediatric patients weighing at least 40 kg (88.2 lbs).</w:t>
      </w:r>
    </w:p>
    <w:p>
      <w:pPr>
        <w:spacing w:after="0" w:line="66"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Topic ASC 808, </w:t>
      </w:r>
      <w:r>
        <w:rPr>
          <w:rFonts w:ascii="Times New Roman" w:cs="Times New Roman" w:eastAsia="Times New Roman" w:hAnsi="Times New Roman"/>
          <w:sz w:val="18"/>
          <w:szCs w:val="18"/>
          <w:i w:val="1"/>
          <w:iCs w:val="1"/>
          <w:color w:val="auto"/>
        </w:rPr>
        <w:t>Collaboration Arrangements,</w:t>
      </w:r>
      <w:r>
        <w:rPr>
          <w:rFonts w:ascii="Times New Roman" w:cs="Times New Roman" w:eastAsia="Times New Roman" w:hAnsi="Times New Roman"/>
          <w:sz w:val="18"/>
          <w:szCs w:val="18"/>
          <w:color w:val="auto"/>
        </w:rPr>
        <w:t xml:space="preserve"> Incyte has been identified as the principal in product sales, therefore, we will recognize its 50% share of any profits or losses in the amount of net product sales less cost of goods sold and shared commercial and other expenses, in the period in which the underlying sales and costs are recognized. Our share of net profits in connection with commercialization of Niktimvo will be presented as “Collaboration revenue, net” and our share of net losses will be presented as “Collaboration loss” within operating expenses. Collaboration revenue or expense is made up of our share of the 50% profit with Incyte. We record collaboration revenue net of commercial expenses. We will continue to recognize the costs associated with ongoing development services in the R&amp;D operating expense line, including any cost-sharing components with Incyte.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product sales includes the cost of goods sold and royalties associated with Revuforj and Niktimvo sales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54"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related to our clinical trials, including the costs for investigative sites and contract research organizations that conduct our clinical trials;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associated with our research and development activities, including salaries, benefits, travel and non-cash stock-based compensation expenses;</w:t>
      </w: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process-development, clinical supplies and technology-transfer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under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paid to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regulatory operations and regulatory compliance requirements.</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7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It is difficult to determine, with certainty, the duration and completion costs of our current or future preclinical programs, research studies and clinical trials of our product candidates. The duration, costs and timing of research studies and clinical trials of our product candidates will depend on a variety of factors that include, but are not limited to, the following:</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receipt of any regulatory approvals.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drug candidates may commence. Clinical development timelines, the probability of success and development costs can differ materially from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commercialization costs as well as employee-related expenses, including salaries, benefits, non-cash stock-based compensation and travel expenses, for our employees in executive, finance, human resources, information technology, business development and support functions, as well as sales and marketing expenses to support the launch and commercialization of Revuforj and Niktimvo. Other selling, general and administrative expenses include facility-related costs not otherwise allocated to research and development expenses and accounting, tax, legal, information technology and consulting services. We anticipate that our selling, general and administrative expenses will further increase in the future as we continue to increase our headcount to support our continued research and development and anticipated commercialization of our products.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Royalty interest expense consists of interest expense related to the Purchase and Sale Agreement with Royalty Pharma.</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interest expense consists of interest expense related to our operational and capital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short- and long-term investment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includes expense consisting of revaluation of foreign currency related to trade payables and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new accounting pronouncements please read Note 3 - Summary of Significant Accounting Policies to our unaudited consolidated financial statements included in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or U.S. GAAP. The preparation of these financial statements requires us to make estimates, judgments and assumptions that may affect the reported amounts of assets, liabilities, equity, revenue and expenses and related disclosures of contingent assets and liabilities.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8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“Management’s Discussion and Analysis of Financial Condition and Results of Operations” contained in our Annual Report on Form 10-K for the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246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2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48,642</w:t>
            </w:r>
          </w:p>
        </w:tc>
        <w:tc>
          <w:tcPr>
            <w:tcW w:w="16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48,642</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Collaboration revenue, net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Milestone and license revenue</w:t>
            </w:r>
          </w:p>
        </w:tc>
        <w:tc>
          <w:tcPr>
            <w:tcW w:w="1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84,836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32,753</w:t>
            </w:r>
          </w:p>
        </w:tc>
        <w:tc>
          <w:tcPr>
            <w:tcW w:w="100" w:type="dxa"/>
            <w:vAlign w:val="bottom"/>
            <w:shd w:val="clear" w:color="auto" w:fill="CFF0FC"/>
          </w:tcPr>
          <w:p>
            <w:pPr>
              <w:spacing w:after="0"/>
              <w:rPr>
                <w:sz w:val="18"/>
                <w:szCs w:val="18"/>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77,716</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157,230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53,633</w:t>
            </w:r>
          </w:p>
        </w:tc>
        <w:tc>
          <w:tcPr>
            <w:tcW w:w="100" w:type="dxa"/>
            <w:vAlign w:val="bottom"/>
          </w:tcPr>
          <w:p>
            <w:pPr>
              <w:spacing w:after="0"/>
              <w:rPr>
                <w:sz w:val="18"/>
                <w:szCs w:val="18"/>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(74,216)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(153,110)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(153,730)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interest expense</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(7,854)</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(7,854)</w:t>
            </w:r>
          </w:p>
        </w:tc>
        <w:tc>
          <w:tcPr>
            <w:tcW w:w="14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(15,903)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(15,903)</w:t>
            </w: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interest expense</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w:t>
            </w: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(71,847)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(68,063)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(156,693)</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(140,463)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10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-1851025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-1851025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-1851025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-1851025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-1851025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-1306195</wp:posOffset>
            </wp:positionV>
            <wp:extent cx="102235"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-1306195</wp:posOffset>
            </wp:positionV>
            <wp:extent cx="10287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-1306195</wp:posOffset>
            </wp:positionV>
            <wp:extent cx="9398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-1306195</wp:posOffset>
            </wp:positionV>
            <wp:extent cx="9398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-1306195</wp:posOffset>
            </wp:positionV>
            <wp:extent cx="9398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-1306195</wp:posOffset>
            </wp:positionV>
            <wp:extent cx="175895" cy="3041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5895" cy="30416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-170815</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1" w:name="page22"/>
    <w:bookmarkEnd w:id="21"/>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In November 2024, we began to generate product revenue from sales of Revuforj in the United States. We record product revenue net of estimated discounts, chargebacks, rebates, product returns, and other gross-to-net revenue deductions. Product revenue, net from sales of Revuforj was $28.6 million and $48.6 million for the three and six months ended June 30,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 net</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February 2025, we began to generate sales of Niktimvo in the United States in collaboration with our partner, Incyte. Our Collaboration revenue, net was $9.4 million for the three months ended June 30, 2025. Our Collaboration revenue, net was $9.1 million for the six months ended June 30, 2025, as it includes the $0.2 million of Collaboration loss recognized in the first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cost of product sales were $1.3 million and $2.2 million for the three and six months ended June 30, 2025, respectively, resulting from increased sales of Revuforj and Niktimvo.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research and development expenses for the three and six months ended June 30, 2025 and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206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Revumenib-related costs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28,156</w:t>
            </w:r>
          </w:p>
        </w:tc>
        <w:tc>
          <w:tcPr>
            <w:tcW w:w="5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48,960</w:t>
            </w:r>
          </w:p>
        </w:tc>
        <w:tc>
          <w:tcPr>
            <w:tcW w:w="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51,880</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(2,920)</w:t>
            </w: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Axatilimab-related costs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(597)</w:t>
            </w:r>
          </w:p>
        </w:tc>
      </w:tr>
      <w:tr>
        <w:trPr>
          <w:trHeight w:val="20"/>
        </w:trPr>
        <w:tc>
          <w:tcPr>
            <w:tcW w:w="3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gridSpan w:val="2"/>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62,227</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123,863</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105,147</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10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-153670</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-153670</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-153670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-153670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-153670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our total research and development expenses increased $13.6 million and $18.7 million, respectively, from the comparable prior year period. The increases were primarily due to:</w:t>
      </w:r>
    </w:p>
    <w:p>
      <w:pPr>
        <w:spacing w:after="0" w:line="54" w:lineRule="exact"/>
        <w:rPr>
          <w:sz w:val="20"/>
          <w:szCs w:val="20"/>
          <w:color w:val="auto"/>
        </w:rPr>
      </w:pPr>
    </w:p>
    <w:p>
      <w:pPr>
        <w:jc w:val="both"/>
        <w:ind w:left="1020" w:right="2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revumenib-related costs, primarily driven by multiple trials evaluating revumenib in mNPM1 and KMT2Ar acute leukemia, ongoing medical affairs activities supporting Revuforj, and a $5.0 million milestone expense in the second quarter of 2025 recognized as a result of an sNDA submission; partially offset by a decrease in CMC expense due to the capitalization of inventory for commercial use.</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axatilimab-related costs driven by the ongoing IPF trial, the frontline cGVHD combination trial with ruxolitinib for the three and six months ended June 30, 2025. For the six months ended June 30, 2025, the increase was of also driven by a $10 million milestone expense in the first quarter of 2025, as a result of the first patient dosed in a Phase III study with the compound in combination with another agent for any indication.</w:t>
      </w:r>
    </w:p>
    <w:p>
      <w:pPr>
        <w:spacing w:after="0" w:line="7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and stock-based compensation to support on-going clinical trials and, sNDA and medical affairs activities in support of commercialization.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summarizes the selling, general and administrative expenses for the three and six months ended June 30, 2025 and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related expenses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20,739</w:t>
            </w:r>
          </w:p>
        </w:tc>
        <w:tc>
          <w:tcPr>
            <w:tcW w:w="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00" w:type="dxa"/>
            <w:vAlign w:val="bottom"/>
          </w:tcPr>
          <w:p>
            <w:pPr>
              <w:spacing w:after="0"/>
              <w:rPr>
                <w:sz w:val="18"/>
                <w:szCs w:val="18"/>
                <w:color w:val="auto"/>
              </w:rPr>
            </w:pP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84,836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-779145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-779145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-779145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-779145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-779145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2" w:name="page23"/>
    <w:bookmarkEnd w:id="22"/>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our total selling, general and administrative expenses increased $14.7 million and $32.8 million, respectively, from the comparable prior year period. The increases were primarily due to:</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commercial-related costs driven by ongoing commercialization activities for Revuforj and Niktimvo.</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and stock-based compensation to support the commercialization of Revuforj and Niktimvo, primarily related to an increase in headcount.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Interest Expense</w:t>
      </w:r>
    </w:p>
    <w:p>
      <w:pPr>
        <w:spacing w:after="0" w:line="229"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royalty interest expense increased due to the interest expense recognized related to the Royalty Pharma Purchase and Sale Agreement signed in November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Interest Expense</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other interest expense decreased from the comparable period due to less interest expense recognized related to capital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interest income decreased from the comparable period. The decrease of interest income was primarily due to the fluctuation of interest rates and average balance of cash equivalents and short and long-term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other expense increased from the comparable period primarily related to the current period amortization of debt issuance costs related to the Royalty Pharma Purchase and Sale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period set forth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142"/>
        </w:trPr>
        <w:tc>
          <w:tcPr>
            <w:tcW w:w="7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(182,957)</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(155,193)</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00" w:type="dxa"/>
            <w:vAlign w:val="bottom"/>
          </w:tcPr>
          <w:p>
            <w:pPr>
              <w:spacing w:after="0"/>
              <w:rPr>
                <w:sz w:val="18"/>
                <w:szCs w:val="18"/>
                <w:color w:val="auto"/>
              </w:rPr>
            </w:pPr>
          </w:p>
        </w:tc>
        <w:tc>
          <w:tcPr>
            <w:tcW w:w="15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136,029</w:t>
            </w:r>
          </w:p>
        </w:tc>
        <w:tc>
          <w:tcPr>
            <w:tcW w:w="6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(37,649)</w:t>
            </w:r>
          </w:p>
        </w:tc>
      </w:tr>
      <w:tr>
        <w:trPr>
          <w:trHeight w:val="216"/>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cash, cash equivalents and restricted cash</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(45,447)</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(189,998)</w:t>
            </w:r>
          </w:p>
        </w:tc>
      </w:tr>
      <w:tr>
        <w:trPr>
          <w:trHeight w:val="20"/>
        </w:trPr>
        <w:tc>
          <w:tcPr>
            <w:tcW w:w="7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from $155.2 million for the six months ended June 30, 2024 to $183.0 million for the six months ended June 30, 2025, primarily due to an increase in operating net loss, accounts receivable, and inventory, and decreases in prepaid expenses, and collaboration payables.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2025, was $136.0 million and was related to $238.3 million from the maturities of available-for-sale securities, offset by the purchase of $102.3 million of available-for-sale securities.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$37.6 million and was related to $129.7 million from the maturities of available-for-sale securities, offset by the purchase of $167.4 million of available-for-sale securities.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decreased by $1.4 million from the comparable prior year period primarily due to a decrease in proceeds from the exercise of stock options in the current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October 2024, we entered into a purchase and sale agreement with Royalty Pharma, pursuant to which Royalty Pharma purchased the right to receive 13.8% on quarterly net sales of Niktimvo in the United States and its respective territories, districts, commonwealths and possessions (including Guam and Puerto Rico) in exchange for an upfront payment of $350.0 million (gross) at closing, received in November 2024. Aggregate payments to Royalty Pharma pursuant to the Royalty Agreement will be capped at $822.5 million or 2.35 times the funded amount.</w:t>
      </w:r>
    </w:p>
    <w:p>
      <w:pPr>
        <w:spacing w:after="0" w:line="7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For additional details on our purchase and sale agreement with Royalty Pharma, see Note 11 - “Royalty Interest Financing Liability” to our consolidated financial statements in this Quarterly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combination of our available cash, cash equivalents, short-term and long-term investments as well as our expected Revuforj gross contribution and Niktimvo collaboration revenue is sufficient to fund existing and planned cash requirements. Our primary uses of capital are, and we expect will continue to be, compensation and related expenses, third-party clinical research and development services, clinical costs, commercialization costs, legal and other regulatory expenses and general overhead costs. We have based our estimates on assumptions that may prove to be incorrect, and we could use our capital resources sooner than we currently expect.</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Additionally, the process of testing product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additional regulatory approvals from the FDA and comparable foreign regulatory authorities, including the potential for such authorities to require that we perform more trials than we currently expect;</w:t>
      </w:r>
    </w:p>
    <w:p>
      <w:pPr>
        <w:spacing w:after="0" w:line="53" w:lineRule="exact"/>
        <w:rPr>
          <w:rFonts w:ascii="Times New Roman" w:cs="Times New Roman" w:eastAsia="Times New Roman" w:hAnsi="Times New Roman"/>
          <w:sz w:val="18"/>
          <w:szCs w:val="18"/>
          <w:color w:val="auto"/>
        </w:rPr>
      </w:pPr>
    </w:p>
    <w:p>
      <w:pPr>
        <w:jc w:val="both"/>
        <w:ind w:left="1020" w:right="2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reimbursement, which may require additional trials to address pharmacoeconomic benefit;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sales, marketing and distribution capabilities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key clinical trial activities, such as clinical trial site monitoring;</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disruption to our supply chain and operations, and associated delays in the manufacturing and supply of our products, which would adversely impact our ability to continue our clinical trial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as we grow our company.</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have two FDA-approved products available for commercial sale in the U.S., we have not generated substantial product revenue to date. We believe that the combination of our available cash, cash equivalents, short-term and long-term investments as well as our expected Revuforj gross contribution and Niktimvo collaboration revenue is sufficient to fund our near-term existing and planned cash requirements. Until we generate substantial product revenue, we expect to finance our future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material contractual obligations and commitments as of June 30, 2025, primarily relate to our maturities of operating leases for office space and equipment and capital leases for office equipment. As of June 30, 2025, we have $0.4 million payable within 12 months.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contract manufacturing organizations,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excluding the year ended December 31, 2021. As of June 30, 2025, we had an accumulated deficit of $1.4 billion. We anticipate that we will likely continue to incur significant losses for at least the next couple years.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2023, we entered into a sales agreement with Cowen and Company, LLC, or TD Cowen, under which we could, from time to time, issue and sell shares of our common stock having aggregate sales proceeds of up to $200.0 million, in a series of one or more at-the-market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333-277424), which became automatically effective upon filing on February 27, 2024. Our common stock will be sold at prevailing market prices at the time of the sale, and as a result, prices may vary. For the three and six months ended June 30, 2025, we did not sell any shares of common stock under the 2023 ATM Program. As of June 30, 2025, we had $157.9 million available under the 2023 ATM Program.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Unfavorable interest rates and geo-political unrest could result in further economic uncertainty and volatility in the capital markets in the near term and, as a result, could negatively affect our operations and could make it difficult for us to obtain traditional financing on acceptable terms, if at all. Furthermore, such economic conditions have produced downward pressure on share prices. Although we do not believe that inflation has had a material impact on our financial position or results of operations to date, the return of a high inflationary environment could increase our operating costs, including our labor costs and research and development costs. These costs may also be negatively impacted due to supply chain constraints, geopolitical tensions, including tariffs, the ongoing wars between Russia and Ukraine and Israel and Hamas as well as other conflicts in the Middle East, including between Israel and Hezbollah, worsening macroeconomic conditions and employee availability and wage increases, which may result in additional stress on our working capital.</w:t>
      </w:r>
    </w:p>
    <w:p>
      <w:pPr>
        <w:spacing w:after="0" w:line="84"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additional indications for our approved products;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 See the section titled “Risk Factors” located elsewhere in this report for additional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June 30, 2025, we had cash and cash equivalents of $108.6 million, consisting of overnight investments, interest-bearing money market funds and commercial paper, and short and long-term investments of $346.6 million, consisting of commercial paper, highly rated corporate bonds and treasuries. Our primary exposure to market risk is interest rate sensitivity, which is affected by changes in the general level of U.S. interest rates. The primary objectives of our investment activities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spacing w:after="0" w:line="256" w:lineRule="auto"/>
        <w:rPr>
          <w:sz w:val="20"/>
          <w:szCs w:val="20"/>
          <w:color w:val="auto"/>
        </w:rPr>
      </w:pPr>
      <w:r>
        <w:rPr>
          <w:rFonts w:ascii="Times New Roman" w:cs="Times New Roman" w:eastAsia="Times New Roman" w:hAnsi="Times New Roman"/>
          <w:sz w:val="18"/>
          <w:szCs w:val="18"/>
          <w:color w:val="auto"/>
        </w:rPr>
        <w:t>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believe that inflation and changing prices had a significant impact on our results of operations for any periods presented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 and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Exchange Act), as of June 30, 2025. Based upon that evaluation, our principal executive officer and principal financial officer concluded that, as of the end of the period covered by this report, our disclosure controls and procedures are effective in ensuring that:</w:t>
      </w:r>
    </w:p>
    <w:p>
      <w:pPr>
        <w:spacing w:after="0" w:line="75" w:lineRule="exact"/>
        <w:rPr>
          <w:sz w:val="20"/>
          <w:szCs w:val="20"/>
          <w:color w:val="auto"/>
        </w:rPr>
      </w:pPr>
    </w:p>
    <w:p>
      <w:pPr>
        <w:ind w:left="900" w:right="8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disclosed by us in the reports we file or submit under the Exchange Act is recorded, processed, summarized and reported within the time periods specified in the SEC’s rules and forms; and</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accumulated and communicated to our management, including our principal executive officer and principal financial officer as appropriate to allow timely decisions regarding required disclosure.</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June 30, 2025, that has materially affected, or is reasonably likely to materially affect, our internal control over financial reporting.</w:t>
      </w: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2025, we were not party to any material legal or arbitration proceedings. No governmental proceedings are pending or, to our knowledge, contemplated against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elsewhere in this report, you should carefully consider the risks and uncertainties described in “Part I, Item 1A—Risk Factors” of our Annual Report on Form 10-K for the year ended December 31, 2024, or 2024 Form 10-K, filed with the Securities and Exchange Commission, or SEC, on March 3, 2025, and in “Part II, Item 1A—Risk Factors” of our Quarterly Report on Form 10-Q for the quarter ended March 31, 2025, or Q1 2025 Form 10-Q, filed with the SEC on May 5, 2025, which could materially and adversely affect our business, prospects, financial condition and results of operations. New risk factors can emerge from time to time, and it is not possible to predict the impact that any factor or combination of factors may have on our business, prospects, financial condition and results of operations. The risk factors disclosure in our 2024 Form 10-K and Q1 2025 Form 10-Q is qualified by the information that is described in this Quarterly Report on Form 10-Q. The risks described in our 2024 Form 10-K and Q1 2025 Form 10-Q are not our only risks. Additional risks and uncertainties not currently known to us or that we currently deem to be immaterial also may materially adversely affect our business, financial condition or future results. There have been no material changes in our risk factors previously disclosed in our 2024 Form 10-K and Q1 2025 Form 10-Q.</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21"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and officers (as defined in Rule 16a-1 (f) under the Exchange Act) adopted or terminated a “Rule 10b5-1 trading arrangement” or a “non-Rule 10b5-1 trading arrangement,” as defined in Regulation S-K Item 408 for the purchase or sale of our securities.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0" w:type="dxa"/>
            <w:vAlign w:val="bottom"/>
            <w:gridSpan w:val="12"/>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7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Amended and Restated Certificate of Incorporation of the Company (incorporated herein by reference to Exhibit 3.1 to the Company’s</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Current Report on Form 8-K (File No. 001-37708), as filed with the SEC on March 8, 2016).</w:t>
              </w:r>
            </w:hyperlink>
          </w:p>
        </w:tc>
        <w:tc>
          <w:tcPr>
            <w:tcW w:w="20" w:type="dxa"/>
            <w:vAlign w:val="bottom"/>
            <w:tcBorders>
              <w:bottom w:val="single" w:sz="8" w:color="0000EE"/>
            </w:tcBorders>
          </w:tcPr>
          <w:p>
            <w:pPr>
              <w:spacing w:after="0"/>
              <w:rPr>
                <w:sz w:val="17"/>
                <w:szCs w:val="17"/>
                <w:color w:val="auto"/>
              </w:rPr>
            </w:pPr>
          </w:p>
        </w:tc>
        <w:tc>
          <w:tcPr>
            <w:tcW w:w="3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Certificate of Amendment to the Amended and Restated Certificate of Incorporation of the Company (incorporated herein by reference to</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Exhibit 3.1 to the Company’s Current Report on Form 8-K (File No. 001-37708), as filed with the SEC on May 18, 2023).</w:t>
              </w:r>
            </w:hyperlink>
          </w:p>
        </w:tc>
        <w:tc>
          <w:tcPr>
            <w:tcW w:w="20" w:type="dxa"/>
            <w:vAlign w:val="bottom"/>
            <w:tcBorders>
              <w:bottom w:val="single" w:sz="8" w:color="0000EE"/>
            </w:tcBorders>
          </w:tcPr>
          <w:p>
            <w:pPr>
              <w:spacing w:after="0"/>
              <w:rPr>
                <w:sz w:val="17"/>
                <w:szCs w:val="17"/>
                <w:color w:val="auto"/>
              </w:rPr>
            </w:pPr>
          </w:p>
        </w:tc>
        <w:tc>
          <w:tcPr>
            <w:tcW w:w="1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Amended and Restated Bylaws of the Company (incorporated herein by reference to Exhibit 3.2 to the Company’s Current Report on Form</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8-K (File No. 001-37708), as filed with the SEC on March 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Executive Employment Agreement by and between the Company and Dr. Nicholas Botwood, dated as of May 12, 2025 (incorporated</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herein by reference to Exhibit 10.1 to the Company’s Current Report on Form 8-K (File No. 001-37708), as filed with the SEC on May 16,</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20">
              <w:r>
                <w:rPr>
                  <w:rFonts w:ascii="Times New Roman" w:cs="Times New Roman" w:eastAsia="Times New Roman" w:hAnsi="Times New Roman"/>
                  <w:sz w:val="18"/>
                  <w:szCs w:val="18"/>
                  <w:color w:val="0000FF"/>
                  <w:w w:val="94"/>
                </w:rPr>
                <w:t>2025).</w:t>
              </w:r>
            </w:hyperlink>
          </w:p>
        </w:tc>
        <w:tc>
          <w:tcPr>
            <w:tcW w:w="20" w:type="dxa"/>
            <w:vAlign w:val="bottom"/>
            <w:tcBorders>
              <w:bottom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9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 Exchange Act of</w:t>
            </w:r>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1934, as amended.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promulgated under the Securities Exchange Act of</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1934, as amended.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0" w:type="dxa"/>
            <w:vAlign w:val="bottom"/>
            <w:tcBorders>
              <w:bottom w:val="single" w:sz="8" w:color="0000EE"/>
            </w:tcBorders>
          </w:tcPr>
          <w:p>
            <w:pPr>
              <w:spacing w:after="0"/>
              <w:rPr>
                <w:sz w:val="17"/>
                <w:szCs w:val="17"/>
                <w:color w:val="auto"/>
              </w:rPr>
            </w:pPr>
          </w:p>
        </w:tc>
        <w:tc>
          <w:tcPr>
            <w:tcW w:w="72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4" w:lineRule="exact"/>
        <w:rPr>
          <w:sz w:val="20"/>
          <w:szCs w:val="20"/>
          <w:color w:val="auto"/>
        </w:rPr>
      </w:pPr>
    </w:p>
    <w:p>
      <w:pPr>
        <w:ind w:right="120" w:firstLine="8"/>
        <w:spacing w:after="0" w:line="257" w:lineRule="auto"/>
        <w:tabs>
          <w:tab w:leader="none" w:pos="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2025</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Keith A. Goldan</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9" w:name="page30"/>
    <w:bookmarkEnd w:id="2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Metzger, certify that:</w:t>
      </w:r>
    </w:p>
    <w:p>
      <w:pPr>
        <w:spacing w:after="0" w:line="225" w:lineRule="exact"/>
        <w:rPr>
          <w:sz w:val="20"/>
          <w:szCs w:val="20"/>
          <w:color w:val="auto"/>
        </w:rPr>
      </w:pPr>
    </w:p>
    <w:p>
      <w:pPr>
        <w:ind w:left="700" w:hanging="183"/>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517"/>
        <w:spacing w:after="0" w:line="266"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710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Michael A. Metzger</w:t>
            </w:r>
          </w:p>
        </w:tc>
      </w:tr>
      <w:tr>
        <w:trPr>
          <w:trHeight w:val="191"/>
        </w:trPr>
        <w:tc>
          <w:tcPr>
            <w:tcW w:w="4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16"/>
        </w:trPr>
        <w:tc>
          <w:tcPr>
            <w:tcW w:w="4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35"/>
        </w:trPr>
        <w:tc>
          <w:tcPr>
            <w:tcW w:w="41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Goldan, certify that:</w:t>
      </w:r>
    </w:p>
    <w:p>
      <w:pPr>
        <w:spacing w:after="0" w:line="225" w:lineRule="exact"/>
        <w:rPr>
          <w:sz w:val="20"/>
          <w:szCs w:val="20"/>
          <w:color w:val="auto"/>
        </w:rPr>
      </w:pPr>
    </w:p>
    <w:p>
      <w:pPr>
        <w:ind w:left="700" w:hanging="183"/>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517"/>
        <w:spacing w:after="0" w:line="266"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710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Keith A. Goldan</w:t>
            </w:r>
          </w:p>
        </w:tc>
      </w:tr>
      <w:tr>
        <w:trPr>
          <w:trHeight w:val="191"/>
        </w:trPr>
        <w:tc>
          <w:tcPr>
            <w:tcW w:w="4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Keith A. Goldan</w:t>
            </w:r>
          </w:p>
        </w:tc>
      </w:tr>
      <w:tr>
        <w:trPr>
          <w:trHeight w:val="216"/>
        </w:trPr>
        <w:tc>
          <w:tcPr>
            <w:tcW w:w="4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4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1478"/>
        </w:trPr>
        <w:tc>
          <w:tcPr>
            <w:tcW w:w="41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Syndax Pharmaceuticals, Inc. (the “Company”) for the period ended June 30, 2025, as filed with the Securities and Exchange Commission on the date hereof (the “Report”), each of the undersigned officers of the Company hereby certifies, pursuant to 18 U.S.C. Section 1350, that to his or her knowledge:</w:t>
      </w:r>
    </w:p>
    <w:p>
      <w:pPr>
        <w:spacing w:after="0" w:line="176" w:lineRule="exact"/>
        <w:rPr>
          <w:sz w:val="20"/>
          <w:szCs w:val="20"/>
          <w:color w:val="auto"/>
        </w:rPr>
      </w:pPr>
    </w:p>
    <w:p>
      <w:pPr>
        <w:ind w:left="900" w:hanging="35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30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Metzger</w:t>
            </w:r>
          </w:p>
        </w:tc>
      </w:tr>
      <w:tr>
        <w:trPr>
          <w:trHeight w:val="191"/>
        </w:trPr>
        <w:tc>
          <w:tcPr>
            <w:tcW w:w="4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34"/>
        </w:trPr>
        <w:tc>
          <w:tcPr>
            <w:tcW w:w="4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1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30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A. Goldan</w:t>
            </w:r>
          </w:p>
        </w:tc>
      </w:tr>
      <w:tr>
        <w:trPr>
          <w:trHeight w:val="191"/>
        </w:trPr>
        <w:tc>
          <w:tcPr>
            <w:tcW w:w="4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A. Goldan</w:t>
            </w:r>
          </w:p>
        </w:tc>
      </w:tr>
      <w:tr>
        <w:trPr>
          <w:trHeight w:val="234"/>
        </w:trPr>
        <w:tc>
          <w:tcPr>
            <w:tcW w:w="4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Syndax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lvl w:ilvl="1">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17" Type="http://schemas.openxmlformats.org/officeDocument/2006/relationships/hyperlink" Target="https://www.sec.gov/Archives/edgar/data/1395937/000119312516496764/d119516dex31.htm" TargetMode="External"/><Relationship Id="rId218" Type="http://schemas.openxmlformats.org/officeDocument/2006/relationships/hyperlink" Target="https://www.sec.gov/Archives/edgar/data/1395937/000095017023022802/sndx-ex3_1.htm" TargetMode="External"/><Relationship Id="rId219" Type="http://schemas.openxmlformats.org/officeDocument/2006/relationships/hyperlink" Target="https://www.sec.gov/Archives/edgar/data/1395937/000119312516496764/d119516dex32.htm" TargetMode="External"/><Relationship Id="rId220" Type="http://schemas.openxmlformats.org/officeDocument/2006/relationships/hyperlink" Target="https://www.sec.gov/ix?doc=/Archives/edgar/data/0001395937/000095017025073555/sndx-202505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2025-08-04T15:17:49Z</dcterms:created>
  <dcterms:modified xsi:type="dcterms:W3CDTF">2025-08-04T15:17:49Z</dcterms:modified>
</cp:coreProperties>
</file>