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Syndax Pharmaceuticals,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6100" w:type="dxa"/>
            <w:vAlign w:val="bottom"/>
          </w:tcPr>
          <w:p>
            <w:pPr>
              <w:jc w:val="center"/>
              <w:ind w:right="3519"/>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32-0162505</w:t>
            </w:r>
          </w:p>
        </w:tc>
      </w:tr>
      <w:tr>
        <w:trPr>
          <w:trHeight w:val="149"/>
        </w:trPr>
        <w:tc>
          <w:tcPr>
            <w:tcW w:w="6100" w:type="dxa"/>
            <w:vAlign w:val="bottom"/>
          </w:tcPr>
          <w:p>
            <w:pPr>
              <w:jc w:val="center"/>
              <w:ind w:right="3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00" w:type="dxa"/>
            <w:vAlign w:val="bottom"/>
          </w:tcPr>
          <w:p>
            <w:pPr>
              <w:jc w:val="center"/>
              <w:ind w:right="3519"/>
              <w:spacing w:after="0"/>
              <w:rPr>
                <w:sz w:val="20"/>
                <w:szCs w:val="20"/>
                <w:color w:val="auto"/>
              </w:rPr>
            </w:pPr>
            <w:r>
              <w:rPr>
                <w:rFonts w:ascii="Arial" w:cs="Arial" w:eastAsia="Arial" w:hAnsi="Arial"/>
                <w:sz w:val="14"/>
                <w:szCs w:val="14"/>
                <w:b w:val="1"/>
                <w:bCs w:val="1"/>
                <w:color w:val="auto"/>
                <w:w w:val="95"/>
              </w:rPr>
              <w:t>Incorporation or Organization)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00" w:type="dxa"/>
            <w:vAlign w:val="bottom"/>
          </w:tcPr>
          <w:p>
            <w:pPr>
              <w:jc w:val="center"/>
              <w:ind w:right="3519"/>
              <w:spacing w:after="0"/>
              <w:rPr>
                <w:sz w:val="20"/>
                <w:szCs w:val="20"/>
                <w:color w:val="auto"/>
              </w:rPr>
            </w:pPr>
            <w:r>
              <w:rPr>
                <w:rFonts w:ascii="Arial" w:cs="Arial" w:eastAsia="Arial" w:hAnsi="Arial"/>
                <w:sz w:val="18"/>
                <w:szCs w:val="18"/>
                <w:b w:val="1"/>
                <w:bCs w:val="1"/>
                <w:color w:val="auto"/>
                <w:w w:val="89"/>
              </w:rPr>
              <w:t>400 Totten Pond Road, Suite 110</w:t>
            </w:r>
          </w:p>
        </w:tc>
        <w:tc>
          <w:tcPr>
            <w:tcW w:w="1480" w:type="dxa"/>
            <w:vAlign w:val="bottom"/>
          </w:tcPr>
          <w:p>
            <w:pPr>
              <w:spacing w:after="0"/>
              <w:rPr>
                <w:sz w:val="24"/>
                <w:szCs w:val="24"/>
                <w:color w:val="auto"/>
              </w:rPr>
            </w:pPr>
          </w:p>
        </w:tc>
      </w:tr>
      <w:tr>
        <w:trPr>
          <w:trHeight w:val="225"/>
        </w:trPr>
        <w:tc>
          <w:tcPr>
            <w:tcW w:w="6100" w:type="dxa"/>
            <w:vAlign w:val="bottom"/>
          </w:tcPr>
          <w:p>
            <w:pPr>
              <w:jc w:val="center"/>
              <w:ind w:right="3519"/>
              <w:spacing w:after="0"/>
              <w:rPr>
                <w:sz w:val="20"/>
                <w:szCs w:val="20"/>
                <w:color w:val="auto"/>
              </w:rPr>
            </w:pPr>
            <w:r>
              <w:rPr>
                <w:rFonts w:ascii="Arial" w:cs="Arial" w:eastAsia="Arial" w:hAnsi="Arial"/>
                <w:sz w:val="18"/>
                <w:szCs w:val="18"/>
                <w:b w:val="1"/>
                <w:bCs w:val="1"/>
                <w:color w:val="auto"/>
                <w:w w:val="88"/>
              </w:rPr>
              <w:t>Waltham, Massachusetts</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6100" w:type="dxa"/>
            <w:vAlign w:val="bottom"/>
          </w:tcPr>
          <w:p>
            <w:pPr>
              <w:jc w:val="center"/>
              <w:ind w:right="35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79"/>
              <w:spacing w:after="0"/>
              <w:rPr>
                <w:sz w:val="20"/>
                <w:szCs w:val="20"/>
                <w:color w:val="auto"/>
              </w:rPr>
            </w:pPr>
            <w:r>
              <w:rPr>
                <w:rFonts w:ascii="Arial" w:cs="Arial" w:eastAsia="Arial" w:hAnsi="Arial"/>
                <w:sz w:val="18"/>
                <w:szCs w:val="18"/>
                <w:b w:val="1"/>
                <w:bCs w:val="1"/>
                <w:color w:val="auto"/>
              </w:rPr>
              <w:t>(781) 419-1400</w:t>
            </w:r>
          </w:p>
        </w:tc>
        <w:tc>
          <w:tcPr>
            <w:tcW w:w="1480" w:type="dxa"/>
            <w:vAlign w:val="bottom"/>
          </w:tcPr>
          <w:p>
            <w:pPr>
              <w:spacing w:after="0"/>
              <w:rPr>
                <w:sz w:val="24"/>
                <w:szCs w:val="24"/>
                <w:color w:val="auto"/>
              </w:rPr>
            </w:pPr>
          </w:p>
        </w:tc>
      </w:tr>
      <w:tr>
        <w:trPr>
          <w:trHeight w:val="186"/>
        </w:trPr>
        <w:tc>
          <w:tcPr>
            <w:tcW w:w="6100" w:type="dxa"/>
            <w:vAlign w:val="bottom"/>
          </w:tcPr>
          <w:p>
            <w:pPr>
              <w:jc w:val="center"/>
              <w:ind w:left="19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80"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8640" w:space="180"/>
            <w:col w:w="520" w:space="180"/>
            <w:col w:w="220" w:space="80"/>
            <w:col w:w="160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August 8, 2016, there were 17,782,150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commencement, progress and receipt of data from the planned Phase 1b/2 clinical trials of entinostat in lung cancer, melanoma, ovarian cancer and triple negative breast cancer;</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commencement, progress and receipt of data from the planned Phase 3 clinical trial of entinostat in advanced HR+ breast cancer;</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commencement, progress and receipt of data related to the clinical development of SNDX-6352 and the potential use of SNDX-6352 to treat various cancer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the commencement, progress and receipt of data from any other clinical trials that we and our collaborators may conduct;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 including head and neck, bladder and renal cells;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 with Bayer Pharma AG, Kyowa Hakko Kirin Co., Ltd. and UCB Biopharma Sprl;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including, without limitation, the risks set forth in Part II, Item 1A, “Risk Factors” in this Quarterly Report on Form 10-Q and in our other filings with the Securities and Exchange Commission, or the SEC. You should not rely upon forward-looking statements as predictions of future events.</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940" w:type="dxa"/>
            <w:vAlign w:val="bottom"/>
            <w:gridSpan w:val="9"/>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7"/>
            <w:vMerge w:val="continue"/>
          </w:tcPr>
          <w:p>
            <w:pPr>
              <w:spacing w:after="0"/>
              <w:rPr>
                <w:sz w:val="13"/>
                <w:szCs w:val="13"/>
                <w:color w:val="auto"/>
              </w:rPr>
            </w:pPr>
          </w:p>
        </w:tc>
        <w:tc>
          <w:tcPr>
            <w:tcW w:w="7940" w:type="dxa"/>
            <w:vAlign w:val="bottom"/>
            <w:gridSpan w:val="9"/>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Financial Statements:</w:t>
              </w:r>
            </w:hyperlink>
          </w:p>
        </w:tc>
        <w:tc>
          <w:tcPr>
            <w:tcW w:w="778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2016 and December 31, 2015</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 for the three and six months ended June 30, 2016 and 2015</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868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2016 and 2015</w:t>
              </w:r>
            </w:hyperlink>
          </w:p>
        </w:tc>
        <w:tc>
          <w:tcPr>
            <w:tcW w:w="14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30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6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836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824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24"/>
                <w:szCs w:val="24"/>
                <w:color w:val="auto"/>
              </w:rPr>
            </w:pPr>
          </w:p>
        </w:tc>
        <w:tc>
          <w:tcPr>
            <w:tcW w:w="880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Unregistered Sales of Equity Securities and Use of Proceeds</w:t>
              </w:r>
            </w:hyperlink>
          </w:p>
        </w:tc>
        <w:tc>
          <w:tcPr>
            <w:tcW w:w="578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1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this report, unless otherwise stated or as the context otherwise requires, references to “Syndax,” “the Company,” “we,” “us,” “our” and similar references refer to Syndax Pharmaceuticals, Inc. and its wholly owned subsidiaries.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4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tcPr>
          <w:p>
            <w:pPr>
              <w:jc w:val="center"/>
              <w:ind w:left="1390"/>
              <w:spacing w:after="0"/>
              <w:rPr>
                <w:sz w:val="20"/>
                <w:szCs w:val="20"/>
                <w:color w:val="auto"/>
              </w:rPr>
            </w:pPr>
            <w:r>
              <w:rPr>
                <w:rFonts w:ascii="Arial" w:cs="Arial" w:eastAsia="Arial" w:hAnsi="Arial"/>
                <w:sz w:val="18"/>
                <w:szCs w:val="18"/>
                <w:b w:val="1"/>
                <w:bCs w:val="1"/>
                <w:color w:val="auto"/>
              </w:rPr>
              <w:t>SYNDAX PHARMACEUTICALS, INC.</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40" w:type="dxa"/>
            <w:vAlign w:val="bottom"/>
          </w:tcPr>
          <w:p>
            <w:pPr>
              <w:jc w:val="center"/>
              <w:ind w:left="13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4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40" w:type="dxa"/>
            <w:vAlign w:val="bottom"/>
          </w:tcPr>
          <w:p>
            <w:pPr>
              <w:jc w:val="center"/>
              <w:ind w:left="13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34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2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14,441</w:t>
            </w:r>
          </w:p>
        </w:tc>
        <w:tc>
          <w:tcPr>
            <w:tcW w:w="6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23,179</w:t>
            </w:r>
          </w:p>
        </w:tc>
      </w:tr>
      <w:tr>
        <w:trPr>
          <w:trHeight w:val="216"/>
        </w:trPr>
        <w:tc>
          <w:tcPr>
            <w:tcW w:w="20" w:type="dxa"/>
            <w:vAlign w:val="bottom"/>
          </w:tcPr>
          <w:p>
            <w:pPr>
              <w:spacing w:after="0"/>
              <w:rPr>
                <w:sz w:val="18"/>
                <w:szCs w:val="18"/>
                <w:color w:val="auto"/>
              </w:rPr>
            </w:pPr>
          </w:p>
        </w:tc>
        <w:tc>
          <w:tcPr>
            <w:tcW w:w="8580" w:type="dxa"/>
            <w:vAlign w:val="bottom"/>
            <w:gridSpan w:val="3"/>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111,016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63,310</w:t>
            </w:r>
          </w:p>
        </w:tc>
      </w:tr>
      <w:tr>
        <w:trPr>
          <w:trHeight w:val="223"/>
        </w:trPr>
        <w:tc>
          <w:tcPr>
            <w:tcW w:w="20" w:type="dxa"/>
            <w:vAlign w:val="bottom"/>
          </w:tcPr>
          <w:p>
            <w:pPr>
              <w:spacing w:after="0"/>
              <w:rPr>
                <w:sz w:val="19"/>
                <w:szCs w:val="19"/>
                <w:color w:val="auto"/>
              </w:rPr>
            </w:pPr>
          </w:p>
        </w:tc>
        <w:tc>
          <w:tcPr>
            <w:tcW w:w="858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127,379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88,007</w:t>
            </w: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w:t>
            </w: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127,856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580" w:type="dxa"/>
            <w:vAlign w:val="bottom"/>
            <w:gridSpan w:val="3"/>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(DEFICIT)</w:t>
            </w:r>
          </w:p>
        </w:tc>
        <w:tc>
          <w:tcPr>
            <w:tcW w:w="24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1,588</w:t>
            </w:r>
          </w:p>
        </w:tc>
        <w:tc>
          <w:tcPr>
            <w:tcW w:w="6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r>
      <w:tr>
        <w:trPr>
          <w:trHeight w:val="216"/>
        </w:trPr>
        <w:tc>
          <w:tcPr>
            <w:tcW w:w="20" w:type="dxa"/>
            <w:vAlign w:val="bottom"/>
          </w:tcPr>
          <w:p>
            <w:pPr>
              <w:spacing w:after="0"/>
              <w:rPr>
                <w:sz w:val="18"/>
                <w:szCs w:val="18"/>
                <w:color w:val="auto"/>
              </w:rPr>
            </w:pPr>
          </w:p>
        </w:tc>
        <w:tc>
          <w:tcPr>
            <w:tcW w:w="8580" w:type="dxa"/>
            <w:vAlign w:val="bottom"/>
            <w:gridSpan w:val="3"/>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3,745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r>
      <w:tr>
        <w:trPr>
          <w:trHeight w:val="230"/>
        </w:trPr>
        <w:tc>
          <w:tcPr>
            <w:tcW w:w="860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340"/>
              <w:spacing w:after="0"/>
              <w:rPr>
                <w:sz w:val="20"/>
                <w:szCs w:val="20"/>
                <w:color w:val="auto"/>
              </w:rPr>
            </w:pPr>
            <w:r>
              <w:rPr>
                <w:rFonts w:ascii="Arial" w:cs="Arial" w:eastAsia="Arial" w:hAnsi="Arial"/>
                <w:sz w:val="18"/>
                <w:szCs w:val="18"/>
                <w:color w:val="auto"/>
              </w:rPr>
              <w:t>Common stock warrant liability</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 less current portion</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14,830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15,440</w:t>
            </w:r>
          </w:p>
        </w:tc>
      </w:tr>
      <w:tr>
        <w:trPr>
          <w:trHeight w:val="223"/>
        </w:trPr>
        <w:tc>
          <w:tcPr>
            <w:tcW w:w="20" w:type="dxa"/>
            <w:vAlign w:val="bottom"/>
          </w:tcPr>
          <w:p>
            <w:pPr>
              <w:spacing w:after="0"/>
              <w:rPr>
                <w:sz w:val="19"/>
                <w:szCs w:val="19"/>
                <w:color w:val="auto"/>
              </w:rPr>
            </w:pPr>
          </w:p>
        </w:tc>
        <w:tc>
          <w:tcPr>
            <w:tcW w:w="8580" w:type="dxa"/>
            <w:vAlign w:val="bottom"/>
            <w:gridSpan w:val="3"/>
          </w:tcPr>
          <w:p>
            <w:pPr>
              <w:ind w:left="3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15,062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18,358</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w w:val="97"/>
              </w:rPr>
              <w:t>Total liabilities</w:t>
            </w:r>
          </w:p>
        </w:tc>
        <w:tc>
          <w:tcPr>
            <w:tcW w:w="24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Commitments</w:t>
            </w:r>
          </w:p>
        </w:tc>
        <w:tc>
          <w:tcPr>
            <w:tcW w:w="24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Convertible preferred stock</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319,113</w:t>
            </w: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8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7"/>
              </w:rPr>
              <w:t>Series A convertible preferred stock, $0.001 par value, 0 and 3,512,194 shares authorized; 0 and 700,435</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80" w:type="dxa"/>
            <w:vAlign w:val="bottom"/>
            <w:gridSpan w:val="3"/>
          </w:tcPr>
          <w:p>
            <w:pPr>
              <w:ind w:left="520"/>
              <w:spacing w:after="0"/>
              <w:rPr>
                <w:sz w:val="20"/>
                <w:szCs w:val="20"/>
                <w:color w:val="auto"/>
              </w:rPr>
            </w:pPr>
            <w:r>
              <w:rPr>
                <w:rFonts w:ascii="Arial" w:cs="Arial" w:eastAsia="Arial" w:hAnsi="Arial"/>
                <w:sz w:val="18"/>
                <w:szCs w:val="18"/>
                <w:color w:val="auto"/>
              </w:rPr>
              <w:t>shares issued and outstanding at June 30, 2016 and December 31, 2015, respectively</w:t>
            </w:r>
          </w:p>
        </w:tc>
        <w:tc>
          <w:tcPr>
            <w:tcW w:w="1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7,231</w:t>
            </w:r>
          </w:p>
        </w:tc>
      </w:tr>
      <w:tr>
        <w:trPr>
          <w:trHeight w:val="202"/>
        </w:trPr>
        <w:tc>
          <w:tcPr>
            <w:tcW w:w="20" w:type="dxa"/>
            <w:vAlign w:val="bottom"/>
          </w:tcPr>
          <w:p>
            <w:pPr>
              <w:spacing w:after="0"/>
              <w:rPr>
                <w:sz w:val="17"/>
                <w:szCs w:val="17"/>
                <w:color w:val="auto"/>
              </w:rPr>
            </w:pPr>
          </w:p>
        </w:tc>
        <w:tc>
          <w:tcPr>
            <w:tcW w:w="858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Preferred stock, $0.001 par value, 10,000,000 and 0 shares authorized and outstanding at June 30, 2016</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and December 31, 2015, respectively</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58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Common stock, $0.0001 par value, 100,000,000 and 20,800,000 shares authorized; 17,770,538 and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80" w:type="dxa"/>
            <w:vAlign w:val="bottom"/>
            <w:gridSpan w:val="3"/>
          </w:tcPr>
          <w:p>
            <w:pPr>
              <w:ind w:left="520"/>
              <w:spacing w:after="0"/>
              <w:rPr>
                <w:sz w:val="20"/>
                <w:szCs w:val="20"/>
                <w:color w:val="auto"/>
              </w:rPr>
            </w:pPr>
            <w:r>
              <w:rPr>
                <w:rFonts w:ascii="Arial" w:cs="Arial" w:eastAsia="Arial" w:hAnsi="Arial"/>
                <w:sz w:val="18"/>
                <w:szCs w:val="18"/>
                <w:color w:val="auto"/>
              </w:rPr>
              <w:t>85,440 shares outstanding at June 30, 2016 and December 31, 2015, respectively</w:t>
            </w:r>
          </w:p>
        </w:tc>
        <w:tc>
          <w:tcPr>
            <w:tcW w:w="14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385,556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8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(279,509)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(259,675)</w:t>
            </w:r>
          </w:p>
        </w:tc>
      </w:tr>
      <w:tr>
        <w:trPr>
          <w:trHeight w:val="230"/>
        </w:trPr>
        <w:tc>
          <w:tcPr>
            <w:tcW w:w="8600" w:type="dxa"/>
            <w:vAlign w:val="bottom"/>
            <w:gridSpan w:val="4"/>
          </w:tcPr>
          <w:p>
            <w:pPr>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106,241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127,856</w:t>
            </w:r>
          </w:p>
        </w:tc>
        <w:tc>
          <w:tcPr>
            <w:tcW w:w="6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17,997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(17,387)</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(18,688</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(11,125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Unrealized (losses) gains on marketable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(11,133)</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(26,338</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(38,410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(649.30)</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 used to compute net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attributable to common stockholders—basic and diluted</w:t>
            </w: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17,769,514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59,788</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11,155,525</w:t>
            </w: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20" w:type="dxa"/>
            <w:vAlign w:val="bottom"/>
          </w:tcPr>
          <w:p>
            <w:pPr>
              <w:spacing w:after="0"/>
              <w:rPr>
                <w:sz w:val="12"/>
                <w:szCs w:val="12"/>
                <w:color w:val="auto"/>
              </w:rPr>
            </w:pPr>
          </w:p>
        </w:tc>
        <w:tc>
          <w:tcPr>
            <w:tcW w:w="9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(18,688)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(11,125)</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70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r>
      <w:tr>
        <w:trPr>
          <w:trHeight w:val="216"/>
        </w:trPr>
        <w:tc>
          <w:tcPr>
            <w:tcW w:w="20" w:type="dxa"/>
            <w:vAlign w:val="bottom"/>
          </w:tcPr>
          <w:p>
            <w:pPr>
              <w:spacing w:after="0"/>
              <w:rPr>
                <w:sz w:val="18"/>
                <w:szCs w:val="18"/>
                <w:color w:val="auto"/>
              </w:rPr>
            </w:pPr>
          </w:p>
        </w:tc>
        <w:tc>
          <w:tcPr>
            <w:tcW w:w="9440" w:type="dxa"/>
            <w:vAlign w:val="bottom"/>
          </w:tcPr>
          <w:p>
            <w:pPr>
              <w:ind w:left="700"/>
              <w:spacing w:after="0"/>
              <w:rPr>
                <w:sz w:val="20"/>
                <w:szCs w:val="20"/>
                <w:color w:val="auto"/>
              </w:rPr>
            </w:pPr>
            <w:r>
              <w:rPr>
                <w:rFonts w:ascii="Arial" w:cs="Arial" w:eastAsia="Arial" w:hAnsi="Arial"/>
                <w:sz w:val="18"/>
                <w:szCs w:val="18"/>
                <w:color w:val="auto"/>
              </w:rPr>
              <w:t>Change in fair value of warrants and derivative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944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17,270</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w:t>
            </w:r>
          </w:p>
        </w:tc>
      </w:tr>
      <w:tr>
        <w:trPr>
          <w:trHeight w:val="230"/>
        </w:trPr>
        <w:tc>
          <w:tcPr>
            <w:tcW w:w="20" w:type="dxa"/>
            <w:vAlign w:val="bottom"/>
          </w:tcPr>
          <w:p>
            <w:pPr>
              <w:spacing w:after="0"/>
              <w:rPr>
                <w:sz w:val="20"/>
                <w:szCs w:val="20"/>
                <w:color w:val="auto"/>
              </w:rPr>
            </w:pPr>
          </w:p>
        </w:tc>
        <w:tc>
          <w:tcPr>
            <w:tcW w:w="9440" w:type="dxa"/>
            <w:vAlign w:val="bottom"/>
          </w:tcPr>
          <w:p>
            <w:pPr>
              <w:ind w:left="1420"/>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(13,293)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0"/>
              </w:rPr>
              <w:t>(109,932)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(42,038)</w:t>
            </w:r>
          </w:p>
        </w:tc>
      </w:tr>
      <w:tr>
        <w:trPr>
          <w:trHeight w:val="223"/>
        </w:trPr>
        <w:tc>
          <w:tcPr>
            <w:tcW w:w="20" w:type="dxa"/>
            <w:vAlign w:val="bottom"/>
          </w:tcPr>
          <w:p>
            <w:pPr>
              <w:spacing w:after="0"/>
              <w:rPr>
                <w:sz w:val="19"/>
                <w:szCs w:val="19"/>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Proceeds from sales and maturities of short-term investments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(47,761)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(36,698)</w:t>
            </w: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in initial public stock offering,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preferred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26,378</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 exercises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26,389</w:t>
            </w:r>
          </w:p>
        </w:tc>
        <w:tc>
          <w:tcPr>
            <w:tcW w:w="100" w:type="dxa"/>
            <w:vAlign w:val="bottom"/>
            <w:shd w:val="clear" w:color="auto" w:fill="CCEEFF"/>
          </w:tcPr>
          <w:p>
            <w:pPr>
              <w:spacing w:after="0"/>
              <w:rPr>
                <w:sz w:val="18"/>
                <w:szCs w:val="18"/>
                <w:color w:val="auto"/>
              </w:rPr>
            </w:pP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(8,738)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color w:val="auto"/>
              </w:rPr>
              <w:t>CASH AND CASH EQUIVALENTS—end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Supplement disclosures of cash flow information (Note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Syndax Pharmaceuticals, Inc. (the “Company”) is a clinical stage biopharmaceutical company focused on developing an innovative pipeline of combination therapies in multiple cancer indications. The Company was incorporated under the laws of the State of Delaware on October 11, 2005 (date of inception) and is headquartered in Waltham, Massachusetts.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lead product candidate, entinostat, which was granted Breakthrough Therapy designation by the U.S. Food and Drug Administration (“FDA”) following positive results from the Company’s Phase 2b clinical trial, ENCORE 301, is currently being evaluated in a Phase 3 clinical trial for advanced hormone receptor positive breast cancer. The Company is developing entinostat, which has direct effects on both cancer cells and immune regulatory cells, to potentially enhance the body’s immune response on tumors that have shown sensitivity to immunotherapy. Entinostat is also being evaluated as a combination therapy in Phase 1b/2 clinical trials with (i) Merck &amp; Co., Inc. (“Merck”) for patients with non-small cell lung cancer and melanoma, (ii) Genentech, Inc. for patients with triple negative breast cancer (“TNBC”), and (iii) Pfizer Inc. and Merck KGaA, Darmstadt, Germany, for patients with ovarian cancer.</w:t>
      </w:r>
    </w:p>
    <w:p>
      <w:pPr>
        <w:spacing w:after="0" w:line="16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On July 1, 2016, the Company entered into a license agreement with UCB Biopharma Sprl (“UCB”) under which UCB granted to the Company a worldwide, sublicenseable, exclusive license to UCB6352, which the Company will refer to as SNDX-6352, an IND-ready anti-CSF-1R monoclonal antibody. Concurrently with the development of entinostat, the Company is also developing SNDX-6352 to potentially enhance the body’s immune response on tumors that have shown sensitivity to immunotherapy. The Company believes that SNDX-6352 has the potential to be used to treat a variety of cancer indications in combination with other oncology agents, including immune checkpoint inhibitors, radiation, chemotherapy and entinostat. We expect to begin the Phase 1 single ascending dose study with SNDX-6352 in healthy volunteers to determine safety and pharmacokinetics during the fourth quarter of 2016.</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March 2016, the Company completed its initial public offering (“IPO”) whereby it sold 4,809,475 shares of common stock at the initial public offering price of $12.00 per share, which included 409,475 shares issued pursuant to the underwriters’ partial exercise of their over-allotment option to purchase additional shares of common stock. The aggregate net proceeds received by the Company from the offering were $50.5 million, net of underwriting discounts and commissions of $4.0 million and offering expenses of $3.1 million. Upon the closing of the IPO, all outstanding shares of the Company’s outstanding convertible preferred stock converted into 12,872,551 shares of common stock; and the Company’s outstanding warrant liability to purchase 357,840 shares of the Company’s common stock valued at $4.6 million was reclassified to additional paid-in capital. The shares trade on the Nasdaq Global Select Market under the symbol “SNDX.”</w:t>
      </w:r>
    </w:p>
    <w:p>
      <w:pPr>
        <w:spacing w:after="0" w:line="18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connection with the closing of the Company’s IPO, the Company filed an amended and restated certificate of incorporation and adopted amended and restated bylaws, both of which were approved by the Company’s board of directors and stockholders on September 28, 2015 and February 24, 2016, respectively. Pursuant to the amended and restated certificate of incorporation, the Company is now authorized to issue 100,000,000 of common stock and 10,000,000 shares of preferred stock.</w:t>
      </w:r>
    </w:p>
    <w:p>
      <w:pPr>
        <w:spacing w:after="0" w:line="18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either entinostat or SNDX-6352 are approved, if ever, and the Company begins to generate revenue from sales of entinostat and SNDX-6352. Accordingly, management expects to incur substantial losses on the ongoing development of entinostat and SNDX-6352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management believes that the cash, cash equivalents and short-term investments balances as of June 30, 2016 should enable the Company to maintain its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the event that sufficient funds were not available, the Company may be required to delay or reduce expenditures to conserve cash, which could involve scaling back or curtailing development and general and administrative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Certain amounts have been reclassified to conform to the current period presentation.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2016, and the results of operations, comprehensive loss, and cash flows for the three and six months ended June 30, 2016 and 2015. The results for the three and six months ended June 30, 2016 are not necessarily indicative of the results to be expected for the year ending December 31, 2016, any other interim periods, or any future year or period. These interim financial statements should be read in conjunction with the audited financial statements as of and for the year ended December 31, 2015, and the notes thereto, which are included in the Company’s Prospectus that forms a part of the Company’s Registration Statement on Form S-1 (File No. 333-208861), which was filed with the Securities and Exchange Commission (the “SEC”) pursuant to Rule 424 on March 3, 2016 (the “Prospectus”).</w:t>
      </w:r>
    </w:p>
    <w:p>
      <w:pPr>
        <w:spacing w:after="0" w:line="183"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14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February 24, 2016, the Company effected a 1-for-1.25 reverse stock split of the Company’s outstanding common stock and convertible preferred stock. Stockholders entitled to fractional shares as a result of the reverse stock split received a cash payment in lieu of receiving fractional shares. All of the Company’s historical share and per share information shown in the accompanying financial statements and related notes have been retroactively adjusted to give effect to this reverse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1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i w:val="1"/>
          <w:iCs w:val="1"/>
          <w:color w:val="auto"/>
        </w:rPr>
        <w:t>Significant Accounting Policies</w:t>
      </w:r>
      <w:r>
        <w:rPr>
          <w:rFonts w:ascii="Arial" w:cs="Arial" w:eastAsia="Arial" w:hAnsi="Arial"/>
          <w:sz w:val="18"/>
          <w:szCs w:val="18"/>
          <w:b w:val="1"/>
          <w:bCs w:val="1"/>
          <w:color w:val="auto"/>
        </w:rPr>
        <w:t>—</w:t>
      </w:r>
      <w:r>
        <w:rPr>
          <w:rFonts w:ascii="Arial" w:cs="Arial" w:eastAsia="Arial" w:hAnsi="Arial"/>
          <w:sz w:val="18"/>
          <w:szCs w:val="18"/>
          <w:color w:val="auto"/>
        </w:rPr>
        <w:t>There have been no significant or material changes to the Company’s significant accounting policies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2016, from the Company’s policies disclosed in the audited consolidated financial statements for the year ended December 31, 2015 and the notes thereto, which are included in the Prospectus.</w:t>
      </w:r>
    </w:p>
    <w:p>
      <w:pPr>
        <w:spacing w:after="0" w:line="18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condensed consolidated financial statements in conformity with U.S. GAAP requires management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Other assets consist of deferred issuance costs, long-term security deposits and noncurrent restricted cash. Deferred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primarily of direct incremental legal and accounting fees relating to the IPO and issuance of debt. As of December 31, 2015, the Company had capitalized deferred IPO issuance costs of $1.6 million. Upon the closing of the IPO, these costs were reclassified to additional paid-in capital as a reduction of the IPO proceeds.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In May 2014, the Financial Accounting Standards Board (the “FASB”) issued Accounting Standards Update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(“ASU 2014-09”). ASU 2014-09 supersedes the revenue recognition requirements of the FASB’s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Codification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industry-specific guidance throughout the ASC, resulting in the creation of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requires entities to recognize revenue in a way that depicts the transfer of promised goods or services to customers in an amount that reflects the consideration to which the entity expects to be entitled to in exchange for those goods or services. In March 2016, the FASB issued ASU 2016-08, </w:t>
      </w:r>
      <w:r>
        <w:rPr>
          <w:rFonts w:ascii="Arial" w:cs="Arial" w:eastAsia="Arial" w:hAnsi="Arial"/>
          <w:sz w:val="16"/>
          <w:szCs w:val="16"/>
          <w:i w:val="1"/>
          <w:iCs w:val="1"/>
          <w:color w:val="auto"/>
        </w:rPr>
        <w:t>Revenue from Contracts with Customers (Topic 606): Principal versus Agent Considerations (Reporting</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4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Revenue Gross versus Net), </w:t>
      </w:r>
      <w:r>
        <w:rPr>
          <w:rFonts w:ascii="Arial" w:cs="Arial" w:eastAsia="Arial" w:hAnsi="Arial"/>
          <w:sz w:val="17"/>
          <w:szCs w:val="17"/>
          <w:color w:val="auto"/>
        </w:rPr>
        <w:t>(“ASU 2016-08”), which amends ASU 2014-09 to clarify the implementation guidance on principal versus agent considerations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(gross versus net revenue presentation). ASU 2016-08 does not change the core principle of the guidance stated in ASU 2014-09, instead, the amendments in this ASU are intended to improve the operability and understandability of the implementation guidance on principal versus agent considerations and whether an entity reports revenue on a gross or net basis. Adoption of both ASU 2016-08 and 2014-09 will be permitted using either a retrospective or modified retrospective approach. In July 2015, the FASB voted to delay the effective date of the standard by one year to the first quarter of 2018 to provide companies sufficient time to implement the standard. The collective guidance will be effective for the Company on January 1, 2018, with early adoption permitted but not before January 1, 2017. The Company is currently evaluating the method by which it will implement these standards and the impact of the adoption of these standards on the Company’s consolidated financial statements.</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Company is in the process of evaluating the effect of the new guidance on the Company’s consolidated financial statements and disclosures.</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ASU 2016-09 simplifies several aspects related to the accounting for share-based payment transactions,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forfeitures, statutory tax withholding requirements and classification on the statement of cash flows. ASU 2016-09 will be effective for the Company on January 1, 2017 with early adoption permitted. The Company is currently evaluating the impact that the adoption of ASU 2016-09 will have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Attributable to Common Stockholders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20" w:type="dxa"/>
            <w:vAlign w:val="bottom"/>
            <w:gridSpan w:val="9"/>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Numerator—basic and diluted:</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(8,358)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(6,214)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(18,688)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5"/>
              </w:rPr>
              <w:t>$ (11,125)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(18,195)</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(26,338)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(21,286)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(38,410)</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(440.52</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4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(649.30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Denominator—basic and diluted:</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Weighted-average common shares used to compute net loss per share—basic and diluted</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17,769,514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59,788</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11,155,525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59,156</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97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4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20" w:type="dxa"/>
            <w:vAlign w:val="bottom"/>
            <w:gridSpan w:val="4"/>
          </w:tcPr>
          <w:p>
            <w:pPr>
              <w:ind w:left="7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6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8,494,649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2,715,428</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1,787,581</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357,840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184,257</w:t>
            </w:r>
          </w:p>
        </w:tc>
        <w:tc>
          <w:tcPr>
            <w:tcW w:w="100" w:type="dxa"/>
            <w:vAlign w:val="bottom"/>
            <w:shd w:val="clear" w:color="auto" w:fill="CCEEFF"/>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Restricted stock subject to future vesting</w:t>
            </w:r>
          </w:p>
        </w:tc>
        <w:tc>
          <w:tcPr>
            <w:tcW w:w="780" w:type="dxa"/>
            <w:vAlign w:val="bottom"/>
          </w:tcPr>
          <w:p>
            <w:pPr>
              <w:jc w:val="right"/>
              <w:spacing w:after="0"/>
              <w:rPr>
                <w:sz w:val="20"/>
                <w:szCs w:val="20"/>
                <w:color w:val="auto"/>
              </w:rPr>
            </w:pPr>
            <w:r>
              <w:rPr>
                <w:rFonts w:ascii="Arial" w:cs="Arial" w:eastAsia="Arial" w:hAnsi="Arial"/>
                <w:sz w:val="18"/>
                <w:szCs w:val="18"/>
                <w:color w:val="auto"/>
              </w:rPr>
              <w:t>11,612</w:t>
            </w:r>
          </w:p>
        </w:tc>
        <w:tc>
          <w:tcPr>
            <w:tcW w:w="36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Significant Agreements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Kyowa Hakko Kirin Co., Ltd. – </w:t>
      </w:r>
      <w:r>
        <w:rPr>
          <w:rFonts w:ascii="Arial" w:cs="Arial" w:eastAsia="Arial" w:hAnsi="Arial"/>
          <w:sz w:val="17"/>
          <w:szCs w:val="17"/>
          <w:color w:val="auto"/>
        </w:rPr>
        <w:t>On December 19, 2014 (the “Effective Date”), the Company entered into a license agreement (the “KHK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To the extent additional intellectual property is developed during the term of the agreement, KHK will receive a license to the intellectual property when and if available. KHK will conduct the development, regulatory approval filings, and commercialization activities of entinostat in Japan and Korea. KHK paid the Company $25.0 million upfront, which included a $7.5 million equity investment of 536,049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Unless terminated earlier in accordance with the terms of the agreement, it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purchase of the Series B-1 and the upfront payment of the license fee were accounted for separately. The Company allocated the amount of consideration related to Series B-1 equal to the fair value of the Series B-1 shares on the Effective Date based on a share price of $14.39 per share, which resulted in $7.7 million of proceeds allocated to the Series B-1 and the remaining consideration of $17.3 million allocated to the upfront license fee. The fair value of the Series B-1 of $14.39 per share was based on a 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19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The Company has concluded that this agreement is within the scope of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w:t>
      </w:r>
    </w:p>
    <w:p>
      <w:pPr>
        <w:spacing w:after="0" w:line="2" w:lineRule="exact"/>
        <w:rPr>
          <w:sz w:val="20"/>
          <w:szCs w:val="20"/>
          <w:color w:val="auto"/>
        </w:rPr>
      </w:pPr>
    </w:p>
    <w:p>
      <w:pPr>
        <w:ind w:right="100" w:firstLine="8"/>
        <w:spacing w:after="0" w:line="253"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will be allocated to the license unit of accounting. The arrangement consideration allocated to the license unit of accounting will be recognized as revenue ratably over the Company’s expected services period (currently expected to be through 2029) commencing on the date of the first delivery of the clinical trial materials.</w:t>
      </w:r>
    </w:p>
    <w:p>
      <w:pPr>
        <w:spacing w:after="0" w:line="19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June 2015, the Company began delivering clinical materials to KHK and commenced recognizing revenue from the upfront consideration of $17.3 million. For the three and six months ended June 30, 2016, the Company recognized $0.3 million and $0.6 million, respectively, of revenue associated with the KHK License Agreement. As of June 30, 2016, there was $16.1 million of deferred revenue related to the KHK License Agreement, which is classified as current or long-term in the condensed consolidated balance sheets.</w:t>
      </w:r>
    </w:p>
    <w:p>
      <w:pPr>
        <w:spacing w:after="0" w:line="183"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Eastern Cooperative Oncology Group </w:t>
      </w:r>
      <w:r>
        <w:rPr>
          <w:rFonts w:ascii="Arial" w:cs="Arial" w:eastAsia="Arial" w:hAnsi="Arial"/>
          <w:sz w:val="18"/>
          <w:szCs w:val="18"/>
          <w:color w:val="auto"/>
        </w:rPr>
        <w:t>– In March 2014, the Company entered into a clinical trial agreement (the “ECOG Agreement”) with Eastern</w:t>
      </w:r>
      <w:r>
        <w:rPr>
          <w:rFonts w:ascii="Arial" w:cs="Arial" w:eastAsia="Arial" w:hAnsi="Arial"/>
          <w:sz w:val="18"/>
          <w:szCs w:val="18"/>
          <w:b w:val="1"/>
          <w:bCs w:val="1"/>
          <w:color w:val="auto"/>
        </w:rPr>
        <w:t xml:space="preserve"> </w:t>
      </w:r>
      <w:r>
        <w:rPr>
          <w:rFonts w:ascii="Arial" w:cs="Arial" w:eastAsia="Arial" w:hAnsi="Arial"/>
          <w:sz w:val="18"/>
          <w:szCs w:val="18"/>
          <w:color w:val="auto"/>
        </w:rPr>
        <w:t>Cooperative Oncology Group, a contracting entity for the Eastern Cooperative Oncology Group—American College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Radiology Imaging Network Cancer Research Group (“ECOG-ACRIN”), that describes the parties’ obligations with respect to the National Cancer Institute (“NCI”)-sponsored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$0.8 million. As of June 30, 2016, the Company’s aggregate payment obligations under this agreement were approximately $21.4 million; and the Company’s remaining payment obligation is approximately $16.0 million over an estimated period of approximately five years.</w:t>
      </w:r>
    </w:p>
    <w:p>
      <w:pPr>
        <w:spacing w:after="0" w:line="19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5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Bayer Pharma AG (formerly known as Bayer Schering Pharma AG) </w:t>
      </w:r>
      <w:r>
        <w:rPr>
          <w:rFonts w:ascii="Arial" w:cs="Arial" w:eastAsia="Arial" w:hAnsi="Arial"/>
          <w:sz w:val="17"/>
          <w:szCs w:val="17"/>
          <w:color w:val="auto"/>
        </w:rPr>
        <w:t>– In March 2007, the Company entered into a license agreement (the “Bayer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Bayer AG (formerly known as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6"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IPO. Upon the closing of the IPO, the total number of shares of the Company’s common stock issuable upon exercise of the warrant was set at 357,840. Prior to the closing of the IPO, the warrant contained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$1.54 per share and expires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on March 8, 2016, using current assumptions just prior to the reclassification.</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4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total shares exercisable under the warrant, the fair value associated with the warrant and the Black-Scholes option-pricing model assumptions used to value the shares of common stock issuable pursuant to the warrant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Total Shares of</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Estimated</w:t>
            </w: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0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Risk-Free</w:t>
            </w: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Estimated</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of</w:t>
            </w:r>
          </w:p>
        </w:tc>
        <w:tc>
          <w:tcPr>
            <w:tcW w:w="10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Estimated</w:t>
            </w:r>
          </w:p>
        </w:tc>
        <w:tc>
          <w:tcPr>
            <w:tcW w:w="11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Issuable Under</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080" w:type="dxa"/>
            <w:vAlign w:val="bottom"/>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Dividend</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Life</w:t>
            </w: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Warrant</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the Warrant</w:t>
            </w:r>
          </w:p>
        </w:tc>
        <w:tc>
          <w:tcPr>
            <w:tcW w:w="100" w:type="dxa"/>
            <w:vAlign w:val="bottom"/>
          </w:tcPr>
          <w:p>
            <w:pPr>
              <w:spacing w:after="0"/>
              <w:rPr>
                <w:sz w:val="14"/>
                <w:szCs w:val="14"/>
                <w:color w:val="auto"/>
              </w:rPr>
            </w:pPr>
          </w:p>
        </w:tc>
        <w:tc>
          <w:tcPr>
            <w:tcW w:w="600" w:type="dxa"/>
            <w:vAlign w:val="bottom"/>
          </w:tcPr>
          <w:p>
            <w:pPr>
              <w:jc w:val="right"/>
              <w:ind w:right="199"/>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4"/>
                <w:szCs w:val="14"/>
                <w:color w:val="auto"/>
              </w:rPr>
            </w:pPr>
          </w:p>
        </w:tc>
        <w:tc>
          <w:tcPr>
            <w:tcW w:w="700" w:type="dxa"/>
            <w:vAlign w:val="bottom"/>
          </w:tcPr>
          <w:p>
            <w:pPr>
              <w:jc w:val="center"/>
              <w:ind w:right="239"/>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tcPr>
          <w:p>
            <w:pPr>
              <w:jc w:val="right"/>
              <w:ind w:right="239"/>
              <w:spacing w:after="0"/>
              <w:rPr>
                <w:sz w:val="20"/>
                <w:szCs w:val="20"/>
                <w:color w:val="auto"/>
              </w:rPr>
            </w:pPr>
            <w:r>
              <w:rPr>
                <w:rFonts w:ascii="Arial" w:cs="Arial" w:eastAsia="Arial" w:hAnsi="Arial"/>
                <w:sz w:val="14"/>
                <w:szCs w:val="14"/>
                <w:b w:val="1"/>
                <w:bCs w:val="1"/>
                <w:color w:val="auto"/>
              </w:rPr>
              <w:t>Volatility</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Rate</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Yield</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years)</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5"/>
          </w:tcPr>
          <w:p>
            <w:pPr>
              <w:ind w:left="200"/>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4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184,257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7.20</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74%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March 8, 2016</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357,840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79"/>
              <w:spacing w:after="0"/>
              <w:rPr>
                <w:sz w:val="20"/>
                <w:szCs w:val="20"/>
                <w:color w:val="auto"/>
              </w:rPr>
            </w:pPr>
            <w:r>
              <w:rPr>
                <w:rFonts w:ascii="Arial" w:cs="Arial" w:eastAsia="Arial" w:hAnsi="Arial"/>
                <w:sz w:val="18"/>
                <w:szCs w:val="18"/>
                <w:color w:val="auto"/>
              </w:rPr>
              <w:t>1.54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9"/>
              <w:spacing w:after="0"/>
              <w:rPr>
                <w:sz w:val="20"/>
                <w:szCs w:val="20"/>
                <w:color w:val="auto"/>
              </w:rPr>
            </w:pPr>
            <w:r>
              <w:rPr>
                <w:rFonts w:ascii="Arial" w:cs="Arial" w:eastAsia="Arial" w:hAnsi="Arial"/>
                <w:sz w:val="18"/>
                <w:szCs w:val="18"/>
                <w:color w:val="auto"/>
              </w:rPr>
              <w:t>13.55</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69%</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205"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that are accessible at the market date for identical unrestricted assets or liabilities.</w:t>
      </w:r>
    </w:p>
    <w:p>
      <w:pPr>
        <w:spacing w:after="0" w:line="117" w:lineRule="exact"/>
        <w:rPr>
          <w:sz w:val="20"/>
          <w:szCs w:val="20"/>
          <w:color w:val="auto"/>
        </w:rPr>
      </w:pPr>
    </w:p>
    <w:p>
      <w:pPr>
        <w:ind w:left="1380" w:right="260" w:hanging="904"/>
        <w:spacing w:after="0" w:line="264"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w w:val="99"/>
              </w:rPr>
              <w:t>Fair Value Measurements Using</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Quoted</w:t>
            </w:r>
          </w:p>
        </w:tc>
        <w:tc>
          <w:tcPr>
            <w:tcW w:w="10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Prices</w:t>
            </w: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 Active</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2015</w:t>
            </w:r>
          </w:p>
        </w:tc>
        <w:tc>
          <w:tcPr>
            <w:tcW w:w="4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23,154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13,946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63,310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63,310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86,464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77,256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gridSpan w:val="4"/>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ind w:left="340"/>
              <w:spacing w:after="0"/>
              <w:rPr>
                <w:sz w:val="20"/>
                <w:szCs w:val="20"/>
                <w:color w:val="auto"/>
              </w:rPr>
            </w:pPr>
            <w:r>
              <w:rPr>
                <w:rFonts w:ascii="Arial" w:cs="Arial" w:eastAsia="Arial" w:hAnsi="Arial"/>
                <w:sz w:val="18"/>
                <w:szCs w:val="18"/>
                <w:color w:val="auto"/>
              </w:rPr>
              <w:t>Common stock warrant liability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
        </w:trPr>
        <w:tc>
          <w:tcPr>
            <w:tcW w:w="61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June 30, 2016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13,641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12,938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703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6"/>
              </w:rPr>
              <w:t>111,016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111,016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3"/>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124,657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12,938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111,719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Cash equivalents of $12.9 million as of June 30, 2016 and $9.2 million as of December 31, 2015 consisted of money market funds and are classified within Level 1 of the fair value hierarchy because they are valued using quoted market prices in active markets. Cash equivalents of $0.7 million as of June 30, 2016 and $13.9 million as of December 31, 2015 consisted of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7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Short-term investments of $111.0 million as of June 30, 2016 and $63.3 million as of December 31, 2015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June 30, 2016,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three and six months ended June 30, 2016 and 2015; and as a result, the Company did not reclassify any amounts out of accumulated other comprehensive income for the same periods. The Company has a limited number of available-for-sale securities in insignificant loss positions as of June 30, 2016, which the Company does not intend to sell and has concluded it will not be required to sell before recovery of the amortized cost for the investment at maturity. The following table summarizes the available-for-sale securities: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December 31, 2015</w:t>
            </w:r>
          </w:p>
        </w:tc>
        <w:tc>
          <w:tcPr>
            <w:tcW w:w="46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28,980</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29,028</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34,302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34,282</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63,282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(20)</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June 30, 2016</w:t>
            </w:r>
          </w:p>
        </w:tc>
        <w:tc>
          <w:tcPr>
            <w:tcW w:w="502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67,987</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68,178</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42,837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42,838</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110,824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(12)</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 roll-forward of the recurring fair value measurements of the common stock warrant liability and the derivative liability categorized with Level 3 inputs is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5"/>
              </w:rPr>
              <w:t>Common Stock</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Derivative</w:t>
            </w: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Warrant Liability</w:t>
            </w:r>
          </w:p>
        </w:tc>
        <w:tc>
          <w:tcPr>
            <w:tcW w:w="1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Liability</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4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2015</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5"/>
              </w:rPr>
              <w:t>Common Stock</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Derivative</w:t>
            </w: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Warrant Liability</w:t>
            </w:r>
          </w:p>
        </w:tc>
        <w:tc>
          <w:tcPr>
            <w:tcW w:w="1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Liability</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4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Balance—June 30, 2016</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warrants was considered a Level 3 measurement. Upon the closing of the IPO, the warrant was reclassified to additional paid-in capital. See Note 5 for further discussion of the accounting for the Bayer common stock warrant as well as for a summary of the significant inputs and assumptions used to determine the fair value of the warrant.</w:t>
      </w:r>
    </w:p>
    <w:p>
      <w:pPr>
        <w:spacing w:after="0" w:line="17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derivative liability related to the contingent success fee owed under the term loans. Upon the completion of an IPO or upon the occurrence of certain change of control or liquidation events, the Company is required to pay a $0.2 million success fee. The Company had recorded the success fee as a derivative financial liability. The initial fair value of the derivative of $0.1 million had been recorded as a debt discount. The term loans were paid in full in October 2015; however, the liability for the success fee survived the repayment of the term loans. Upon completion of the IPO this is no longer accounted for as a derivative, and the success fee of $0.2 million that is payable in June 2018 is included in other long-term liabilities.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2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June 30, 2016</w:t>
            </w:r>
          </w:p>
        </w:tc>
        <w:tc>
          <w:tcPr>
            <w:tcW w:w="2140" w:type="dxa"/>
            <w:vAlign w:val="bottom"/>
            <w:gridSpan w:val="4"/>
          </w:tcPr>
          <w:p>
            <w:pPr>
              <w:ind w:left="880"/>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Prepaid insurance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on short-term investments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Prepaid clinical supplies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ind w:left="1380"/>
              <w:spacing w:after="0"/>
              <w:rPr>
                <w:sz w:val="20"/>
                <w:szCs w:val="20"/>
                <w:color w:val="auto"/>
              </w:rPr>
            </w:pPr>
            <w:r>
              <w:rPr>
                <w:rFonts w:ascii="Arial" w:cs="Arial" w:eastAsia="Arial" w:hAnsi="Arial"/>
                <w:sz w:val="18"/>
                <w:szCs w:val="18"/>
                <w:color w:val="auto"/>
              </w:rPr>
              <w:t>Total prepaid expenses and other current assets</w:t>
            </w: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88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ind w:left="46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52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June 30, 2016</w:t>
            </w:r>
          </w:p>
        </w:tc>
        <w:tc>
          <w:tcPr>
            <w:tcW w:w="2140" w:type="dxa"/>
            <w:vAlign w:val="bottom"/>
            <w:gridSpan w:val="4"/>
          </w:tcPr>
          <w:p>
            <w:pPr>
              <w:ind w:left="880"/>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costs</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costs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8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consisted of the following as of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Preferred</w:t>
            </w:r>
          </w:p>
        </w:tc>
        <w:tc>
          <w:tcPr>
            <w:tcW w:w="6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Issuance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0" w:type="dxa"/>
            <w:vAlign w:val="bottom"/>
          </w:tcPr>
          <w:p>
            <w:pPr>
              <w:spacing w:after="0"/>
              <w:rPr>
                <w:sz w:val="14"/>
                <w:szCs w:val="14"/>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Shares</w:t>
            </w:r>
          </w:p>
        </w:tc>
        <w:tc>
          <w:tcPr>
            <w:tcW w:w="6200" w:type="dxa"/>
            <w:vAlign w:val="bottom"/>
            <w:gridSpan w:val="2"/>
            <w:vMerge w:val="continue"/>
          </w:tcPr>
          <w:p>
            <w:pPr>
              <w:spacing w:after="0"/>
              <w:rPr>
                <w:sz w:val="12"/>
                <w:szCs w:val="12"/>
                <w:color w:val="auto"/>
              </w:rPr>
            </w:pPr>
          </w:p>
        </w:tc>
        <w:tc>
          <w:tcPr>
            <w:tcW w:w="11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Designated</w:t>
            </w:r>
          </w:p>
        </w:tc>
        <w:tc>
          <w:tcPr>
            <w:tcW w:w="6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and Outstanding</w:t>
            </w:r>
          </w:p>
        </w:tc>
        <w:tc>
          <w:tcPr>
            <w:tcW w:w="16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2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3,160,975</w:t>
            </w:r>
          </w:p>
        </w:tc>
        <w:tc>
          <w:tcPr>
            <w:tcW w:w="30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March 2013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2,801,745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48,032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3,382,113</w:t>
            </w:r>
          </w:p>
        </w:tc>
        <w:tc>
          <w:tcPr>
            <w:tcW w:w="6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March and August 2013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272,240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2,933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3,965,411</w:t>
            </w:r>
          </w:p>
        </w:tc>
        <w:tc>
          <w:tcPr>
            <w:tcW w:w="6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March, April, July, August and November 2013 and January 2015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3,568,020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96,348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Series C-1</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6,090,481</w:t>
            </w:r>
          </w:p>
        </w:tc>
        <w:tc>
          <w:tcPr>
            <w:tcW w:w="300" w:type="dxa"/>
            <w:vAlign w:val="bottom"/>
          </w:tcPr>
          <w:p>
            <w:pPr>
              <w:spacing w:after="0"/>
              <w:rPr>
                <w:sz w:val="18"/>
                <w:szCs w:val="18"/>
                <w:color w:val="auto"/>
              </w:rPr>
            </w:pPr>
          </w:p>
        </w:tc>
        <w:tc>
          <w:tcPr>
            <w:tcW w:w="6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June and August 2015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6,090,461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152,015</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319,113</w:t>
            </w: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spacing w:after="0"/>
              <w:rPr>
                <w:sz w:val="20"/>
                <w:szCs w:val="20"/>
                <w:color w:val="auto"/>
              </w:rPr>
            </w:pPr>
            <w:r>
              <w:rPr>
                <w:rFonts w:ascii="Arial" w:cs="Arial" w:eastAsia="Arial" w:hAnsi="Arial"/>
                <w:sz w:val="18"/>
                <w:szCs w:val="18"/>
                <w:color w:val="auto"/>
              </w:rPr>
              <w:t>Series A</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w w:val="87"/>
              </w:rPr>
              <w:t>3,512,194</w:t>
            </w:r>
          </w:p>
        </w:tc>
        <w:tc>
          <w:tcPr>
            <w:tcW w:w="300" w:type="dxa"/>
            <w:vAlign w:val="bottom"/>
          </w:tcPr>
          <w:p>
            <w:pPr>
              <w:spacing w:after="0" w:line="20" w:lineRule="exact"/>
              <w:rPr>
                <w:sz w:val="1"/>
                <w:szCs w:val="1"/>
                <w:color w:val="auto"/>
              </w:rPr>
            </w:pPr>
          </w:p>
        </w:tc>
        <w:tc>
          <w:tcPr>
            <w:tcW w:w="62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1"/>
              </w:rPr>
              <w:t>March and August 2013</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700,435</w:t>
            </w:r>
          </w:p>
        </w:tc>
        <w:tc>
          <w:tcPr>
            <w:tcW w:w="260" w:type="dxa"/>
            <w:vAlign w:val="bottom"/>
            <w:gridSpan w:val="2"/>
            <w:vMerge w:val="restart"/>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20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Upon the closing of the IPO, all of the outstanding shares of the Company’s convertible preferred stock were converted into 12,872,551 shares of its common stock. As of June 30, 2016, the Company does not have any convertible preferred stock issued or outstanding.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September 2015, the Company’s board of directors adopted its 2015 Omnibus Incentive Plan (“2015 Plan”), which was subsequently approved by its stockholders and became effective upon the closing of the IPO on March 8, 2016. The 2015 Plan replaces the 2007 Stock Plan (“2007 Plan”). The 2015 Plan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As of June 30, 2016, there were 1,752,111 shares available for issuance under the 2015 Plan.</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in the condensed consolidated statements of comprehensive loss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6"/>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2,490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2,969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During the six months ended June 30, 2016, the Company granted options to purchase 186,180 shares of its common stock to certain executives and employees. The grant date fair value of these options was $1.4 million, or $7.41 per share on a weighted-average basis, and will be recognized as compensation expense over the requisite service period of three to four years.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Upon the closing of the IPO in March 2016, the Company recorded $0.7 million of additional stock compensation expense related to certain options granted to two of the Company’s executives.</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 of June 30, 2016, there was $7.2 million of unrecognized compensation cost related to employee and non-employee unvested stock options and unvested restricted stock share-based compensation arrangements granted under the 2007 Plan, which is expected to be recognized over a weighted-average remaining service period of 2.7 years. Stock compensation costs have not been capitalized by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Transactions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June 2015, the Company hired a Chief Executive Officer who was also appointed as a member of the Board. This individual is also a managing director at MPM Asset Management, LLC, which holds an investment in the Company’s common stock.</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 June 2015, in conjunction with the Company’s Series C-1 convertible preferred stock financing (“Series C-1 financing”), the Company issued 1,130,740 shares of Series C-1 convertible preferred stock for total gross proceeds, including the conversion of $5.0 million in convertible unsecured promissory notes (“2014 Notes”) and a cash purchase price, of $12.7 million to existing stockholders of the Company; and in August 2015 in conjunction with the Series C-1 financing, the Company issued 474,628 shares of Series C-1 convertible preferred stock for total gross proceeds of $5.3 million to an existing stockholder of the Company.</w:t>
      </w:r>
    </w:p>
    <w:p>
      <w:pPr>
        <w:spacing w:after="0" w:line="188"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In September and October 2014, the Company issued $5.0 million of the 2014 Notes to stockholders of the Company. The 2014 Notes were converted into 465,563 shares of Series C-1 convertible preferred stock in June 2015, in connection with the Series C-1 financing. Interest expense related to the 2014 Notes held by these stockholders was $0.1 million for three and six months ended June 30, 2015,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related-party transactions recorded during the three and six months ended June 30,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(Deficit)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changes in convertible preferred stock and stockholders’ equity (deficit) for the six months ended June 30,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8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92"/>
              </w:rPr>
              <w:t>Series A</w:t>
            </w: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780" w:type="dxa"/>
            <w:vAlign w:val="bottom"/>
            <w:tcBorders>
              <w:right w:val="single" w:sz="8" w:color="auto"/>
            </w:tcBorders>
            <w:gridSpan w:val="5"/>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13"/>
                <w:szCs w:val="13"/>
                <w:color w:val="auto"/>
              </w:rPr>
            </w:pPr>
          </w:p>
        </w:tc>
        <w:tc>
          <w:tcPr>
            <w:tcW w:w="1380" w:type="dxa"/>
            <w:vAlign w:val="bottom"/>
            <w:gridSpan w:val="6"/>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3"/>
                <w:szCs w:val="13"/>
                <w:color w:val="auto"/>
              </w:rPr>
            </w:pPr>
          </w:p>
        </w:tc>
        <w:tc>
          <w:tcPr>
            <w:tcW w:w="1200" w:type="dxa"/>
            <w:vAlign w:val="bottom"/>
            <w:gridSpan w:val="3"/>
          </w:tcPr>
          <w:p>
            <w:pPr>
              <w:jc w:val="center"/>
              <w:ind w:left="182"/>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3"/>
                <w:szCs w:val="13"/>
                <w:color w:val="auto"/>
              </w:rPr>
            </w:pPr>
          </w:p>
        </w:tc>
        <w:tc>
          <w:tcPr>
            <w:tcW w:w="104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80" w:type="dxa"/>
            <w:vAlign w:val="bottom"/>
            <w:tcBorders>
              <w:right w:val="single" w:sz="8" w:color="auto"/>
            </w:tcBorders>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2"/>
                <w:szCs w:val="12"/>
                <w:color w:val="auto"/>
              </w:rPr>
            </w:pPr>
          </w:p>
        </w:tc>
        <w:tc>
          <w:tcPr>
            <w:tcW w:w="138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300" w:type="dxa"/>
            <w:vAlign w:val="bottom"/>
            <w:gridSpan w:val="4"/>
          </w:tcPr>
          <w:p>
            <w:pPr>
              <w:jc w:val="center"/>
              <w:ind w:left="282"/>
              <w:spacing w:after="0" w:line="149" w:lineRule="exact"/>
              <w:rPr>
                <w:sz w:val="20"/>
                <w:szCs w:val="20"/>
                <w:color w:val="auto"/>
              </w:rPr>
            </w:pPr>
            <w:r>
              <w:rPr>
                <w:rFonts w:ascii="Arial" w:cs="Arial" w:eastAsia="Arial" w:hAnsi="Arial"/>
                <w:sz w:val="14"/>
                <w:szCs w:val="14"/>
                <w:b w:val="1"/>
                <w:bCs w:val="1"/>
                <w:color w:val="auto"/>
                <w:w w:val="90"/>
              </w:rPr>
              <w:t>$0.0001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78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4"/>
              </w:rPr>
              <w:t>$0.001 Par Value</w:t>
            </w:r>
          </w:p>
        </w:tc>
        <w:tc>
          <w:tcPr>
            <w:tcW w:w="60" w:type="dxa"/>
            <w:vAlign w:val="bottom"/>
          </w:tcPr>
          <w:p>
            <w:pPr>
              <w:spacing w:after="0"/>
              <w:rPr>
                <w:sz w:val="14"/>
                <w:szCs w:val="14"/>
                <w:color w:val="auto"/>
              </w:rPr>
            </w:pPr>
          </w:p>
        </w:tc>
        <w:tc>
          <w:tcPr>
            <w:tcW w:w="13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4"/>
              </w:rPr>
              <w:t>$0.001 Par Value</w:t>
            </w:r>
          </w:p>
        </w:tc>
        <w:tc>
          <w:tcPr>
            <w:tcW w:w="100" w:type="dxa"/>
            <w:vAlign w:val="bottom"/>
          </w:tcPr>
          <w:p>
            <w:pPr>
              <w:spacing w:after="0"/>
              <w:rPr>
                <w:sz w:val="14"/>
                <w:szCs w:val="14"/>
                <w:color w:val="auto"/>
              </w:rPr>
            </w:pPr>
          </w:p>
        </w:tc>
        <w:tc>
          <w:tcPr>
            <w:tcW w:w="120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97"/>
              </w:rPr>
              <w:t>Par 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2"/>
                <w:szCs w:val="12"/>
                <w:color w:val="auto"/>
              </w:rPr>
            </w:pPr>
          </w:p>
        </w:tc>
        <w:tc>
          <w:tcPr>
            <w:tcW w:w="700" w:type="dxa"/>
            <w:vAlign w:val="bottom"/>
          </w:tcPr>
          <w:p>
            <w:pPr>
              <w:jc w:val="center"/>
              <w:ind w:left="168"/>
              <w:spacing w:after="0" w:line="142" w:lineRule="exact"/>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11"/>
          </w:tcPr>
          <w:p>
            <w:pPr>
              <w:jc w:val="right"/>
              <w:ind w:right="268"/>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2015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12,732,466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319,113</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700,435</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7,231</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85,440</w:t>
            </w:r>
          </w:p>
        </w:tc>
        <w:tc>
          <w:tcPr>
            <w:tcW w:w="42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548"/>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(259,675)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(252,415)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Accretion for convertible preferred</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tcPr>
          <w:p>
            <w:pPr>
              <w:ind w:left="160"/>
              <w:spacing w:after="0"/>
              <w:rPr>
                <w:sz w:val="20"/>
                <w:szCs w:val="20"/>
                <w:color w:val="auto"/>
              </w:rPr>
            </w:pPr>
            <w:r>
              <w:rPr>
                <w:rFonts w:ascii="Arial" w:cs="Arial" w:eastAsia="Arial" w:hAnsi="Arial"/>
                <w:sz w:val="16"/>
                <w:szCs w:val="16"/>
                <w:color w:val="auto"/>
              </w:rPr>
              <w:t>stock dividends</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2,598</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(1,452)</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(1,146)</w:t>
            </w: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IPO, net of offering</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costs of $7,186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4,809,475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50,527</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Conversion of preferred stock into</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(12,732,466)</w:t>
            </w:r>
          </w:p>
        </w:tc>
        <w:tc>
          <w:tcPr>
            <w:tcW w:w="10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7"/>
              </w:rPr>
              <w:t>(321,711)</w:t>
            </w:r>
          </w:p>
        </w:tc>
        <w:tc>
          <w:tcPr>
            <w:tcW w:w="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(700,435)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(7,231)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12,872,551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328,941</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321,711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common stock</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warrant liability</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4,551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Vesting of restricted stock</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3,072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w w:val="98"/>
              </w:rPr>
              <w:t>Stock-based compensation expense</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2,969</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Unrealized gain on short-term</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tcPr>
          <w:p>
            <w:pPr>
              <w:ind w:left="160"/>
              <w:spacing w:after="0"/>
              <w:rPr>
                <w:sz w:val="20"/>
                <w:szCs w:val="20"/>
                <w:color w:val="auto"/>
              </w:rPr>
            </w:pPr>
            <w:r>
              <w:rPr>
                <w:rFonts w:ascii="Arial" w:cs="Arial" w:eastAsia="Arial" w:hAnsi="Arial"/>
                <w:sz w:val="16"/>
                <w:szCs w:val="16"/>
                <w:color w:val="auto"/>
              </w:rPr>
              <w:t>investments</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fractional shares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resulting from reverse stock splits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(18,688)</w:t>
            </w: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(18,688)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June 30, 2016</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17,770,538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385,556</w:t>
            </w:r>
          </w:p>
        </w:tc>
        <w:tc>
          <w:tcPr>
            <w:tcW w:w="760" w:type="dxa"/>
            <w:vAlign w:val="bottom"/>
            <w:gridSpan w:val="2"/>
            <w:shd w:val="clear" w:color="auto" w:fill="CCEEFF"/>
          </w:tcPr>
          <w:p>
            <w:pPr>
              <w:jc w:val="right"/>
              <w:ind w:right="548"/>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192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(279,509)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Supplemental Cash Flow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86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Interest paid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407</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23,607</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2,598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and accrued interest into Series C-1 convertible preferred stock</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139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Reclassification of common stock warrant liability to additional paid-in capital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4,551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stock to common stock upon closing of initial public offering</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328,941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365"/>
        </w:trPr>
        <w:tc>
          <w:tcPr>
            <w:tcW w:w="8660" w:type="dxa"/>
            <w:vAlign w:val="bottom"/>
          </w:tcPr>
          <w:p>
            <w:pPr>
              <w:ind w:left="5620"/>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information should be read in conjunction with the unaudited condensed financial information and the notes thereto included in this Quarterly Report on Form 10-Q and the audited consolidated financial information for the year ended December 31, 2015 and the notes thereto included in the Prospectus that forms a part of our Registration Statement on Form S-1 (File No. 333-208861), which was filed with the SEC, pursuant to Rule 424 on March 3,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20" w:firstLine="456"/>
        <w:spacing w:after="0" w:line="287" w:lineRule="auto"/>
        <w:rPr>
          <w:sz w:val="20"/>
          <w:szCs w:val="20"/>
          <w:color w:val="auto"/>
        </w:rPr>
      </w:pPr>
      <w:r>
        <w:rPr>
          <w:rFonts w:ascii="Arial" w:cs="Arial" w:eastAsia="Arial" w:hAnsi="Arial"/>
          <w:sz w:val="16"/>
          <w:szCs w:val="16"/>
          <w:color w:val="auto"/>
        </w:rPr>
        <w:t>Syndax is a clinical stage biopharmaceutical company focused on developing an innovative pipeline of combination therapies in multiple cancer indications. Our lead product candidate, entinostat, which was granted Breakthrough Therapy designation by the U.S. Food and Drug Administration, or FDA, following positive results from our Phase 2b clinical trial, ENCORE 301. We are currently evaluating entinostat in combination</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with </w:t>
      </w:r>
      <w:r>
        <w:rPr>
          <w:rFonts w:ascii="Arial" w:cs="Arial" w:eastAsia="Arial" w:hAnsi="Arial"/>
          <w:sz w:val="17"/>
          <w:szCs w:val="17"/>
          <w:i w:val="1"/>
          <w:iCs w:val="1"/>
          <w:color w:val="auto"/>
        </w:rPr>
        <w:t>Keytruda</w:t>
      </w:r>
      <w:r>
        <w:rPr>
          <w:rFonts w:ascii="Arial" w:cs="Arial" w:eastAsia="Arial" w:hAnsi="Arial"/>
          <w:sz w:val="14"/>
          <w:szCs w:val="14"/>
          <w:color w:val="auto"/>
        </w:rPr>
        <w:t>®</w:t>
      </w:r>
      <w:r>
        <w:rPr>
          <w:rFonts w:ascii="Arial" w:cs="Arial" w:eastAsia="Arial" w:hAnsi="Arial"/>
          <w:sz w:val="17"/>
          <w:szCs w:val="17"/>
          <w:color w:val="auto"/>
        </w:rPr>
        <w:t xml:space="preserve"> (pembrolizumab) in a Phase 1b/2 clinical trial, ENCORE 601, for non-small cell lung cancer, or NSCLC, and melanoma. We expect to start the three Phase 2 cohorts of ENCORE 601, including patients with NSCLC or melanoma, in the third quarter of 2016. In June 2016, we initiated a Phase 1b/2 clinical trial, ENCORE 602, for entinostat in combination with atezolizumab in TNBC. In collaboration with Ares Trading S.A., a subsidiary of Merck KGaA, Darmstadt, Germany, or Merck KGaA, and Pfizer Inc., we plan to evaluate the safety, tolerability and preliminary efficacy of entinostat in combination with an investigational monoclonal antibody targeting PDL-1, avelumab, in a Phase 1b/2 clinical trial, ENCORE 603, of patients with ovarian cancer. We expect to initiate ENCORE 603 during the fourth quarter of 2016. We believe that, based on its mechanism of action, entinostat may have broad applications in additional tumor types, including head and neck, bladder and renal cell, which are immuno-responsive, or sensitive to immunotherapy. We are also developing entinostat for use in advanced hormone receptor positive, or HR+, and human epidermal growth factor receptor 2 negative, or HER2-, breast cancer in a Phase 3 clinical trial. Enrollment for E2112, our registrational Phase 3 clinical trial of entinostat plus Aromasin</w:t>
      </w:r>
      <w:r>
        <w:rPr>
          <w:rFonts w:ascii="Arial" w:cs="Arial" w:eastAsia="Arial" w:hAnsi="Arial"/>
          <w:sz w:val="14"/>
          <w:szCs w:val="14"/>
          <w:color w:val="auto"/>
        </w:rPr>
        <w:t>®</w:t>
      </w:r>
      <w:r>
        <w:rPr>
          <w:rFonts w:ascii="Arial" w:cs="Arial" w:eastAsia="Arial" w:hAnsi="Arial"/>
          <w:sz w:val="17"/>
          <w:szCs w:val="17"/>
          <w:color w:val="auto"/>
        </w:rPr>
        <w:t xml:space="preserve"> (exemestane tablets) in advanced HR+ and HER2- breast cancer has exceeded 50% and continues at an accelerated pace. The E2112 clinical trial is being conducted in collaboration with Eastern Cooperative Oncology Group-American College of Radiology Imaging Network Cancer Research Group, or ECOG, and the National Cancer Institute, or NCI, under a special protocol assessment with the FDA.</w:t>
      </w:r>
    </w:p>
    <w:p>
      <w:pPr>
        <w:spacing w:after="0" w:line="18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July 1, 2016, we expanded our pipeline by entering into a license agreement with UCB Biopharma Sprl, or UCB, under which UCB granted us a worldwide, sublicenseable, exclusive license to UCB6352, which we will refer to as SNDX-6352, an IND-ready anti-CSF-1R monoclonal antibody. Concurrently with the development of entinostat, we are also developing SNDX-6352 to potentially enhance the body’s immune response on tumors that have shown sensitivity to immunotherapy. We believe that SNDX-6352 has the potential to be used to treat a variety of cancer indications in combination with other oncology agents, including immune checkpoint inhibitors, radiation, chemotherapy and entinostat. We expect to begin the Phase 1 single ascending dose clinical trial with SNDX-6352 in healthy volunteers to determine safety and pharmacokinetics during the fourth quarter of 2016.</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February 24, 2016, we effected a 1-for-1.25 reverse stock split of our outstanding common stock and convertible preferred stock. Stockholders entitled to fractional shares as a result of the reverse stock split received a cash payment in lieu of receiving fractional shares. All of our historical share and per share information shown in the accompanying financial statements and related notes have been retroactively adjusted to give effect to this reverse stock split.</w:t>
      </w:r>
    </w:p>
    <w:p>
      <w:pPr>
        <w:spacing w:after="0" w:line="187"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In March 2016, we completed our initial public offering, or the IPO, whereby we sold 4,809,475 shares of common stock shares at the initial public offering price of $12.00 per share, which included 409,475 shares issued pursuant to the underwriters’ partial exercise of their over-allotment option to purchase additional shares of common stock. We received net proceeds of $50.5 million from the offering, after deducting underwriting discounts and commissions and other offering costs. Our shares trade on the Nasdaq Global Select Market under the symbol “SNDX.”</w:t>
      </w:r>
    </w:p>
    <w:p>
      <w:pPr>
        <w:spacing w:after="0" w:line="17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and we continue to incur significant research and development and other expenses related to our ongoing operations. As a result, we are not and have never been profitable and have incurred losses in each period since our inception in 2005. For the three and six months ended June 30, 2016, we reported a net loss of $8.4 million and $18.7 million, respectively. As of June 30, 2016, we had an accumulated deficit of $279.5 million, which included non-cash charges for stock-based compensation, preferred stock accretion and extinguishment charges. As of June 30, 2016, we had cash, cash equivalents and short-term investments of $125.5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Our revenues for the six months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ended June 30, 2016 and 2015 have been solely derived from our license agreement with Kyowa Hakko Kirin Co., Ltd., or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service period (currently expected to be through 2029) commencing on the date of the first delivery of the clinical trial materials, which occurred in June 2015. The balance of the upfront payment of $7.7 million was allocated to KHK’s purchase of shares of our Series B-1 convertible preferred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include:</w:t>
      </w:r>
    </w:p>
    <w:p>
      <w:pPr>
        <w:spacing w:after="0" w:line="131" w:lineRule="exact"/>
        <w:rPr>
          <w:sz w:val="20"/>
          <w:szCs w:val="20"/>
          <w:color w:val="auto"/>
        </w:rPr>
      </w:pPr>
    </w:p>
    <w:p>
      <w:pPr>
        <w:ind w:left="900" w:right="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employee-related expenses related to our research and development activities, including salaries, benefits, travel and stock-based compensation expenses;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Internal and external research and development costs are expensed as they are incurred. Costs for certain development activities, such as clinical trials, are recognized based on an evaluation of the progress to completion of specific tasks using data such as patient enrollment, clinical site activations or other information provided to us by our vendors. As we expand the clinical development of our product candidates, the amount of research and development expenses allocated to external spending will continue to grow, while we expect our internal spending to grow at a slower and more controlled pace.</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Conducting a significant amount of research and development is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seek to seek and develop our product candidates.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General and administrative expenses consist primarily of salaries and related benefits, including non-cash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legal services. We anticipate that our general and administrative expenses will increase in future periods, reflecting both increased costs in connection with the potential future commercialization of our product candidates, an expanding infrastructure and increased professional fees associated with being a public reporting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amounts borrowed under our term loan facility, capital leases and convertible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common stock warrant liability is associated with a warrant to purchase common stock issued in connection with a license agreement. The change in fair value consisted of the calculated change in value based upon the fair value of the underlying security at the end of each reporting period as calculated using the Black-Scholes option pricing model. Gains and losses arising from changes in fair value were recognized in other expense in the condensed consolidated statements of comprehensive loss. As of the closing of our IPO, the anti-dilution provision of the warrant expired and the warrant liability was reclassified to additional paid-in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7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Prospectus that forms part of our Registration Statement on Form S-1 (File No. 333-208861), which was filed with the SEC pursuant to Rule 424.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5"/>
              </w:rPr>
              <w:t>Three Months Ended June 30,</w:t>
            </w:r>
          </w:p>
        </w:tc>
        <w:tc>
          <w:tcPr>
            <w:tcW w:w="20" w:type="dxa"/>
            <w:vAlign w:val="bottom"/>
          </w:tcPr>
          <w:p>
            <w:pPr>
              <w:spacing w:after="0"/>
              <w:rPr>
                <w:sz w:val="14"/>
                <w:szCs w:val="14"/>
                <w:color w:val="auto"/>
              </w:rPr>
            </w:pP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  288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2,271</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3,860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3,288</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(480)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5,559</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3,380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(8,634)</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(5,542)</w:t>
            </w:r>
          </w:p>
        </w:tc>
        <w:tc>
          <w:tcPr>
            <w:tcW w:w="3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3,092</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598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948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ind w:right="1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(8,358</w:t>
            </w:r>
          </w:p>
        </w:tc>
        <w:tc>
          <w:tcPr>
            <w:tcW w:w="420" w:type="dxa"/>
            <w:vAlign w:val="bottom"/>
            <w:gridSpan w:val="2"/>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(6,214</w:t>
            </w:r>
          </w:p>
        </w:tc>
        <w:tc>
          <w:tcPr>
            <w:tcW w:w="3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$ 2,144</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For the three months ended June 30, 2016, we recognized license fees of $0.3 million under the KHK license agreement. During the three months ended June 30, 2105, we allocated $17.3 million of the KHK upfront payment to the license unit of accounting. The upfront payment is being recognized as revenue ratably over our expected service period (currently expected to be through 2029), commencing on the date of the first delivery of the clinical trial materials. In June 2015, we began delivering clinical supplies to KHK and commenced recognizing revenue.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For the three months ended June 30, 2016, our total research and development expenses increased $3.8 million, or 170%, to $6.1 million from $2.3 million for the comparable quarter in the prior year. This is the result of increased spending related to ENCORE 601 of $0.7 million, the commencement of ENCORE 602 of $0.3 million, increasing patient accrual costs related to the E2112 clinical trial of $1.5 million, CMC activities of $0.2 million, employee compensation expense of $0.7 million, facility costs of $0.1 million, legal and consulting expenses of $0.1 million and travel of $0.1 million. The increase in employee compensation costs was primarily due to on-boarding expenses related to 11 new employees of $0.5 million and restructuring costs of $0.2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Three Months Ended June 30,</w:t>
            </w:r>
          </w:p>
        </w:tc>
        <w:tc>
          <w:tcPr>
            <w:tcW w:w="1640" w:type="dxa"/>
            <w:vAlign w:val="bottom"/>
            <w:gridSpan w:val="4"/>
          </w:tcPr>
          <w:p>
            <w:pPr>
              <w:ind w:left="1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4,352</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1,404</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$ 2,948</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867</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912</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2,271</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$ 3,860</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For the three months ended June 30, 2016, our total general and administrative expenses decreased $0.5 million, or 15%, to $2.8 million, from $3.3 million for the comparable period in the prior year. The decrease in general and administrative expenses was primarily due to a decrease in employee compensation of $0.8 million, partially offset by increases in D&amp;O insurance and other costs related to being a public company of $0.3 million. The decrease in employee compensation was primarily due to $1.3 million of restructuring costs recorded in the second quarter of 2015. This decrease was partially offset by increases in salary expense of $0.1 million and non-cash charges related to stock-based compensation of $0.4 million during the second quarter of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the three months ended June 30, 2016, interest income (expense), net, increased $0.6 million from the comparable period in the prior year. The increase was primarily due to interest earned on our cash, cash equivalents and short-term investments, which increased as a result of the $50.5 million of net proceeds from our IPO in March 2016 and $79.6 million of net proceeds from our Series C-1 preferred stock financing during the second and third quarters of 2015. In addition, for the three months ended June 30, 2015, interest income (expense), net, included interest expense on the $5.0 million of convertible notes that were issued during the third quarter of 2014 as well as interest on the $9.0 million of term loans that were funded in December of 2014. There was no interest-bearing debt outstanding as of June 30, 2016 and December 31,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decrease in expense of $0.3 million in the change in fair value of common stock warrant liability for the three months ended June 30, 2016, compared to the comparable period in the prior year was due to the expiration of the anti-dilution provision contained in the Bayer warrant as a result of the closing of our IPO during the first quarter of 2016, upon which the warrant liability was reclassified to additional paid-in capital.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Six Months Ended June 30,</w:t>
            </w: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  593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10,917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3,994</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6,923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5,999</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1,081</w:t>
            </w:r>
          </w:p>
        </w:tc>
        <w:tc>
          <w:tcPr>
            <w:tcW w:w="3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17,997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9,993</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(17,387)</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(9,976)</w:t>
            </w:r>
          </w:p>
        </w:tc>
        <w:tc>
          <w:tcPr>
            <w:tcW w:w="3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7,411</w:t>
            </w:r>
          </w:p>
        </w:tc>
        <w:tc>
          <w:tcPr>
            <w:tcW w:w="38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(661)</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1,081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(1,703)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(1,149)</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(18,688</w:t>
            </w:r>
          </w:p>
        </w:tc>
        <w:tc>
          <w:tcPr>
            <w:tcW w:w="4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(11,125</w:t>
            </w:r>
          </w:p>
        </w:tc>
        <w:tc>
          <w:tcPr>
            <w:tcW w:w="3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$ 7,563</w:t>
            </w:r>
          </w:p>
        </w:tc>
        <w:tc>
          <w:tcPr>
            <w:tcW w:w="38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the six months ended June 30, 2016, we recognized license fees of $0.6 million derived under the KHK license agreement. During the three months ended June 30, 2105, we allocated $17.3 million of the KHK upfront payment to the license unit of accounting. The upfront payment is being recognized as revenue ratably over our expected service period (currently expected to be through 2029), commencing on the date of the first delivery of the clinical trial materials. In June 2015, we began delivering clinical supplies to KHK and commenced recognizing revenue.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For the six months ended June 30, 2016, our total research and development expenses increased $6.9 million, or 173%, to $10.9 million from $4.0 million for the comparable period in the prior year. This is the result of increased spending related to increasing patient accrual costs related to the E2112 clinical trial of $3.0 million, increased spending related to ENCORE 601 of $1.0 million, costs related to the commencement of ENCORE 602 of $0.9 million, CMC activities of $0.4 million, sponsored research activities of $0.2 million, employee compensation expense of $1.3 million, facility costs of $0.2 million, and travel of $0.1 million, slightly offset by a decrease in legal and consulting expenses of $0.1 million. The increase in employee compensation costs was primarily due to on-boarding expenses related to 11 new employees of $0.7 million, an increase in bonuses of $0.2 million, restructuring costs of $0.2 million, and non-cash charges related to stock-based compensation of $0.2 million.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4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5"/>
              </w:rPr>
              <w:t>Six Months Ended June 30,</w:t>
            </w:r>
          </w:p>
        </w:tc>
        <w:tc>
          <w:tcPr>
            <w:tcW w:w="180" w:type="dxa"/>
            <w:vAlign w:val="bottom"/>
          </w:tcPr>
          <w:p>
            <w:pPr>
              <w:spacing w:after="0"/>
              <w:rPr>
                <w:sz w:val="14"/>
                <w:szCs w:val="14"/>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5"/>
          </w:tcPr>
          <w:p>
            <w:pPr>
              <w:jc w:val="right"/>
              <w:ind w:right="9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2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2,353</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$ 5,423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3,141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1,641</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1,500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2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10,917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3,994</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$ 6,923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500" w:type="dxa"/>
            <w:vAlign w:val="bottom"/>
            <w:vMerge w:val="restart"/>
          </w:tcPr>
          <w:p>
            <w:pPr>
              <w:jc w:val="right"/>
              <w:ind w:right="1270"/>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For the six months ended June 30, 2016, our total general and administrative expenses increased $1.1 million, or 18%, to $7.1 million, from $6.0 million for the comparable period in the prior year. The increase in general and administrative expenses was primarily due to increases in employee compensation of $1.3 million, D&amp;O insurance and other costs related to being a public company of $0.5 million. These increases were partially offset by decreases in legal and consulting expenses of $0.7 million primarily due to lower patent legal costs and lower spending related to market research during the first six months of 2016 compared to the first six months of 2015. The increase in employee compensation of $1.3 million was due to non-cash charges related to stock-based compensation of $1.4 million, increased bonus expense of $0.2 million and increased salary expense of $0.2 million due to increased headcount. These increases were partially offset by a decrease in restructuring costs of $0.5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the six months ended June 30, 2016, interest income (expense), net, increased $1.1 million from the comparable period in the prior year. The increase was primarily due to interest earned on our cash, cash equivalents and short-term investments, which increased as a result of the $50.5 million of net proceeds from our IPO in March 2016 and $79.6 million of net proceeds from our Series C-1 preferred stock financings during the second and third quarters of 2015. For the six months ended June 30, 2015, interest income (expense), net, included interest expense on the $5.0 million of convertible notes that were issued during the third quarter of 2014 as well as interest on the $9.0 million of term loans that were funded in December of 2014. There was no interest-bearing debt outstanding as of June 30, 2016 and December 31,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increase in expense of $1.2 million in the change in fair value of common stock warrant liability for the six months ended June 30, 2016, compared to the comparable period in the prior year was due to the expiration of the anti-dilution provision contained in the Bayer warrant as a result of the closing of our IPO upon which the warrant liability was reclassified to additional paid-in capital. Just prior to the reclassification, the warrant was re-measured using current assumptions on that date, and the change in fair value was recorded in other expense.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March 2016, we completed our IPO whereby we sold 4,809,475 shares of our common stock at the price of $12.00 per share, resulting in total net proceeds of $50.5 million, after deducting underwriting discounts and commissions and offering expenses.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Since our inception and through June 30, 2016, our operations have been financed primarily by net proceeds from our IPO, sale of convertible preferred stock and convertible debt securities and proceeds from our license agreements. As of June 30, 2016, our cash, cash equivalents and short-term investments were $125.5 million. We believe that our existing cash, cash equivalents and short-term investments will be sufficient to fund our projected operating expenses and capital expenditure requirements for at least the next 12 months.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8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30" w:lineRule="exact"/>
        <w:rPr>
          <w:rFonts w:ascii="Arial" w:cs="Arial" w:eastAsia="Arial" w:hAnsi="Arial"/>
          <w:sz w:val="18"/>
          <w:szCs w:val="18"/>
          <w:color w:val="auto"/>
        </w:rPr>
      </w:pPr>
    </w:p>
    <w:p>
      <w:pPr>
        <w:ind w:left="900" w:right="58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2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42"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7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June 30, 2016, we had an accumulated deficit of $279.5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flows: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 provided by operating activities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(13,293)</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(47,761)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(36,698)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6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20" w:type="dxa"/>
            <w:vAlign w:val="bottom"/>
            <w:vMerge w:val="restart"/>
          </w:tcPr>
          <w:p>
            <w:pPr>
              <w:jc w:val="right"/>
              <w:ind w:right="205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117" w:lineRule="exact"/>
        <w:rPr>
          <w:sz w:val="20"/>
          <w:szCs w:val="20"/>
          <w:color w:val="auto"/>
        </w:rPr>
      </w:pPr>
    </w:p>
    <w:p>
      <w:pPr>
        <w:ind w:right="500" w:firstLine="456"/>
        <w:spacing w:after="0" w:line="291" w:lineRule="auto"/>
        <w:rPr>
          <w:sz w:val="20"/>
          <w:szCs w:val="20"/>
          <w:color w:val="auto"/>
        </w:rPr>
      </w:pPr>
      <w:r>
        <w:rPr>
          <w:rFonts w:ascii="Arial" w:cs="Arial" w:eastAsia="Arial" w:hAnsi="Arial"/>
          <w:sz w:val="16"/>
          <w:szCs w:val="16"/>
          <w:color w:val="auto"/>
        </w:rPr>
        <w:t>Net cash used in operating activities for the six months ended June 30, 2016 was $13.3 million compared to $7.0 million of net cash provided by operating activities for the six months ended June 30, 2015. The increase of $20.3 million in cash used in operating activities for the six months ended</w:t>
      </w:r>
    </w:p>
    <w:p>
      <w:pPr>
        <w:ind w:right="20"/>
        <w:spacing w:after="0" w:line="290" w:lineRule="auto"/>
        <w:rPr>
          <w:sz w:val="20"/>
          <w:szCs w:val="20"/>
          <w:color w:val="auto"/>
        </w:rPr>
      </w:pPr>
      <w:r>
        <w:rPr>
          <w:rFonts w:ascii="Arial" w:cs="Arial" w:eastAsia="Arial" w:hAnsi="Arial"/>
          <w:sz w:val="16"/>
          <w:szCs w:val="16"/>
          <w:color w:val="auto"/>
        </w:rPr>
        <w:t>June 30, 2016 was primarily due to a decrease in deferred revenue of $17.9 million, a decrease in accounts payable of $0.4 million, an increase in our net loss of $5.0 million (adjusted for non-cash items), slightly offset by an increase in accrued expenses and other liabilities of $2.9 million and a decrease in prepaid expenses and other assets of $0.1 million. The decrease in deferred revenue of $17.9 million was due to the proceeds we received during the first quarter of 2015 under the KHK license agreement related to the upfront license fee of $17.3 million, net of license fee revenue recognized during the first and second quarters of 2016. Our net loss for the six months ended June 30, 2016, adjusted for non-cash items such as stock-based compensation, change in fair value of derivative, change in fair value of warrants and amortization and accretion, was $13.9 million, compared to $8.9 million for six months ended June 30, 2015.</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investing activities for the six months ended June 30, 2016 was $47.8 million compared to net cash used in investing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$36.7 million for the six months ended June 30, 2015. The increase in cash used in investing activities of $11.1 million was primarily due to the purchases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short-term investments, net of sales and maturities, as a result of the $50.5 million of net proceeds received from our IPO in March 2016. During the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2015, we received proceeds from the KHK license and stock purchase agreements of $25.0 million and net proceeds from the Series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C-1 financing of $18.5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Net cash provided by financing activities for the six months ended June 30, 2016 was $52.3 million compared to $26.4 million for the months ended June 30, 2015. During the six months ended June 30, 2016, we received $52.3 million of proceeds from our IPO, net of underwriting discounts and commissions of $4.0 million and other direct costs of $1.4 million. During the six months ended June 30, 2015, we received the proceeds from the KHK license and stock purchase agreements, of which $7.7 million related to the issuance of the Series B-1 convertible preferred stock; and we received net proceeds from the Series C-1 financing of $18.5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Prospectus that forms a part of our Registration Statement on Form S-1 (File No. 333-208861), which was filed with the SEC pursuant to Rule 424 on March 3,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June 30, 2016, we had cash equivalents of $13.6 million, consisting of interest-bearing money market funds and highly rated corporate bonds and short-term investments of $111.0 million, consisting of commercial paper and highly rated corporate bonds. Our primary exposure to market risk is interest rate sensitivity, which is affected by changes in the general level of U.S. interest rates.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June 30, 2016, our management, with the participation of our principal executive officer and principal financial officer, evaluated the effectiveness of our disclosure controls and procedures (as defined in Rules 13a-15(e) and 15d-15(e) under the Exchange Act) and concluded based upon the evaluation described above that, as of June 30, 2016, our disclosure controls and procedures were effective.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2016. As a result, this Quarterly Report on Form 10-Q does not address whether there have been any changes in our internal control over financial reporting.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2016, we were not party to any legal or arbitration proceedings that may have, or have had in the recent past, material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six months ended June 30, 2016, we reported a net loss of $18.7 million. As of June 30, 2016, we had an accumulated deficit of $279.5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two product candidates, entinostat and SNDX-6352.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entinostat and any other product candidates we may develop.</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7" w:lineRule="exact"/>
        <w:rPr>
          <w:sz w:val="20"/>
          <w:szCs w:val="20"/>
          <w:color w:val="auto"/>
        </w:rPr>
      </w:pPr>
    </w:p>
    <w:p>
      <w:pPr>
        <w:jc w:val="both"/>
        <w:ind w:right="120"/>
        <w:spacing w:after="0" w:line="381" w:lineRule="auto"/>
        <w:rPr>
          <w:sz w:val="20"/>
          <w:szCs w:val="20"/>
          <w:color w:val="auto"/>
        </w:rPr>
      </w:pPr>
      <w:r>
        <w:rPr>
          <w:rFonts w:ascii="Arial" w:cs="Arial" w:eastAsia="Arial" w:hAnsi="Arial"/>
          <w:sz w:val="15"/>
          <w:szCs w:val="15"/>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entinostat or SNDX-6352 or develop new product candidates.</w:t>
      </w:r>
    </w:p>
    <w:p>
      <w:pPr>
        <w:spacing w:after="0" w:line="101"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w:t>
      </w:r>
    </w:p>
    <w:p>
      <w:pPr>
        <w:spacing w:after="0" w:line="323" w:lineRule="auto"/>
        <w:rPr>
          <w:sz w:val="20"/>
          <w:szCs w:val="20"/>
          <w:color w:val="auto"/>
        </w:rPr>
      </w:pPr>
      <w:r>
        <w:rPr>
          <w:rFonts w:ascii="Arial" w:cs="Arial" w:eastAsia="Arial" w:hAnsi="Arial"/>
          <w:sz w:val="16"/>
          <w:szCs w:val="16"/>
          <w:color w:val="auto"/>
        </w:rPr>
        <w:t>Unexpected circumstances may cause us to consume capital more rapidly than we currently anticipate. For example, we may discover that we need to conduct additional activities which exceed our current budget to achieve appropriate rates of patient enrollment, which would increase our development costs.</w:t>
      </w:r>
    </w:p>
    <w:p>
      <w:pPr>
        <w:spacing w:after="0" w:line="13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entinostat and SNDX-6352 and any future product candidates. Any efforts to secure additional financing may divert our management from our day-to-day activities, which may adversely affect our ability to develop and commercialize entinostat and SNDX-6352. In addition, we cannot guarantee that future financing will be available in sufficient amounts or on terms acceptable to us, if at all. If we do not raise additional capital when required or on acceptable terms, we may need to:</w:t>
      </w:r>
    </w:p>
    <w:p>
      <w:pPr>
        <w:spacing w:after="0" w:line="9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strategic alliances for entinostat on terms less favorable than might otherwise be available; or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30"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0"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April 30, 2016 and determined that on March 30, 2007 and August 21, 2015 ownership changes had occurred. We may have experienced an ownership change subsequent to April 30, 2016;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Entinostat and SNDX-6352 are currently our only product candidates. If we are unable to successfully complete clinical development of, obtain regulatory approval for and commercialize entinostat or SNDX-6352, our business prospects will be significantly harmed.</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Entinostat and SNDX-6352 are currently our only product candidates. Our financial success will depend substantially on our ability to effectively and profitably commercialize entinostat and SNDX-6352. In order to commercialize entinostat and SNDX-6352, we will be required to obtain regulatory approvals by establishing that each of them is sufficiently safe and effective. The clinical and commercial success of entinostat and SNDX-6352 will depend on a number of factors, including the following:</w:t>
      </w:r>
    </w:p>
    <w:p>
      <w:pPr>
        <w:spacing w:after="0" w:line="92" w:lineRule="exact"/>
        <w:rPr>
          <w:sz w:val="20"/>
          <w:szCs w:val="20"/>
          <w:color w:val="auto"/>
        </w:rPr>
      </w:pPr>
    </w:p>
    <w:p>
      <w:pPr>
        <w:ind w:left="900" w:right="5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commencement and completion of the planned Phase 1b/2 clinical trial of entinostat in combination with avelumab and the Phase 1 clinical trial of SNDX-6352;</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completion of the planned Phase 1b/2 clinical trials of entinostat in combination with </w:t>
      </w:r>
      <w:r>
        <w:rPr>
          <w:rFonts w:ascii="Arial" w:cs="Arial" w:eastAsia="Arial" w:hAnsi="Arial"/>
          <w:sz w:val="18"/>
          <w:szCs w:val="18"/>
          <w:i w:val="1"/>
          <w:iCs w:val="1"/>
          <w:color w:val="auto"/>
        </w:rPr>
        <w:t>Keytruda</w:t>
      </w:r>
      <w:r>
        <w:rPr>
          <w:rFonts w:ascii="Arial" w:cs="Arial" w:eastAsia="Arial" w:hAnsi="Arial"/>
          <w:sz w:val="15"/>
          <w:szCs w:val="15"/>
          <w:color w:val="auto"/>
        </w:rPr>
        <w:t>®</w:t>
      </w:r>
      <w:r>
        <w:rPr>
          <w:rFonts w:ascii="Arial" w:cs="Arial" w:eastAsia="Arial" w:hAnsi="Arial"/>
          <w:sz w:val="18"/>
          <w:szCs w:val="18"/>
          <w:color w:val="auto"/>
        </w:rPr>
        <w:t xml:space="preserve"> (pembrolizumab) and atezolizumab;</w:t>
      </w:r>
    </w:p>
    <w:p>
      <w:pPr>
        <w:spacing w:after="0" w:line="130"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patient enrollment and completion of the Phase 3 clinical trial in advanced hormone receptor, or HR+, breast cancer, which may be significantly slower than we currently anticipate and will depend substantially upon the satisfactory performance of the ECOG-ACRIN and the NCI and other third-party contractors for entinostat;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entinostat and SNDX-6352 for its proposed indications and the timely receipt of necessary marketing approvals from the FDA and foreign regulatory authorities;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of entinostat and SNDX-6352, and to develop, validate and maintain a commercially viable manufacturing process that is compliant with current Good Manufacturing Practices, or cGMP;</w:t>
      </w:r>
    </w:p>
    <w:p>
      <w:pPr>
        <w:spacing w:after="0" w:line="75"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availability of commercial supplies of therapeutics, including </w:t>
      </w:r>
      <w:r>
        <w:rPr>
          <w:rFonts w:ascii="Arial" w:cs="Arial" w:eastAsia="Arial" w:hAnsi="Arial"/>
          <w:sz w:val="18"/>
          <w:szCs w:val="18"/>
          <w:i w:val="1"/>
          <w:iCs w:val="1"/>
          <w:color w:val="auto"/>
        </w:rPr>
        <w:t>Aromasin</w:t>
      </w:r>
      <w:r>
        <w:rPr>
          <w:rFonts w:ascii="Arial" w:cs="Arial" w:eastAsia="Arial" w:hAnsi="Arial"/>
          <w:sz w:val="15"/>
          <w:szCs w:val="15"/>
          <w:color w:val="auto"/>
        </w:rPr>
        <w:t>®</w:t>
      </w:r>
      <w:r>
        <w:rPr>
          <w:rFonts w:ascii="Arial" w:cs="Arial" w:eastAsia="Arial" w:hAnsi="Arial"/>
          <w:sz w:val="18"/>
          <w:szCs w:val="18"/>
          <w:color w:val="auto"/>
        </w:rPr>
        <w:t xml:space="preserve"> (exemestane tablets) and </w:t>
      </w:r>
      <w:r>
        <w:rPr>
          <w:rFonts w:ascii="Arial" w:cs="Arial" w:eastAsia="Arial" w:hAnsi="Arial"/>
          <w:sz w:val="18"/>
          <w:szCs w:val="18"/>
          <w:i w:val="1"/>
          <w:iCs w:val="1"/>
          <w:color w:val="auto"/>
        </w:rPr>
        <w:t>Keytruda</w:t>
      </w:r>
      <w:r>
        <w:rPr>
          <w:rFonts w:ascii="Arial" w:cs="Arial" w:eastAsia="Arial" w:hAnsi="Arial"/>
          <w:sz w:val="18"/>
          <w:szCs w:val="18"/>
          <w:color w:val="auto"/>
        </w:rPr>
        <w:t>, and clinical supplies of investigational drugs, to support the development and marketing of the entinostat therapy as a component of a combination drug regimen for entinostat;</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entinostat and SNDX-6352.</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demonstrated the safety or the benefit of this combination in humans and we may be unable to establish a clinically meaningful benefit for patient without added toxicity.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breast cancer, this agreement does not guarantee any particular outcome with respect to regulatory review of the trial or any associated New Drug Application, or NDA, for entinostat.</w:t>
      </w:r>
    </w:p>
    <w:p>
      <w:pPr>
        <w:spacing w:after="0" w:line="18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The protocol for the pivotal Phase 3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was reviewed and agreed upon by the FDA under an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the Phase 3 clinical trial of entinostat in combination with Aromasin in advanced HR+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16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patients. The trial will measure two primary endpoints of progression-free survival, or PFS, and overall survival. Based on information received from ECOG-ACRIN to date, PFS data is expected no sooner than the second half of 2017 and overall survival data no sooner than the second half of 2019. If the Phase 3 clinical trial meets the PFS endpoint and the interim analysis of overall survival demonstrates a favorable trend, we expect to submit an NDA based on this data. However, if the trial does not meet the PFS endpoint, we will not be able to submit an NDA unless and until we receive data demonstrating that the primary endpoint for overall survival has been achieved. In addition, based on scientific advice from the European Medicines Agency, the current Phase 3 clinical trial is not likely to be sufficient to receive regulatory approval in Europe for entinostat to treat advanced HR+ breast cancer, and it is unclear whether we would be able to complete an alternate clinical trial that would be sufficient.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Despite the results reported in our Phase 2b clinical trial for entinostat in advanced estrogen receptor positive, or ER+, breast cancer, we do not know whether the Phase 3 clinical trial in advanced HR+ breast cancer will demonstrate adequate efficacy and safety to result in regulatory approval to market entinostat in any particular cancer indications or jurisdiction. Additionally, while we do not expect that there will be overlapping toxicities between entinostat and </w:t>
      </w:r>
      <w:r>
        <w:rPr>
          <w:rFonts w:ascii="Arial" w:cs="Arial" w:eastAsia="Arial" w:hAnsi="Arial"/>
          <w:sz w:val="17"/>
          <w:szCs w:val="17"/>
          <w:i w:val="1"/>
          <w:iCs w:val="1"/>
          <w:color w:val="auto"/>
        </w:rPr>
        <w:t>Aromasin</w:t>
      </w:r>
      <w:r>
        <w:rPr>
          <w:rFonts w:ascii="Arial" w:cs="Arial" w:eastAsia="Arial" w:hAnsi="Arial"/>
          <w:sz w:val="17"/>
          <w:szCs w:val="17"/>
          <w:color w:val="auto"/>
        </w:rPr>
        <w:t>, we cannot be certain that we will not observe these toxicities or unexpected side effects in the Phase 3 clinical trial.</w:t>
      </w:r>
    </w:p>
    <w:p>
      <w:pPr>
        <w:spacing w:after="0" w:line="17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7"/>
          <w:szCs w:val="17"/>
          <w:i w:val="1"/>
          <w:iCs w:val="1"/>
          <w:color w:val="auto"/>
        </w:rPr>
        <w:t>Faslodex</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(fulvestrant) and</w:t>
      </w:r>
      <w:r>
        <w:rPr>
          <w:rFonts w:ascii="Arial" w:cs="Arial" w:eastAsia="Arial" w:hAnsi="Arial"/>
          <w:sz w:val="17"/>
          <w:szCs w:val="17"/>
          <w:i w:val="1"/>
          <w:iCs w:val="1"/>
          <w:color w:val="auto"/>
        </w:rPr>
        <w:t xml:space="preserve"> Ibrance </w:t>
      </w:r>
      <w:r>
        <w:rPr>
          <w:rFonts w:ascii="Arial" w:cs="Arial" w:eastAsia="Arial" w:hAnsi="Arial"/>
          <w:sz w:val="17"/>
          <w:szCs w:val="17"/>
          <w:color w:val="auto"/>
        </w:rPr>
        <w:t>(palbociclib), patients enrolled in the Phase 3 clinical trial may be different than those enrolled in our previous Phase 2b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clinical trial in that they may have received </w:t>
      </w:r>
      <w:r>
        <w:rPr>
          <w:rFonts w:ascii="Arial" w:cs="Arial" w:eastAsia="Arial" w:hAnsi="Arial"/>
          <w:sz w:val="17"/>
          <w:szCs w:val="17"/>
          <w:i w:val="1"/>
          <w:iCs w:val="1"/>
          <w:color w:val="auto"/>
        </w:rPr>
        <w:t>Faslodex</w:t>
      </w:r>
      <w:r>
        <w:rPr>
          <w:rFonts w:ascii="Arial" w:cs="Arial" w:eastAsia="Arial" w:hAnsi="Arial"/>
          <w:sz w:val="17"/>
          <w:szCs w:val="17"/>
          <w:color w:val="auto"/>
        </w:rPr>
        <w:t xml:space="preserve"> and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78"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The failure of ECOG-ACRIN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0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We have entered into an arrangement with ECOG-ACRIN, pursuant to which it, with sponsorship and funding support by the NCI, is conducting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HER2- breast cancer patients. While we provide operational and logistical support for the trial, we have limited control of their activities. We cannot control whether or not ECOG-ACRIN will devote sufficient time and resources to the trial, including as a result of any reduction or delay in government funding or sponsorship of the activities of ECOG-ACRIN or the NCI. If ECOG-ACRIN does not successfully carry out its obligations and responsibilities or meet expected deadlines or if the quality or accuracy of the clinical data it obtains is compromised due to the failure to adhere to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66" w:lineRule="exact"/>
        <w:rPr>
          <w:sz w:val="20"/>
          <w:szCs w:val="20"/>
          <w:color w:val="auto"/>
        </w:rPr>
      </w:pPr>
    </w:p>
    <w:p>
      <w:pPr>
        <w:ind w:right="240" w:firstLine="456"/>
        <w:spacing w:after="0" w:line="270" w:lineRule="auto"/>
        <w:rPr>
          <w:sz w:val="20"/>
          <w:szCs w:val="20"/>
          <w:color w:val="auto"/>
        </w:rPr>
      </w:pPr>
      <w:r>
        <w:rPr>
          <w:rFonts w:ascii="Arial" w:cs="Arial" w:eastAsia="Arial" w:hAnsi="Arial"/>
          <w:sz w:val="17"/>
          <w:szCs w:val="17"/>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you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breast cancer, we will be delayed in commercializing entinostat, our development costs may increase and our business may be harmed.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The Phase 3 clinical trial of entinostat in combination with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in advanced HR+ breast cancer commenced in the second quarter of 2014, and ECOG-ACRIN expects to have PFS data from this trial no sooner than the second half of 2017. However, to date, ECOG-ACRIN’s enrollment of patients in this trial has been slower than expected. We do not know whether this trial will need to be restructured, or will be completed on schedule or at all. Our product development costs will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83" w:lineRule="exact"/>
        <w:rPr>
          <w:sz w:val="20"/>
          <w:szCs w:val="20"/>
          <w:color w:val="auto"/>
        </w:rPr>
      </w:pPr>
    </w:p>
    <w:p>
      <w:pPr>
        <w:ind w:left="5620" w:right="4020" w:hanging="5045"/>
        <w:spacing w:after="0" w:line="449" w:lineRule="auto"/>
        <w:tabs>
          <w:tab w:leader="none" w:pos="8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ECOG-ACRIN to timely identify and enroll patients in the Phase 3 clinical trial; 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deviations from the trial protocol by clinical trial sites and investigators or failure to conduct the trial in accordance with regulatory requirements;</w:t>
      </w:r>
    </w:p>
    <w:p>
      <w:pPr>
        <w:spacing w:after="0" w:line="15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perception about the relative efficacy of our product candidates versus other compounds in clinical development or commercially available;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immune-oncology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dependent on Merck &amp; Co., Inc., or Merck, Genentech Inc., or Genentech, Ares Trading S.A., or Merck KGaA, and Pfizer Inc., or Pfizer, and any future collaborators to perform satisfactorily under our agreements.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agreements with Merck, Genentech, Merck KGaA and Pfizer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6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actions of KHK and any other current or future sublicensees could adversely affect our business.</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commercial success depends upon our ability to develop, manufacture, market and sell SNDX-6352. In July 2016, we entered into a license agreement, or the UCB license agreement, with UCB pursuant to which we obtained a worldwide, sublicenseable, exclusive license to SNDX-6352, an IND-ready anti-CSF-1R monoclonal antibody. Under the UCB license agreement, we will be dependent on our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For example, under the UCB license agreement, UCB is required to transfer to us certain data and materials, provide limited technical assistance and certain transitional services, and manufacture and supply us with a preliminary supply of SNDX-6352, which we expect will assist us with the development, manufacture and commercialization of SNDX-6352. If UCB fails to provide such technology transfer or to supply us with sufficient quantities of SNDX-6352, our efforts to develop and commercialization SNDX-6352 may be delayed or may fail.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is terminated,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5"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75"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may, in the future,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entinostat and/or SNDX-6352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drug products.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Aromasin, Keytruda, atezolizumab, avelumab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187"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w:t>
      </w:r>
      <w:r>
        <w:rPr>
          <w:rFonts w:ascii="Arial" w:cs="Arial" w:eastAsia="Arial" w:hAnsi="Arial"/>
          <w:sz w:val="17"/>
          <w:szCs w:val="17"/>
          <w:i w:val="1"/>
          <w:iCs w:val="1"/>
          <w:color w:val="auto"/>
        </w:rPr>
        <w:t>Keytruda</w:t>
      </w:r>
      <w:r>
        <w:rPr>
          <w:rFonts w:ascii="Arial" w:cs="Arial" w:eastAsia="Arial" w:hAnsi="Arial"/>
          <w:sz w:val="17"/>
          <w:szCs w:val="17"/>
          <w:color w:val="auto"/>
        </w:rPr>
        <w:t>, atezolizumab, avelumab or other drugs that we are testing in combination with entinostat could adversely affect our ability to timely conduct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Phase 3 clinical trial in advanced HR+ breast cancer and the Phase 1b/2 clinical trials in NSCLC, melanoma, ovarian cancer and TNBC, and if entinostat receives regulatory approval, to commercialize entinostat for treatment of advanced HR+ breast cancer, NSCLC, melanoma, ovarian cancer or TNBC. A shortage of supply may also result in an increase, which could be significant, in our costs of procuring </w:t>
      </w:r>
      <w:r>
        <w:rPr>
          <w:rFonts w:ascii="Arial" w:cs="Arial" w:eastAsia="Arial" w:hAnsi="Arial"/>
          <w:sz w:val="17"/>
          <w:szCs w:val="17"/>
          <w:i w:val="1"/>
          <w:iCs w:val="1"/>
          <w:color w:val="auto"/>
        </w:rPr>
        <w:t>Aromasin</w:t>
      </w:r>
      <w:r>
        <w:rPr>
          <w:rFonts w:ascii="Arial" w:cs="Arial" w:eastAsia="Arial" w:hAnsi="Arial"/>
          <w:sz w:val="17"/>
          <w:szCs w:val="17"/>
          <w:color w:val="auto"/>
        </w:rPr>
        <w:t>.</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entinostat and SNDX-6352.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We have received breakthrough therapy designation for entinostat.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Entinostat when used in combination with </w:t>
      </w:r>
      <w:r>
        <w:rPr>
          <w:rFonts w:ascii="Arial" w:cs="Arial" w:eastAsia="Arial" w:hAnsi="Arial"/>
          <w:sz w:val="17"/>
          <w:szCs w:val="17"/>
          <w:i w:val="1"/>
          <w:iCs w:val="1"/>
          <w:color w:val="auto"/>
        </w:rPr>
        <w:t xml:space="preserve">Aromasin </w:t>
      </w:r>
      <w:r>
        <w:rPr>
          <w:rFonts w:ascii="Arial" w:cs="Arial" w:eastAsia="Arial" w:hAnsi="Arial"/>
          <w:sz w:val="17"/>
          <w:szCs w:val="17"/>
          <w:color w:val="auto"/>
        </w:rPr>
        <w:t>received a breakthrough therapy designation from the FDA based on the overall survival results from our completed Phase 2b clinical trial in</w:t>
      </w:r>
      <w:r>
        <w:rPr>
          <w:rFonts w:ascii="Arial" w:cs="Arial" w:eastAsia="Arial" w:hAnsi="Arial"/>
          <w:sz w:val="17"/>
          <w:szCs w:val="17"/>
          <w:i w:val="1"/>
          <w:iCs w:val="1"/>
          <w:color w:val="auto"/>
        </w:rPr>
        <w:t xml:space="preserve"> </w:t>
      </w:r>
      <w:r>
        <w:rPr>
          <w:rFonts w:ascii="Arial" w:cs="Arial" w:eastAsia="Arial" w:hAnsi="Arial"/>
          <w:sz w:val="17"/>
          <w:szCs w:val="17"/>
          <w:color w:val="auto"/>
        </w:rPr>
        <w:t>advanced HR+ breast cancer. The trial showed statistically significant improvements in PFS, the primary endpoint, and overall survival,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overall survival observed in our Phase 2b clinical trial, the FDA may rescind our breakthrough therapy designation.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6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do not lawfully promote our approved products, we may become subject to such litigation, which have a material adverse effect on our business, financial condition and results of operations.</w:t>
      </w:r>
    </w:p>
    <w:p>
      <w:pPr>
        <w:spacing w:after="0" w:line="188"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its regulatory approval, limit the commercial scope of its approved use, or result in significant negative consequences following any marketing approval.</w:t>
      </w:r>
    </w:p>
    <w:p>
      <w:pPr>
        <w:spacing w:after="0" w:line="124"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from the European Medicines Agency, the current Phase 3 clinical trial is likely to be insufficient to receive regulatory approval in Europe for entinostat to treat advanced HR+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The pharmacologic treatment of NSCLC, melanoma, ovarian cancer and TNBC patients includes chemotherapies and therapies targeting specific gene mutations. More recently, immune checkpoint inhibitors have been approved for NSCLC and melanoma and are under investigation for ovarian cancer and TNBC. There are currently no approved combination immuno-oncology therapies although numerous drugs are undergoing active clinical investigation. We believe that if entinostat in combination with either </w:t>
      </w:r>
      <w:r>
        <w:rPr>
          <w:rFonts w:ascii="Arial" w:cs="Arial" w:eastAsia="Arial" w:hAnsi="Arial"/>
          <w:sz w:val="18"/>
          <w:szCs w:val="18"/>
          <w:i w:val="1"/>
          <w:iCs w:val="1"/>
          <w:color w:val="auto"/>
        </w:rPr>
        <w:t>Keytruda</w:t>
      </w:r>
      <w:r>
        <w:rPr>
          <w:rFonts w:ascii="Arial" w:cs="Arial" w:eastAsia="Arial" w:hAnsi="Arial"/>
          <w:sz w:val="18"/>
          <w:szCs w:val="18"/>
          <w:color w:val="auto"/>
        </w:rPr>
        <w:t>, atezolizumab or avelumab were approved for the treatment of NSCLC, melanoma, TNBC or ovarian cancer, it would face competition from these standard-of-care approaches and other investigational drugs being tested in combination with any of these approaches.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If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were approved for treatment of advanced HR+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developed by Pfizer, </w:t>
      </w:r>
      <w:r>
        <w:rPr>
          <w:rFonts w:ascii="Arial" w:cs="Arial" w:eastAsia="Arial" w:hAnsi="Arial"/>
          <w:sz w:val="18"/>
          <w:szCs w:val="18"/>
          <w:i w:val="1"/>
          <w:iCs w:val="1"/>
          <w:color w:val="auto"/>
        </w:rPr>
        <w:t>Afinitor</w:t>
      </w:r>
      <w:r>
        <w:rPr>
          <w:rFonts w:ascii="Arial" w:cs="Arial" w:eastAsia="Arial" w:hAnsi="Arial"/>
          <w:sz w:val="18"/>
          <w:szCs w:val="18"/>
          <w:color w:val="auto"/>
        </w:rPr>
        <w:t>, developed by Novartis, and other therapies currently in Phase 3 clinical development such as abemaciclib, being developed by Eli Lilly and Company, and ribociclib and buparlisib, both of which are being developed by Novartis.</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acceptance of entinostat in combination with </w:t>
      </w:r>
      <w:r>
        <w:rPr>
          <w:rFonts w:ascii="Arial" w:cs="Arial" w:eastAsia="Arial" w:hAnsi="Arial"/>
          <w:sz w:val="18"/>
          <w:szCs w:val="18"/>
          <w:i w:val="1"/>
          <w:iCs w:val="1"/>
          <w:color w:val="auto"/>
        </w:rPr>
        <w:t>Aromasin, Keytruda</w:t>
      </w:r>
      <w:r>
        <w:rPr>
          <w:rFonts w:ascii="Arial" w:cs="Arial" w:eastAsia="Arial" w:hAnsi="Arial"/>
          <w:sz w:val="18"/>
          <w:szCs w:val="18"/>
          <w:color w:val="auto"/>
        </w:rPr>
        <w:t xml:space="preserve"> and other drugs by physicians and other healthcare providers.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24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ability to successfully commercialize entinostat,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Private payors often follow the Centers for Medicare and Medicaid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29"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Alternatively, we may rely on third parties to launch and market our drug candidates, if approved. We may have limited or no control over the sales, marketing and distribution activities of these third parties and our future revenue may depend on the success of these third parties. Additionally, if these third parties fail to comply with all applicable regulatory requirements, the FDA could take enforcement action that could jeopardize our ability to market the drug candidate.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26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181" w:lineRule="exact"/>
        <w:rPr>
          <w:sz w:val="20"/>
          <w:szCs w:val="20"/>
          <w:color w:val="auto"/>
        </w:rPr>
      </w:pPr>
    </w:p>
    <w:p>
      <w:pPr>
        <w:ind w:right="560" w:firstLine="456"/>
        <w:spacing w:after="0" w:line="302" w:lineRule="auto"/>
        <w:rPr>
          <w:sz w:val="20"/>
          <w:szCs w:val="20"/>
          <w:color w:val="auto"/>
        </w:rPr>
      </w:pPr>
      <w:r>
        <w:rPr>
          <w:rFonts w:ascii="Arial" w:cs="Arial" w:eastAsia="Arial" w:hAnsi="Arial"/>
          <w:sz w:val="16"/>
          <w:szCs w:val="16"/>
          <w:color w:val="auto"/>
        </w:rPr>
        <w:t>For example, President Obama signed into law the Patient Protection and Affordable Care Act, as amended by the Health Care and Education Reconciliation Act of 2010, or, collectively,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has extended the 2% reduction to 2024. In January 2013,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6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9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but are not limited to, the following:</w:t>
      </w:r>
    </w:p>
    <w:p>
      <w:pPr>
        <w:spacing w:after="0" w:line="94" w:lineRule="exact"/>
        <w:rPr>
          <w:sz w:val="20"/>
          <w:szCs w:val="20"/>
          <w:color w:val="auto"/>
        </w:rPr>
      </w:pPr>
    </w:p>
    <w:p>
      <w:pPr>
        <w:ind w:left="9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and their implementing regulations, or HIPAA, imposes civil and criminal liability for, among other things, knowingly and willfully executing a scheme to defraud any healthcare benefit program, knowingly and willfully embezzling or stealing from a health care benefit program, willfully obstructing a criminal investigation of a health care offense, knowingly and willfully making false statements relating to healthcare matters, or knowingly obtaining or disclosing individually identifiable health information maintained by a HIPAA-covered entity in a manner that is not authorized or permitted by HIPAA;</w:t>
      </w:r>
    </w:p>
    <w:p>
      <w:pPr>
        <w:spacing w:after="0" w:line="98"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88"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expires in 2017.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 Even if we submit the NDA before the expiration of U.S. Patent RE39,754 and are successful in obtaining an extension of the term of U.S. Patent RE39,754 based on FDA regulatory delays, such extension will only extend the term of RE39,754 for a few additional years (up to a maximum of five additional years for patent claims covering a new chemical entity).</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2029. After expiry of RE39,754 in 2017, a competitor may develop a competing polymorphic form other than based on polymorph B, which could compete with polymorph B.</w:t>
      </w:r>
    </w:p>
    <w:p>
      <w:pPr>
        <w:spacing w:after="0" w:line="1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portfolio we licensed from UCB includes patent applications with pending claims directed to the composition of matter of SNDX-6352 (a humanized, full-length IgG4 (kappa light chain) antibody with high affinity for the CSF-1 Receptor)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82"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93"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71"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225"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5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As of June 30, 2016, our executive officers, directors, holders of 5% or more of our capital stock and their respective affiliates beneficially own approximately 66.2% of our outstanding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0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76" w:lineRule="exact"/>
        <w:rPr>
          <w:sz w:val="20"/>
          <w:szCs w:val="20"/>
          <w:color w:val="auto"/>
        </w:rPr>
      </w:pPr>
    </w:p>
    <w:p>
      <w:pPr>
        <w:ind w:left="900" w:right="1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75"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92"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29"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take advantage of these exemptions until we are no longer an “emerging growth company.” We would cease to be an “emerging growth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upon the earliest of: (i) the first fiscal year following the fifth anniversary of our IPO; (ii) the first fiscal year after our annual gross revenues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or more; (iii) the date on which we have, during the previous three-year period, issued more than $1.0 billion in non-convertible debt securities; or</w:t>
      </w:r>
    </w:p>
    <w:p>
      <w:pPr>
        <w:spacing w:after="0" w:line="32" w:lineRule="exact"/>
        <w:rPr>
          <w:sz w:val="20"/>
          <w:szCs w:val="20"/>
          <w:color w:val="auto"/>
        </w:rPr>
      </w:pPr>
    </w:p>
    <w:p>
      <w:pPr>
        <w:ind w:right="180" w:firstLine="8"/>
        <w:spacing w:after="0" w:line="261" w:lineRule="auto"/>
        <w:tabs>
          <w:tab w:leader="none" w:pos="3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the end of any fiscal year in which the market value of our common stock held by non-affiliates exceeded $700 million as of the end of the second quarter of that fiscal year.</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7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needs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these rules and regulations have made it more difficult and more expensive for us to obtain director and officer liability insurance and we were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All of the stockholders who held shares of our capital stock prior to our IPO are subject to lock-up agreements with the underwriters of our IPO that restrict such stockholders’ ability to transfer shares of our common stock that they held prior to the consummation of our IPO. Such lockup agreements expire on August 30, 2016. Moreover, holders of an aggregate of 13,261,537 shares of our common stock and warrants to purchase shares of our common stock have rights, subject to certain conditions, to require us to file registration statements covering their shares or to include their shares in registration statements that we may file for ourselves or other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0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2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87" w:lineRule="exact"/>
        <w:rPr>
          <w:sz w:val="20"/>
          <w:szCs w:val="20"/>
          <w:color w:val="auto"/>
        </w:rPr>
      </w:pPr>
    </w:p>
    <w:p>
      <w:pPr>
        <w:ind w:left="900" w:right="5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3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During the six months ended June 30, 2016 and pursuant to our 2007 Stock Plan, we granted stock options to purchase up to an aggregate of 186,180 shares of our common stock to our employees at a weighted-average exercise price of $11.99 per share. The sales of these securities were deemed to be exempt from registration under either Rule 701 promulgated under the Securities Act of 1933, as amended (the “Securities Act”) as transactions pursuant to compensatory benefit plans or contracts relating to compensation as provided under Rule 701, or Section 4(a)(2) of the Securities Act, relative to transactions by an issuer not involving a public offering.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March 8, 2016, we closed our IPO and sold 4,400,000 shares of common stock at the initial public offering price of $12.00 per share. On March 11, 2016, we sold an additional 409,475 shares of our common stock at the initial public offering price of $12.00 per share as a result of the partial exercise by the underwriters of their option to purchase additional shares of common stock. We received net proceeds from the IPO of approximately $50.5 million, after deducting underwriting discounts, commissions and offering expenses. None of these expenses consisted of payments made by us to directors, officers or persons owning 10% or more of our common stock or to their associates, or to our affiliates.</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offer and sale of the shares in our IPO were registered pursuant to our Registration Statement on Form S-1 (File No. 333-208861), which was declared effective by the SEC on March 2, 2016. Morgan Stanley &amp; Co. LLC and Citigroup Global Markets Inc. acted as joint book-running managers for the offering, and JMP Securities LLC and Oppenheimer &amp; Co. Inc. acted as co-managers for the offering.</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March 3, 2016, pursuant to Rule 424. We invested the funds received in cash equivalents and other short-term investments in accordance with our investment policy. As of June 30, 2016, we have not used any of the proceeds from the IPO and as such, the entire amount of the net proceeds is included as cash, cash equivalents and short-term investments.</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right="300"/>
        <w:spacing w:after="0" w:line="449"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 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Briggs W.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Briggs W. Morrison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Allan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Allan Shaw</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780" w:type="dxa"/>
            <w:vAlign w:val="bottom"/>
            <w:gridSpan w:val="2"/>
          </w:tcPr>
          <w:p>
            <w:pPr>
              <w:ind w:left="2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72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94"/>
              </w:rPr>
              <w:t>Exhibit</w:t>
            </w:r>
          </w:p>
        </w:tc>
        <w:tc>
          <w:tcPr>
            <w:tcW w:w="30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280" w:type="dxa"/>
            <w:vAlign w:val="bottom"/>
          </w:tcPr>
          <w:p>
            <w:pPr>
              <w:spacing w:after="0"/>
              <w:rPr>
                <w:sz w:val="16"/>
                <w:szCs w:val="16"/>
                <w:color w:val="auto"/>
              </w:rPr>
            </w:pPr>
          </w:p>
        </w:tc>
        <w:tc>
          <w:tcPr>
            <w:tcW w:w="306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940" w:right="140" w:hanging="751"/>
        <w:spacing w:after="0" w:line="277" w:lineRule="auto"/>
        <w:tabs>
          <w:tab w:leader="none" w:pos="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the Company (incorporated herein by reference to Exhibit 3.1 to the Company’s Current Report on Form 8-K (File No. 001-37708), as filed with the SEC on March 8, 2016).</w:t>
      </w:r>
    </w:p>
    <w:p>
      <w:pPr>
        <w:spacing w:after="0" w:line="62" w:lineRule="exact"/>
        <w:rPr>
          <w:sz w:val="20"/>
          <w:szCs w:val="20"/>
          <w:color w:val="auto"/>
        </w:rPr>
      </w:pPr>
    </w:p>
    <w:p>
      <w:pPr>
        <w:ind w:left="940" w:right="60" w:hanging="751"/>
        <w:spacing w:after="0" w:line="277" w:lineRule="auto"/>
        <w:tabs>
          <w:tab w:leader="none" w:pos="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Company (incorporated herein by reference to Exhibit 3.1 to the Company’s Current Report on Form 8-K (File No. 001-37708), as filed with the SEC on March 8, 2016).</w:t>
      </w:r>
    </w:p>
    <w:p>
      <w:pPr>
        <w:spacing w:after="0" w:line="62" w:lineRule="exact"/>
        <w:rPr>
          <w:sz w:val="20"/>
          <w:szCs w:val="20"/>
          <w:color w:val="auto"/>
        </w:rPr>
      </w:pPr>
    </w:p>
    <w:p>
      <w:pPr>
        <w:ind w:left="940" w:right="40" w:hanging="751"/>
        <w:spacing w:after="0" w:line="277" w:lineRule="auto"/>
        <w:tabs>
          <w:tab w:leader="none" w:pos="9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Stock Certificate of the Company (incorporated herein by reference to Exhibit 4.1 to the Company’s Registration Statement on Form S-1/A (File No. 333-208861), as filed with the SEC on February 20, 2016).</w:t>
      </w:r>
    </w:p>
    <w:p>
      <w:pPr>
        <w:spacing w:after="0" w:line="62" w:lineRule="exact"/>
        <w:rPr>
          <w:sz w:val="20"/>
          <w:szCs w:val="20"/>
          <w:color w:val="auto"/>
        </w:rPr>
      </w:pPr>
    </w:p>
    <w:p>
      <w:pPr>
        <w:ind w:left="940" w:right="60" w:hanging="751"/>
        <w:spacing w:after="0" w:line="264" w:lineRule="auto"/>
        <w:tabs>
          <w:tab w:leader="none" w:pos="9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Warrant to purchase Common Stock issued pursuant to the Warrant Agreement by and between the Company and Bayer Schering Pharma AG, dated as of March 26, 2007 (incorporated herein by reference to Exhibit 4.2 to the Company’s Registration Statement on Form S-1 (File No. 333-208861), as filed with the SEC on January 4, 2016).</w:t>
      </w:r>
    </w:p>
    <w:p>
      <w:pPr>
        <w:spacing w:after="0" w:line="73"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w:t>
      </w:r>
      <w:r>
        <w:rPr>
          <w:sz w:val="20"/>
          <w:szCs w:val="20"/>
          <w:color w:val="auto"/>
        </w:rPr>
        <w:tab/>
      </w:r>
      <w:r>
        <w:rPr>
          <w:rFonts w:ascii="Arial" w:cs="Arial" w:eastAsia="Arial" w:hAnsi="Arial"/>
          <w:sz w:val="16"/>
          <w:szCs w:val="16"/>
          <w:color w:val="auto"/>
        </w:rPr>
        <w:t>Amendment No. 3 to Clinical Trial Agreement by and between the Company and ECOG-ACRIN Cancer Research Group, dated as of April 20,</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2016.</w:t>
      </w:r>
    </w:p>
    <w:p>
      <w:pPr>
        <w:spacing w:after="0" w:line="103"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10.2</w:t>
      </w:r>
      <w:r>
        <w:rPr>
          <w:rFonts w:ascii="Arial" w:cs="Arial" w:eastAsia="Arial" w:hAnsi="Arial"/>
          <w:sz w:val="11"/>
          <w:szCs w:val="11"/>
          <w:color w:val="auto"/>
        </w:rPr>
        <w:t>†</w:t>
      </w:r>
      <w:r>
        <w:rPr>
          <w:sz w:val="20"/>
          <w:szCs w:val="20"/>
          <w:color w:val="auto"/>
        </w:rPr>
        <w:tab/>
      </w:r>
      <w:r>
        <w:rPr>
          <w:rFonts w:ascii="Arial" w:cs="Arial" w:eastAsia="Arial" w:hAnsi="Arial"/>
          <w:sz w:val="16"/>
          <w:szCs w:val="16"/>
          <w:color w:val="auto"/>
        </w:rPr>
        <w:t>Amendment No. 4 to Clinical Trial Agreement by and between the Company and ECOG-ACRIN Cancer Research Group, dated as of April 20,</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2016.</w:t>
      </w:r>
    </w:p>
    <w:p>
      <w:pPr>
        <w:spacing w:after="0" w:line="103"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10.3</w:t>
      </w:r>
      <w:r>
        <w:rPr>
          <w:rFonts w:ascii="Arial" w:cs="Arial" w:eastAsia="Arial" w:hAnsi="Arial"/>
          <w:sz w:val="11"/>
          <w:szCs w:val="11"/>
          <w:color w:val="auto"/>
        </w:rPr>
        <w:t>†</w:t>
      </w:r>
      <w:r>
        <w:rPr>
          <w:sz w:val="20"/>
          <w:szCs w:val="20"/>
          <w:color w:val="auto"/>
        </w:rPr>
        <w:tab/>
      </w:r>
      <w:r>
        <w:rPr>
          <w:rFonts w:ascii="Arial" w:cs="Arial" w:eastAsia="Arial" w:hAnsi="Arial"/>
          <w:sz w:val="16"/>
          <w:szCs w:val="16"/>
          <w:color w:val="auto"/>
        </w:rPr>
        <w:t>Amendment No. 5 to Clinical Trial Agreement by and between the Company and ECOG-ACRIN Cancer Research Group, dated as of April 20,</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2016.</w:t>
      </w:r>
    </w:p>
    <w:p>
      <w:pPr>
        <w:spacing w:after="0" w:line="103"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10.4</w:t>
      </w:r>
      <w:r>
        <w:rPr>
          <w:rFonts w:ascii="Arial" w:cs="Arial" w:eastAsia="Arial" w:hAnsi="Arial"/>
          <w:sz w:val="11"/>
          <w:szCs w:val="11"/>
          <w:color w:val="auto"/>
        </w:rPr>
        <w:t>†</w:t>
      </w:r>
      <w:r>
        <w:rPr>
          <w:sz w:val="20"/>
          <w:szCs w:val="20"/>
          <w:color w:val="auto"/>
        </w:rPr>
        <w:tab/>
      </w:r>
      <w:r>
        <w:rPr>
          <w:rFonts w:ascii="Arial" w:cs="Arial" w:eastAsia="Arial" w:hAnsi="Arial"/>
          <w:sz w:val="16"/>
          <w:szCs w:val="16"/>
          <w:color w:val="auto"/>
        </w:rPr>
        <w:t>Amendment No. 6 to Clinical Trial Agreement by and between the Company and ECOG-ACRIN Cancer Research Group, dated as of April 25,</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2016.</w:t>
      </w:r>
    </w:p>
    <w:p>
      <w:pPr>
        <w:spacing w:after="0" w:line="103" w:lineRule="exact"/>
        <w:rPr>
          <w:sz w:val="20"/>
          <w:szCs w:val="20"/>
          <w:color w:val="auto"/>
        </w:rPr>
      </w:pPr>
    </w:p>
    <w:p>
      <w:pPr>
        <w:ind w:left="940" w:right="60" w:hanging="841"/>
        <w:spacing w:after="0" w:line="277" w:lineRule="auto"/>
        <w:tabs>
          <w:tab w:leader="none" w:pos="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Principal Executive Officer pursuant to Rules 13a-14(a) and 15d-14(a) promulgated under the Securities Exchange Act of 1934, as amended.</w:t>
      </w:r>
    </w:p>
    <w:p>
      <w:pPr>
        <w:spacing w:after="0" w:line="62" w:lineRule="exact"/>
        <w:rPr>
          <w:sz w:val="20"/>
          <w:szCs w:val="20"/>
          <w:color w:val="auto"/>
        </w:rPr>
      </w:pPr>
    </w:p>
    <w:p>
      <w:pPr>
        <w:ind w:left="940" w:right="100" w:hanging="841"/>
        <w:spacing w:after="0" w:line="277" w:lineRule="auto"/>
        <w:tabs>
          <w:tab w:leader="none" w:pos="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Principal Financial Officer pursuant to Rules 13a-14(a) and 15d-14(a) promulgated under the Securities Exchange Act of 1934, as amended.</w:t>
      </w:r>
    </w:p>
    <w:p>
      <w:pPr>
        <w:spacing w:after="0" w:line="62" w:lineRule="exact"/>
        <w:rPr>
          <w:sz w:val="20"/>
          <w:szCs w:val="20"/>
          <w:color w:val="auto"/>
        </w:rPr>
      </w:pPr>
    </w:p>
    <w:p>
      <w:pPr>
        <w:ind w:left="940" w:right="60" w:hanging="841"/>
        <w:spacing w:after="0" w:line="277" w:lineRule="auto"/>
        <w:tabs>
          <w:tab w:leader="none" w:pos="9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of Chief Executive Officer and Chief Financial Officer pursuant to 18 U.S.C. Section 1350, as adopted pursuant to Section 906 of the Sarbanes-Oxley Act of 2002.</w:t>
      </w:r>
    </w:p>
    <w:p>
      <w:pPr>
        <w:spacing w:after="0" w:line="62" w:lineRule="exact"/>
        <w:rPr>
          <w:sz w:val="20"/>
          <w:szCs w:val="20"/>
          <w:color w:val="auto"/>
        </w:rPr>
      </w:pPr>
    </w:p>
    <w:p>
      <w:pPr>
        <w:ind w:left="940" w:hanging="932"/>
        <w:spacing w:after="0" w:line="259"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June 30, 2016,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right="40" w:hanging="219"/>
        <w:spacing w:after="0" w:line="271" w:lineRule="auto"/>
        <w:tabs>
          <w:tab w:leader="none" w:pos="200" w:val="left"/>
        </w:tabs>
        <w:rPr>
          <w:sz w:val="20"/>
          <w:szCs w:val="20"/>
          <w:color w:val="auto"/>
        </w:rPr>
      </w:pPr>
      <w:r>
        <w:rPr>
          <w:rFonts w:ascii="Arial" w:cs="Arial" w:eastAsia="Arial" w:hAnsi="Arial"/>
          <w:sz w:val="17"/>
          <w:szCs w:val="17"/>
          <w:color w:val="auto"/>
        </w:rPr>
        <w:t>*</w:t>
        <w:tab/>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jc w:val="center"/>
        <w:ind w:left="5620" w:right="620" w:hanging="5612"/>
        <w:spacing w:after="0" w:line="433"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portions of this exhibit. These portions have been omitted and filed separately with the SEC. 53</w:t>
      </w:r>
    </w:p>
    <w:p>
      <w:pPr>
        <w:sectPr>
          <w:pgSz w:w="11900" w:h="16838" w:orient="portrait"/>
          <w:cols w:equalWidth="0" w:num="1">
            <w:col w:w="11360"/>
          </w:cols>
          <w:pgMar w:left="240" w:top="459"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firstLine="8"/>
        <w:spacing w:after="0" w:line="266" w:lineRule="auto"/>
        <w:tabs>
          <w:tab w:leader="none" w:pos="31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TRIAL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ECOG-ACRIN CANCER RESEARCH 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SYNDAX PHARMACEUTICALS, INC.</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Amendment No. 3 to Clinical Trial Agreement (the “Amendment” or “Amendment 3”) is entered into as of April 20, 2016 (the “Effective Date”), by and between ECOG-ACRIN Cancer Research Group, on behalf of itself and its member hospitals, institutions and physicians (the “Group,” “ECOG” or “ECOG-ACRIN”), and Syndax Pharmaceuticals, Inc. (“Company” or “Syndax”).</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pursuant to the Clinical Trial Agreement dated March 14, 2014 between the parties (“Agreement”), the parties agreed to certain terms specified therein for research services related to Group’s performance of the Study;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agree to increase the support for the Study as set forth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3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is added to Section 1.F of the Agreement:</w:t>
      </w:r>
    </w:p>
    <w:p>
      <w:pPr>
        <w:spacing w:after="0" w:line="117" w:lineRule="exact"/>
        <w:rPr>
          <w:rFonts w:ascii="Arial" w:cs="Arial" w:eastAsia="Arial" w:hAnsi="Arial"/>
          <w:sz w:val="18"/>
          <w:szCs w:val="18"/>
          <w:color w:val="auto"/>
        </w:rPr>
      </w:pPr>
    </w:p>
    <w:p>
      <w:pPr>
        <w:ind w:left="460" w:right="160"/>
        <w:spacing w:after="0" w:line="264" w:lineRule="auto"/>
        <w:rPr>
          <w:rFonts w:ascii="Arial" w:cs="Arial" w:eastAsia="Arial" w:hAnsi="Arial"/>
          <w:sz w:val="18"/>
          <w:szCs w:val="18"/>
          <w:color w:val="auto"/>
        </w:rPr>
      </w:pPr>
      <w:r>
        <w:rPr>
          <w:rFonts w:ascii="Arial" w:cs="Arial" w:eastAsia="Arial" w:hAnsi="Arial"/>
          <w:sz w:val="18"/>
          <w:szCs w:val="18"/>
          <w:color w:val="auto"/>
        </w:rPr>
        <w:t>The Company will provide financial support to the Group in the amount of $450,000 in order for the Group to perform activities provided by an additional *** for the Study through May 31, 2018. The maximum financial support for the Agreement is increased from $20,606,948 by $450,000 to $21,056,948.</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 B of the Agreement is deleted in its entirety and replaced by Exhibit B attached hereto.</w:t>
      </w:r>
    </w:p>
    <w:p>
      <w:pPr>
        <w:spacing w:after="0" w:line="130"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to the extent amended herein, all of the terms and conditions of the Agreement remain in full force and effect.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Capitalized terms herein that are not defined shall have the meaning ascribed to such terms in the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7" w:name="page58"/>
    <w:bookmarkEnd w:id="57"/>
    <w:p>
      <w:pPr>
        <w:ind w:left="460" w:right="4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Amendment may be executed in one or more counterparts, each of which shall be deemed an original, but all of which shall be considered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Amendment, as of the Effective Date, by proper persons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ECOG-ACRIN Cancer Research Group</w:t>
            </w:r>
          </w:p>
        </w:tc>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Syndax Pharmaceuticals, Inc.</w:t>
            </w:r>
          </w:p>
        </w:tc>
      </w:tr>
      <w:tr>
        <w:trPr>
          <w:trHeight w:val="432"/>
        </w:trPr>
        <w:tc>
          <w:tcPr>
            <w:tcW w:w="20" w:type="dxa"/>
            <w:vAlign w:val="bottom"/>
          </w:tcPr>
          <w:p>
            <w:pPr>
              <w:spacing w:after="0"/>
              <w:rPr>
                <w:sz w:val="24"/>
                <w:szCs w:val="24"/>
                <w:color w:val="auto"/>
              </w:rPr>
            </w:pP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L. Comis</w:t>
            </w:r>
          </w:p>
        </w:tc>
        <w:tc>
          <w:tcPr>
            <w:tcW w:w="920" w:type="dxa"/>
            <w:vAlign w:val="bottom"/>
          </w:tcPr>
          <w:p>
            <w:pPr>
              <w:spacing w:after="0"/>
              <w:rPr>
                <w:sz w:val="24"/>
                <w:szCs w:val="24"/>
                <w:color w:val="auto"/>
              </w:rPr>
            </w:pP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Allan Shaw</w:t>
            </w: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Name: Robert L. Comis, M.D</w:t>
            </w:r>
          </w:p>
        </w:tc>
        <w:tc>
          <w:tcPr>
            <w:tcW w:w="9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Name: Allan Shaw</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Title:  Group Co-Chair</w:t>
            </w:r>
          </w:p>
        </w:tc>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CFO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firstLine="8"/>
        <w:spacing w:after="0" w:line="255" w:lineRule="auto"/>
        <w:tabs>
          <w:tab w:leader="none" w:pos="31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4"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E2112 Budget &amp; Payment Schedule</w:t>
      </w:r>
    </w:p>
    <w:p>
      <w:pPr>
        <w:spacing w:after="0" w:line="25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Budget Details</w:t>
      </w:r>
    </w:p>
    <w:p>
      <w:pPr>
        <w:spacing w:after="0" w:line="13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Budget – Excluding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this project is $19,406,948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Budget –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1 is $1,200,000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Budget – Amendment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3 (*** Support) is $450,000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Invoicing and Payments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Company will make payments within *** of receipt of invoices from Group according to the Payment Schedule herein. Payments will be made to as set forth in Section 1.B of the Agreement as follows: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ECOG Research and Education Foundation,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Agent for ECOG-ACRIN Cancer Research Group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Donna Marinucci</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1818 Market Street, Suite 1100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Group will send invoices to the following address: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Jeannette Hasapidis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VP, Clinical Operations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Syndax Pharmaceuticals,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400 Totten Pond Road, Suite 110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Waltham, MA 02451</w:t>
      </w:r>
    </w:p>
    <w:p>
      <w:pPr>
        <w:spacing w:after="0" w:line="35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Excluding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firstLine="8"/>
        <w:spacing w:after="0" w:line="255" w:lineRule="auto"/>
        <w:tabs>
          <w:tab w:leader="none" w:pos="31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0" w:right="239" w:bottom="1440" w:gutter="0" w:footer="0" w:header="0"/>
        </w:sectPr>
      </w:pPr>
    </w:p>
    <w:bookmarkStart w:id="59" w:name="page60"/>
    <w:bookmarkEnd w:id="59"/>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Schedule —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3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firstLine="8"/>
        <w:spacing w:after="0" w:line="255" w:lineRule="auto"/>
        <w:tabs>
          <w:tab w:leader="none" w:pos="31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firstLine="8"/>
        <w:spacing w:after="0" w:line="266" w:lineRule="auto"/>
        <w:tabs>
          <w:tab w:leader="none" w:pos="31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TRIAL AGREEMENT E2112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ECOG-ACRIN CANCER RESEARCH 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SYNDAX PHARMACEUTICALS, INC.</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Amendment No. 4 (the “Amendment” or “Amendment 4”) to Clinical Trial E2112 entered into on March 14, 2014 (the “Agreement”) is entered into as of April 20, 2016 (the “Effective Date”), by and between ECOG-ACRIN Cancer Research Group, on behalf of itself and its member hospitals, institutions and physicians (the “Group,” “ECOG” or “ECOG-ACRIN”), and Syndax Pharmaceuticals, Inc. (“Company” or “Syndax”).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pursuant to the Agreement, the parties agreed to certain terms specified therein for research services related to Group’s performance of the Study;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agree to increase the support for the Study to cover budget support for *** services as set forth herein.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3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is added to Section 1.F of the Agreement:</w:t>
      </w:r>
    </w:p>
    <w:p>
      <w:pPr>
        <w:spacing w:after="0" w:line="117" w:lineRule="exact"/>
        <w:rPr>
          <w:rFonts w:ascii="Arial" w:cs="Arial" w:eastAsia="Arial" w:hAnsi="Arial"/>
          <w:sz w:val="18"/>
          <w:szCs w:val="18"/>
          <w:color w:val="auto"/>
        </w:rPr>
      </w:pPr>
    </w:p>
    <w:p>
      <w:pPr>
        <w:ind w:left="460" w:right="60"/>
        <w:spacing w:after="0" w:line="277" w:lineRule="auto"/>
        <w:rPr>
          <w:rFonts w:ascii="Arial" w:cs="Arial" w:eastAsia="Arial" w:hAnsi="Arial"/>
          <w:sz w:val="18"/>
          <w:szCs w:val="18"/>
          <w:color w:val="auto"/>
        </w:rPr>
      </w:pPr>
      <w:r>
        <w:rPr>
          <w:rFonts w:ascii="Arial" w:cs="Arial" w:eastAsia="Arial" w:hAnsi="Arial"/>
          <w:sz w:val="18"/>
          <w:szCs w:val="18"/>
          <w:color w:val="auto"/>
        </w:rPr>
        <w:t>The Company will provide financial support to the Group in the amount of $7,908 to perform Protocol and *** services in *** and ***. The maximum financial support for the Agreement is increased from $21,424,386 by $7,908 to $21,432,294.</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Exhibit B of the Agreement is deleted in its entirety and replaced by Exhibit B attached hereto.</w:t>
      </w:r>
    </w:p>
    <w:p>
      <w:pPr>
        <w:spacing w:after="0" w:line="130"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to the extent amended herein, all of the terms and conditions of the Agreement remain in full force and effect.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Capitalized terms herein that are not defined shall have the meaning ascribed to such terms in the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1" w:name="page62"/>
    <w:bookmarkEnd w:id="61"/>
    <w:p>
      <w:pPr>
        <w:ind w:left="460" w:right="4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may be executed in one or more counterparts, each of which shall be deemed an original, but all of which shall be considered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Amendment, as of the Effective Date, by proper persons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ECOG-ACRIN Cancer Research Group</w:t>
            </w:r>
          </w:p>
        </w:tc>
        <w:tc>
          <w:tcPr>
            <w:tcW w:w="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Syndax Pharmaceuticals, Inc.</w:t>
            </w:r>
          </w:p>
        </w:tc>
      </w:tr>
      <w:tr>
        <w:trPr>
          <w:trHeight w:val="432"/>
        </w:trPr>
        <w:tc>
          <w:tcPr>
            <w:tcW w:w="20" w:type="dxa"/>
            <w:vAlign w:val="bottom"/>
          </w:tcPr>
          <w:p>
            <w:pPr>
              <w:spacing w:after="0"/>
              <w:rPr>
                <w:sz w:val="24"/>
                <w:szCs w:val="24"/>
                <w:color w:val="auto"/>
              </w:rPr>
            </w:pPr>
          </w:p>
        </w:tc>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L. Comis</w:t>
            </w:r>
          </w:p>
        </w:tc>
        <w:tc>
          <w:tcPr>
            <w:tcW w:w="700" w:type="dxa"/>
            <w:vAlign w:val="bottom"/>
          </w:tcPr>
          <w:p>
            <w:pPr>
              <w:spacing w:after="0"/>
              <w:rPr>
                <w:sz w:val="24"/>
                <w:szCs w:val="24"/>
                <w:color w:val="auto"/>
              </w:rPr>
            </w:pPr>
          </w:p>
        </w:tc>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Allan Shaw</w:t>
            </w: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Name: Robert L. Comis, M.D.</w:t>
            </w:r>
          </w:p>
        </w:tc>
        <w:tc>
          <w:tcPr>
            <w:tcW w:w="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Name: Allan Shaw</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Title:  Group Co-Chair</w:t>
            </w:r>
          </w:p>
        </w:tc>
        <w:tc>
          <w:tcPr>
            <w:tcW w:w="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CFO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firstLine="8"/>
        <w:spacing w:after="0" w:line="255" w:lineRule="auto"/>
        <w:tabs>
          <w:tab w:leader="none" w:pos="31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4"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E2112 Budget &amp; Payment Schedule</w:t>
      </w:r>
    </w:p>
    <w:p>
      <w:pPr>
        <w:spacing w:after="0" w:line="25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Budget Details</w:t>
      </w:r>
    </w:p>
    <w:p>
      <w:pPr>
        <w:spacing w:after="0" w:line="13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Budget – Excluding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this project is $19,406,948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Budget –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1 is $1,200,000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Budget – Amendment 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3 (</w:t>
      </w:r>
      <w:r>
        <w:rPr>
          <w:rFonts w:ascii="Arial" w:cs="Arial" w:eastAsia="Arial" w:hAnsi="Arial"/>
          <w:sz w:val="18"/>
          <w:szCs w:val="18"/>
          <w:b w:val="1"/>
          <w:bCs w:val="1"/>
          <w:color w:val="auto"/>
        </w:rPr>
        <w:t>***</w:t>
      </w:r>
      <w:r>
        <w:rPr>
          <w:rFonts w:ascii="Arial" w:cs="Arial" w:eastAsia="Arial" w:hAnsi="Arial"/>
          <w:sz w:val="18"/>
          <w:szCs w:val="18"/>
          <w:color w:val="auto"/>
        </w:rPr>
        <w:t xml:space="preserve"> Support) is $450,000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3 (</w:t>
      </w:r>
      <w:r>
        <w:rPr>
          <w:rFonts w:ascii="Arial" w:cs="Arial" w:eastAsia="Arial" w:hAnsi="Arial"/>
          <w:sz w:val="18"/>
          <w:szCs w:val="18"/>
          <w:b w:val="1"/>
          <w:bCs w:val="1"/>
          <w:color w:val="auto"/>
        </w:rPr>
        <w:t>***</w:t>
      </w:r>
      <w:r>
        <w:rPr>
          <w:rFonts w:ascii="Arial" w:cs="Arial" w:eastAsia="Arial" w:hAnsi="Arial"/>
          <w:sz w:val="18"/>
          <w:szCs w:val="18"/>
          <w:color w:val="auto"/>
        </w:rPr>
        <w:t>) is $367,438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Budget – Amendment 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4 (</w:t>
      </w:r>
      <w:r>
        <w:rPr>
          <w:rFonts w:ascii="Arial" w:cs="Arial" w:eastAsia="Arial" w:hAnsi="Arial"/>
          <w:sz w:val="18"/>
          <w:szCs w:val="18"/>
          <w:b w:val="1"/>
          <w:bCs w:val="1"/>
          <w:color w:val="auto"/>
        </w:rPr>
        <w:t>***</w:t>
      </w:r>
      <w:r>
        <w:rPr>
          <w:rFonts w:ascii="Arial" w:cs="Arial" w:eastAsia="Arial" w:hAnsi="Arial"/>
          <w:sz w:val="18"/>
          <w:szCs w:val="18"/>
          <w:color w:val="auto"/>
        </w:rPr>
        <w:t xml:space="preserve"> Services) is $7,908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Invoicing and Payments</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Company will make payments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receipt of invoices from Group according to the Payment Schedule herein. Payments will be made to as set forth in Section 1.B of the Agreement as follows: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ECOG Research and Education Foundation,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Agent for ECOG-ACRIN Cancer Research Group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Donna Marinucci</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1818 Market Street, Suite 1100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Group will send invoices to the following address: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Jeannette Hasapidis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VP, Clinical Operations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Syndax Pharmaceuticals, Inc.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firstLine="8"/>
        <w:spacing w:after="0" w:line="255" w:lineRule="auto"/>
        <w:tabs>
          <w:tab w:leader="none" w:pos="31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0" w:right="23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400 Totten Pond Road, Suite 110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Waltham, MA 02451</w:t>
      </w:r>
    </w:p>
    <w:p>
      <w:pPr>
        <w:spacing w:after="0" w:line="35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Excluding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3 (***)</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3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firstLine="8"/>
        <w:spacing w:after="0" w:line="255" w:lineRule="auto"/>
        <w:tabs>
          <w:tab w:leader="none" w:pos="31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firstLine="8"/>
        <w:spacing w:after="0" w:line="266" w:lineRule="auto"/>
        <w:tabs>
          <w:tab w:leader="none" w:pos="31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TRIAL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ECOG-ACRIN CANCER RESEARCH 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SYNDAX PHARMACEUTICALS, INC.</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Amendment No. 5 to Clinical Trial Agreement (the “Amendment” or “Amendment 5”) is entered into as of April 20, 2016 (the “Effective Date”), by and between ECOG-ACRIN Cancer Research Group, on behalf of itself and its member hospitals, institutions and physicians (the “Group,” “ECOG” or “ECOG-ACRIN”), and Syndax Pharmaceuticals, Inc. (“Company” or “Syndax”).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pursuant to the Clinical Trial Agreement dated March 14, 2014 between the parties (“Agreement”), the parties agreed to certain terms specified therein for research services related to Group’s performance of the Study; 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WHEREAS, the parties agree to increase the support for the Study to cover budget support for third party </w:t>
      </w:r>
      <w:r>
        <w:rPr>
          <w:rFonts w:ascii="Arial" w:cs="Arial" w:eastAsia="Arial" w:hAnsi="Arial"/>
          <w:sz w:val="18"/>
          <w:szCs w:val="18"/>
          <w:b w:val="1"/>
          <w:bCs w:val="1"/>
          <w:color w:val="auto"/>
        </w:rPr>
        <w:t>***</w:t>
      </w:r>
      <w:r>
        <w:rPr>
          <w:rFonts w:ascii="Arial" w:cs="Arial" w:eastAsia="Arial" w:hAnsi="Arial"/>
          <w:sz w:val="18"/>
          <w:szCs w:val="18"/>
          <w:color w:val="auto"/>
        </w:rPr>
        <w:t xml:space="preserve"> services as set forth herein.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31"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is added to Section 1.F of the Agreement:</w:t>
      </w:r>
    </w:p>
    <w:p>
      <w:pPr>
        <w:spacing w:after="0" w:line="117" w:lineRule="exact"/>
        <w:rPr>
          <w:rFonts w:ascii="Arial" w:cs="Arial" w:eastAsia="Arial" w:hAnsi="Arial"/>
          <w:sz w:val="18"/>
          <w:szCs w:val="18"/>
          <w:color w:val="auto"/>
        </w:rPr>
      </w:pPr>
    </w:p>
    <w:p>
      <w:pPr>
        <w:ind w:left="460" w:right="20"/>
        <w:spacing w:after="0" w:line="264" w:lineRule="auto"/>
        <w:rPr>
          <w:rFonts w:ascii="Arial" w:cs="Arial" w:eastAsia="Arial" w:hAnsi="Arial"/>
          <w:sz w:val="18"/>
          <w:szCs w:val="18"/>
          <w:color w:val="auto"/>
        </w:rPr>
      </w:pPr>
      <w:r>
        <w:rPr>
          <w:rFonts w:ascii="Arial" w:cs="Arial" w:eastAsia="Arial" w:hAnsi="Arial"/>
          <w:sz w:val="18"/>
          <w:szCs w:val="18"/>
          <w:color w:val="auto"/>
        </w:rPr>
        <w:t>The Company will provide financial support to the Group in the amount of $30,121 to conduct an independent validation of the endpoint derivation and validation of the analysis software code for the Study. The maximum financial support for the Agreement is increased from $21,064,856 by $30,121 to $21,094,977.</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Exhibit B of the Agreement is deleted in its entirety and replaced by Exhibit B attached hereto.</w:t>
      </w:r>
    </w:p>
    <w:p>
      <w:pPr>
        <w:spacing w:after="0" w:line="130"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to the extent amended herein, all of the terms and conditions of the Agreement remain in full force and effect.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Capitalized terms herein that are not defined shall have the meaning ascribed to such terms in the Agreement.</w:t>
      </w:r>
    </w:p>
    <w:p>
      <w:pPr>
        <w:spacing w:after="0" w:line="130"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but all of which shall be considered one and the same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Amendment, as of the Effective Date, by proper persons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ECOG-ACRIN Cancer Research Group</w:t>
            </w:r>
          </w:p>
        </w:tc>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Syndax Pharmaceuticals, Inc.</w:t>
            </w:r>
          </w:p>
        </w:tc>
      </w:tr>
      <w:tr>
        <w:trPr>
          <w:trHeight w:val="432"/>
        </w:trPr>
        <w:tc>
          <w:tcPr>
            <w:tcW w:w="20" w:type="dxa"/>
            <w:vAlign w:val="bottom"/>
          </w:tcPr>
          <w:p>
            <w:pPr>
              <w:spacing w:after="0"/>
              <w:rPr>
                <w:sz w:val="24"/>
                <w:szCs w:val="24"/>
                <w:color w:val="auto"/>
              </w:rPr>
            </w:pP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L. Comis</w:t>
            </w:r>
          </w:p>
        </w:tc>
        <w:tc>
          <w:tcPr>
            <w:tcW w:w="920" w:type="dxa"/>
            <w:vAlign w:val="bottom"/>
          </w:tcPr>
          <w:p>
            <w:pPr>
              <w:spacing w:after="0"/>
              <w:rPr>
                <w:sz w:val="24"/>
                <w:szCs w:val="24"/>
                <w:color w:val="auto"/>
              </w:rPr>
            </w:pP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Allan Shaw</w:t>
            </w: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Name: Robert L. Comis, M.D.</w:t>
            </w:r>
          </w:p>
        </w:tc>
        <w:tc>
          <w:tcPr>
            <w:tcW w:w="9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Name: Allan Shaw</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Title:  Group Co-Chair</w:t>
            </w:r>
          </w:p>
        </w:tc>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CFO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firstLine="8"/>
        <w:spacing w:after="0" w:line="255" w:lineRule="auto"/>
        <w:tabs>
          <w:tab w:leader="none" w:pos="31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4"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E2112 Budget &amp; Payment Schedule</w:t>
      </w:r>
    </w:p>
    <w:p>
      <w:pPr>
        <w:spacing w:after="0" w:line="25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Budget Details</w:t>
      </w:r>
    </w:p>
    <w:p>
      <w:pPr>
        <w:spacing w:after="0" w:line="135"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Budget — Excluding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this project is $19,406,948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Budget —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1 is $1,200,000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Budget — Amendment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3 (*** Support) is $450,000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Budget — Amendment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4 (***) is $7,908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Budget — Amendment 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5 is $30,121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services being provided through Amendment 5 is limited to *** of *** services plus *** of Group ***.</w:t>
      </w:r>
    </w:p>
    <w:p>
      <w:pPr>
        <w:spacing w:after="0" w:line="37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Invoicing and Payments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Company will make payments within *** of receipt of invoices from Group according to the Payment Schedule herein. Payments will be made to as set forth in Section 1.B of the Agreement as follows: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ECOG Research and Education Foundation,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Agent for ECOG-ACRIN Cancer Research Group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Donna Marinucci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1818 Market Street, Suite 1100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firstLine="8"/>
        <w:spacing w:after="0" w:line="255" w:lineRule="auto"/>
        <w:tabs>
          <w:tab w:leader="none" w:pos="31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Group will send invoices to the following address: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Jeannette Hasapidis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VP, Clinical Operations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Syndax Pharmaceuticals,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400 Totten Pond Road, Suite 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Waltham, MA 02451</w:t>
      </w:r>
    </w:p>
    <w:p>
      <w:pPr>
        <w:spacing w:after="0" w:line="355"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—Excluding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3 (***)</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Amendment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firstLine="8"/>
        <w:spacing w:after="0" w:line="255" w:lineRule="auto"/>
        <w:tabs>
          <w:tab w:leader="none" w:pos="315"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ind w:firstLine="8"/>
        <w:spacing w:after="0" w:line="266" w:lineRule="auto"/>
        <w:tabs>
          <w:tab w:leader="none" w:pos="315"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6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TRIAL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ECOG-ACRIN CANCER RESEARCH 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SYNDAX PHARMACEUTICALS, INC.</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Amendment No. 6 to Clinical Trial Agreement (the “Amendment” or “Amendment 6”) is entered into as of April 25, 2016 (the “Effective Date”), by and between ECOG-ACRIN Cancer Research Group, on behalf of itself and its member hospitals, institutions and physicians (the “Group,” “ECOG” or “ECOG-ACRIN”), and Syndax Pharmaceuticals, Inc. (“Company” or “Syndax”).</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pursuant to the Clinical Trial Agreement dated March 14, 2014 between the parties (“Agreement”), the parties agreed to certain terms specified therein for research services related to Group’s performance of the Study; 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WHEREAS, the parties agree to increase the support for the Study to cover budget support for </w:t>
      </w:r>
      <w:r>
        <w:rPr>
          <w:rFonts w:ascii="Arial" w:cs="Arial" w:eastAsia="Arial" w:hAnsi="Arial"/>
          <w:sz w:val="18"/>
          <w:szCs w:val="18"/>
          <w:b w:val="1"/>
          <w:bCs w:val="1"/>
          <w:color w:val="auto"/>
        </w:rPr>
        <w:t>***</w:t>
      </w:r>
      <w:r>
        <w:rPr>
          <w:rFonts w:ascii="Arial" w:cs="Arial" w:eastAsia="Arial" w:hAnsi="Arial"/>
          <w:sz w:val="18"/>
          <w:szCs w:val="18"/>
          <w:color w:val="auto"/>
        </w:rPr>
        <w:t xml:space="preserve"> activities as set forth herein.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31"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following is added to Section 1.F of the Agreement:</w:t>
      </w:r>
    </w:p>
    <w:p>
      <w:pPr>
        <w:spacing w:after="0" w:line="117" w:lineRule="exact"/>
        <w:rPr>
          <w:rFonts w:ascii="Arial" w:cs="Arial" w:eastAsia="Arial" w:hAnsi="Arial"/>
          <w:sz w:val="18"/>
          <w:szCs w:val="18"/>
          <w:color w:val="auto"/>
        </w:rPr>
      </w:pPr>
    </w:p>
    <w:p>
      <w:pPr>
        <w:ind w:left="460" w:right="260"/>
        <w:spacing w:after="0" w:line="291" w:lineRule="auto"/>
        <w:rPr>
          <w:rFonts w:ascii="Arial" w:cs="Arial" w:eastAsia="Arial" w:hAnsi="Arial"/>
          <w:sz w:val="18"/>
          <w:szCs w:val="18"/>
          <w:color w:val="auto"/>
        </w:rPr>
      </w:pPr>
      <w:r>
        <w:rPr>
          <w:rFonts w:ascii="Arial" w:cs="Arial" w:eastAsia="Arial" w:hAnsi="Arial"/>
          <w:sz w:val="16"/>
          <w:szCs w:val="16"/>
          <w:color w:val="auto"/>
        </w:rPr>
        <w:t>The Company will provide financial support to the Group in the amount of $287,438 to provide *** activities for the Study as set forth in Exhibit C. The activities include per case payments to sites for patients who enroll in the *** study, Group *** project coordination and analysis by the Group</w:t>
      </w:r>
    </w:p>
    <w:p>
      <w:pPr>
        <w:ind w:left="460"/>
        <w:spacing w:after="0"/>
        <w:rPr>
          <w:rFonts w:ascii="Arial" w:cs="Arial" w:eastAsia="Arial" w:hAnsi="Arial"/>
          <w:sz w:val="18"/>
          <w:szCs w:val="18"/>
          <w:color w:val="auto"/>
        </w:rPr>
      </w:pPr>
      <w:r>
        <w:rPr>
          <w:rFonts w:ascii="Arial" w:cs="Arial" w:eastAsia="Arial" w:hAnsi="Arial"/>
          <w:sz w:val="18"/>
          <w:szCs w:val="18"/>
          <w:color w:val="auto"/>
        </w:rPr>
        <w:t>***. The maximum financial support for the Agreement is increased from $21,094,977 by $287,438 to $21,382,415.</w:t>
      </w:r>
    </w:p>
    <w:p>
      <w:pPr>
        <w:spacing w:after="0" w:line="116"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Exhibit B of the Agreement is deleted in its entirety and replaced by Exhibit B attached hereto.</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Exhibit C attached hereto is hereby added as Exhibit C of the Agreement thereto.</w:t>
      </w:r>
    </w:p>
    <w:p>
      <w:pPr>
        <w:spacing w:after="0" w:line="130"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to the extent amended herein, all of the terms and conditions of the Agreement remain in full force and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9" w:name="page70"/>
    <w:bookmarkEnd w:id="69"/>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Capitalized terms herein that are not defined shall have the meaning ascribed to such terms in the Agreement.</w:t>
      </w:r>
    </w:p>
    <w:p>
      <w:pPr>
        <w:spacing w:after="0" w:line="130" w:lineRule="exact"/>
        <w:rPr>
          <w:rFonts w:ascii="Arial" w:cs="Arial" w:eastAsia="Arial" w:hAnsi="Arial"/>
          <w:sz w:val="18"/>
          <w:szCs w:val="18"/>
          <w:color w:val="auto"/>
        </w:rPr>
      </w:pPr>
    </w:p>
    <w:p>
      <w:pPr>
        <w:ind w:left="452" w:right="40" w:hanging="452"/>
        <w:spacing w:after="0" w:line="277"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but all of which shall be considered one and the same instrument.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8" w:firstLine="8"/>
        <w:spacing w:after="0" w:line="255" w:lineRule="auto"/>
        <w:tabs>
          <w:tab w:leader="none" w:pos="307"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12"/>
          </w:cols>
          <w:pgMar w:left="248"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Amendment, as of the Effective Date, by proper persons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ECOG-ACRIN Cancer Research Group</w:t>
            </w:r>
          </w:p>
        </w:tc>
        <w:tc>
          <w:tcPr>
            <w:tcW w:w="5980" w:type="dxa"/>
            <w:vAlign w:val="bottom"/>
            <w:gridSpan w:val="2"/>
          </w:tcPr>
          <w:p>
            <w:pPr>
              <w:ind w:left="660"/>
              <w:spacing w:after="0"/>
              <w:rPr>
                <w:sz w:val="20"/>
                <w:szCs w:val="20"/>
                <w:color w:val="auto"/>
              </w:rPr>
            </w:pPr>
            <w:r>
              <w:rPr>
                <w:rFonts w:ascii="Arial" w:cs="Arial" w:eastAsia="Arial" w:hAnsi="Arial"/>
                <w:sz w:val="18"/>
                <w:szCs w:val="18"/>
                <w:color w:val="auto"/>
              </w:rPr>
              <w:t>Syndax Pharmaceuticals, Inc.</w:t>
            </w:r>
          </w:p>
        </w:tc>
      </w:tr>
      <w:tr>
        <w:trPr>
          <w:trHeight w:val="432"/>
        </w:trPr>
        <w:tc>
          <w:tcPr>
            <w:tcW w:w="20" w:type="dxa"/>
            <w:vAlign w:val="bottom"/>
          </w:tcPr>
          <w:p>
            <w:pPr>
              <w:spacing w:after="0"/>
              <w:rPr>
                <w:sz w:val="24"/>
                <w:szCs w:val="24"/>
                <w:color w:val="auto"/>
              </w:rPr>
            </w:pPr>
          </w:p>
        </w:tc>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L. Comis</w:t>
            </w:r>
          </w:p>
        </w:tc>
        <w:tc>
          <w:tcPr>
            <w:tcW w:w="660" w:type="dxa"/>
            <w:vAlign w:val="bottom"/>
          </w:tcPr>
          <w:p>
            <w:pPr>
              <w:spacing w:after="0"/>
              <w:rPr>
                <w:sz w:val="24"/>
                <w:szCs w:val="24"/>
                <w:color w:val="auto"/>
              </w:rPr>
            </w:pPr>
          </w:p>
        </w:tc>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Allan Shaw</w:t>
            </w:r>
          </w:p>
        </w:tc>
      </w:tr>
      <w:tr>
        <w:trPr>
          <w:trHeight w:val="209"/>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Name: Robert L. Comis, M.D.</w:t>
            </w:r>
          </w:p>
        </w:tc>
        <w:tc>
          <w:tcPr>
            <w:tcW w:w="6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Name: Allan Shaw</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Title:  Group Co-Chair</w:t>
            </w:r>
          </w:p>
        </w:tc>
        <w:tc>
          <w:tcPr>
            <w:tcW w:w="5980" w:type="dxa"/>
            <w:vAlign w:val="bottom"/>
            <w:gridSpan w:val="2"/>
          </w:tcPr>
          <w:p>
            <w:pPr>
              <w:ind w:left="660"/>
              <w:spacing w:after="0"/>
              <w:rPr>
                <w:sz w:val="20"/>
                <w:szCs w:val="20"/>
                <w:color w:val="auto"/>
              </w:rPr>
            </w:pPr>
            <w:r>
              <w:rPr>
                <w:rFonts w:ascii="Arial" w:cs="Arial" w:eastAsia="Arial" w:hAnsi="Arial"/>
                <w:sz w:val="18"/>
                <w:szCs w:val="18"/>
                <w:color w:val="auto"/>
              </w:rPr>
              <w:t>Title:  CFO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firstLine="8"/>
        <w:spacing w:after="0" w:line="255" w:lineRule="auto"/>
        <w:tabs>
          <w:tab w:leader="none" w:pos="315"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4"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E2112 Budget &amp; Payment Schedule</w:t>
      </w:r>
    </w:p>
    <w:p>
      <w:pPr>
        <w:spacing w:after="0" w:line="252"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Budget Details</w:t>
      </w:r>
    </w:p>
    <w:p>
      <w:pPr>
        <w:spacing w:after="0" w:line="135"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Budget – Excluding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this project is $19,406,948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Budget –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1 is $1,200,000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Budget – Amendment 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3 (</w:t>
      </w:r>
      <w:r>
        <w:rPr>
          <w:rFonts w:ascii="Arial" w:cs="Arial" w:eastAsia="Arial" w:hAnsi="Arial"/>
          <w:sz w:val="18"/>
          <w:szCs w:val="18"/>
          <w:b w:val="1"/>
          <w:bCs w:val="1"/>
          <w:color w:val="auto"/>
        </w:rPr>
        <w:t>***</w:t>
      </w:r>
      <w:r>
        <w:rPr>
          <w:rFonts w:ascii="Arial" w:cs="Arial" w:eastAsia="Arial" w:hAnsi="Arial"/>
          <w:sz w:val="18"/>
          <w:szCs w:val="18"/>
          <w:color w:val="auto"/>
        </w:rPr>
        <w:t xml:space="preserve"> Support) is $450,000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Budget – Amendment 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4 (</w:t>
      </w:r>
      <w:r>
        <w:rPr>
          <w:rFonts w:ascii="Arial" w:cs="Arial" w:eastAsia="Arial" w:hAnsi="Arial"/>
          <w:sz w:val="18"/>
          <w:szCs w:val="18"/>
          <w:b w:val="1"/>
          <w:bCs w:val="1"/>
          <w:color w:val="auto"/>
        </w:rPr>
        <w:t>***</w:t>
      </w:r>
      <w:r>
        <w:rPr>
          <w:rFonts w:ascii="Arial" w:cs="Arial" w:eastAsia="Arial" w:hAnsi="Arial"/>
          <w:sz w:val="18"/>
          <w:szCs w:val="18"/>
          <w:color w:val="auto"/>
        </w:rPr>
        <w:t>) is $7,908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Budget – Amendment 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5 is $30,121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320" w:hanging="312"/>
        <w:spacing w:after="0"/>
        <w:tabs>
          <w:tab w:leader="none" w:pos="32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 xml:space="preserve">services being provided through Amendment 5 is limited to </w:t>
      </w:r>
      <w:r>
        <w:rPr>
          <w:rFonts w:ascii="Arial" w:cs="Arial" w:eastAsia="Arial" w:hAnsi="Arial"/>
          <w:sz w:val="18"/>
          <w:szCs w:val="18"/>
          <w:b w:val="1"/>
          <w:bCs w:val="1"/>
          <w:color w:val="auto"/>
        </w:rPr>
        <w:t>***</w:t>
      </w:r>
      <w:r>
        <w:rPr>
          <w:rFonts w:ascii="Arial" w:cs="Arial" w:eastAsia="Arial" w:hAnsi="Arial"/>
          <w:sz w:val="18"/>
          <w:szCs w:val="18"/>
          <w:color w:val="auto"/>
        </w:rPr>
        <w:t xml:space="preserve"> of </w:t>
      </w:r>
      <w:r>
        <w:rPr>
          <w:rFonts w:ascii="Arial" w:cs="Arial" w:eastAsia="Arial" w:hAnsi="Arial"/>
          <w:sz w:val="18"/>
          <w:szCs w:val="18"/>
          <w:b w:val="1"/>
          <w:bCs w:val="1"/>
          <w:color w:val="auto"/>
        </w:rPr>
        <w:t>***</w:t>
      </w:r>
      <w:r>
        <w:rPr>
          <w:rFonts w:ascii="Arial" w:cs="Arial" w:eastAsia="Arial" w:hAnsi="Arial"/>
          <w:sz w:val="18"/>
          <w:szCs w:val="18"/>
          <w:color w:val="auto"/>
        </w:rPr>
        <w:t xml:space="preserve"> services plus </w:t>
      </w:r>
      <w:r>
        <w:rPr>
          <w:rFonts w:ascii="Arial" w:cs="Arial" w:eastAsia="Arial" w:hAnsi="Arial"/>
          <w:sz w:val="18"/>
          <w:szCs w:val="18"/>
          <w:b w:val="1"/>
          <w:bCs w:val="1"/>
          <w:color w:val="auto"/>
        </w:rPr>
        <w:t>***</w:t>
      </w:r>
      <w:r>
        <w:rPr>
          <w:rFonts w:ascii="Arial" w:cs="Arial" w:eastAsia="Arial" w:hAnsi="Arial"/>
          <w:sz w:val="18"/>
          <w:szCs w:val="18"/>
          <w:color w:val="auto"/>
        </w:rPr>
        <w:t xml:space="preserve"> of Group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378"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Budget – Amendment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6 is $287,438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Invoicing and Payments</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Company will make payments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receipt of invoices from Group according to the Payment Schedule herein. Payments will be made to as set forth in Section 1.B of the Agreement as follows: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firstLine="8"/>
        <w:spacing w:after="0" w:line="255" w:lineRule="auto"/>
        <w:tabs>
          <w:tab w:leader="none" w:pos="315"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0" w:right="239" w:bottom="1440" w:gutter="0" w:footer="0" w:header="0"/>
        </w:sectPr>
      </w:pPr>
    </w:p>
    <w:bookmarkStart w:id="72" w:name="page73"/>
    <w:bookmarkEnd w:id="7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ECOG Research and Education Foundation,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Agent for ECOG-ACRIN Cancer Research Group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Donna Marinucci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1818 Market Street, Suite 1100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Group will send invoices to the following address: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Jeannette Hasapidis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VP, Clinical Operations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Syndax Pharmaceuticals,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400 Totten Pond Road, Suite 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Waltham, MA 02451</w:t>
      </w:r>
    </w:p>
    <w:p>
      <w:pPr>
        <w:spacing w:after="0" w:line="355"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Excluding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3 (***)</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firstLine="8"/>
        <w:spacing w:after="0" w:line="255" w:lineRule="auto"/>
        <w:tabs>
          <w:tab w:leader="none" w:pos="315"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4" w:right="239" w:bottom="1440" w:gutter="0" w:footer="0" w:header="0"/>
        </w:sectPr>
      </w:pPr>
    </w:p>
    <w:bookmarkStart w:id="73" w:name="page74"/>
    <w:bookmarkEnd w:id="7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E2112 Scope of Work — Amendment 6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Protocol Title: </w:t>
      </w:r>
      <w:r>
        <w:rPr>
          <w:rFonts w:ascii="Arial" w:cs="Arial" w:eastAsia="Arial" w:hAnsi="Arial"/>
          <w:sz w:val="18"/>
          <w:szCs w:val="18"/>
          <w:color w:val="auto"/>
        </w:rPr>
        <w:t>A Randomized Phase III Trial of Endocrine Therapy plus Entinostat/Placebo in Patients with Hormone Receptor-Positive Advanced Breast</w:t>
      </w:r>
      <w:r>
        <w:rPr>
          <w:rFonts w:ascii="Arial" w:cs="Arial" w:eastAsia="Arial" w:hAnsi="Arial"/>
          <w:sz w:val="18"/>
          <w:szCs w:val="18"/>
          <w:b w:val="1"/>
          <w:bCs w:val="1"/>
          <w:color w:val="auto"/>
        </w:rPr>
        <w:t xml:space="preserve"> </w:t>
      </w:r>
      <w:r>
        <w:rPr>
          <w:rFonts w:ascii="Arial" w:cs="Arial" w:eastAsia="Arial" w:hAnsi="Arial"/>
          <w:sz w:val="18"/>
          <w:szCs w:val="18"/>
          <w:color w:val="auto"/>
        </w:rPr>
        <w:t>Cancer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firstLine="8"/>
        <w:spacing w:after="0" w:line="255" w:lineRule="auto"/>
        <w:tabs>
          <w:tab w:leader="none" w:pos="315"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TWO PAGES OF MATERIAL THAT WERE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200"/>
          </w:cols>
          <w:pgMar w:left="240" w:top="270" w:right="4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certify that:</w:t>
      </w:r>
    </w:p>
    <w:p>
      <w:pPr>
        <w:spacing w:after="0" w:line="225" w:lineRule="exact"/>
        <w:rPr>
          <w:sz w:val="20"/>
          <w:szCs w:val="20"/>
          <w:color w:val="auto"/>
        </w:rPr>
      </w:pPr>
    </w:p>
    <w:p>
      <w:pPr>
        <w:ind w:left="640" w:hanging="17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464"/>
        <w:spacing w:after="0" w:line="277" w:lineRule="auto"/>
        <w:tabs>
          <w:tab w:leader="none" w:pos="6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5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60" w:firstLine="443"/>
        <w:spacing w:after="0" w:line="264" w:lineRule="auto"/>
        <w:tabs>
          <w:tab w:leader="none" w:pos="114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15, 2016</w:t>
      </w:r>
      <w:r>
        <w:rPr>
          <w:sz w:val="20"/>
          <w:szCs w:val="20"/>
          <w:color w:val="auto"/>
        </w:rPr>
        <w:tab/>
      </w:r>
      <w:r>
        <w:rPr>
          <w:rFonts w:ascii="Arial" w:cs="Arial" w:eastAsia="Arial" w:hAnsi="Arial"/>
          <w:sz w:val="17"/>
          <w:szCs w:val="17"/>
          <w:color w:val="auto"/>
        </w:rPr>
        <w:t>By:  /s/ Briggs W.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Briggs W. Morrison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Allan Shaw, certify that:</w:t>
      </w:r>
    </w:p>
    <w:p>
      <w:pPr>
        <w:spacing w:after="0" w:line="225" w:lineRule="exact"/>
        <w:rPr>
          <w:sz w:val="20"/>
          <w:szCs w:val="20"/>
          <w:color w:val="auto"/>
        </w:rPr>
      </w:pPr>
    </w:p>
    <w:p>
      <w:pPr>
        <w:ind w:left="640" w:hanging="17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464"/>
        <w:spacing w:after="0" w:line="277" w:lineRule="auto"/>
        <w:tabs>
          <w:tab w:leader="none" w:pos="6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5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60" w:firstLine="443"/>
        <w:spacing w:after="0" w:line="264" w:lineRule="auto"/>
        <w:tabs>
          <w:tab w:leader="none" w:pos="114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15, 2016</w:t>
      </w:r>
      <w:r>
        <w:rPr>
          <w:sz w:val="20"/>
          <w:szCs w:val="20"/>
          <w:color w:val="auto"/>
        </w:rPr>
        <w:tab/>
      </w:r>
      <w:r>
        <w:rPr>
          <w:rFonts w:ascii="Arial" w:cs="Arial" w:eastAsia="Arial" w:hAnsi="Arial"/>
          <w:sz w:val="17"/>
          <w:szCs w:val="17"/>
          <w:color w:val="auto"/>
        </w:rPr>
        <w:t>By:  /s/ Allan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Allan Shaw</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June 30, 2016,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720" w:hanging="25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August 15, 2016</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w:t>
            </w:r>
          </w:p>
        </w:tc>
      </w:tr>
      <w:tr>
        <w:trPr>
          <w:trHeight w:val="209"/>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Briggs W. Morrison</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6"/>
        </w:trPr>
        <w:tc>
          <w:tcPr>
            <w:tcW w:w="3800" w:type="dxa"/>
            <w:vAlign w:val="bottom"/>
          </w:tcPr>
          <w:p>
            <w:pPr>
              <w:spacing w:after="0"/>
              <w:rPr>
                <w:sz w:val="20"/>
                <w:szCs w:val="20"/>
                <w:color w:val="auto"/>
              </w:rPr>
            </w:pPr>
            <w:r>
              <w:rPr>
                <w:rFonts w:ascii="Arial" w:cs="Arial" w:eastAsia="Arial" w:hAnsi="Arial"/>
                <w:sz w:val="18"/>
                <w:szCs w:val="18"/>
                <w:color w:val="auto"/>
              </w:rPr>
              <w:t>Date: August 15, 2016</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Shaw</w:t>
            </w:r>
          </w:p>
        </w:tc>
      </w:tr>
      <w:tr>
        <w:trPr>
          <w:trHeight w:val="209"/>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Allan Shaw</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1)"/>
      <w:numFmt w:val="lowerRoman"/>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1)"/>
      <w:numFmt w:val="lowerRoman"/>
      <w:start w:val="4"/>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1"/>
      <w:numFmt w:val="decimal"/>
      <w:start w:val="10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1."/>
      <w:numFmt w:val="upperLetter"/>
      <w:start w:val="1"/>
    </w:lvl>
  </w:abstractNum>
  <w:abstractNum w:abstractNumId="38">
    <w:nsid w:val="540A471C"/>
    <w:multiLevelType w:val="hybridMultilevel"/>
    <w:lvl w:ilvl="0">
      <w:lvlJc w:val="left"/>
      <w:lvlText w:val="%1."/>
      <w:numFmt w:val="upperLetter"/>
      <w:start w:val="6"/>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1."/>
      <w:numFmt w:val="upperLetter"/>
      <w:start w:val="1"/>
    </w:lvl>
  </w:abstractNum>
  <w:abstractNum w:abstractNumId="41">
    <w:nsid w:val="613EFDC5"/>
    <w:multiLevelType w:val="hybridMultilevel"/>
    <w:lvl w:ilvl="0">
      <w:lvlJc w:val="left"/>
      <w:lvlText w:val="%1."/>
      <w:numFmt w:val="decimal"/>
      <w:start w:val="1"/>
    </w:lvl>
  </w:abstractNum>
  <w:abstractNum w:abstractNumId="42">
    <w:nsid w:val="BF72B14"/>
    <w:multiLevelType w:val="hybridMultilevel"/>
    <w:lvl w:ilvl="0">
      <w:lvlJc w:val="left"/>
      <w:lvlText w:val="%1."/>
      <w:numFmt w:val="decimal"/>
      <w:start w:val="2"/>
    </w:lvl>
  </w:abstractNum>
  <w:abstractNum w:abstractNumId="43">
    <w:nsid w:val="11447B73"/>
    <w:multiLevelType w:val="hybridMultilevel"/>
    <w:lvl w:ilvl="0">
      <w:lvlJc w:val="left"/>
      <w:lvlText w:val="%1."/>
      <w:numFmt w:val="decimal"/>
      <w:start w:val="3"/>
    </w:lvl>
  </w:abstractNum>
  <w:abstractNum w:abstractNumId="44">
    <w:nsid w:val="42963E5A"/>
    <w:multiLevelType w:val="hybridMultilevel"/>
    <w:lvl w:ilvl="0">
      <w:lvlJc w:val="left"/>
      <w:lvlText w:val="%1."/>
      <w:numFmt w:val="decimal"/>
      <w:start w:val="4"/>
    </w:lvl>
  </w:abstractNum>
  <w:abstractNum w:abstractNumId="45">
    <w:nsid w:val="A0382C5"/>
    <w:multiLevelType w:val="hybridMultilevel"/>
    <w:lvl w:ilvl="0">
      <w:lvlJc w:val="left"/>
      <w:lvlText w:val="%1."/>
      <w:numFmt w:val="upperLetter"/>
      <w:start w:val="2"/>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1."/>
      <w:numFmt w:val="upperLetter"/>
      <w:start w:val="3"/>
    </w:lvl>
  </w:abstractNum>
  <w:abstractNum w:abstractNumId="48">
    <w:nsid w:val="3B0FD379"/>
    <w:multiLevelType w:val="hybridMultilevel"/>
    <w:lvl w:ilvl="0">
      <w:lvlJc w:val="left"/>
      <w:lvlText w:val="%1."/>
      <w:numFmt w:val="upperLetter"/>
      <w:start w:val="4"/>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1."/>
      <w:numFmt w:val="upperLetter"/>
      <w:start w:val="1"/>
    </w:lvl>
  </w:abstractNum>
  <w:abstractNum w:abstractNumId="52">
    <w:nsid w:val="6A5EE64"/>
    <w:multiLevelType w:val="hybridMultilevel"/>
    <w:lvl w:ilvl="0">
      <w:lvlJc w:val="left"/>
      <w:lvlText w:val="%1."/>
      <w:numFmt w:val="upperLetter"/>
      <w:start w:val="6"/>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1."/>
      <w:numFmt w:val="upperLetter"/>
      <w:start w:val="1"/>
    </w:lvl>
  </w:abstractNum>
  <w:abstractNum w:abstractNumId="55">
    <w:nsid w:val="1A27709E"/>
    <w:multiLevelType w:val="hybridMultilevel"/>
    <w:lvl w:ilvl="0">
      <w:lvlJc w:val="left"/>
      <w:lvlText w:val="%1."/>
      <w:numFmt w:val="decimal"/>
      <w:start w:val="1"/>
    </w:lvl>
  </w:abstractNum>
  <w:abstractNum w:abstractNumId="56">
    <w:nsid w:val="71EA1109"/>
    <w:multiLevelType w:val="hybridMultilevel"/>
    <w:lvl w:ilvl="0">
      <w:lvlJc w:val="left"/>
      <w:lvlText w:val="%1."/>
      <w:numFmt w:val="decimal"/>
      <w:start w:val="2"/>
    </w:lvl>
  </w:abstractNum>
  <w:abstractNum w:abstractNumId="57">
    <w:nsid w:val="100F59DC"/>
    <w:multiLevelType w:val="hybridMultilevel"/>
    <w:lvl w:ilvl="0">
      <w:lvlJc w:val="left"/>
      <w:lvlText w:val="%1."/>
      <w:numFmt w:val="decimal"/>
      <w:start w:val="3"/>
    </w:lvl>
  </w:abstractNum>
  <w:abstractNum w:abstractNumId="58">
    <w:nsid w:val="7FB7E0AA"/>
    <w:multiLevelType w:val="hybridMultilevel"/>
    <w:lvl w:ilvl="0">
      <w:lvlJc w:val="left"/>
      <w:lvlText w:val="%1."/>
      <w:numFmt w:val="decimal"/>
      <w:start w:val="4"/>
    </w:lvl>
  </w:abstractNum>
  <w:abstractNum w:abstractNumId="59">
    <w:nsid w:val="6EB5BD4"/>
    <w:multiLevelType w:val="hybridMultilevel"/>
    <w:lvl w:ilvl="0">
      <w:lvlJc w:val="left"/>
      <w:lvlText w:val="%1."/>
      <w:numFmt w:val="decimal"/>
      <w:start w:val="5"/>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1."/>
      <w:numFmt w:val="upperLetter"/>
      <w:start w:val="2"/>
    </w:lvl>
  </w:abstractNum>
  <w:abstractNum w:abstractNumId="62">
    <w:nsid w:val="885E1B"/>
    <w:multiLevelType w:val="hybridMultilevel"/>
    <w:lvl w:ilvl="0">
      <w:lvlJc w:val="left"/>
      <w:lvlText w:val="%1."/>
      <w:numFmt w:val="upperLetter"/>
      <w:start w:val="3"/>
    </w:lvl>
  </w:abstractNum>
  <w:abstractNum w:abstractNumId="63">
    <w:nsid w:val="76272110"/>
    <w:multiLevelType w:val="hybridMultilevel"/>
    <w:lvl w:ilvl="0">
      <w:lvlJc w:val="left"/>
      <w:lvlText w:val="%1."/>
      <w:numFmt w:val="upperLetter"/>
      <w:start w:val="4"/>
    </w:lvl>
  </w:abstractNum>
  <w:abstractNum w:abstractNumId="64">
    <w:nsid w:val="4C04A8AF"/>
    <w:multiLevelType w:val="hybridMultilevel"/>
    <w:lvl w:ilvl="0">
      <w:lvlJc w:val="left"/>
      <w:lvlText w:val="%1."/>
      <w:numFmt w:val="upperLetter"/>
      <w:start w:val="5"/>
    </w:lvl>
  </w:abstractNum>
  <w:abstractNum w:abstractNumId="65">
    <w:nsid w:val="1716703B"/>
    <w:multiLevelType w:val="hybridMultilevel"/>
    <w:lvl w:ilvl="0">
      <w:lvlJc w:val="left"/>
      <w:lvlText w:val="%1."/>
      <w:numFmt w:val="upperLetter"/>
      <w:start w:val="6"/>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1."/>
      <w:numFmt w:val="upperLetter"/>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1."/>
      <w:numFmt w:val="upperLetter"/>
      <w:start w:val="1"/>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1."/>
      <w:numFmt w:val="decimal"/>
      <w:start w:val="2"/>
    </w:lvl>
  </w:abstractNum>
  <w:abstractNum w:abstractNumId="73">
    <w:nsid w:val="39EE015C"/>
    <w:multiLevelType w:val="hybridMultilevel"/>
    <w:lvl w:ilvl="0">
      <w:lvlJc w:val="left"/>
      <w:lvlText w:val="%1."/>
      <w:numFmt w:val="decimal"/>
      <w:start w:val="3"/>
    </w:lvl>
  </w:abstractNum>
  <w:abstractNum w:abstractNumId="74">
    <w:nsid w:val="57FC4FBB"/>
    <w:multiLevelType w:val="hybridMultilevel"/>
    <w:lvl w:ilvl="0">
      <w:lvlJc w:val="left"/>
      <w:lvlText w:val="%1."/>
      <w:numFmt w:val="decimal"/>
      <w:start w:val="4"/>
    </w:lvl>
  </w:abstractNum>
  <w:abstractNum w:abstractNumId="75">
    <w:nsid w:val="CC1016F"/>
    <w:multiLevelType w:val="hybridMultilevel"/>
    <w:lvl w:ilvl="0">
      <w:lvlJc w:val="left"/>
      <w:lvlText w:val="%1."/>
      <w:numFmt w:val="decimal"/>
      <w:start w:val="5"/>
    </w:lvl>
  </w:abstractNum>
  <w:abstractNum w:abstractNumId="76">
    <w:nsid w:val="43F18422"/>
    <w:multiLevelType w:val="hybridMultilevel"/>
    <w:lvl w:ilvl="0">
      <w:lvlJc w:val="left"/>
      <w:lvlText w:val="%1."/>
      <w:numFmt w:val="decimal"/>
      <w:start w:val="6"/>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1."/>
      <w:numFmt w:val="upperLetter"/>
      <w:start w:val="2"/>
    </w:lvl>
  </w:abstractNum>
  <w:abstractNum w:abstractNumId="79">
    <w:nsid w:val="7F01579B"/>
    <w:multiLevelType w:val="hybridMultilevel"/>
    <w:lvl w:ilvl="0">
      <w:lvlJc w:val="left"/>
      <w:lvlText w:val="%1."/>
      <w:numFmt w:val="upperLetter"/>
      <w:start w:val="3"/>
    </w:lvl>
  </w:abstractNum>
  <w:abstractNum w:abstractNumId="80">
    <w:nsid w:val="49DA307D"/>
    <w:multiLevelType w:val="hybridMultilevel"/>
    <w:lvl w:ilvl="0">
      <w:lvlJc w:val="left"/>
      <w:lvlText w:val="%1."/>
      <w:numFmt w:val="upperLetter"/>
      <w:start w:val="4"/>
    </w:lvl>
  </w:abstractNum>
  <w:abstractNum w:abstractNumId="81">
    <w:nsid w:val="7055A5F5"/>
    <w:multiLevelType w:val="hybridMultilevel"/>
    <w:lvl w:ilvl="0">
      <w:lvlJc w:val="left"/>
      <w:lvlText w:val="%1."/>
      <w:numFmt w:val="upperLetter"/>
      <w:start w:val="5"/>
    </w:lvl>
  </w:abstractNum>
  <w:abstractNum w:abstractNumId="82">
    <w:nsid w:val="5FB8370B"/>
    <w:multiLevelType w:val="hybridMultilevel"/>
    <w:lvl w:ilvl="0">
      <w:lvlJc w:val="left"/>
      <w:lvlText w:val="%1."/>
      <w:numFmt w:val="upperLetter"/>
      <w:start w:val="6"/>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1."/>
      <w:numFmt w:val="upperLetter"/>
      <w:start w:val="1"/>
    </w:lvl>
  </w:abstractNum>
  <w:abstractNum w:abstractNumId="86">
    <w:nsid w:val="6AA78F7F"/>
    <w:multiLevelType w:val="hybridMultilevel"/>
    <w:lvl w:ilvl="0">
      <w:lvlJc w:val="left"/>
      <w:lvlText w:val="%1."/>
      <w:numFmt w:val="upperLetter"/>
      <w:start w:val="6"/>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1."/>
      <w:numFmt w:val="upperLetter"/>
      <w:start w:val="1"/>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1."/>
      <w:numFmt w:val="decimal"/>
      <w:start w:val="2"/>
    </w:lvl>
  </w:abstractNum>
  <w:abstractNum w:abstractNumId="92">
    <w:nsid w:val="73A1821B"/>
    <w:multiLevelType w:val="hybridMultilevel"/>
    <w:lvl w:ilvl="0">
      <w:lvlJc w:val="left"/>
      <w:lvlText w:val="%1."/>
      <w:numFmt w:val="decimal"/>
      <w:start w:val="3"/>
    </w:lvl>
  </w:abstractNum>
  <w:abstractNum w:abstractNumId="93">
    <w:nsid w:val="7DE67713"/>
    <w:multiLevelType w:val="hybridMultilevel"/>
    <w:lvl w:ilvl="0">
      <w:lvlJc w:val="left"/>
      <w:lvlText w:val="%1."/>
      <w:numFmt w:val="decimal"/>
      <w:start w:val="4"/>
    </w:lvl>
  </w:abstractNum>
  <w:abstractNum w:abstractNumId="94">
    <w:nsid w:val="555C55B5"/>
    <w:multiLevelType w:val="hybridMultilevel"/>
    <w:lvl w:ilvl="0">
      <w:lvlJc w:val="left"/>
      <w:lvlText w:val="%1."/>
      <w:numFmt w:val="decimal"/>
      <w:start w:val="5"/>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1."/>
      <w:numFmt w:val="decimal"/>
      <w:start w:val="6"/>
    </w:lvl>
  </w:abstractNum>
  <w:abstractNum w:abstractNumId="97">
    <w:nsid w:val="6A3DD3E8"/>
    <w:multiLevelType w:val="hybridMultilevel"/>
    <w:lvl w:ilvl="0">
      <w:lvlJc w:val="left"/>
      <w:lvlText w:val="%1."/>
      <w:numFmt w:val="decimal"/>
      <w:start w:val="7"/>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1."/>
      <w:numFmt w:val="upperLetter"/>
      <w:start w:val="2"/>
    </w:lvl>
  </w:abstractNum>
  <w:abstractNum w:abstractNumId="100">
    <w:nsid w:val="53299938"/>
    <w:multiLevelType w:val="hybridMultilevel"/>
    <w:lvl w:ilvl="0">
      <w:lvlJc w:val="left"/>
      <w:lvlText w:val="%1."/>
      <w:numFmt w:val="upperLetter"/>
      <w:start w:val="3"/>
    </w:lvl>
  </w:abstractNum>
  <w:abstractNum w:abstractNumId="101">
    <w:nsid w:val="1FBFE8E0"/>
    <w:multiLevelType w:val="hybridMultilevel"/>
    <w:lvl w:ilvl="0">
      <w:lvlJc w:val="left"/>
      <w:lvlText w:val="%1."/>
      <w:numFmt w:val="upperLetter"/>
      <w:start w:val="4"/>
    </w:lvl>
  </w:abstractNum>
  <w:abstractNum w:abstractNumId="102">
    <w:nsid w:val="5092CA79"/>
    <w:multiLevelType w:val="hybridMultilevel"/>
    <w:lvl w:ilvl="0">
      <w:lvlJc w:val="left"/>
      <w:lvlText w:val="%1."/>
      <w:numFmt w:val="upperLetter"/>
      <w:start w:val="5"/>
    </w:lvl>
  </w:abstractNum>
  <w:abstractNum w:abstractNumId="103">
    <w:nsid w:val="1D545C4D"/>
    <w:multiLevelType w:val="hybridMultilevel"/>
    <w:lvl w:ilvl="0">
      <w:lvlJc w:val="left"/>
      <w:lvlText w:val="%1."/>
      <w:numFmt w:val="upperLetter"/>
      <w:start w:val="6"/>
    </w:lvl>
  </w:abstractNum>
  <w:abstractNum w:abstractNumId="104">
    <w:nsid w:val="59ADEA3D"/>
    <w:multiLevelType w:val="hybridMultilevel"/>
    <w:lvl w:ilvl="0">
      <w:lvlJc w:val="left"/>
      <w:lvlText w:val="%1."/>
      <w:numFmt w:val="upperLetter"/>
      <w:start w:val="7"/>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2019-12-29T09:53:20Z</dcterms:created>
  <dcterms:modified xsi:type="dcterms:W3CDTF">2019-12-29T09:53:20Z</dcterms:modified>
</cp:coreProperties>
</file>