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2019</w:t>
      </w: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-4445</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114935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Syndax Pharmaceuticals,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4" w:lineRule="exact"/>
        <w:rPr>
          <w:sz w:val="24"/>
          <w:szCs w:val="24"/>
          <w:color w:val="auto"/>
        </w:rPr>
      </w:pPr>
    </w:p>
    <w:tbl>
      <w:tblPr>
        <w:tblLayout w:type="fixed"/>
        <w:tblInd w:w="38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3660" w:type="dxa"/>
            <w:vAlign w:val="bottom"/>
            <w:gridSpan w:val="2"/>
          </w:tcPr>
          <w:p>
            <w:pPr>
              <w:jc w:val="center"/>
              <w:ind w:left="1642"/>
              <w:spacing w:after="0"/>
              <w:rPr>
                <w:sz w:val="20"/>
                <w:szCs w:val="20"/>
                <w:color w:val="auto"/>
              </w:rPr>
            </w:pPr>
            <w:r>
              <w:rPr>
                <w:rFonts w:ascii="Arial" w:cs="Arial" w:eastAsia="Arial" w:hAnsi="Arial"/>
                <w:sz w:val="16"/>
                <w:szCs w:val="16"/>
                <w:b w:val="1"/>
                <w:bCs w:val="1"/>
                <w:color w:val="auto"/>
                <w:w w:val="93"/>
              </w:rPr>
              <w:t>Delaware</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gridSpan w:val="2"/>
          </w:tcPr>
          <w:p>
            <w:pPr>
              <w:jc w:val="right"/>
              <w:ind w:right="2246"/>
              <w:spacing w:after="0"/>
              <w:rPr>
                <w:sz w:val="20"/>
                <w:szCs w:val="20"/>
                <w:color w:val="auto"/>
              </w:rPr>
            </w:pPr>
            <w:r>
              <w:rPr>
                <w:rFonts w:ascii="Arial" w:cs="Arial" w:eastAsia="Arial" w:hAnsi="Arial"/>
                <w:sz w:val="16"/>
                <w:szCs w:val="16"/>
                <w:b w:val="1"/>
                <w:bCs w:val="1"/>
                <w:color w:val="auto"/>
              </w:rPr>
              <w:t>32-0162505</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3660" w:type="dxa"/>
            <w:vAlign w:val="bottom"/>
            <w:gridSpan w:val="2"/>
          </w:tcPr>
          <w:p>
            <w:pPr>
              <w:jc w:val="center"/>
              <w:ind w:left="16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0" w:type="dxa"/>
            <w:vAlign w:val="bottom"/>
          </w:tcPr>
          <w:p>
            <w:pPr>
              <w:jc w:val="center"/>
              <w:ind w:right="1346"/>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3660" w:type="dxa"/>
            <w:vAlign w:val="bottom"/>
            <w:gridSpan w:val="2"/>
          </w:tcPr>
          <w:p>
            <w:pPr>
              <w:jc w:val="center"/>
              <w:ind w:left="1642"/>
              <w:spacing w:after="0"/>
              <w:rPr>
                <w:sz w:val="20"/>
                <w:szCs w:val="20"/>
                <w:color w:val="auto"/>
              </w:rPr>
            </w:pPr>
            <w:r>
              <w:rPr>
                <w:rFonts w:ascii="Arial" w:cs="Arial" w:eastAsia="Arial" w:hAnsi="Arial"/>
                <w:sz w:val="14"/>
                <w:szCs w:val="14"/>
                <w:b w:val="1"/>
                <w:bCs w:val="1"/>
                <w:color w:val="auto"/>
                <w:w w:val="95"/>
              </w:rPr>
              <w:t>Incorporation or Organization)</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0" w:type="dxa"/>
            <w:vAlign w:val="bottom"/>
          </w:tcPr>
          <w:p>
            <w:pPr>
              <w:jc w:val="center"/>
              <w:ind w:right="136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3"/>
        </w:trPr>
        <w:tc>
          <w:tcPr>
            <w:tcW w:w="220" w:type="dxa"/>
            <w:vAlign w:val="bottom"/>
          </w:tcPr>
          <w:p>
            <w:pPr>
              <w:spacing w:after="0"/>
              <w:rPr>
                <w:sz w:val="24"/>
                <w:szCs w:val="24"/>
                <w:color w:val="auto"/>
              </w:rPr>
            </w:pPr>
          </w:p>
        </w:tc>
        <w:tc>
          <w:tcPr>
            <w:tcW w:w="592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3660" w:type="dxa"/>
            <w:vAlign w:val="bottom"/>
            <w:gridSpan w:val="2"/>
          </w:tcPr>
          <w:p>
            <w:pPr>
              <w:jc w:val="center"/>
              <w:ind w:left="1622"/>
              <w:spacing w:after="0"/>
              <w:rPr>
                <w:sz w:val="20"/>
                <w:szCs w:val="20"/>
                <w:color w:val="auto"/>
              </w:rPr>
            </w:pPr>
            <w:r>
              <w:rPr>
                <w:rFonts w:ascii="Arial" w:cs="Arial" w:eastAsia="Arial" w:hAnsi="Arial"/>
                <w:sz w:val="16"/>
                <w:szCs w:val="16"/>
                <w:b w:val="1"/>
                <w:bCs w:val="1"/>
                <w:color w:val="auto"/>
                <w:w w:val="90"/>
              </w:rPr>
              <w:t>Waltham, Massachusetts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40" w:type="dxa"/>
            <w:vAlign w:val="bottom"/>
            <w:gridSpan w:val="2"/>
          </w:tcPr>
          <w:p>
            <w:pPr>
              <w:jc w:val="right"/>
              <w:ind w:right="2446"/>
              <w:spacing w:after="0"/>
              <w:rPr>
                <w:sz w:val="20"/>
                <w:szCs w:val="20"/>
                <w:color w:val="auto"/>
              </w:rPr>
            </w:pPr>
            <w:r>
              <w:rPr>
                <w:rFonts w:ascii="Arial" w:cs="Arial" w:eastAsia="Arial" w:hAnsi="Arial"/>
                <w:sz w:val="16"/>
                <w:szCs w:val="16"/>
                <w:b w:val="1"/>
                <w:bCs w:val="1"/>
                <w:color w:val="auto"/>
              </w:rPr>
              <w:t>02451</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5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0" w:type="dxa"/>
            <w:vAlign w:val="bottom"/>
          </w:tcPr>
          <w:p>
            <w:pPr>
              <w:spacing w:after="0"/>
              <w:rPr>
                <w:sz w:val="16"/>
                <w:szCs w:val="16"/>
                <w:color w:val="auto"/>
              </w:rPr>
            </w:pPr>
          </w:p>
        </w:tc>
        <w:tc>
          <w:tcPr>
            <w:tcW w:w="4000" w:type="dxa"/>
            <w:vAlign w:val="bottom"/>
          </w:tcPr>
          <w:p>
            <w:pPr>
              <w:jc w:val="center"/>
              <w:ind w:right="134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2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(781) 419-1400</w:t>
            </w:r>
          </w:p>
        </w:tc>
        <w:tc>
          <w:tcPr>
            <w:tcW w:w="3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840" w:type="dxa"/>
            <w:vAlign w:val="bottom"/>
            <w:gridSpan w:val="6"/>
          </w:tcPr>
          <w:p>
            <w:pPr>
              <w:jc w:val="center"/>
              <w:ind w:right="3366"/>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0" w:type="dxa"/>
            <w:vAlign w:val="bottom"/>
          </w:tcPr>
          <w:p>
            <w:pPr>
              <w:spacing w:after="0"/>
              <w:rPr>
                <w:sz w:val="1"/>
                <w:szCs w:val="1"/>
                <w:color w:val="auto"/>
              </w:rPr>
            </w:pPr>
          </w:p>
        </w:tc>
      </w:tr>
      <w:tr>
        <w:trPr>
          <w:trHeight w:val="120"/>
        </w:trPr>
        <w:tc>
          <w:tcPr>
            <w:tcW w:w="3880" w:type="dxa"/>
            <w:vAlign w:val="bottom"/>
            <w:gridSpan w:val="3"/>
            <w:vMerge w:val="restart"/>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2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38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2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2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gridSpan w:val="2"/>
          </w:tcPr>
          <w:p>
            <w:pPr>
              <w:jc w:val="center"/>
              <w:ind w:right="219"/>
              <w:spacing w:after="0"/>
              <w:rPr>
                <w:sz w:val="20"/>
                <w:szCs w:val="20"/>
                <w:color w:val="auto"/>
              </w:rPr>
            </w:pPr>
            <w:r>
              <w:rPr>
                <w:rFonts w:ascii="Arial" w:cs="Arial" w:eastAsia="Arial" w:hAnsi="Arial"/>
                <w:sz w:val="16"/>
                <w:szCs w:val="16"/>
                <w:b w:val="1"/>
                <w:bCs w:val="1"/>
                <w:color w:val="auto"/>
                <w:w w:val="91"/>
              </w:rPr>
              <w:t>Trading Symbol(s)</w:t>
            </w:r>
          </w:p>
        </w:tc>
        <w:tc>
          <w:tcPr>
            <w:tcW w:w="640" w:type="dxa"/>
            <w:vAlign w:val="bottom"/>
            <w:tcBorders>
              <w:bottom w:val="single" w:sz="8" w:color="auto"/>
            </w:tcBorders>
          </w:tcPr>
          <w:p>
            <w:pPr>
              <w:spacing w:after="0"/>
              <w:rPr>
                <w:sz w:val="17"/>
                <w:szCs w:val="17"/>
                <w:color w:val="auto"/>
              </w:rPr>
            </w:pPr>
          </w:p>
        </w:tc>
        <w:tc>
          <w:tcPr>
            <w:tcW w:w="4340" w:type="dxa"/>
            <w:vAlign w:val="bottom"/>
            <w:tcBorders>
              <w:bottom w:val="single" w:sz="8" w:color="auto"/>
              <w:right w:val="single" w:sz="8" w:color="auto"/>
            </w:tcBorders>
            <w:gridSpan w:val="2"/>
          </w:tcPr>
          <w:p>
            <w:pPr>
              <w:jc w:val="center"/>
              <w:ind w:right="626"/>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9"/>
        </w:trPr>
        <w:tc>
          <w:tcPr>
            <w:tcW w:w="22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539"/>
              <w:spacing w:after="0"/>
              <w:rPr>
                <w:sz w:val="20"/>
                <w:szCs w:val="20"/>
                <w:color w:val="auto"/>
              </w:rPr>
            </w:pPr>
            <w:r>
              <w:rPr>
                <w:rFonts w:ascii="Arial" w:cs="Arial" w:eastAsia="Arial" w:hAnsi="Arial"/>
                <w:sz w:val="16"/>
                <w:szCs w:val="16"/>
                <w:color w:val="auto"/>
                <w:w w:val="98"/>
              </w:rPr>
              <w:t>SNDX</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ind w:right="96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260" w:firstLine="38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right="40" w:firstLine="38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6" w:lineRule="exact"/>
        <w:rPr>
          <w:sz w:val="24"/>
          <w:szCs w:val="24"/>
          <w:color w:val="auto"/>
        </w:rPr>
      </w:pPr>
    </w:p>
    <w:p>
      <w:pPr>
        <w:ind w:firstLine="38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00" w:lineRule="exact"/>
        <w:rPr>
          <w:sz w:val="24"/>
          <w:szCs w:val="24"/>
          <w:color w:val="auto"/>
        </w:rPr>
      </w:pPr>
    </w:p>
    <w:p>
      <w:pPr>
        <w:ind w:right="220" w:firstLine="38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0"/>
        <w:spacing w:after="0" w:line="184" w:lineRule="exact"/>
        <w:tabs>
          <w:tab w:leader="none" w:pos="790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November 6, 2019, there were 27,140,484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648335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32" w:right="3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and cancer-related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progress and receipt of data from the Phase 1b clinical trial of SNDX-6352 in chronic graft versus host disease (cGVHD);</w:t>
      </w:r>
    </w:p>
    <w:p>
      <w:pPr>
        <w:spacing w:after="0" w:line="128"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 of entinostat with Tecentriq® (atezolizumab) from Genentech, Inc., a member of the Roche Group, in advanced hormone receptor positive, human epidermal growth factor receptor 2 negative (HR+, HER2-) breast cancer;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91"/>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4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Financial Statements:</w:t>
              </w:r>
            </w:hyperlink>
          </w:p>
        </w:tc>
        <w:tc>
          <w:tcPr>
            <w:tcW w:w="71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2019 and December 31, 201</w:t>
              </w:r>
            </w:hyperlink>
            <w:r>
              <w:rPr>
                <w:rFonts w:ascii="Arial" w:cs="Arial" w:eastAsia="Arial" w:hAnsi="Arial"/>
                <w:sz w:val="18"/>
                <w:szCs w:val="18"/>
                <w:color w:val="000000"/>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0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w:t>
              </w:r>
            </w:hyperlink>
          </w:p>
        </w:tc>
        <w:tc>
          <w:tcPr>
            <w:tcW w:w="25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201</w:t>
              </w:r>
              <w:r>
                <w:rPr>
                  <w:rFonts w:ascii="Arial" w:cs="Arial" w:eastAsia="Arial" w:hAnsi="Arial"/>
                  <w:sz w:val="18"/>
                  <w:szCs w:val="18"/>
                  <w:color w:val="000000"/>
                </w:rPr>
                <w:t>8</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auto"/>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1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2019</w:t>
              </w:r>
            </w:hyperlink>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w:t>
              </w:r>
              <w:r>
                <w:rPr>
                  <w:rFonts w:ascii="Arial" w:cs="Arial" w:eastAsia="Arial" w:hAnsi="Arial"/>
                  <w:sz w:val="18"/>
                  <w:szCs w:val="18"/>
                  <w:color w:val="000000"/>
                </w:rPr>
                <w:t>8</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120" w:type="dxa"/>
            <w:vAlign w:val="bottom"/>
            <w:tcBorders>
              <w:top w:val="single" w:sz="8" w:color="0000EE"/>
            </w:tcBorders>
          </w:tcPr>
          <w:p>
            <w:pPr>
              <w:spacing w:after="0"/>
              <w:rPr>
                <w:sz w:val="24"/>
                <w:szCs w:val="24"/>
                <w:color w:val="auto"/>
              </w:rPr>
            </w:pPr>
          </w:p>
        </w:tc>
        <w:tc>
          <w:tcPr>
            <w:tcW w:w="30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8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84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00" w:type="dxa"/>
            <w:vAlign w:val="bottom"/>
            <w:tcBorders>
              <w:top w:val="single" w:sz="8" w:color="0000EE"/>
            </w:tcBorders>
          </w:tcPr>
          <w:p>
            <w:pPr>
              <w:spacing w:after="0"/>
              <w:rPr>
                <w:sz w:val="24"/>
                <w:szCs w:val="24"/>
                <w:color w:val="auto"/>
              </w:rPr>
            </w:pPr>
          </w:p>
        </w:tc>
        <w:tc>
          <w:tcPr>
            <w:tcW w:w="824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52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September 30, 2019</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76,381</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6,757</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18,294</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2019 and December 31, 2018</w:t>
            </w:r>
          </w:p>
        </w:tc>
        <w:tc>
          <w:tcPr>
            <w:tcW w:w="1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27,140,484</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and 24,835,951 shares issued and outstanding at September 30, 2019 and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December 31, 2018, respectively</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525,485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(481,470)</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(439,423)</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44,043</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76,381</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(17,841)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(12,862)</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4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96"/>
        </w:trPr>
        <w:tc>
          <w:tcPr>
            <w:tcW w:w="53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number of common shares used to compute</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31,630,639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25,471,587</w:t>
            </w:r>
          </w:p>
        </w:tc>
        <w:tc>
          <w:tcPr>
            <w:tcW w:w="4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30,103,338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24,888,738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0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(42,047)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(55,124)</w:t>
            </w: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Depreciation, amortization and accretion</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operating leases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(2,784)</w:t>
            </w: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(1,138)</w:t>
            </w: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(37,885)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w:t>
            </w: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(68,892)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(60,141)</w:t>
            </w: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10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75,077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95,750</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0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35,436</w:t>
            </w:r>
          </w:p>
        </w:tc>
        <w:tc>
          <w:tcPr>
            <w:tcW w:w="10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27,379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28,512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33,985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35,389</w:t>
            </w:r>
          </w:p>
        </w:tc>
        <w:tc>
          <w:tcPr>
            <w:tcW w:w="10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30,797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26,921</w:t>
            </w:r>
          </w:p>
        </w:tc>
        <w:tc>
          <w:tcPr>
            <w:tcW w:w="10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9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2019, and the results of operations and comprehensive loss for the three and nine months ended September 30, 2019 and 2018, and cash flows for the nine months ended September 30, 2019 and 2018. The results for the nine months ended September 30, 2019 are not necessarily indicative of the results to be expected for the year ending December 31, 2019, any other interim periods, or any future year or period. These interim financial statements should be read in conjunction with the audited financial statements as of and for the year ended December 31, 2018, and the notes thereto, which are included in the Company’s Annual Report on Form 10-K that was filed with the Securities and Exchange Commission (“SEC”) on March 7, 2019.</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ind w:left="520" w:right="7860" w:hanging="512"/>
        <w:spacing w:after="0" w:line="400" w:lineRule="auto"/>
        <w:tabs>
          <w:tab w:leader="none" w:pos="18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2018 and the notes thereto are included in the Company’s Annual Report on Form 10-K that was filed with the SEC on March 7, 2019.</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(“ASU 2016-02”). The Company adopted ASU 2016-02 and its related amendments (collectively known as Accounting Standards Codification (“ASC”) 842) using the prospective method, effective on January 1, 2019. See Note 5 “Leases” for the required disclosures related to the impact of adopting this standard and a discussion of the Company’s updated policies related to leases. The Company adopted ASU 2016-02 on January 1, 2019, and it did not have a material impact on its condensed consolidated balance sheet, condensed consolidated statement of comprehensive loss or condensed consolidated statement of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19, 2014 (the “Effective Date”), the Company entered into the KHK License Agreement,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0"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October 2017, the Company announced that KHK enrolled the first Japanese patient into a local pivotal study of entinostat for the treatment of hormone receptor positive, human epidermal growth factor receptor 2 negative breast cancer. In accordance with the terms of the license agreement, KHK paid the Company a $5.0 million milestone payment which the Company received in December 2017.</w:t>
      </w:r>
    </w:p>
    <w:p>
      <w:pPr>
        <w:spacing w:after="0" w:line="7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Company determined that the performance obligations associated with the KHK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w:t>
      </w:r>
    </w:p>
    <w:p>
      <w:pPr>
        <w:spacing w:after="0" w:line="5" w:lineRule="exact"/>
        <w:rPr>
          <w:sz w:val="20"/>
          <w:szCs w:val="20"/>
          <w:color w:val="auto"/>
        </w:rPr>
      </w:pPr>
    </w:p>
    <w:p>
      <w:pPr>
        <w:ind w:right="100" w:firstLine="8"/>
        <w:spacing w:after="0" w:line="286"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clinical supply does not significantly modify or customize the other promises nor is it significantly modified or customized by them, and (iii) the clinical supply is not highly interdependent or highly interrelated with the other promises in the agreement as KHK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KHK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KHK Agreement at contract inception were not distinct and represented a single performance obligation, and that the obligations for goods and services provided would be completed over the performance period of the agreement, any payments received by the Company from KHK,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6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Contract liabilities consisted of deferred revenue, as presented on the consolidated balance sheet, as of September 30, 2019. Deferred revenue related to the KHK License Agreement was $15.0 million as of September 30, 2019 and will be recognized over the remainder of the contract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842, “Leases”</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adopted ASC 842 on January 1, 2019, using the prospective approach which provides a method for recording existing leases at adoption using the effective date of the standard as its initial application date. ASC 842 generally requires all leases to be recognized on the balance sheet. In addition, the Company elected the relief package of practical expedients permitted under the transition guidance within the new standard, which among other things, allowed the Company not to reassess whether any expired or existing contracts are or contain leases, the lease classification for any expired or existing leases and initial direct costs for any existing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leases. The reported results for 2019 reflect the application of ASC 842 guidance while the reported results for 2018 were prepared under the guidance of ASC 840, Leases. The adoption of ASC 842 resulted in the recording of an additional lease asset and lease liability of approximately $1.3 million as of January 1, 2019. ASC 842 did not materially impact the Company’s condensed consolidated results of operations, equity or cash flows as of the adoption date or for the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Company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11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In December 2015, the Company entered into a 62-month operating lease for 4,039 square feet of space in New York, New York, which commenced on January 1, 2016. The remaining lease terms as of September 30, 2019 for the facility in Waltham, Massachusetts and New York, New York, were 29 months and 17 months, respectively. As of September 30, 2019, the condensed consolidated balance sheet includes a $0.8 million operating lease ROU asset and a $1.0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nine months ended September 30, 2019, the Company recorded approximately $365,000 in operating lease expense and made approximately $424,000 in lease payments.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Future minimum lease payments under the Company’s operating leases as of September 30, 2019 and December 31, 2018, were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Maturity of lease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5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September 30, 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2018</w:t>
            </w:r>
          </w:p>
        </w:tc>
      </w:tr>
      <w:tr>
        <w:trPr>
          <w:trHeight w:val="223"/>
        </w:trPr>
        <w:tc>
          <w:tcPr>
            <w:tcW w:w="54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5600" w:type="dxa"/>
            <w:vAlign w:val="bottom"/>
            <w:tcBorders>
              <w:bottom w:val="single" w:sz="8" w:color="CFF0FC"/>
            </w:tcBorders>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CFF0FC"/>
            </w:tcBorders>
          </w:tcPr>
          <w:p>
            <w:pPr>
              <w:jc w:val="right"/>
              <w:ind w:right="70"/>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1,180</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FF0FC"/>
            </w:tcBorders>
          </w:tcPr>
          <w:p>
            <w:pPr>
              <w:spacing w:after="0"/>
              <w:rPr>
                <w:sz w:val="22"/>
                <w:szCs w:val="22"/>
                <w:color w:val="auto"/>
              </w:rPr>
            </w:pPr>
          </w:p>
        </w:tc>
      </w:tr>
      <w:tr>
        <w:trPr>
          <w:trHeight w:val="210"/>
        </w:trPr>
        <w:tc>
          <w:tcPr>
            <w:tcW w:w="56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Total operating lease liability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Future minimum lease payments under the Company’s capital leases as of September 30, 2019 and December 31, 2018, were $10,000, respectively.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Net Loss per Share Attributable to Common Stockholders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ectPr>
          <w:pgSz w:w="11900" w:h="16838" w:orient="portrait"/>
          <w:cols w:equalWidth="0" w:num="1">
            <w:col w:w="11420"/>
          </w:cols>
          <w:pgMar w:left="240" w:top="661" w:right="239" w:bottom="1440" w:gutter="0" w:footer="0" w:header="0"/>
        </w:sectPr>
      </w:pPr>
    </w:p>
    <w:p>
      <w:pPr>
        <w:spacing w:after="0" w:line="314" w:lineRule="exact"/>
        <w:rPr>
          <w:sz w:val="20"/>
          <w:szCs w:val="20"/>
          <w:color w:val="auto"/>
        </w:rPr>
      </w:pPr>
    </w:p>
    <w:p>
      <w:pPr>
        <w:jc w:val="center"/>
        <w:ind w:left="52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13970</wp:posOffset>
            </wp:positionV>
            <wp:extent cx="1749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7" w:lineRule="exact"/>
        <w:rPr>
          <w:sz w:val="20"/>
          <w:szCs w:val="20"/>
          <w:color w:val="auto"/>
        </w:rPr>
      </w:pPr>
    </w:p>
    <w:p>
      <w:pPr>
        <w:ind w:left="5500"/>
        <w:spacing w:after="0"/>
        <w:tabs>
          <w:tab w:leader="none" w:pos="69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0</wp:posOffset>
            </wp:positionV>
            <wp:extent cx="1749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jc w:val="center"/>
        <w:ind w:left="522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9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13970</wp:posOffset>
            </wp:positionV>
            <wp:extent cx="1749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7"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0</wp:posOffset>
            </wp:positionV>
            <wp:extent cx="1749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jc w:val="center"/>
        <w:ind w:right="96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p>
    <w:p>
      <w:pPr>
        <w:sectPr>
          <w:pgSz w:w="11900" w:h="16838" w:orient="portrait"/>
          <w:cols w:equalWidth="0" w:num="2">
            <w:col w:w="7560" w:space="720"/>
            <w:col w:w="3140"/>
          </w:cols>
          <w:pgMar w:left="240" w:top="661"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(12,829)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(17,338)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(42,047)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(55,124)</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(12,829)</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(17,338)</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(42,047)</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(55,124)</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5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Weighted-average number of common shares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used to compute net loss per share attributable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31,630,639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25,471,587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30,103,338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24,888,738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9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8"/>
              </w:rPr>
              <w:t>September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6,053,654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4,272,646</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4,595,039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29,736</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June 2018, the Company signed an exchange agreement with an investor under which the investor exchanged 2,000,000 shares of common stock for 2,000,000 warrant shares. The warrants are exercisable into shares of common stock for $0.0001 per share. The shares of common stock into which the warrants may be exercised are considered outstanding for the purposes of computing earnings per share.</w:t>
      </w:r>
    </w:p>
    <w:p>
      <w:pPr>
        <w:spacing w:after="0" w:line="1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March 2019, the Company sold 2,095,039 shares of common stock as well as 2,500,000 pre-funded warrant shares (see Note 13). The warrants are exercisable into shares of common stock for $0.0001 per share. The shares of common stock into which the warrants may be exercised are considered outstanding for the purposes of computing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plc (“Allergan”), under which Allergan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0" w:name="page11"/>
    <w:bookmarkEnd w:id="10"/>
    <w:p>
      <w:pPr>
        <w:ind w:right="20"/>
        <w:spacing w:after="0" w:line="272" w:lineRule="auto"/>
        <w:rPr>
          <w:sz w:val="20"/>
          <w:szCs w:val="20"/>
          <w:color w:val="auto"/>
        </w:rPr>
      </w:pPr>
      <w:r>
        <w:rPr>
          <w:rFonts w:ascii="Arial" w:cs="Arial" w:eastAsia="Arial" w:hAnsi="Arial"/>
          <w:sz w:val="17"/>
          <w:szCs w:val="17"/>
          <w:color w:val="auto"/>
        </w:rPr>
        <w:t>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amount payable has been recorded in accounts payable as of September 30, 2019.</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July 2016, the Company entered into a license agreement (the “UCB License Agreement”) with UCB Biopharma Sprl (“UCB”), under which UCB granted to the Company a worldwide, sublicenseable, exclusive license to UCB6352, which the Company refers to as SNDX-6352, an investigational new drug (“IND”) ready anti-CSF-1R monoclonal antibody. The Company made a nonrefundable upfront payment of $5.0 million to UCB in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The total contractual costs under this agreement are $24.6 million. As of September 30, 2019, the Company’s aggregate remaining payment obligations under the agreement are approximately $7.5 million, which are estimated to be paid over approximately two years.</w:t>
      </w:r>
    </w:p>
    <w:p>
      <w:pPr>
        <w:spacing w:after="0" w:line="19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determines accrual estimates through financial models, taking into account discussion with applicable personnel and ECOG-ACRIN as to the progress or state of consummation of the clinical trial or the services completed.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ind w:left="1220" w:right="20" w:hanging="68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(unadjusted)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September 30, 2019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222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2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Cash and cash equivalents of $28.6 million and $29.3 million as of September 30, 2019 and December 31, 2018, respectively, consisted of overnight investments and money market funds and are classified within Level 1 of the fair value hierarchy because they are valued using quoted market prices in active markets. Cash equivalents of $2.0 and $4.5 million as of September 30, 2019 and December 31, 2018, respectively,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$41.7 million and $47.1 million as of September 30, 2019 and December 31, 2018,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September 30, 2019,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and nine months ended September 30, 2019 and 2018. As a result, the Company did not reclassify any amounts out of accumulated other comprehensive income for the same periods. The Company has a limited number of available-for-sale securities in insignificant loss positions as of September 30, 2019, which the Company does not intend to sell and has concluded it will not be required to sell before recovery of the amortized cost for the investment at maturity. The following table summarizes the available-for-sale securities: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8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4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September 30, 2019</w:t>
            </w: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Asset back securities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December 31, 2018</w:t>
            </w: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80" w:type="dxa"/>
            <w:vAlign w:val="bottom"/>
            <w:gridSpan w:val="4"/>
            <w:vMerge w:val="continue"/>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Reimbursable costs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September 30, 2019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January 2019, the number of shares of common stock available for issuance under the 2015 Omnibus Incentive Plan (“2015 Plan”), was increased by 993,438 shares due to the automatic annual provision to increase shares available under the 2015 Plan. As of September 30, 2019, the total number of shares of common stock available for issuance under the 2015 Plan was 589,911.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6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FF0FC"/>
          </w:tcPr>
          <w:p>
            <w:pPr>
              <w:spacing w:after="0"/>
              <w:rPr>
                <w:sz w:val="19"/>
                <w:szCs w:val="19"/>
                <w:color w:val="auto"/>
              </w:rPr>
            </w:pPr>
          </w:p>
        </w:tc>
      </w:tr>
      <w:tr>
        <w:trPr>
          <w:trHeight w:val="230"/>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1,040</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FF0FC"/>
            </w:tcBorders>
          </w:tcPr>
          <w:p>
            <w:pPr>
              <w:spacing w:after="0"/>
              <w:rPr>
                <w:sz w:val="19"/>
                <w:szCs w:val="19"/>
                <w:color w:val="auto"/>
              </w:rPr>
            </w:pPr>
          </w:p>
        </w:tc>
      </w:tr>
      <w:tr>
        <w:trPr>
          <w:trHeight w:val="223"/>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1,550</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nine months ended September 30, 2019 and 2018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820" w:type="dxa"/>
            <w:vAlign w:val="bottom"/>
            <w:gridSpan w:val="2"/>
            <w:shd w:val="clear" w:color="auto" w:fill="CFF0FC"/>
          </w:tcPr>
          <w:p>
            <w:pPr>
              <w:jc w:val="right"/>
              <w:ind w:right="7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1,524</w:t>
            </w:r>
          </w:p>
        </w:tc>
        <w:tc>
          <w:tcPr>
            <w:tcW w:w="6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1,550</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ind w:right="174"/>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4" w:name="page15"/>
    <w:bookmarkEnd w:id="14"/>
    <w:p>
      <w:pPr>
        <w:ind w:right="180" w:firstLine="518"/>
        <w:spacing w:after="0" w:line="312" w:lineRule="auto"/>
        <w:rPr>
          <w:sz w:val="20"/>
          <w:szCs w:val="20"/>
          <w:color w:val="auto"/>
        </w:rPr>
      </w:pPr>
      <w:r>
        <w:rPr>
          <w:rFonts w:ascii="Arial" w:cs="Arial" w:eastAsia="Arial" w:hAnsi="Arial"/>
          <w:sz w:val="16"/>
          <w:szCs w:val="16"/>
          <w:color w:val="auto"/>
        </w:rPr>
        <w:t>During the nine months ended September 30, 2019, the Company granted 1,343,025 stock options having service-based vesting conditions to certain executives, employees and consultants. The grant date fair value of the options granted in the nine months ended September 30, 2019 was $6.5 million, or $4.87 per share on a weighted-average basis, and will be recognized as compensation expense over the requisite service period of one to four years.</w:t>
      </w:r>
    </w:p>
    <w:p>
      <w:pPr>
        <w:spacing w:after="0" w:line="14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During the nine months ended September 30, 2019, the Company granted to certain employees 583,000 stock options that contain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4"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The achievement of one of the performance milestones was considered to be probable and the Company recorded approximately $131,000 of stock compensation expense associated with these awards for the nine months ended September 30, 2019. For the remaining milestones, achievement of the performance conditions was considered not probable, nor met, and therefore no expense has been recognized related to these awards for the nine months ended September 30, 2019.</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3,690 and 25,857 options exercised during the three and nine months ended September 30, 2019, resulting in total proceeds of $27,000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$178,000, respectively, there were zero and 7,850 options exercised during the three and nine months ended September 30, 2018, resulting in total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 and $26,000, respectively. The intrinsic value of the options exercised during the three and nine months ended September 30, 2019 was $6,000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$13,000, respectively, and $0 and $91,000, respectively, during the three and nine months ended September 30, 2018. In accordance with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policy, the shares were issued from a pool of shares reserved for issuance under the 2007 and 2015 Plans.</w:t>
      </w:r>
    </w:p>
    <w:p>
      <w:pPr>
        <w:spacing w:after="0" w:line="21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8"/>
          <w:szCs w:val="18"/>
          <w:color w:val="auto"/>
        </w:rPr>
        <w:t>As of September 30, 2019, there was $11.5 million of unrecognized compensation cost related to employee and non-employee unvested stock options granted under the 2015 and 2007 Plans, which is expected to be recognized over a weighted-average remaining service period of 2.4 years. Stock compensation costs have not been capitalized by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Stock Purchase Plan</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January 2019, the number of shares of common stock available for issuance under the ESPP, was increased by 248,359 shares as a result of the automatic increase provision of the ESPP. As of September 30, 2019, the total number of shares of common stock available for issuance under the ESPP was 856,994. During the three and nine months ended September 30, 2019, the Company issued 18,848 and 42,818 shares, respectively.</w:t>
      </w:r>
    </w:p>
    <w:p>
      <w:pPr>
        <w:spacing w:after="0" w:line="166"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starting on February 1 and on August 1. The compensation expense related to the ESPP for the three and nine months ended September 30, 2019, was approximately $26,000 and $89,000, respectively. The compensation expense related to the ESPP recorded in the three and nine months ended September 30, 2018, was approximately $36,000 and $94,000,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nine months ended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gridSpan w:val="3"/>
            <w:vMerge w:val="restart"/>
          </w:tcPr>
          <w:p>
            <w:pPr>
              <w:jc w:val="center"/>
              <w:ind w:left="132"/>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20" w:type="dxa"/>
            <w:vAlign w:val="bottom"/>
            <w:gridSpan w:val="3"/>
          </w:tcPr>
          <w:p>
            <w:pPr>
              <w:jc w:val="center"/>
              <w:ind w:left="132"/>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192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2019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24,835,951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(439,423)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23,970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offering, net of</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$34 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140,819</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direct offering, net of $1,571 in</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$78 offering</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2,095,039</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Proceeds from pre-funded common stock</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8"/>
                <w:szCs w:val="18"/>
                <w:color w:val="auto"/>
              </w:rPr>
              <w:t>warrant from direct offering, net of $1,875</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8"/>
                <w:szCs w:val="18"/>
                <w:color w:val="auto"/>
              </w:rPr>
              <w:t>in common stock warrants, $93 offering</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warrant with direct</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27,095,779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(453,725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Offering expenses associated with direct 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22,167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27,117,946</w:t>
            </w:r>
          </w:p>
        </w:tc>
        <w:tc>
          <w:tcPr>
            <w:tcW w:w="24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523,855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(468,641</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27,140,484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(481,470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gridSpan w:val="2"/>
          </w:tcPr>
          <w:p>
            <w:pPr>
              <w:jc w:val="right"/>
              <w:ind w:right="42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following table represents the changes in stockholders’ equity for the three and nine months ended September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gridSpan w:val="4"/>
            <w:vMerge w:val="restart"/>
          </w:tcPr>
          <w:p>
            <w:pPr>
              <w:jc w:val="center"/>
              <w:ind w:left="133"/>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20" w:type="dxa"/>
            <w:vAlign w:val="bottom"/>
            <w:gridSpan w:val="4"/>
          </w:tcPr>
          <w:p>
            <w:pPr>
              <w:jc w:val="center"/>
              <w:ind w:left="133"/>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1920" w:type="dxa"/>
            <w:vAlign w:val="bottom"/>
            <w:gridSpan w:val="4"/>
          </w:tcPr>
          <w:p>
            <w:pPr>
              <w:jc w:val="center"/>
              <w:ind w:left="113"/>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24,390,033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FF0FC"/>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(366,111)</w:t>
            </w:r>
          </w:p>
        </w:tc>
        <w:tc>
          <w:tcPr>
            <w:tcW w:w="180" w:type="dxa"/>
            <w:vAlign w:val="bottom"/>
            <w:tcBorders>
              <w:top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8,696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issuance due to warrant exercise, cashless</w:t>
            </w:r>
          </w:p>
        </w:tc>
        <w:tc>
          <w:tcPr>
            <w:tcW w:w="940" w:type="dxa"/>
            <w:vAlign w:val="bottom"/>
          </w:tcPr>
          <w:p>
            <w:pPr>
              <w:jc w:val="right"/>
              <w:spacing w:after="0"/>
              <w:rPr>
                <w:sz w:val="20"/>
                <w:szCs w:val="20"/>
                <w:color w:val="auto"/>
              </w:rPr>
            </w:pPr>
            <w:r>
              <w:rPr>
                <w:rFonts w:ascii="Arial" w:cs="Arial" w:eastAsia="Arial" w:hAnsi="Arial"/>
                <w:sz w:val="18"/>
                <w:szCs w:val="18"/>
                <w:color w:val="auto"/>
              </w:rPr>
              <w:t>299,215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 of adoption ASU</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2014-09</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(19,398)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24,697,944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(384,860</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Retirement of common stock in exchange for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 xml:space="preserve">common stock warrant </w:t>
            </w:r>
            <w:r>
              <w:rPr>
                <w:rFonts w:ascii="Arial" w:cs="Arial" w:eastAsia="Arial" w:hAnsi="Arial"/>
                <w:sz w:val="15"/>
                <w:szCs w:val="15"/>
                <w:color w:val="auto"/>
              </w:rPr>
              <w:t>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warrant in exchange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for retirement of common stock </w:t>
            </w:r>
            <w:r>
              <w:rPr>
                <w:rFonts w:ascii="Arial" w:cs="Arial" w:eastAsia="Arial" w:hAnsi="Arial"/>
                <w:sz w:val="15"/>
                <w:szCs w:val="15"/>
                <w:color w:val="auto"/>
              </w:rPr>
              <w:t>1</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(18,388)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22,705,794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(403,248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Proceeds from 'at-the-market' offering, net of</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$31 offering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1,329,582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(17,338)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24,051,364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(420,586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hanging="132"/>
        <w:spacing w:after="0" w:line="188" w:lineRule="auto"/>
        <w:tabs>
          <w:tab w:leader="none" w:pos="140" w:val="left"/>
        </w:tabs>
        <w:numPr>
          <w:ilvl w:val="0"/>
          <w:numId w:val="6"/>
        </w:numPr>
        <w:rPr>
          <w:rFonts w:ascii="Arial" w:cs="Arial" w:eastAsia="Arial" w:hAnsi="Arial"/>
          <w:sz w:val="33"/>
          <w:szCs w:val="33"/>
          <w:color w:val="auto"/>
          <w:vertAlign w:val="subscript"/>
        </w:rPr>
      </w:pPr>
      <w:r>
        <w:rPr>
          <w:rFonts w:ascii="Arial" w:cs="Arial" w:eastAsia="Arial" w:hAnsi="Arial"/>
          <w:sz w:val="13"/>
          <w:szCs w:val="13"/>
          <w:color w:val="auto"/>
        </w:rPr>
        <w:t>On June 18, 2018, the Company signed an exchange agreement with Biotechnology Value Fund and certain affiliated funds (“BVF”) under which BVF exchanged 2,000,000 shares of common</w:t>
      </w:r>
    </w:p>
    <w:p>
      <w:pPr>
        <w:spacing w:after="0" w:line="47"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stock for 2,000,000 warrant shares. The Company recorded the issuance of the warrant shares and the retirement of the common stock at fair value within additional paid-in capital. BVF can exercise the warrant shares at an exercise price per share equal to $0.0001 per share and the warrant shares expire 20 years from issuance. Per the terms of the warrant agreement, the outstanding warrants to purchase shares of common stock may not be exercised if the holder's ownership of the Company's common stock would exceed 9.99% of the shares of common stock then outstanding (subject to the right of the holder to increase or decrease such beneficial ownership limitation upon notice to the Company, provided such limitation cannot exceed 19.99%) following such exercise.</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August 2019,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(the “2019 ATM Program”). Cowen is not required to sell any specific amount, but acts as our sales agent using commercially reasonable efforts consistent with its normal trading and sales practices. The Company pays Cowen up to 3% of the gross proceeds from any common stock sold through this sales agreement. In 2019, prior to the effectiveness of the 2019 ATM Program (as described below), the Company sold 140,819 shares of common stock under the 2017 ATM program (as described below) for net proceeds of $0.8 million. No shares of common stock have been sold under the 2019 ATM program.</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April 2017, the Company entered into a sales agreement with Cowen under which the Company may issue and sell shares of our common stock having aggregate sales proceeds of up to $50.0 million from time to time through Cowen, acting as agent, in a series of one or more ATM equity offerings (the “2017 ATM Program”). This agreement was replaced by the 2019 ATM Program.</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March 2019, the Company issued 2,095,039 shares of its common stock and pre-funded warrants to purchase 2,500,000 shares of common stock (the “Pre-Funded Warrants”) to certain investors in a registered direct offering. The Pre-Funded Warrants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80"/>
        <w:spacing w:after="0" w:line="297" w:lineRule="auto"/>
        <w:rPr>
          <w:sz w:val="20"/>
          <w:szCs w:val="20"/>
          <w:color w:val="auto"/>
        </w:rPr>
      </w:pPr>
      <w:r>
        <w:rPr>
          <w:rFonts w:ascii="Arial" w:cs="Arial" w:eastAsia="Arial" w:hAnsi="Arial"/>
          <w:sz w:val="16"/>
          <w:szCs w:val="16"/>
          <w:color w:val="auto"/>
        </w:rPr>
        <w:t>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58"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(as described below).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15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prior to the expiration date of the Series Warrant, the Company sells additional capital stock or derivative securities convertible into or exercisable for capital stock (other than Exempted Securities as defined by the Series Warrant)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18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7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permits the holders to receive a fixed number of common shares upon exercise. In addition, such warrants do not provide any guarantee of value or return</w:t>
      </w:r>
      <w:r>
        <w:rPr>
          <w:rFonts w:ascii="Arial" w:cs="Arial" w:eastAsia="Arial" w:hAnsi="Arial"/>
          <w:sz w:val="19"/>
          <w:szCs w:val="19"/>
          <w:color w:val="auto"/>
        </w:rPr>
        <w:t>.</w:t>
      </w:r>
      <w:r>
        <w:rPr>
          <w:rFonts w:ascii="Arial" w:cs="Arial" w:eastAsia="Arial" w:hAnsi="Arial"/>
          <w:sz w:val="16"/>
          <w:szCs w:val="16"/>
          <w:color w:val="auto"/>
        </w:rPr>
        <w:t xml:space="preserve"> The Company valued the Series Warrants at issuance using the Black Scholes option pricing model and determined the fair value of the 4,595,039 Series Warrants at $3.4 million. The key inputs to the valuation model included the weighted average volatility of 89.1% and the weighted average expected term of 1.4 years.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7,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lead product candidate, entinostat is a once-weekly, oral, small molecule, Class I HDAC inhibitor currently being evaluated in a Phase 3 clinical trial (E2112) in combination with exemestane for advanced hormone receptor positive, or HR+, human epidermal growth factor receptor 2 negative, or HER2-, breast cancer, an indication for which it has been granted breakthrough therapy designation by the FDA. In addition, entinostat has been shown to block the function of immune suppressive cells in the tumor microenvironment.</w:t>
      </w:r>
    </w:p>
    <w:p>
      <w:pPr>
        <w:spacing w:after="0" w:line="8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are also developing SNDX-5613, an orally-available, small molecule inhibitor of the interaction of menin with the mixed lineage leukemia, or MLL, protein as a targeted therapy to potentially treat two genetically defined acute leukemias: (i) mixed lineage leukemia-rearranged, or MLLr, a genetically-defined subset of acute leukemias with chromosomal rearrangements in the MLL gene; and (ii) acute myeloid leukemia, or AML, with a mutated nucleophosmin 1, or NPM1, characterized by a somatic mutation in the NPM1 gene, or NPM1c. We are conducting a Phase 1/2 open-label trial, which we refer to as AUGMENT, to assess orally administered SNDX-5613 in adults with relapsed/refractory (R/R) acute leukemias.</w:t>
      </w:r>
    </w:p>
    <w:p>
      <w:pPr>
        <w:spacing w:after="0" w:line="64"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 xml:space="preserve">In addition to entinostat and SNDX-5613, we are developing SNDX-6352, a monoclonal antibody that targets the colony stimulating factor-1 receptor, or CSF-1R, a cell surface protein thought to control the survival and function of monocytes and macrophages. Donor derived, pro-inflammatory macrophages that are CSF-1R signaling dependent have been shown in preclinical studies to be responsible for symptoms associated with chronic graft versus host disease, or cGVHD. We believe that treatment with SNDX-6352 may reduce the number of these pro-inflammatory macrophages and play a meaningful role as a monotherapy agent in the treatment of cGVHD and are conducting a Phase 1 trial of SNDX-6352 in patients with cGVHD. Researchers have also shown that in many cancers, inhibition of CSF-1R will reduce the number of immunosuppressive tumor-associated macrophages, or TAMs, and enable an immune response against tumors. To that end we are testing SNDX-6352, alone or in combination with </w:t>
      </w:r>
      <w:r>
        <w:rPr>
          <w:rFonts w:ascii="Arial" w:cs="Arial" w:eastAsia="Arial" w:hAnsi="Arial"/>
          <w:sz w:val="18"/>
          <w:szCs w:val="18"/>
          <w:i w:val="1"/>
          <w:iCs w:val="1"/>
          <w:color w:val="auto"/>
        </w:rPr>
        <w:t>Imfinzi</w:t>
      </w:r>
      <w:r>
        <w:rPr>
          <w:rFonts w:ascii="Arial" w:cs="Arial" w:eastAsia="Arial" w:hAnsi="Arial"/>
          <w:sz w:val="18"/>
          <w:szCs w:val="18"/>
          <w:color w:val="auto"/>
        </w:rPr>
        <w:t>® (durvalumab), from AstraZeneca plc, in a Phase 1/1b trial in solid tumors.</w:t>
      </w:r>
    </w:p>
    <w:p>
      <w:pPr>
        <w:spacing w:after="0" w:line="8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plan to continue to leverage the technical and business expertise of our management team and scientific collaborators to opportunistically license, acquire and develop additional cancer therapies to expand our pipeline. 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nine months ended September 30, 2019 and 2018, we reported a net loss of $42.0 million and $55.1 million, respectively. As of September 30, 2019, we had an accumulated deficit of $481.5 million, which included non-cash charges for stock-based compensation, preferred stock accretion and extinguishment charges. As of September 30, 2019, we had cash, cash equivalents and short-term investments of $72.2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October 2019, reported that the E2112 trial passed its fifth and final interim OS analysis. E2112 is our NCI-sponsored, ECOG-ACRIN-led Phase 3 registration trial of entinostat, a Class I selective HDAC inhibitor, plus exemestane in advanced hormone receptor positive, human epidermal growth factor receptor 2 negative (HR+, HER2-) breast cancer.</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continue to anticipate the trial will reach 410 death events in second quarter of 2020, which will trigger the final E2112 OS analysis. A positive OS assessment at that time would enable us to file for full regulatory approval in the U.S. The E2112 trial design was informed by the Phase 2b ENCORE 301 trial, the results of which led to entinostat's Breakthrough Therapy designation in HR+ breast cancer, in which patients receiving the entinostat/exemestane combination demonstrated a strong OS benefit.</w:t>
      </w:r>
    </w:p>
    <w:p>
      <w:pPr>
        <w:spacing w:after="0" w:line="79"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In the first quarter of 2019, we completed a full portfolio prioritization assessment and have determined to place the initiation of potential registration trials in non-small cell lung cancer and melanoma on hold until we receive final overall survival (“OS”) results from E2112.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announced that the first patient has been dosed in the Phase 1/2 open-label AUGMENT-101 trial of orally administered SNDX-5613. The Phase 1 dose escalation portion of AUGMENT-101 will enroll adults with relapsed/refractory acute leukemias,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jc w:val="both"/>
        <w:ind w:right="140"/>
        <w:spacing w:after="0" w:line="312" w:lineRule="auto"/>
        <w:rPr>
          <w:sz w:val="20"/>
          <w:szCs w:val="20"/>
          <w:color w:val="auto"/>
        </w:rPr>
      </w:pPr>
      <w:r>
        <w:rPr>
          <w:rFonts w:ascii="Arial" w:cs="Arial" w:eastAsia="Arial" w:hAnsi="Arial"/>
          <w:sz w:val="16"/>
          <w:szCs w:val="16"/>
          <w:color w:val="auto"/>
        </w:rPr>
        <w:t>including patients with MLL-rearrangements and NPM1c mutations, and establish a recommended Phase 2 dose. The Phase 2 portion will evaluate efficacy, as defined by Complete Response rate (per International Working Group response criteria), across three expansion cohorts: MLL-rearranged (MLL-r) acute lymphoblastic leukemia (ALL), MLL-r AML and NPM1 mutant AML. We expect to report initial clinical data from the trial in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w:t>
      </w:r>
    </w:p>
    <w:p>
      <w:pPr>
        <w:spacing w:after="0" w:line="117"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We announced that the FDA has agreed to a recent request to amend enrollment criteria for its ongoing Phase 1 dose escalation trial of SNDX-6352, our anti-CSF-1R monoclonal antibody, in patients with chronic graft versus host disease (cGVHD). Consistent with the evolving treatment paradigm for this patient population, the majority of patients will no longer be required to have progressed on prior IMBRUVICA</w:t>
      </w:r>
      <w:r>
        <w:rPr>
          <w:rFonts w:ascii="Arial" w:cs="Arial" w:eastAsia="Arial" w:hAnsi="Arial"/>
          <w:sz w:val="15"/>
          <w:szCs w:val="15"/>
          <w:color w:val="auto"/>
        </w:rPr>
        <w:t>®</w:t>
      </w:r>
      <w:r>
        <w:rPr>
          <w:rFonts w:ascii="Arial" w:cs="Arial" w:eastAsia="Arial" w:hAnsi="Arial"/>
          <w:sz w:val="18"/>
          <w:szCs w:val="18"/>
          <w:color w:val="auto"/>
        </w:rPr>
        <w:t xml:space="preserve"> (ibrutinib) therapy in order to enroll in the study. In addition, the FDA has agreed to expand enrollment to include adolescents.</w:t>
      </w:r>
    </w:p>
    <w:p>
      <w:pPr>
        <w:spacing w:after="0" w:line="7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Enrollment in this trial is ongoing, and we continue to anticipate results in the second half of 2020. The trial is designed to evaluate the safety and preliminary efficacy of SNDX-6352 in cGVHD and to identify a recommended Phase 2 dose and schedule.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marketing approval of and successfully commercialize our product candidates. Our revenues for the three and nine months ended September 30, 2019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have been solely derived from our license, development and commercialization agreement with Kyowa Hakko Kirin Co., Ltd., or KHK, under which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KHK an exclusive license to develop and commercialize entinostat in Japan and Korea, or the KHK license agreement. In 2015, we received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upfront payment from KHK, inclusive of an equity investment. We allocated $17.3 million of the upfront payment to the license fee, and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 is being recognized as revenue ratably over our expected performance period (currently expected to be through 2029). The balance of the upfront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$7.7 million was allocated to KHK’s purchase of shares of our convertible preferred stock.</w:t>
      </w:r>
    </w:p>
    <w:p>
      <w:pPr>
        <w:spacing w:after="0" w:line="10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October 2017, KHK enrolled the first Japanese patient into a local pivotal study of entinostat for the treatment of hormone receptor positive, human epidermal growth factor 2 negative breast cancer. In accordance with the terms of the KHK License Agreement, in December 2017 we received a $5.0 million milestone payment from KHK for achievement of the development milestone.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40" w:right="1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right="40" w:firstLine="51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September 30, 2019, we have incurred $245.2 million in research and development expenses.</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ind w:right="100"/>
        <w:spacing w:after="0" w:line="312" w:lineRule="auto"/>
        <w:rPr>
          <w:sz w:val="20"/>
          <w:szCs w:val="20"/>
          <w:color w:val="auto"/>
        </w:rPr>
      </w:pPr>
      <w:r>
        <w:rPr>
          <w:rFonts w:ascii="Arial" w:cs="Arial" w:eastAsia="Arial" w:hAnsi="Arial"/>
          <w:sz w:val="16"/>
          <w:szCs w:val="16"/>
          <w:color w:val="auto"/>
        </w:rPr>
        <w:t>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w w:val="90"/>
              </w:rPr>
              <w:t>Increase (Decrease)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ind w:right="45"/>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(4,172)</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5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(13,149)</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(17,841)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(4,692)</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 income, net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three months ended September 30, 2019 and 2018, we recognized license fees of $0.4 million and $0.4 million respectively, derived from the KHK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the three months ended September 30, 2019, our total research and development expenses decreased $4.2 million, or 30%, to $9.9 million from $14.1 million for the comparable quarter in the prior year due to a decrease in employee compensation expense of $0.6 million, decreased activity in the ENCORE and SNDX-6352 clinical programs of $2.2 million, decreased research studies of $0.6 million, decreased manufacturing activities for SNDX-6352 of $0.2 million, and decreased professional expenses of $1.2 million, partly offset by increased activity in the Menin clinical programs of $0.6 million. The decrease in employee compensation costs was primarily due to decreased headcount, consulting fees and temporary employees. We expect research and development expenses to fluctuate from quarter to quarter depending on the timing of clinical trial activities, clinical manufacturing and other development activities.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5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6,806</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(3,350)</w:t>
            </w: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3,117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(822)</w:t>
            </w: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9,923</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w:t>
            </w:r>
          </w:p>
        </w:tc>
        <w:tc>
          <w:tcPr>
            <w:tcW w:w="20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40" w:type="dxa"/>
            <w:vAlign w:val="bottom"/>
            <w:gridSpan w:val="2"/>
          </w:tcPr>
          <w:p>
            <w:pPr>
              <w:jc w:val="right"/>
              <w:ind w:right="307"/>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For the three months ended September 30, 2019, our total general and administrative expenses decreased $0.5 million, or 13%, to $3.6 million from $4.1 million for the comparable period in the prior year. The decrease in general and administrative expenses was primarily due to decreased legal and professional fees of $0.3 million and decreased employee compensation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the three months ended September 30, 2019, interest income, net, decreased $0.1 million, or 19%, to $0.4 million from $0.5 million for the comparable period in the prior year. The decrease in total interest income, net, was primarily due to decreased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Increase (Decrease)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5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(10,794)</w:t>
            </w: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(2,415)</w:t>
            </w: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(13,209)</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(43,334)</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(56,543)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(13,209)</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(42,047)</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(55,124)</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the nine months ended September 30, 2019 and 2018, we recognized license fees of $1.1 million and $1.1 million respectively, derived from the KHK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For the nine months ended September 30, 2019, our total research and development expenses decreased $10.8 million, or 24%, to $33.5 million from $44.3 million for the comparable period in the prior year due to a decrease in employee compensation expense of $0.7 million, decreased professional fees of $4.4 million, decreased manufacturing activities for SNDX-6352 of $4.9 million and decreased activity in the ENCORE and SNDX-6352 clinical programs of $5.6 million, and decreased research studies of $0.3 million, partially offset by increased activities related to the Menin program of $1.1 million and a $4.0 million expense recognized in 2019 upon the achievement of certain milestones in connection with the Menin program. We expect research and development expenses to fluctuate from period to period depending on the timing of clinical trial activities, clinical manufacturing and other development activities.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22,826</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32,571</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(9,745)</w:t>
            </w: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(1,049)</w:t>
            </w: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33,492</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(10,794)</w:t>
            </w:r>
          </w:p>
        </w:tc>
        <w:tc>
          <w:tcPr>
            <w:tcW w:w="20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For the nine months ended September 30, 2019, our total general and administrative expenses decreased $2.4 million, or 18%, to $11.0 million from $13.4 million for the comparable period in the prior year. The decrease in general and administrative expenses was primarily due to decreased legal and professional fees of $1.8 million and decreased employee compensation cost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For the nine months ended September 30, 2019, interest income, net, decreased $0.1 million, or 5%, to $1.3 million from $1.4 million for the comparable period in the prior year. The decrease in total interest income, net, was primarily due to decreased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of September 30, 2019, we had cash, cash equivalents and short-term investments totaling $72.2 million. Since our inception, our operations have been primarily financed by net proceeds from our IPO, our follow-on stock offerings, our ATM programs,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7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March 2016, we completed our IPO whereby we sold 4,809,475 shares of our common stock at the price of $12.00 per share, resulting in total net proceeds of $50.5 million, after deducting underwriting discounts and commissions and offering expenses. In May 2017, we completed a follow-on public offering whereby we sold 3,950,190 shares of our common stock at a price of $13.25 per share, resulting in total net proceeds of $48.7 million, net of underwriting discounts and commissions and offering expenses.</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 October 2017, we issued to Biotechnology Value Fund, or BVF, 2,021,018 shares of our common stock at a price of $12.37 per share. Net proceeds after deducting expenses were approximately $24.9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2019, we issued to certain investors an aggregate of 2,095,039 shares of our common stock and 2,500,000 pre-funded warrants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at a price of $6.00 per share of common stock and $5.9999 for each pre-funded warrant. We sold the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pre-funded warrants together with two series of warrants, Series 1 warrants and Series 2 warrants, to purchase an aggregate of 4,595,039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pre-funded warrants enable the holder to make a cash investment in our common stock without increasing its beneficial ownership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because the shares of common stock underlying the pre-funded warrant are not issued or issuable until the warrant is actually exercised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becomes exercisable without exceeding the ownership limitations set forth in the pre-funded warrant. Each Series 1 warrant has an initial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 per share of common stock and each Series 2 warrant has an initial exercise price of $18.00 per share of common stock, in each case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adjustments. For additional information, see Note 13 to the condensed consolidated financial statements.</w:t>
      </w:r>
    </w:p>
    <w:p>
      <w:pPr>
        <w:spacing w:after="0" w:line="21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April 2017, we entered into a sales agreement with Cowen and Company, LLC, or Cowen, under which we may issue and sell shares of our common stock having aggregate sales proceeds of up to $50.0 million from time to time, or the 2017ATM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our drug products. Prior to the effectiveness of the 2019 ATM Program (as described below), we sold 140,819 shares of common stock, with net proceeds of $0.9 million.</w:t>
      </w:r>
    </w:p>
    <w:p>
      <w:pPr>
        <w:spacing w:after="0" w:line="17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August 2019, we entered into a new sales agreement with Cowen under which we may issue and sell shares of our common stock having aggregate sales proceeds of up to $50.0 million from time to time pursuant to the ATM program, or the 2019 ATM Program. Cowen is not required to sell any specific amount but acts as our sales agent using commercially reasonable efforts consistent with its normal trading and sales practices. This agreement replaced the sales agreement signed in April 2017. Shares sold pursuant to the sales agreement will be sold pursuant to a shelf registration statement on Form S-3 (Registration No. 333-233564), which was declared effective on September 10, 2019. Our common stock will be sold at prevailing market prices at the time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160"/>
        <w:spacing w:after="0" w:line="302" w:lineRule="auto"/>
        <w:rPr>
          <w:sz w:val="20"/>
          <w:szCs w:val="20"/>
          <w:color w:val="auto"/>
        </w:rPr>
      </w:pPr>
      <w:r>
        <w:rPr>
          <w:rFonts w:ascii="Arial" w:cs="Arial" w:eastAsia="Arial" w:hAnsi="Arial"/>
          <w:sz w:val="16"/>
          <w:szCs w:val="16"/>
          <w:color w:val="auto"/>
        </w:rPr>
        <w:t>sale; and as a result, prices may vary. We will pay Cowen up to 3% of the gross proceeds from any common stock sold through the sales agreement. The proceeds from the offerings, if any, will be used to fund the research and development of our product candidates, acquire or invest in businesses, products or technologies that are complementary to our own, although we have no current plans, commitments or agreements with respect to any acquisitions as of the date of this prospectus, and for working capital and general corporate purposes. No shares of common stock were sold under the 2019 ATM Program.</w:t>
      </w:r>
    </w:p>
    <w:p>
      <w:pPr>
        <w:spacing w:after="0" w:line="15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September 30, 2019, $50.0 million of common stock remained available for sale under the 2019 ATM Program. No shares of common stock have been sold since September 30, 2019, and through the date of this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September 30, 2019, we had an accumulated deficit of $481.5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(37,885)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(53,488)</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35,436</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28,512</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for the nine months ended September 30, 2019, was $37.9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$42.0 million adjusted for non-cash items, including stock-based compensation of $4.5 million and investment amortization and depreciation of $0.6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net increase in operating assets and liabilities of $0.3 million. The increase in our net loss was primarily due to the increase in our clinical trial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CMC expenses. The significant items in the increase in operating assets and liabilities included a decrease in accrued expenses, other liabilities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of $4.9 million, a decrease in prepaid expenses and other assets of $0.1 million offset by an increase in accounts payable of $5.3 million.</w:t>
      </w:r>
    </w:p>
    <w:p>
      <w:pPr>
        <w:spacing w:after="0" w:line="126"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Net cash used in operating activities for the nine months ended September 30, 2018 was $53.5 million and primarily consisted of our net loss of $55.1 million adjusted for non-cash items, including stock-based compensation of $4.7 million, net decrease in operating assets and liabilities of $2.8 million and a net decrease in investment amortization of $0.3 million. The increase in our net loss was primarily due to the increase in our clinical trial activities and CMC expenses. The significant items in the decrease in operating assets and liabilities included an increase in prepaid expenses and other assets of $2.8 million and a decrease in deferred revenue of $1.1 million partially offset by an increase in accounts payable, accrued expenses and other liabilities of $1.1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Net cash provided by investing activities for the nine months ended September 30, 2019, was $6.2 million and was primarily due to the $75.1 million of proceeds from the maturities of available-for-sale securities partially offset by the purchase of $68.9 million of available-for-sale marketable securities.</w:t>
      </w:r>
    </w:p>
    <w:p>
      <w:pPr>
        <w:spacing w:after="0" w:line="12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Net cash provided by investing activities for the nine months ended September 30, 2018 was $35.4 million and was primarily due to the $95.8 million of proceeds from the maturities of available-for-sale securities partially offset by the purchase of $60.1 million of available-for-sale marketable securities and purchase of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Net cash provided by financing activities for the nine months ended September 30, 2019, of $28.5 million was primarily due to proceeds from sales of shares of our common stock and a pre-funded warrant, net of fees, of $27.4 million, our at-the-market offering, net of discounts and commissions of $0.8 million, exercise of stock options of $0.2 million and purchases pursuant to our 2015 Employee Stock Purchase Plan of $0.1 million.</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2018, of $9.6 million was primarily due to proceeds from sales of shares of common stock under our at-the-market offering, net of discounts and commissions of $9.4 million and purchases pursuant to our 2015 Employee Stock Purchase Plan of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U.S. Securities and Exchange Commission, or SEC, on March 7,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2019, we had cash and cash equivalents of $30.6 million, consisting of overnight investments, interest-bearing money market funds, commercial papers and short-term corporate bonds, and short-term investments of $41.7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As of September 30, 2019,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2019,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2019,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NCI designed the trial to measure two primary endpoints, progression-free survival, or PFS, and overall survival, or OS. We received the final PFS analysis from ECOG-ACRIN in October 2018 and we expect to receive the final OS analysis no later than the end of 2020. In October 2018, ECOG-ACRIN informed us that the trial did not achieve the high statistical hurdle for the first primary endpoint of improving PFS, which would have provided the earliest regulatory filing opportunity. In accordance with the trial protocol, ECOG-ACRIN is confidentially holding the findings from the PFS analysis until reporting final OS results. We will not be able to submit an NDA unless and until we receive data demonstrating that the trial has achieved the primary endpoint for OS. In addition, based on scientific advice that we received from the European Medicines Agency in March 2014, the current Phase 3 clinical trial may not be sufficient to receive regulatory approval in Europe for entinostat to treat advanced HR+, HER2- breast cancer, and it is unclear whether we would be able to complete an alternate clinical trial that would be sufficient.</w:t>
      </w:r>
    </w:p>
    <w:p>
      <w:pPr>
        <w:spacing w:after="0" w:line="19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adverse drug reactions in the Phase 3 clinical trial.</w:t>
      </w:r>
    </w:p>
    <w:p>
      <w:pPr>
        <w:spacing w:after="0" w:line="15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Verzenio</w:t>
      </w:r>
      <w:r>
        <w:rPr>
          <w:rFonts w:ascii="Arial" w:cs="Arial" w:eastAsia="Arial" w:hAnsi="Arial"/>
          <w:sz w:val="18"/>
          <w:szCs w:val="18"/>
          <w:color w:val="auto"/>
        </w:rPr>
        <w:t>,</w:t>
      </w:r>
      <w:r>
        <w:rPr>
          <w:rFonts w:ascii="Arial" w:cs="Arial" w:eastAsia="Arial" w:hAnsi="Arial"/>
          <w:sz w:val="18"/>
          <w:szCs w:val="18"/>
          <w:i w:val="1"/>
          <w:iCs w:val="1"/>
          <w:color w:val="auto"/>
        </w:rPr>
        <w:t xml:space="preserve"> Kisqali, Ibrance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Piqray </w:t>
      </w:r>
      <w:r>
        <w:rPr>
          <w:rFonts w:ascii="Arial" w:cs="Arial" w:eastAsia="Arial" w:hAnsi="Arial"/>
          <w:sz w:val="18"/>
          <w:szCs w:val="18"/>
          <w:color w:val="auto"/>
        </w:rPr>
        <w:t>patients enrolled in the Phase 3 clinical trial may be different than those enrolled in our previous Phase 2b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in that 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20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Good Clinical Practices, or GCPs,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8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current Good Manufacturing Practices regulations, or cGMP requirements. Failure to comply with any of these regulations may require us to repeat preclinical and clinical trials, which would delay the regulatory development process.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OS analysis no later than the end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ind w:left="104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unexpectedly high rate of patients withdrawing consent or being lost to follow-up, including patients that withdraw or are lost to follow-up following our announcement in October 2018 that the trial did not achieve the statistical hurdle for the first primary endpoint of improving PFS;</w:t>
      </w:r>
    </w:p>
    <w:p>
      <w:pPr>
        <w:spacing w:after="0" w:line="15" w:lineRule="exact"/>
        <w:rPr>
          <w:rFonts w:ascii="Arial" w:cs="Arial" w:eastAsia="Arial" w:hAnsi="Arial"/>
          <w:sz w:val="16"/>
          <w:szCs w:val="16"/>
          <w:color w:val="auto"/>
        </w:rPr>
      </w:pPr>
    </w:p>
    <w:p>
      <w:pPr>
        <w:ind w:left="1040" w:right="1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1040" w:right="1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drug reactions;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OS endpoint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OS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received breakthrough therapy designation from the FDA for entinostat when used in combination with exemestane based on the OS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OS, no later than the end of 2020. If the results do not confirm the improvement in OS observed in our Phase 2b clinical trial, the FDA may rescind our breakthrough therapy designation.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5620" w:right="4820" w:hanging="5099"/>
        <w:spacing w:after="0" w:line="573" w:lineRule="auto"/>
        <w:tabs>
          <w:tab w:leader="none" w:pos="103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attract and build a significant marketing or sales force;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left="1040" w:right="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Entinostat, SNDX-6352 and SNDX-5613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Phase 1/2 clinical trial of SNDX-5613 in patients with relapsed/refractory acute leukemia;</w:t>
      </w:r>
    </w:p>
    <w:p>
      <w:pPr>
        <w:spacing w:after="0" w:line="117" w:lineRule="exact"/>
        <w:rPr>
          <w:rFonts w:ascii="Arial" w:cs="Arial" w:eastAsia="Arial" w:hAnsi="Arial"/>
          <w:sz w:val="18"/>
          <w:szCs w:val="18"/>
          <w:color w:val="auto"/>
        </w:rPr>
      </w:pPr>
    </w:p>
    <w:p>
      <w:pPr>
        <w:jc w:val="both"/>
        <w:ind w:left="1040" w:right="60" w:hanging="519"/>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timely completion of the Phase 3 clinical trial in advanced HR+, HER2- breast cancer, which has been significantly slower than we anticipated and will depend substantially upon the satisfactory performance of ECOG-ACRIN and the NCI and other third-party contractors for entinostat;</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Phase 1/1b clinical trials of SNDX-6352 as a monotherapy and in combination with durvalumab;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40" w:right="46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of commercial supplies of therapeutics, including exemestane and clinical supplies of investigational drugs, to support the development and marketing of the entinostat therapy as a component of a combination drug regimen for entinostat;</w:t>
      </w:r>
    </w:p>
    <w:p>
      <w:pPr>
        <w:spacing w:after="0" w:line="38" w:lineRule="exact"/>
        <w:rPr>
          <w:rFonts w:ascii="Arial" w:cs="Arial" w:eastAsia="Arial" w:hAnsi="Arial"/>
          <w:sz w:val="17"/>
          <w:szCs w:val="17"/>
          <w:color w:val="auto"/>
        </w:rPr>
      </w:pPr>
    </w:p>
    <w:p>
      <w:pPr>
        <w:ind w:left="1040" w:right="76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availability of commercial supplies of therapeutics, including </w:t>
      </w:r>
      <w:r>
        <w:rPr>
          <w:rFonts w:ascii="Arial" w:cs="Arial" w:eastAsia="Arial" w:hAnsi="Arial"/>
          <w:sz w:val="17"/>
          <w:szCs w:val="17"/>
          <w:i w:val="1"/>
          <w:iCs w:val="1"/>
          <w:color w:val="auto"/>
        </w:rPr>
        <w:t>Imfinzi</w:t>
      </w:r>
      <w:r>
        <w:rPr>
          <w:rFonts w:ascii="Arial" w:cs="Arial" w:eastAsia="Arial" w:hAnsi="Arial"/>
          <w:sz w:val="17"/>
          <w:szCs w:val="17"/>
          <w:color w:val="auto"/>
        </w:rPr>
        <w:t>, and clinical supplies of investigational drugs, to support the development and marketing of the SNDX-6352 therapy as a component of a combination drug regimen for SNDX-6352;</w:t>
      </w:r>
    </w:p>
    <w:p>
      <w:pPr>
        <w:spacing w:after="0" w:line="3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right="760"/>
        <w:spacing w:after="0" w:line="308" w:lineRule="auto"/>
        <w:rPr>
          <w:sz w:val="20"/>
          <w:szCs w:val="20"/>
          <w:color w:val="auto"/>
        </w:rPr>
      </w:pPr>
      <w:r>
        <w:rPr>
          <w:rFonts w:ascii="Arial" w:cs="Arial" w:eastAsia="Arial" w:hAnsi="Arial"/>
          <w:sz w:val="17"/>
          <w:szCs w:val="17"/>
          <w:b w:val="1"/>
          <w:bCs w:val="1"/>
          <w:i w:val="1"/>
          <w:iCs w:val="1"/>
          <w:color w:val="auto"/>
        </w:rPr>
        <w:t>Our strategy of combining entinostat with immune checkpoint inhibitors has undergone limited clinical testing and we may fail to show that the combination is safe and well tolerated and demonstrates additional clinical benefit from the combination.</w:t>
      </w:r>
    </w:p>
    <w:p>
      <w:pPr>
        <w:spacing w:after="0" w:line="38"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Preclinical studies conducted by us and others suggest a strong rationale for combining entinostat with immune checkpoint inhibitors, including PD-1 pathway antagonists, to enhance the immune system’s ability to detect and eliminate tumor cells. Our approach was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efficacy to warrant regulatory submission or approval. In the first quarter of 2019, we completed a full portfolio prioritization assessment and have determined to place the initiation of potential registration trials in non-small cell lung cancer and melanoma on hold until we receive final OS results from E2112.</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strategy for developing SNDX-6352 has undergone limited clinical testing and we may fail to show that this drug is safe, well tolerated and provides a clinical benefit for patients.</w:t>
      </w:r>
    </w:p>
    <w:p>
      <w:pPr>
        <w:spacing w:after="0" w:line="62"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Preclinical studies suggest that CSF-1/CSF-1R signaling may be the key regulatory pathway involved in the expansion and infiltration of donor derived macrophages that mediate the disease processes involved in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SNDX-6352 may play a meaningful role as a monotherapy agent in the treatment of cGVHD. Our approach is to conduct Phase 1 clinical trial with SNDX-6352 in subjects with active cGVHD who have failed at least two prior lines of therapy. If our initial clinical data lend support for our hypothesis, we plan to continue developing SNDX-6352 in this indication. At this time however, we have not yet sufficiently demonstrated a favorable risk-benefit of SNDX-6352 in patients and we may be unable to establish sufficient efficacy to warrant continued development in this indication.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safe, well tolerated and provides clinical benefit for patients.</w:t>
      </w:r>
    </w:p>
    <w:p>
      <w:pPr>
        <w:spacing w:after="0" w:line="2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suggests that certain acute leukemias, such as MLLr leukemias and NPM1 mutant AML, are dependent on the interaction of Menin, a nuclear protein involved in transcription, with the mixed lineage leukemia protein-1 (MLL1, also known as KMT2A). In pre-clinical animal models, small molecules, such as SNDX-5613, which bind to, and block the interaction of menin with MLL1, have demonstrated deep and durable single agent treatment effects in multiple leukemic xenograft models harboring MLL fusions or NPM1 mutations. Our strategy for developing SNDX-5613 is to conduct a Phase 1/2 clinical trial in patients with relapsed/refractory acute leukemias. The Phase 1 portion of the trial is assessing the safety, tolerability and pharmacokinetics of SNDX-5613, and seeks to establish a recommended Phase 2 dose. The Phase 2 portion will evaluate efficacy, as defined by Complete Remission rate, across three expansion cohorts enrolling adult patients with MLL-r acute lymphoblastic leukemia (ALL), MLL-r acute myeloid leukemia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28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be unable to transfer, qualify and validate an assay for determining peripheral monocyte levels to be used in conjunction with a future registration enabling non-small cell lung cancer, or NSCLC, trial.</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 In the first quarter of 2019, we completed a full portfolio prioritization assessment and have determined to place the initiation of this trial on hold until we receive final OS results from E2112.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actions of KHK, Eddingpharm Investment Company Limited and any other current or future sublicensees could adversely affect our business.</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KHK,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040" w:right="1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ind w:left="1040" w:right="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left="1040" w:right="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or other drugs that we are testing in combination with entinostat could adversely affect our ability to timely conduct the Phase 3 clinical trial in advanced HR+, HER2- breast cancer, our future potential Phase 3 clinical trial in NSCLC, any future clinical trials in melanoma, and if entinostat receives regulatory approval, to commercialize entinostat for treatment of advanced HR+, HER2- breast cancer, NSCLC, or melanoma. A shortage of supply may also result in an increase, which could be significant, in our costs of procuring exemestane.</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60" w:firstLine="51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6" w:name="page37"/>
    <w:bookmarkEnd w:id="36"/>
    <w:p>
      <w:pPr>
        <w:ind w:right="40" w:firstLine="51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40" w:right="76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w:t>
      </w:r>
      <w:r>
        <w:rPr>
          <w:rFonts w:ascii="Arial" w:cs="Arial" w:eastAsia="Arial" w:hAnsi="Arial"/>
          <w:sz w:val="18"/>
          <w:szCs w:val="18"/>
          <w:i w:val="1"/>
          <w:iCs w:val="1"/>
          <w:color w:val="auto"/>
        </w:rPr>
        <w:t>Piqray</w:t>
      </w:r>
      <w:r>
        <w:rPr>
          <w:rFonts w:ascii="Arial" w:cs="Arial" w:eastAsia="Arial" w:hAnsi="Arial"/>
          <w:sz w:val="18"/>
          <w:szCs w:val="18"/>
          <w:color w:val="auto"/>
        </w:rPr>
        <w:t xml:space="preserve"> and other therapies under FDA review or currently in Phase 3 clinical development.</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The pharmacologic treatment of NSCLC and melanoma patients has included chemotherapies and therapies targeting specific gene mutations. Over the past few years, immune checkpoint inhibitors have been approved for NSCLC and melanoma. Currently there are few approved combination immuno-oncology 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were approved for the treatment of NSCLC or melanoma it would face competition from standard-of-care approaches and other investigational drugs being tested in combination with any of these approaches.</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1040" w:right="6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acceptance of entinostat in combination with exemestane, </w:t>
      </w:r>
      <w:r>
        <w:rPr>
          <w:rFonts w:ascii="Arial" w:cs="Arial" w:eastAsia="Arial" w:hAnsi="Arial"/>
          <w:sz w:val="17"/>
          <w:szCs w:val="17"/>
          <w:i w:val="1"/>
          <w:iCs w:val="1"/>
          <w:color w:val="auto"/>
        </w:rPr>
        <w:t>Keytruda</w:t>
      </w:r>
      <w:r>
        <w:rPr>
          <w:rFonts w:ascii="Arial" w:cs="Arial" w:eastAsia="Arial" w:hAnsi="Arial"/>
          <w:sz w:val="17"/>
          <w:szCs w:val="17"/>
          <w:color w:val="auto"/>
        </w:rPr>
        <w:t>, and other drugs by physicians and other healthcare providers.</w:t>
      </w:r>
    </w:p>
    <w:p>
      <w:pPr>
        <w:spacing w:after="0" w:line="23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100" w:firstLine="51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right="60"/>
        <w:spacing w:after="0" w:line="286" w:lineRule="auto"/>
        <w:rPr>
          <w:sz w:val="20"/>
          <w:szCs w:val="20"/>
          <w:color w:val="auto"/>
        </w:rPr>
      </w:pPr>
      <w:r>
        <w:rPr>
          <w:rFonts w:ascii="Arial" w:cs="Arial" w:eastAsia="Arial" w:hAnsi="Arial"/>
          <w:sz w:val="16"/>
          <w:szCs w:val="16"/>
          <w:color w:val="auto"/>
        </w:rPr>
        <w:t>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and our business. In addition, Congress may consider other legislation to repeal and replace elements of the Affordable Care Act.</w:t>
      </w:r>
    </w:p>
    <w:p>
      <w:pPr>
        <w:spacing w:after="0" w:line="38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2019 and 2020 contain additional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While some of these and other-sharing for generic drugs for low-income patients. While proposed measures will require authorization through additional legislation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00" w:firstLine="518"/>
        <w:spacing w:after="0" w:line="297"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040" w:right="280" w:hanging="519"/>
        <w:spacing w:after="0" w:line="279"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2" w:name="page43"/>
    <w:bookmarkEnd w:id="42"/>
    <w:p>
      <w:pPr>
        <w:ind w:left="1040" w:right="20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20" w:hanging="519"/>
        <w:spacing w:after="0" w:line="297"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and</w:t>
      </w:r>
    </w:p>
    <w:p>
      <w:pPr>
        <w:spacing w:after="0" w:line="50" w:lineRule="exact"/>
        <w:rPr>
          <w:rFonts w:ascii="Arial" w:cs="Arial" w:eastAsia="Arial" w:hAnsi="Arial"/>
          <w:sz w:val="16"/>
          <w:szCs w:val="16"/>
          <w:color w:val="auto"/>
        </w:rPr>
      </w:pPr>
    </w:p>
    <w:p>
      <w:pPr>
        <w:ind w:left="1040" w:right="40" w:hanging="519"/>
        <w:spacing w:after="0" w:line="26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For the nine months ended September 30, 2019, we reported a net loss of $42.0 million; and as of September 30, 2019, we had an accumulated deficit of $481.5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5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firstLine="518"/>
        <w:spacing w:after="0" w:line="277"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March 31, 2019 and determined that on March 30, 2007 and August 21, 2015 ownership changes had occurred. We did not experience ownership changes since August 21, 2015 but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what extent various states will conform to the newly enacted federal tax law. We will continue to examine the impact the Tax Act may have on our business.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20"/>
        <w:spacing w:after="0" w:line="273" w:lineRule="auto"/>
        <w:rPr>
          <w:sz w:val="20"/>
          <w:szCs w:val="20"/>
          <w:color w:val="auto"/>
        </w:rPr>
      </w:pPr>
      <w:r>
        <w:rPr>
          <w:rFonts w:ascii="Arial" w:cs="Arial" w:eastAsia="Arial" w:hAnsi="Arial"/>
          <w:sz w:val="17"/>
          <w:szCs w:val="17"/>
          <w:color w:val="auto"/>
        </w:rPr>
        <w:t>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40"/>
        <w:spacing w:after="0" w:line="271" w:lineRule="auto"/>
        <w:rPr>
          <w:sz w:val="20"/>
          <w:szCs w:val="20"/>
          <w:color w:val="auto"/>
        </w:rPr>
      </w:pPr>
      <w:r>
        <w:rPr>
          <w:rFonts w:ascii="Arial" w:cs="Arial" w:eastAsia="Arial" w:hAnsi="Arial"/>
          <w:sz w:val="17"/>
          <w:szCs w:val="17"/>
          <w:color w:val="auto"/>
        </w:rPr>
        <w:t>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ind w:right="2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commercial success depends upon our ability to develop, manufacture, market and sell SNDX-5613. Subject to the achievement of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milestone events, we may be required to pay Vitae, a subsidiary of Allergan, up to $99 million in one-time development and regulatory milestone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term of the Allergan license agreement. In the event that we or any of our affiliates or sublicensees commercializes SNDX-5613, we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obligated to pay Allergan low single to low double-digit royalties on sales, subject to reduction in certain circumstances, as well as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in potential one-time sales-based milestone payments based on achievement of certain annual sales thresholds. Under certain circumstances,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required to share a percentage of non-royalty income from sublicensees, subject to certain deductions, with Allergan.</w:t>
      </w:r>
    </w:p>
    <w:p>
      <w:pPr>
        <w:spacing w:after="0" w:line="21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2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9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40"/>
        <w:spacing w:after="0" w:line="268" w:lineRule="auto"/>
        <w:rPr>
          <w:sz w:val="20"/>
          <w:szCs w:val="20"/>
          <w:color w:val="auto"/>
        </w:rPr>
      </w:pPr>
      <w:r>
        <w:rPr>
          <w:rFonts w:ascii="Arial" w:cs="Arial" w:eastAsia="Arial" w:hAnsi="Arial"/>
          <w:sz w:val="17"/>
          <w:szCs w:val="17"/>
          <w:color w:val="auto"/>
        </w:rPr>
        <w:t>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8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28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left="1040" w:right="8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In August 2019, we filed a shelf registration statement on Form S-3 (Registration No. 333-233564) that allows us to sell up to an aggregate of $300 million of our common stock, which includes up to $50.0 million designated for an at-the-market offering program. As of September 30, 2019, $50.0 million of common stock remained available for sale under the at-the-market offering program. We have sold no shares of common stock since September 30, 2019, and through the date of this filing.</w:t>
      </w:r>
    </w:p>
    <w:p>
      <w:pPr>
        <w:spacing w:after="0" w:line="8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also have two outstanding series of warrants, Series 1 warrants and Series 2 warrants. As of September 30, 2019, there were 2,297,517 shares of our common stock issuable upon the exercise of Series 1 warrants outstanding, at an exercise price of $12.00 per share, and there were 2,297,522 shares of our common stock issuable upon the exercise of Series 2 warrants outstanding, at an exercise price of $18.00 per share.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 could result in further dilution to our stockholders if such warrants were then exercised.</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November 6, 2019, we have 4,500,000 pre-funded warrant shares outstanding. The warrants are exercisable into shares of common stock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shares of common stock into which the warrants may be exercised are considered outstanding for the purposes of computing earnings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103"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53" w:name="page54"/>
    <w:bookmarkEnd w:id="53"/>
    <w:p>
      <w:pPr>
        <w:ind w:right="40"/>
        <w:spacing w:after="0" w:line="297" w:lineRule="auto"/>
        <w:rPr>
          <w:sz w:val="20"/>
          <w:szCs w:val="20"/>
          <w:color w:val="auto"/>
        </w:rPr>
      </w:pPr>
      <w:r>
        <w:rPr>
          <w:rFonts w:ascii="Arial" w:cs="Arial" w:eastAsia="Arial" w:hAnsi="Arial"/>
          <w:sz w:val="16"/>
          <w:szCs w:val="16"/>
          <w:color w:val="auto"/>
        </w:rPr>
        <w:t>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September 30, 2019, our executive officers, directors, holders of 5% or more of our capital stock and their respective affiliates beneficially own approximately 65% of our outstanding voting stock and options.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may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40" w:right="48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40" w:hanging="519"/>
        <w:spacing w:after="0" w:line="25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40"/>
        <w:spacing w:after="0" w:line="272" w:lineRule="auto"/>
        <w:rPr>
          <w:sz w:val="20"/>
          <w:szCs w:val="20"/>
          <w:color w:val="auto"/>
        </w:rPr>
      </w:pPr>
      <w:r>
        <w:rPr>
          <w:rFonts w:ascii="Arial" w:cs="Arial" w:eastAsia="Arial" w:hAnsi="Arial"/>
          <w:sz w:val="17"/>
          <w:szCs w:val="17"/>
          <w:color w:val="auto"/>
        </w:rPr>
        <w:t>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In August 2019, we entered into a sales agreement with Cowen and Company, LLC, or Cowen, under which we may issue and sell shares of our common stock having aggregate sales proceeds of up to $50.0 million from time to time through Cowen, acting as agent, in a series of one or more ATM equity offerings, or the 2019 ATM Program. Cowen is not required to sell any specific amount but acts as our sales agent using commercially reasonable efforts consistent with its normal trading and sales practices. No shares of common stock were sold under the 2019 ATM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180"/>
        <w:spacing w:after="0" w:line="259" w:lineRule="auto"/>
        <w:rPr>
          <w:sz w:val="20"/>
          <w:szCs w:val="20"/>
          <w:color w:val="auto"/>
        </w:rPr>
      </w:pPr>
      <w:r>
        <w:rPr>
          <w:rFonts w:ascii="Arial" w:cs="Arial" w:eastAsia="Arial" w:hAnsi="Arial"/>
          <w:sz w:val="18"/>
          <w:szCs w:val="18"/>
          <w:color w:val="auto"/>
        </w:rPr>
        <w:t>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21"/>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1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Current Report on Form 8-K (File No. 001-37708), as filed with the SEC on March 8, 2016).</w:t>
              </w:r>
            </w:hyperlink>
          </w:p>
        </w:tc>
        <w:tc>
          <w:tcPr>
            <w:tcW w:w="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Amended and Restated Bylaws of the Company (incorporated herein by reference to Exhibit 3.2 to the Company’s Current Report on Form 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Statement on Form S-1/A (File No. 333-208861), as filed with the SEC on February 10, 2016).</w:t>
              </w:r>
            </w:hyperlink>
          </w:p>
        </w:tc>
        <w:tc>
          <w:tcPr>
            <w:tcW w:w="3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8"/>
              </w:rPr>
            </w:pPr>
            <w:hyperlink r:id="rId85">
              <w:r>
                <w:rPr>
                  <w:rFonts w:ascii="Arial" w:cs="Arial" w:eastAsia="Arial" w:hAnsi="Arial"/>
                  <w:sz w:val="18"/>
                  <w:szCs w:val="18"/>
                  <w:color w:val="0000EE"/>
                  <w:w w:val="98"/>
                </w:rPr>
                <w:t>Form of Pre-Funded Warrant to purchase Common Stock issued pursuant to the Exchange Agreement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Biotechnology Value Fund, L.P., Biotechnology Value Fund II, L.P. and Biotechnology Value Trading Fund OS, L.P., dated June 18,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4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(incorporated by reference to Exhibit 4.1 to the Company’s Current Report on Form 8-K (File No. 001-37708), as filed with the SEC on June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20, 2018).</w:t>
              </w:r>
            </w:hyperlink>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Form of Series Warrant to purchase Common Stock (incorporated by reference to Exhibit 4.1 to the Company’s Current Report on Form 8-K</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 No. 001-37708), as filed with the SEC on March 29,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Arial" w:cs="Arial" w:eastAsia="Arial" w:hAnsi="Arial"/>
                <w:sz w:val="18"/>
                <w:szCs w:val="18"/>
                <w:color w:val="0000EE"/>
                <w:w w:val="88"/>
              </w:rPr>
            </w:pPr>
            <w:hyperlink r:id="rId87">
              <w:r>
                <w:rPr>
                  <w:rFonts w:ascii="Arial" w:cs="Arial" w:eastAsia="Arial" w:hAnsi="Arial"/>
                  <w:sz w:val="18"/>
                  <w:szCs w:val="18"/>
                  <w:color w:val="0000EE"/>
                  <w:w w:val="88"/>
                </w:rPr>
                <w:t>Form of Pre-Funded Warrant issued pursuant to the securities purchase agreement between the Company and Certain Purchasers, dated</w:t>
              </w:r>
            </w:hyperlink>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March 26, 2019 (incorporated by reference to Exhibit 4.2 to the Company’s Current Report on Form 8-K (File No. 001-37708), as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the SEC on March 29, 2019).</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Amendment No. 11 to Clinical Trial Agreement by and between the Company and ECOG-ACRIN Cancer Research Group, dated July 1,</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2019.</w:t>
              </w:r>
            </w:hyperlink>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9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Amendment No. 1 to License Agreement by and between the Company and UCB Biopharma Sprl, dated as of July 9, 2019.</w:t>
              </w:r>
            </w:hyperlink>
          </w:p>
        </w:tc>
        <w:tc>
          <w:tcPr>
            <w:tcW w:w="1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1934, as amended.</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2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3"/>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Certifications of Chief Executive Officer and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right="160" w:hanging="1152"/>
        <w:spacing w:after="0" w:line="259"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2019,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90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(the “Exchange</w:t>
      </w:r>
    </w:p>
    <w:p>
      <w:pPr>
        <w:spacing w:after="0" w:line="35" w:lineRule="exact"/>
        <w:rPr>
          <w:sz w:val="20"/>
          <w:szCs w:val="20"/>
          <w:color w:val="auto"/>
        </w:rPr>
      </w:pPr>
    </w:p>
    <w:p>
      <w:pPr>
        <w:ind w:left="520" w:right="440"/>
        <w:spacing w:after="0" w:line="281" w:lineRule="auto"/>
        <w:rPr>
          <w:sz w:val="20"/>
          <w:szCs w:val="20"/>
          <w:color w:val="auto"/>
        </w:rPr>
      </w:pPr>
      <w:r>
        <w:rPr>
          <w:rFonts w:ascii="Arial" w:cs="Arial" w:eastAsia="Arial" w:hAnsi="Arial"/>
          <w:sz w:val="16"/>
          <w:szCs w:val="16"/>
          <w:color w:val="auto"/>
        </w:rPr>
        <w:t>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(Principal Executive Officer and Principal Accounting</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8" w:name="page59"/>
    <w:bookmarkEnd w:id="58"/>
    <w:p>
      <w:pPr>
        <w:ind w:right="5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is omitted because it is not material and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AMENDMENT NO. 11 TO</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CLINICAL TRIAL AGREEMENT</w:t>
      </w:r>
    </w:p>
    <w:p>
      <w:pPr>
        <w:ind w:left="5160"/>
        <w:spacing w:after="0" w:line="230" w:lineRule="auto"/>
        <w:rPr>
          <w:sz w:val="20"/>
          <w:szCs w:val="20"/>
          <w:color w:val="auto"/>
        </w:rPr>
      </w:pPr>
      <w:r>
        <w:rPr>
          <w:rFonts w:ascii="Arial" w:cs="Arial" w:eastAsia="Arial" w:hAnsi="Arial"/>
          <w:sz w:val="22"/>
          <w:szCs w:val="22"/>
          <w:b w:val="1"/>
          <w:bCs w:val="1"/>
          <w:color w:val="auto"/>
        </w:rPr>
        <w:t>BETWEEN</w:t>
      </w:r>
    </w:p>
    <w:p>
      <w:pPr>
        <w:ind w:left="3480"/>
        <w:spacing w:after="0" w:line="231" w:lineRule="auto"/>
        <w:rPr>
          <w:sz w:val="20"/>
          <w:szCs w:val="20"/>
          <w:color w:val="auto"/>
        </w:rPr>
      </w:pPr>
      <w:r>
        <w:rPr>
          <w:rFonts w:ascii="Arial" w:cs="Arial" w:eastAsia="Arial" w:hAnsi="Arial"/>
          <w:sz w:val="22"/>
          <w:szCs w:val="22"/>
          <w:b w:val="1"/>
          <w:bCs w:val="1"/>
          <w:color w:val="auto"/>
        </w:rPr>
        <w:t>ECOG-ACRIN CANCER RESEARCH GROUP</w:t>
      </w:r>
    </w:p>
    <w:p>
      <w:pPr>
        <w:ind w:left="3580"/>
        <w:spacing w:after="0"/>
        <w:rPr>
          <w:sz w:val="20"/>
          <w:szCs w:val="20"/>
          <w:color w:val="auto"/>
        </w:rPr>
      </w:pPr>
      <w:r>
        <w:rPr>
          <w:rFonts w:ascii="Arial" w:cs="Arial" w:eastAsia="Arial" w:hAnsi="Arial"/>
          <w:sz w:val="22"/>
          <w:szCs w:val="22"/>
          <w:b w:val="1"/>
          <w:bCs w:val="1"/>
          <w:color w:val="auto"/>
        </w:rPr>
        <w:t>AND SYNDAX PHARMACEUTICALS, INC.</w:t>
      </w:r>
    </w:p>
    <w:p>
      <w:pPr>
        <w:spacing w:after="0" w:line="215" w:lineRule="exact"/>
        <w:rPr>
          <w:sz w:val="20"/>
          <w:szCs w:val="20"/>
          <w:color w:val="auto"/>
        </w:rPr>
      </w:pPr>
    </w:p>
    <w:p>
      <w:pPr>
        <w:jc w:val="both"/>
        <w:ind w:right="80"/>
        <w:spacing w:after="0" w:line="238" w:lineRule="auto"/>
        <w:rPr>
          <w:sz w:val="20"/>
          <w:szCs w:val="20"/>
          <w:color w:val="auto"/>
        </w:rPr>
      </w:pPr>
      <w:r>
        <w:rPr>
          <w:rFonts w:ascii="Arial" w:cs="Arial" w:eastAsia="Arial" w:hAnsi="Arial"/>
          <w:sz w:val="22"/>
          <w:szCs w:val="22"/>
          <w:color w:val="auto"/>
        </w:rPr>
        <w:t>This Amendment No. 11 to Clinical Trial Agreement (the “Amendment” or “Amendment 11”) is entered into as of July 1, 2019 (the “Effective Date”), by and between ECOG-ACRIN Cancer Research Group, on behalf of itself and its member hospitals, institutions and physicians (the “Group,” “ECOG” or “ECOG-ACRIN”), and Syndax Pharmaceuticals, Inc. (“Company” or “Syndax”).</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ind w:firstLine="858"/>
        <w:spacing w:after="0" w:line="274" w:lineRule="auto"/>
        <w:rPr>
          <w:sz w:val="20"/>
          <w:szCs w:val="20"/>
          <w:color w:val="auto"/>
        </w:rPr>
      </w:pPr>
      <w:r>
        <w:rPr>
          <w:rFonts w:ascii="Arial" w:cs="Arial" w:eastAsia="Arial" w:hAnsi="Arial"/>
          <w:sz w:val="21"/>
          <w:szCs w:val="21"/>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8" w:lineRule="exact"/>
        <w:rPr>
          <w:sz w:val="20"/>
          <w:szCs w:val="20"/>
          <w:color w:val="auto"/>
        </w:rPr>
      </w:pPr>
    </w:p>
    <w:p>
      <w:pPr>
        <w:ind w:firstLine="858"/>
        <w:spacing w:after="0" w:line="251" w:lineRule="auto"/>
        <w:rPr>
          <w:sz w:val="20"/>
          <w:szCs w:val="20"/>
          <w:color w:val="auto"/>
        </w:rPr>
      </w:pPr>
      <w:r>
        <w:rPr>
          <w:rFonts w:ascii="Arial" w:cs="Arial" w:eastAsia="Arial" w:hAnsi="Arial"/>
          <w:sz w:val="22"/>
          <w:szCs w:val="22"/>
          <w:color w:val="auto"/>
        </w:rPr>
        <w:t>WHEREAS, the parties agree to increase the support for the Study to offset the expenses of additional areas associated with [*] as set forth herein.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33"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following is added to Section 1.G of the Agreement:</w:t>
      </w:r>
    </w:p>
    <w:p>
      <w:pPr>
        <w:spacing w:after="0" w:line="206" w:lineRule="exact"/>
        <w:rPr>
          <w:rFonts w:ascii="Arial" w:cs="Arial" w:eastAsia="Arial" w:hAnsi="Arial"/>
          <w:sz w:val="22"/>
          <w:szCs w:val="22"/>
          <w:color w:val="auto"/>
        </w:rPr>
      </w:pPr>
    </w:p>
    <w:p>
      <w:pPr>
        <w:jc w:val="both"/>
        <w:ind w:left="440"/>
        <w:spacing w:after="0"/>
        <w:rPr>
          <w:rFonts w:ascii="Arial" w:cs="Arial" w:eastAsia="Arial" w:hAnsi="Arial"/>
          <w:sz w:val="22"/>
          <w:szCs w:val="22"/>
          <w:color w:val="auto"/>
        </w:rPr>
      </w:pPr>
      <w:r>
        <w:rPr>
          <w:rFonts w:ascii="Arial" w:cs="Arial" w:eastAsia="Arial" w:hAnsi="Arial"/>
          <w:sz w:val="22"/>
          <w:szCs w:val="22"/>
          <w:color w:val="auto"/>
        </w:rPr>
        <w:t>The Company will provide financial support to the Group in the amount of $106,398 to support the activities associated with [*] as set forth in Exhibit G. The maximum financial support for the Agreement is increased from $24,831,545 by $106,398 to $24,937,943.</w:t>
      </w:r>
    </w:p>
    <w:p>
      <w:pPr>
        <w:spacing w:after="0" w:line="213" w:lineRule="exact"/>
        <w:rPr>
          <w:rFonts w:ascii="Arial" w:cs="Arial" w:eastAsia="Arial" w:hAnsi="Arial"/>
          <w:sz w:val="22"/>
          <w:szCs w:val="22"/>
          <w:color w:val="auto"/>
        </w:rPr>
      </w:pPr>
    </w:p>
    <w:p>
      <w:pPr>
        <w:ind w:left="420" w:hanging="412"/>
        <w:spacing w:after="0"/>
        <w:tabs>
          <w:tab w:leader="none" w:pos="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Exhibit B of the Agreement is deleted in its entirety and replaced by Exhibit B attached hereto.</w:t>
      </w:r>
    </w:p>
    <w:p>
      <w:pPr>
        <w:spacing w:after="0" w:line="233" w:lineRule="exact"/>
        <w:rPr>
          <w:rFonts w:ascii="Arial" w:cs="Arial" w:eastAsia="Arial" w:hAnsi="Arial"/>
          <w:sz w:val="22"/>
          <w:szCs w:val="22"/>
          <w:color w:val="auto"/>
        </w:rPr>
      </w:pPr>
    </w:p>
    <w:p>
      <w:pPr>
        <w:ind w:left="420" w:hanging="412"/>
        <w:spacing w:after="0"/>
        <w:tabs>
          <w:tab w:leader="none" w:pos="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Exhibit G attached hereto is hereby added as Exhibit G of the Agreement thereto.</w:t>
      </w:r>
    </w:p>
    <w:p>
      <w:pPr>
        <w:spacing w:after="0" w:line="233" w:lineRule="exact"/>
        <w:rPr>
          <w:rFonts w:ascii="Arial" w:cs="Arial" w:eastAsia="Arial" w:hAnsi="Arial"/>
          <w:sz w:val="22"/>
          <w:szCs w:val="22"/>
          <w:color w:val="auto"/>
        </w:rPr>
      </w:pPr>
    </w:p>
    <w:p>
      <w:pPr>
        <w:ind w:left="440" w:right="160" w:hanging="413"/>
        <w:spacing w:after="0" w:line="297" w:lineRule="auto"/>
        <w:rPr>
          <w:rFonts w:ascii="Arial" w:cs="Arial" w:eastAsia="Arial" w:hAnsi="Arial"/>
          <w:sz w:val="22"/>
          <w:szCs w:val="22"/>
          <w:color w:val="auto"/>
        </w:rPr>
      </w:pPr>
      <w:r>
        <w:rPr>
          <w:rFonts w:ascii="Arial" w:cs="Arial" w:eastAsia="Arial" w:hAnsi="Arial"/>
          <w:sz w:val="19"/>
          <w:szCs w:val="19"/>
          <w:color w:val="auto"/>
        </w:rPr>
        <w:t>D. 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161"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Except to the extent amended herein, all of the terms and conditions of the Agreement remain in full force and effect.</w:t>
      </w:r>
    </w:p>
    <w:p>
      <w:pPr>
        <w:spacing w:after="0" w:line="244" w:lineRule="exact"/>
        <w:rPr>
          <w:rFonts w:ascii="Arial" w:cs="Arial" w:eastAsia="Arial" w:hAnsi="Arial"/>
          <w:sz w:val="21"/>
          <w:szCs w:val="21"/>
          <w:color w:val="auto"/>
        </w:rPr>
      </w:pPr>
    </w:p>
    <w:p>
      <w:pPr>
        <w:ind w:left="420" w:hanging="412"/>
        <w:spacing w:after="0"/>
        <w:tabs>
          <w:tab w:leader="none" w:pos="4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Capitalized terms herein that are not defined shall have the meaning ascribed to such terms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left="420" w:hanging="412"/>
        <w:spacing w:after="0" w:line="251" w:lineRule="auto"/>
        <w:tabs>
          <w:tab w:leader="none" w:pos="4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Amendment may be executed in one or more counterparts, each of which shall be deemed an original, but all of which shall be considered one and the same instrument.</w:t>
      </w:r>
    </w:p>
    <w:p>
      <w:pPr>
        <w:spacing w:after="0" w:line="200" w:lineRule="exact"/>
        <w:rPr>
          <w:sz w:val="20"/>
          <w:szCs w:val="20"/>
          <w:color w:val="auto"/>
        </w:rPr>
      </w:pPr>
    </w:p>
    <w:p>
      <w:pPr>
        <w:spacing w:after="0" w:line="244"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IN WITNESS WHEREOF, the parties hereto have executed this Amendment, as of the Effective Date, by proper persons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00" w:type="dxa"/>
            <w:vAlign w:val="bottom"/>
            <w:gridSpan w:val="4"/>
          </w:tcPr>
          <w:p>
            <w:pPr>
              <w:spacing w:after="0"/>
              <w:rPr>
                <w:sz w:val="20"/>
                <w:szCs w:val="20"/>
                <w:color w:val="auto"/>
              </w:rPr>
            </w:pPr>
            <w:r>
              <w:rPr>
                <w:rFonts w:ascii="Arial" w:cs="Arial" w:eastAsia="Arial" w:hAnsi="Arial"/>
                <w:sz w:val="22"/>
                <w:szCs w:val="22"/>
                <w:color w:val="auto"/>
                <w:w w:val="98"/>
              </w:rPr>
              <w:t>ECOG-ACRIN Cancer Research Group</w:t>
            </w:r>
          </w:p>
        </w:tc>
        <w:tc>
          <w:tcPr>
            <w:tcW w:w="7300" w:type="dxa"/>
            <w:vAlign w:val="bottom"/>
            <w:gridSpan w:val="3"/>
          </w:tcPr>
          <w:p>
            <w:pPr>
              <w:ind w:left="460"/>
              <w:spacing w:after="0"/>
              <w:rPr>
                <w:sz w:val="20"/>
                <w:szCs w:val="20"/>
                <w:color w:val="auto"/>
              </w:rPr>
            </w:pPr>
            <w:r>
              <w:rPr>
                <w:rFonts w:ascii="Arial" w:cs="Arial" w:eastAsia="Arial" w:hAnsi="Arial"/>
                <w:sz w:val="22"/>
                <w:szCs w:val="22"/>
                <w:color w:val="auto"/>
              </w:rPr>
              <w:t>Syndax Pharmaceuticals, Inc.</w:t>
            </w:r>
          </w:p>
        </w:tc>
        <w:tc>
          <w:tcPr>
            <w:tcW w:w="0" w:type="dxa"/>
            <w:vAlign w:val="bottom"/>
          </w:tcPr>
          <w:p>
            <w:pPr>
              <w:spacing w:after="0"/>
              <w:rPr>
                <w:sz w:val="1"/>
                <w:szCs w:val="1"/>
                <w:color w:val="auto"/>
              </w:rPr>
            </w:pPr>
          </w:p>
        </w:tc>
      </w:tr>
      <w:tr>
        <w:trPr>
          <w:trHeight w:val="679"/>
        </w:trPr>
        <w:tc>
          <w:tcPr>
            <w:tcW w:w="2620" w:type="dxa"/>
            <w:vAlign w:val="bottom"/>
            <w:gridSpan w:val="3"/>
          </w:tcPr>
          <w:p>
            <w:pPr>
              <w:spacing w:after="0"/>
              <w:rPr>
                <w:sz w:val="20"/>
                <w:szCs w:val="20"/>
                <w:color w:val="auto"/>
              </w:rPr>
            </w:pPr>
            <w:r>
              <w:rPr>
                <w:rFonts w:ascii="Arial" w:cs="Arial" w:eastAsia="Arial" w:hAnsi="Arial"/>
                <w:sz w:val="22"/>
                <w:szCs w:val="22"/>
                <w:color w:val="auto"/>
              </w:rPr>
              <w:t>/s/ Donna Marinucci</w:t>
            </w:r>
          </w:p>
        </w:tc>
        <w:tc>
          <w:tcPr>
            <w:tcW w:w="1180" w:type="dxa"/>
            <w:vAlign w:val="bottom"/>
          </w:tcPr>
          <w:p>
            <w:pPr>
              <w:spacing w:after="0"/>
              <w:rPr>
                <w:sz w:val="24"/>
                <w:szCs w:val="24"/>
                <w:color w:val="auto"/>
              </w:rPr>
            </w:pPr>
          </w:p>
        </w:tc>
        <w:tc>
          <w:tcPr>
            <w:tcW w:w="7300" w:type="dxa"/>
            <w:vAlign w:val="bottom"/>
            <w:gridSpan w:val="3"/>
          </w:tcPr>
          <w:p>
            <w:pPr>
              <w:ind w:left="5920"/>
              <w:spacing w:after="0"/>
              <w:rPr>
                <w:sz w:val="20"/>
                <w:szCs w:val="20"/>
                <w:color w:val="auto"/>
              </w:rPr>
            </w:pPr>
            <w:r>
              <w:rPr>
                <w:rFonts w:ascii="Arial" w:cs="Arial" w:eastAsia="Arial" w:hAnsi="Arial"/>
                <w:sz w:val="22"/>
                <w:szCs w:val="22"/>
                <w:color w:val="auto"/>
              </w:rPr>
              <w:t>/s/ Sue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gridSpan w:val="2"/>
          </w:tcPr>
          <w:p>
            <w:pPr>
              <w:spacing w:after="0" w:line="223" w:lineRule="exact"/>
              <w:rPr>
                <w:sz w:val="20"/>
                <w:szCs w:val="20"/>
                <w:color w:val="auto"/>
              </w:rPr>
            </w:pPr>
            <w:r>
              <w:rPr>
                <w:rFonts w:ascii="Arial" w:cs="Arial" w:eastAsia="Arial" w:hAnsi="Arial"/>
                <w:sz w:val="22"/>
                <w:szCs w:val="22"/>
                <w:color w:val="auto"/>
              </w:rPr>
              <w:t>Fischer</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22"/>
                <w:szCs w:val="22"/>
                <w:color w:val="auto"/>
                <w:w w:val="83"/>
              </w:rPr>
              <w:t>Name: Sue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gridSpan w:val="3"/>
          </w:tcPr>
          <w:p>
            <w:pPr>
              <w:spacing w:after="0" w:line="242" w:lineRule="exact"/>
              <w:rPr>
                <w:sz w:val="20"/>
                <w:szCs w:val="20"/>
                <w:color w:val="auto"/>
              </w:rPr>
            </w:pPr>
            <w:r>
              <w:rPr>
                <w:rFonts w:ascii="Arial" w:cs="Arial" w:eastAsia="Arial" w:hAnsi="Arial"/>
                <w:sz w:val="22"/>
                <w:szCs w:val="22"/>
                <w:color w:val="auto"/>
              </w:rPr>
              <w:t>Name: Donna Marinucci</w:t>
            </w:r>
          </w:p>
        </w:tc>
        <w:tc>
          <w:tcPr>
            <w:tcW w:w="118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3"/>
          </w:tcPr>
          <w:p>
            <w:pPr>
              <w:spacing w:after="0" w:line="243" w:lineRule="exact"/>
              <w:rPr>
                <w:sz w:val="20"/>
                <w:szCs w:val="20"/>
                <w:color w:val="auto"/>
              </w:rPr>
            </w:pPr>
            <w:r>
              <w:rPr>
                <w:rFonts w:ascii="Arial" w:cs="Arial" w:eastAsia="Arial" w:hAnsi="Arial"/>
                <w:sz w:val="22"/>
                <w:szCs w:val="22"/>
                <w:color w:val="auto"/>
              </w:rPr>
              <w:t>Fischer</w:t>
            </w:r>
          </w:p>
        </w:tc>
        <w:tc>
          <w:tcPr>
            <w:tcW w:w="118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620" w:type="dxa"/>
            <w:vAlign w:val="bottom"/>
            <w:gridSpan w:val="3"/>
          </w:tcPr>
          <w:p>
            <w:pPr>
              <w:spacing w:after="0"/>
              <w:rPr>
                <w:sz w:val="20"/>
                <w:szCs w:val="20"/>
                <w:color w:val="auto"/>
              </w:rPr>
            </w:pPr>
            <w:r>
              <w:rPr>
                <w:rFonts w:ascii="Arial" w:cs="Arial" w:eastAsia="Arial" w:hAnsi="Arial"/>
                <w:sz w:val="22"/>
                <w:szCs w:val="22"/>
                <w:color w:val="auto"/>
              </w:rPr>
              <w:t>Title:  Executive Director</w:t>
            </w:r>
          </w:p>
        </w:tc>
        <w:tc>
          <w:tcPr>
            <w:tcW w:w="1180" w:type="dxa"/>
            <w:vAlign w:val="bottom"/>
          </w:tcPr>
          <w:p>
            <w:pPr>
              <w:ind w:left="360"/>
              <w:spacing w:after="0"/>
              <w:rPr>
                <w:sz w:val="20"/>
                <w:szCs w:val="20"/>
                <w:color w:val="auto"/>
              </w:rPr>
            </w:pPr>
            <w:r>
              <w:rPr>
                <w:rFonts w:ascii="Arial" w:cs="Arial" w:eastAsia="Arial" w:hAnsi="Arial"/>
                <w:sz w:val="22"/>
                <w:szCs w:val="22"/>
                <w:color w:val="auto"/>
              </w:rPr>
              <w:t>Title:</w:t>
            </w:r>
          </w:p>
        </w:tc>
        <w:tc>
          <w:tcPr>
            <w:tcW w:w="7300" w:type="dxa"/>
            <w:vAlign w:val="bottom"/>
            <w:gridSpan w:val="3"/>
          </w:tcPr>
          <w:p>
            <w:pPr>
              <w:ind w:left="340"/>
              <w:spacing w:after="0"/>
              <w:rPr>
                <w:sz w:val="20"/>
                <w:szCs w:val="20"/>
                <w:color w:val="auto"/>
              </w:rPr>
            </w:pPr>
            <w:r>
              <w:rPr>
                <w:rFonts w:ascii="Arial" w:cs="Arial" w:eastAsia="Arial" w:hAnsi="Arial"/>
                <w:sz w:val="22"/>
                <w:szCs w:val="22"/>
                <w:color w:val="auto"/>
              </w:rPr>
              <w:t>VP Clinical Operations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jc w:val="center"/>
        <w:ind w:right="862"/>
        <w:spacing w:after="0"/>
        <w:rPr>
          <w:sz w:val="20"/>
          <w:szCs w:val="20"/>
          <w:color w:val="auto"/>
        </w:rPr>
      </w:pPr>
      <w:r>
        <w:rPr>
          <w:rFonts w:ascii="Arial" w:cs="Arial" w:eastAsia="Arial" w:hAnsi="Arial"/>
          <w:sz w:val="25"/>
          <w:szCs w:val="25"/>
          <w:b w:val="1"/>
          <w:bCs w:val="1"/>
          <w:color w:val="auto"/>
        </w:rPr>
        <w:t>EXHIBIT B</w:t>
      </w:r>
    </w:p>
    <w:p>
      <w:pPr>
        <w:spacing w:after="0" w:line="104" w:lineRule="exact"/>
        <w:rPr>
          <w:sz w:val="20"/>
          <w:szCs w:val="20"/>
          <w:color w:val="auto"/>
        </w:rPr>
      </w:pPr>
    </w:p>
    <w:p>
      <w:pPr>
        <w:jc w:val="center"/>
        <w:ind w:right="882"/>
        <w:spacing w:after="0"/>
        <w:rPr>
          <w:sz w:val="20"/>
          <w:szCs w:val="20"/>
          <w:color w:val="auto"/>
        </w:rPr>
      </w:pPr>
      <w:r>
        <w:rPr>
          <w:rFonts w:ascii="Arial" w:cs="Arial" w:eastAsia="Arial" w:hAnsi="Arial"/>
          <w:sz w:val="25"/>
          <w:szCs w:val="25"/>
          <w:b w:val="1"/>
          <w:bCs w:val="1"/>
          <w:u w:val="single" w:color="auto"/>
          <w:color w:val="auto"/>
        </w:rPr>
        <w:t>E2112 Budget &amp; Payment Schedule</w:t>
      </w:r>
    </w:p>
    <w:p>
      <w:pPr>
        <w:spacing w:after="0" w:line="280" w:lineRule="exact"/>
        <w:rPr>
          <w:sz w:val="20"/>
          <w:szCs w:val="20"/>
          <w:color w:val="auto"/>
        </w:rPr>
      </w:pPr>
    </w:p>
    <w:p>
      <w:pPr>
        <w:ind w:left="857" w:hanging="857"/>
        <w:spacing w:after="0"/>
        <w:tabs>
          <w:tab w:leader="none" w:pos="857"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Budget Details</w:t>
      </w:r>
    </w:p>
    <w:p>
      <w:pPr>
        <w:spacing w:after="0" w:line="195" w:lineRule="exact"/>
        <w:rPr>
          <w:sz w:val="20"/>
          <w:szCs w:val="20"/>
          <w:color w:val="auto"/>
        </w:rPr>
      </w:pPr>
    </w:p>
    <w:p>
      <w:pPr>
        <w:ind w:left="857" w:hanging="857"/>
        <w:spacing w:after="0"/>
        <w:tabs>
          <w:tab w:leader="none" w:pos="857" w:val="left"/>
        </w:tabs>
        <w:numPr>
          <w:ilvl w:val="0"/>
          <w:numId w:val="42"/>
        </w:numPr>
        <w:rPr>
          <w:rFonts w:ascii="Arial" w:cs="Arial" w:eastAsia="Arial" w:hAnsi="Arial"/>
          <w:sz w:val="20"/>
          <w:szCs w:val="20"/>
          <w:color w:val="auto"/>
        </w:rPr>
      </w:pPr>
      <w:r>
        <w:rPr>
          <w:rFonts w:ascii="Arial" w:cs="Arial" w:eastAsia="Arial" w:hAnsi="Arial"/>
          <w:sz w:val="20"/>
          <w:szCs w:val="20"/>
          <w:color w:val="auto"/>
        </w:rPr>
        <w:t>Budget – Excluding Amendments</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this project is $19,406,948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857" w:hanging="857"/>
        <w:spacing w:after="0"/>
        <w:tabs>
          <w:tab w:leader="none" w:pos="857" w:val="left"/>
        </w:tabs>
        <w:numPr>
          <w:ilvl w:val="0"/>
          <w:numId w:val="43"/>
        </w:numPr>
        <w:rPr>
          <w:rFonts w:ascii="Arial" w:cs="Arial" w:eastAsia="Arial" w:hAnsi="Arial"/>
          <w:sz w:val="20"/>
          <w:szCs w:val="20"/>
          <w:color w:val="auto"/>
        </w:rPr>
      </w:pPr>
      <w:r>
        <w:rPr>
          <w:rFonts w:ascii="Arial" w:cs="Arial" w:eastAsia="Arial" w:hAnsi="Arial"/>
          <w:sz w:val="20"/>
          <w:szCs w:val="20"/>
          <w:color w:val="auto"/>
        </w:rPr>
        <w:t>Budget – Amendment 1</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1 is $1,200,000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937" w:hanging="843"/>
        <w:spacing w:after="0"/>
        <w:tabs>
          <w:tab w:leader="none" w:pos="937" w:val="left"/>
        </w:tabs>
        <w:numPr>
          <w:ilvl w:val="0"/>
          <w:numId w:val="44"/>
        </w:numPr>
        <w:rPr>
          <w:rFonts w:ascii="Arial" w:cs="Arial" w:eastAsia="Arial" w:hAnsi="Arial"/>
          <w:sz w:val="20"/>
          <w:szCs w:val="20"/>
          <w:color w:val="auto"/>
        </w:rPr>
      </w:pPr>
      <w:r>
        <w:rPr>
          <w:rFonts w:ascii="Arial" w:cs="Arial" w:eastAsia="Arial" w:hAnsi="Arial"/>
          <w:sz w:val="20"/>
          <w:szCs w:val="20"/>
          <w:color w:val="auto"/>
        </w:rPr>
        <w:t>Budget – Amendment 3</w:t>
      </w:r>
    </w:p>
    <w:p>
      <w:pPr>
        <w:spacing w:after="0" w:line="333" w:lineRule="exact"/>
        <w:rPr>
          <w:sz w:val="20"/>
          <w:szCs w:val="20"/>
          <w:color w:val="auto"/>
        </w:rPr>
      </w:pPr>
    </w:p>
    <w:p>
      <w:pPr>
        <w:ind w:left="117"/>
        <w:spacing w:after="0"/>
        <w:rPr>
          <w:sz w:val="20"/>
          <w:szCs w:val="20"/>
          <w:color w:val="auto"/>
        </w:rPr>
      </w:pPr>
      <w:r>
        <w:rPr>
          <w:rFonts w:ascii="Arial" w:cs="Arial" w:eastAsia="Arial" w:hAnsi="Arial"/>
          <w:sz w:val="20"/>
          <w:szCs w:val="20"/>
          <w:color w:val="auto"/>
        </w:rPr>
        <w:t>The budget for Amendment 3 (</w:t>
      </w:r>
      <w:r>
        <w:rPr>
          <w:rFonts w:ascii="Arial" w:cs="Arial" w:eastAsia="Arial" w:hAnsi="Arial"/>
          <w:sz w:val="21"/>
          <w:szCs w:val="21"/>
          <w:color w:val="auto"/>
        </w:rPr>
        <w:t>[*]</w:t>
      </w:r>
      <w:r>
        <w:rPr>
          <w:rFonts w:ascii="Arial" w:cs="Arial" w:eastAsia="Arial" w:hAnsi="Arial"/>
          <w:sz w:val="20"/>
          <w:szCs w:val="20"/>
          <w:color w:val="auto"/>
        </w:rPr>
        <w:t>) is $450,000 which is itemized as follows:</w:t>
      </w:r>
    </w:p>
    <w:p>
      <w:pPr>
        <w:spacing w:after="0" w:line="56" w:lineRule="exact"/>
        <w:rPr>
          <w:sz w:val="20"/>
          <w:szCs w:val="20"/>
          <w:color w:val="auto"/>
        </w:rPr>
      </w:pPr>
    </w:p>
    <w:p>
      <w:pPr>
        <w:ind w:left="117"/>
        <w:spacing w:after="0"/>
        <w:rPr>
          <w:sz w:val="20"/>
          <w:szCs w:val="20"/>
          <w:color w:val="auto"/>
        </w:rPr>
      </w:pPr>
      <w:r>
        <w:rPr>
          <w:rFonts w:ascii="Arial" w:cs="Arial" w:eastAsia="Arial" w:hAnsi="Arial"/>
          <w:sz w:val="22"/>
          <w:szCs w:val="22"/>
          <w:color w:val="auto"/>
        </w:rPr>
        <w:t>[*]</w:t>
      </w:r>
    </w:p>
    <w:p>
      <w:pPr>
        <w:spacing w:after="0" w:line="332" w:lineRule="exact"/>
        <w:rPr>
          <w:sz w:val="20"/>
          <w:szCs w:val="20"/>
          <w:color w:val="auto"/>
        </w:rPr>
      </w:pPr>
    </w:p>
    <w:p>
      <w:pPr>
        <w:ind w:left="937" w:hanging="843"/>
        <w:spacing w:after="0"/>
        <w:tabs>
          <w:tab w:leader="none" w:pos="937" w:val="left"/>
        </w:tabs>
        <w:numPr>
          <w:ilvl w:val="0"/>
          <w:numId w:val="45"/>
        </w:numPr>
        <w:rPr>
          <w:rFonts w:ascii="Arial" w:cs="Arial" w:eastAsia="Arial" w:hAnsi="Arial"/>
          <w:sz w:val="20"/>
          <w:szCs w:val="20"/>
          <w:color w:val="auto"/>
        </w:rPr>
      </w:pPr>
      <w:r>
        <w:rPr>
          <w:rFonts w:ascii="Arial" w:cs="Arial" w:eastAsia="Arial" w:hAnsi="Arial"/>
          <w:sz w:val="20"/>
          <w:szCs w:val="20"/>
          <w:color w:val="auto"/>
        </w:rPr>
        <w:t>Budget – Amendment 4</w:t>
      </w:r>
    </w:p>
    <w:p>
      <w:pPr>
        <w:spacing w:after="0" w:line="333" w:lineRule="exact"/>
        <w:rPr>
          <w:sz w:val="20"/>
          <w:szCs w:val="20"/>
          <w:color w:val="auto"/>
        </w:rPr>
      </w:pPr>
    </w:p>
    <w:p>
      <w:pPr>
        <w:ind w:left="117"/>
        <w:spacing w:after="0"/>
        <w:rPr>
          <w:sz w:val="20"/>
          <w:szCs w:val="20"/>
          <w:color w:val="auto"/>
        </w:rPr>
      </w:pPr>
      <w:r>
        <w:rPr>
          <w:rFonts w:ascii="Arial" w:cs="Arial" w:eastAsia="Arial" w:hAnsi="Arial"/>
          <w:sz w:val="20"/>
          <w:szCs w:val="20"/>
          <w:color w:val="auto"/>
        </w:rPr>
        <w:t>The budget for Amendment 4 (</w:t>
      </w:r>
      <w:r>
        <w:rPr>
          <w:rFonts w:ascii="Arial" w:cs="Arial" w:eastAsia="Arial" w:hAnsi="Arial"/>
          <w:sz w:val="21"/>
          <w:szCs w:val="21"/>
          <w:color w:val="auto"/>
        </w:rPr>
        <w:t>[*]</w:t>
      </w:r>
      <w:r>
        <w:rPr>
          <w:rFonts w:ascii="Arial" w:cs="Arial" w:eastAsia="Arial" w:hAnsi="Arial"/>
          <w:sz w:val="20"/>
          <w:szCs w:val="20"/>
          <w:color w:val="auto"/>
        </w:rPr>
        <w:t>) is $7,908 which is itemized as follows:</w:t>
      </w:r>
    </w:p>
    <w:p>
      <w:pPr>
        <w:spacing w:after="0" w:line="56" w:lineRule="exact"/>
        <w:rPr>
          <w:sz w:val="20"/>
          <w:szCs w:val="20"/>
          <w:color w:val="auto"/>
        </w:rPr>
      </w:pPr>
    </w:p>
    <w:p>
      <w:pPr>
        <w:ind w:left="11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5 is $30,121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332" w:lineRule="exact"/>
        <w:rPr>
          <w:sz w:val="20"/>
          <w:szCs w:val="20"/>
          <w:color w:val="auto"/>
        </w:rPr>
      </w:pPr>
    </w:p>
    <w:p>
      <w:pPr>
        <w:ind w:left="857" w:hanging="857"/>
        <w:spacing w:after="0"/>
        <w:tabs>
          <w:tab w:leader="none" w:pos="857" w:val="left"/>
        </w:tabs>
        <w:numPr>
          <w:ilvl w:val="0"/>
          <w:numId w:val="46"/>
        </w:numPr>
        <w:rPr>
          <w:rFonts w:ascii="Arial" w:cs="Arial" w:eastAsia="Arial" w:hAnsi="Arial"/>
          <w:sz w:val="20"/>
          <w:szCs w:val="20"/>
          <w:color w:val="auto"/>
        </w:rPr>
      </w:pPr>
      <w:r>
        <w:rPr>
          <w:rFonts w:ascii="Arial" w:cs="Arial" w:eastAsia="Arial" w:hAnsi="Arial"/>
          <w:sz w:val="20"/>
          <w:szCs w:val="20"/>
          <w:color w:val="auto"/>
        </w:rPr>
        <w:t>Budget – Amendment 6</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6 is $287,438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18"/>
          <w:szCs w:val="18"/>
          <w:color w:val="auto"/>
        </w:rPr>
        <w:t>Statistical services being provided through Amendment 5 is limited to [*] of [*] services plus [*] of Group [*].</w:t>
      </w:r>
    </w:p>
    <w:p>
      <w:pPr>
        <w:spacing w:after="0" w:line="212" w:lineRule="exact"/>
        <w:rPr>
          <w:sz w:val="20"/>
          <w:szCs w:val="20"/>
          <w:color w:val="auto"/>
        </w:rPr>
      </w:pPr>
    </w:p>
    <w:p>
      <w:pPr>
        <w:ind w:left="857" w:hanging="857"/>
        <w:spacing w:after="0"/>
        <w:tabs>
          <w:tab w:leader="none" w:pos="857" w:val="left"/>
        </w:tabs>
        <w:numPr>
          <w:ilvl w:val="0"/>
          <w:numId w:val="47"/>
        </w:numPr>
        <w:rPr>
          <w:rFonts w:ascii="Arial" w:cs="Arial" w:eastAsia="Arial" w:hAnsi="Arial"/>
          <w:sz w:val="20"/>
          <w:szCs w:val="20"/>
          <w:color w:val="auto"/>
        </w:rPr>
      </w:pPr>
      <w:r>
        <w:rPr>
          <w:rFonts w:ascii="Arial" w:cs="Arial" w:eastAsia="Arial" w:hAnsi="Arial"/>
          <w:sz w:val="20"/>
          <w:szCs w:val="20"/>
          <w:color w:val="auto"/>
        </w:rPr>
        <w:t>Budget – Amendment 7</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7 is $484,091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857" w:hanging="857"/>
        <w:spacing w:after="0"/>
        <w:tabs>
          <w:tab w:leader="none" w:pos="857" w:val="left"/>
        </w:tabs>
        <w:numPr>
          <w:ilvl w:val="0"/>
          <w:numId w:val="48"/>
        </w:numPr>
        <w:rPr>
          <w:rFonts w:ascii="Arial" w:cs="Arial" w:eastAsia="Arial" w:hAnsi="Arial"/>
          <w:sz w:val="20"/>
          <w:szCs w:val="20"/>
          <w:color w:val="auto"/>
        </w:rPr>
      </w:pPr>
      <w:r>
        <w:rPr>
          <w:rFonts w:ascii="Arial" w:cs="Arial" w:eastAsia="Arial" w:hAnsi="Arial"/>
          <w:sz w:val="20"/>
          <w:szCs w:val="20"/>
          <w:color w:val="auto"/>
        </w:rPr>
        <w:t>Budget – Amendment 8</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8 is $1,582,064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517" w:hanging="409"/>
        <w:spacing w:after="0"/>
        <w:tabs>
          <w:tab w:leader="none" w:pos="517" w:val="left"/>
        </w:tabs>
        <w:numPr>
          <w:ilvl w:val="0"/>
          <w:numId w:val="49"/>
        </w:numPr>
        <w:rPr>
          <w:rFonts w:ascii="Arial" w:cs="Arial" w:eastAsia="Arial" w:hAnsi="Arial"/>
          <w:sz w:val="20"/>
          <w:szCs w:val="20"/>
          <w:color w:val="auto"/>
        </w:rPr>
      </w:pPr>
      <w:r>
        <w:rPr>
          <w:rFonts w:ascii="Arial" w:cs="Arial" w:eastAsia="Arial" w:hAnsi="Arial"/>
          <w:sz w:val="20"/>
          <w:szCs w:val="20"/>
          <w:color w:val="auto"/>
        </w:rPr>
        <w:t>Budget – Amendment 9</w:t>
      </w:r>
    </w:p>
    <w:p>
      <w:pPr>
        <w:spacing w:after="0" w:line="211" w:lineRule="exact"/>
        <w:rPr>
          <w:sz w:val="20"/>
          <w:szCs w:val="20"/>
          <w:color w:val="auto"/>
        </w:rPr>
      </w:pPr>
    </w:p>
    <w:p>
      <w:pPr>
        <w:ind w:left="5557"/>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200660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17"/>
          </w:cols>
          <w:pgMar w:left="343" w:top="549" w:right="1440" w:bottom="1440" w:gutter="0" w:footer="0" w:header="0"/>
        </w:sectPr>
      </w:pPr>
    </w:p>
    <w:bookmarkStart w:id="61" w:name="page62"/>
    <w:bookmarkEnd w:id="61"/>
    <w:p>
      <w:pPr>
        <w:ind w:left="97"/>
        <w:spacing w:after="0"/>
        <w:rPr>
          <w:sz w:val="20"/>
          <w:szCs w:val="20"/>
          <w:color w:val="auto"/>
        </w:rPr>
      </w:pPr>
      <w:r>
        <w:rPr>
          <w:rFonts w:ascii="Arial" w:cs="Arial" w:eastAsia="Arial" w:hAnsi="Arial"/>
          <w:sz w:val="20"/>
          <w:szCs w:val="20"/>
          <w:color w:val="auto"/>
        </w:rPr>
        <w:t>The budget for Amendment 9 is $357,482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117"/>
        <w:spacing w:after="0"/>
        <w:tabs>
          <w:tab w:leader="none" w:pos="497"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6"/>
          <w:szCs w:val="16"/>
          <w:color w:val="auto"/>
        </w:rPr>
        <w:t>Budget – Amendment 10</w:t>
      </w:r>
    </w:p>
    <w:p>
      <w:pPr>
        <w:spacing w:after="0" w:line="184" w:lineRule="exact"/>
        <w:rPr>
          <w:sz w:val="20"/>
          <w:szCs w:val="20"/>
          <w:color w:val="auto"/>
        </w:rPr>
      </w:pPr>
    </w:p>
    <w:p>
      <w:pPr>
        <w:ind w:left="97"/>
        <w:spacing w:after="0"/>
        <w:rPr>
          <w:sz w:val="20"/>
          <w:szCs w:val="20"/>
          <w:color w:val="auto"/>
        </w:rPr>
      </w:pPr>
      <w:r>
        <w:rPr>
          <w:rFonts w:ascii="Arial" w:cs="Arial" w:eastAsia="Arial" w:hAnsi="Arial"/>
          <w:sz w:val="20"/>
          <w:szCs w:val="20"/>
          <w:color w:val="auto"/>
        </w:rPr>
        <w:t xml:space="preserve">The budget for Amendment 10 is $177,121 which is to pay </w:t>
      </w:r>
      <w:r>
        <w:rPr>
          <w:rFonts w:ascii="Arial" w:cs="Arial" w:eastAsia="Arial" w:hAnsi="Arial"/>
          <w:sz w:val="21"/>
          <w:szCs w:val="21"/>
          <w:color w:val="auto"/>
        </w:rPr>
        <w:t>[*]</w:t>
      </w:r>
      <w:r>
        <w:rPr>
          <w:rFonts w:ascii="Arial" w:cs="Arial" w:eastAsia="Arial" w:hAnsi="Arial"/>
          <w:sz w:val="20"/>
          <w:szCs w:val="20"/>
          <w:color w:val="auto"/>
        </w:rPr>
        <w:t xml:space="preserve"> provided by </w:t>
      </w:r>
      <w:r>
        <w:rPr>
          <w:rFonts w:ascii="Arial" w:cs="Arial" w:eastAsia="Arial" w:hAnsi="Arial"/>
          <w:sz w:val="21"/>
          <w:szCs w:val="21"/>
          <w:color w:val="auto"/>
        </w:rPr>
        <w:t>[*]</w:t>
      </w:r>
      <w:r>
        <w:rPr>
          <w:rFonts w:ascii="Arial" w:cs="Arial" w:eastAsia="Arial" w:hAnsi="Arial"/>
          <w:sz w:val="20"/>
          <w:szCs w:val="20"/>
          <w:color w:val="auto"/>
        </w:rPr>
        <w:t>.</w:t>
      </w:r>
    </w:p>
    <w:p>
      <w:pPr>
        <w:spacing w:after="0" w:line="344" w:lineRule="exact"/>
        <w:rPr>
          <w:sz w:val="20"/>
          <w:szCs w:val="20"/>
          <w:color w:val="auto"/>
        </w:rPr>
      </w:pPr>
    </w:p>
    <w:p>
      <w:pPr>
        <w:ind w:left="117"/>
        <w:spacing w:after="0"/>
        <w:tabs>
          <w:tab w:leader="none" w:pos="497"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Budget – Amendment 11</w:t>
      </w:r>
    </w:p>
    <w:p>
      <w:pPr>
        <w:spacing w:after="0" w:line="189" w:lineRule="exact"/>
        <w:rPr>
          <w:sz w:val="20"/>
          <w:szCs w:val="20"/>
          <w:color w:val="auto"/>
        </w:rPr>
      </w:pPr>
    </w:p>
    <w:p>
      <w:pPr>
        <w:ind w:left="97"/>
        <w:spacing w:after="0"/>
        <w:rPr>
          <w:sz w:val="20"/>
          <w:szCs w:val="20"/>
          <w:color w:val="auto"/>
        </w:rPr>
      </w:pPr>
      <w:r>
        <w:rPr>
          <w:rFonts w:ascii="Arial" w:cs="Arial" w:eastAsia="Arial" w:hAnsi="Arial"/>
          <w:sz w:val="20"/>
          <w:szCs w:val="20"/>
          <w:color w:val="auto"/>
        </w:rPr>
        <w:t>The budget for Amendment 11 is $106,398 which is itemized as follows:</w:t>
      </w:r>
    </w:p>
    <w:p>
      <w:pPr>
        <w:spacing w:after="0" w:line="49" w:lineRule="exact"/>
        <w:rPr>
          <w:sz w:val="20"/>
          <w:szCs w:val="20"/>
          <w:color w:val="auto"/>
        </w:rPr>
      </w:pPr>
    </w:p>
    <w:p>
      <w:pPr>
        <w:ind w:left="97"/>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ind w:left="117"/>
        <w:spacing w:after="0"/>
        <w:tabs>
          <w:tab w:leader="none" w:pos="497"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Invoicing and Payments</w:t>
      </w:r>
    </w:p>
    <w:p>
      <w:pPr>
        <w:spacing w:after="0" w:line="211" w:lineRule="exact"/>
        <w:rPr>
          <w:sz w:val="20"/>
          <w:szCs w:val="20"/>
          <w:color w:val="auto"/>
        </w:rPr>
      </w:pPr>
    </w:p>
    <w:p>
      <w:pPr>
        <w:ind w:left="97"/>
        <w:spacing w:after="0" w:line="267" w:lineRule="auto"/>
        <w:rPr>
          <w:sz w:val="20"/>
          <w:szCs w:val="20"/>
          <w:color w:val="auto"/>
        </w:rPr>
      </w:pPr>
      <w:r>
        <w:rPr>
          <w:rFonts w:ascii="Arial" w:cs="Arial" w:eastAsia="Arial" w:hAnsi="Arial"/>
          <w:sz w:val="20"/>
          <w:szCs w:val="20"/>
          <w:color w:val="auto"/>
        </w:rPr>
        <w:t xml:space="preserve">Company will make payments within </w:t>
      </w:r>
      <w:r>
        <w:rPr>
          <w:rFonts w:ascii="Arial" w:cs="Arial" w:eastAsia="Arial" w:hAnsi="Arial"/>
          <w:sz w:val="21"/>
          <w:szCs w:val="21"/>
          <w:color w:val="auto"/>
        </w:rPr>
        <w:t>[*]</w:t>
      </w:r>
      <w:r>
        <w:rPr>
          <w:rFonts w:ascii="Arial" w:cs="Arial" w:eastAsia="Arial" w:hAnsi="Arial"/>
          <w:sz w:val="20"/>
          <w:szCs w:val="20"/>
          <w:color w:val="auto"/>
        </w:rPr>
        <w:t xml:space="preserve"> of receipt of invoices from Group according to the Payment Schedule herein. Payments will be made to as set forth in Section 1.B of the Agreement as follows:</w:t>
      </w:r>
    </w:p>
    <w:p>
      <w:pPr>
        <w:spacing w:after="0" w:line="169" w:lineRule="exact"/>
        <w:rPr>
          <w:sz w:val="20"/>
          <w:szCs w:val="20"/>
          <w:color w:val="auto"/>
        </w:rPr>
      </w:pPr>
    </w:p>
    <w:p>
      <w:pPr>
        <w:ind w:left="1817"/>
        <w:spacing w:after="0"/>
        <w:rPr>
          <w:sz w:val="20"/>
          <w:szCs w:val="20"/>
          <w:color w:val="auto"/>
        </w:rPr>
      </w:pPr>
      <w:r>
        <w:rPr>
          <w:rFonts w:ascii="Arial" w:cs="Arial" w:eastAsia="Arial" w:hAnsi="Arial"/>
          <w:sz w:val="20"/>
          <w:szCs w:val="20"/>
          <w:color w:val="auto"/>
        </w:rPr>
        <w:t>ECOG Research and Education Foundation, Inc.</w:t>
      </w:r>
    </w:p>
    <w:p>
      <w:pPr>
        <w:spacing w:after="0" w:line="15" w:lineRule="exact"/>
        <w:rPr>
          <w:sz w:val="20"/>
          <w:szCs w:val="20"/>
          <w:color w:val="auto"/>
        </w:rPr>
      </w:pPr>
    </w:p>
    <w:p>
      <w:pPr>
        <w:ind w:left="1817"/>
        <w:spacing w:after="0"/>
        <w:rPr>
          <w:sz w:val="20"/>
          <w:szCs w:val="20"/>
          <w:color w:val="auto"/>
        </w:rPr>
      </w:pPr>
      <w:r>
        <w:rPr>
          <w:rFonts w:ascii="Arial" w:cs="Arial" w:eastAsia="Arial" w:hAnsi="Arial"/>
          <w:sz w:val="20"/>
          <w:szCs w:val="20"/>
          <w:color w:val="auto"/>
        </w:rPr>
        <w:t>Agent for ECOG-ACRIN Cancer Research Group</w:t>
      </w:r>
    </w:p>
    <w:p>
      <w:pPr>
        <w:ind w:left="1817"/>
        <w:spacing w:after="0"/>
        <w:rPr>
          <w:sz w:val="20"/>
          <w:szCs w:val="20"/>
          <w:color w:val="auto"/>
        </w:rPr>
      </w:pPr>
      <w:r>
        <w:rPr>
          <w:rFonts w:ascii="Arial" w:cs="Arial" w:eastAsia="Arial" w:hAnsi="Arial"/>
          <w:sz w:val="20"/>
          <w:szCs w:val="20"/>
          <w:color w:val="auto"/>
        </w:rPr>
        <w:t>Attn: Donna Marinucci</w:t>
      </w:r>
    </w:p>
    <w:p>
      <w:pPr>
        <w:ind w:left="1817"/>
        <w:spacing w:after="0"/>
        <w:rPr>
          <w:sz w:val="20"/>
          <w:szCs w:val="20"/>
          <w:color w:val="auto"/>
        </w:rPr>
      </w:pPr>
      <w:r>
        <w:rPr>
          <w:rFonts w:ascii="Arial" w:cs="Arial" w:eastAsia="Arial" w:hAnsi="Arial"/>
          <w:sz w:val="20"/>
          <w:szCs w:val="20"/>
          <w:color w:val="auto"/>
        </w:rPr>
        <w:t>1818 Market Street, Suite 3000</w:t>
      </w:r>
    </w:p>
    <w:p>
      <w:pPr>
        <w:ind w:left="1817"/>
        <w:spacing w:after="0"/>
        <w:rPr>
          <w:sz w:val="20"/>
          <w:szCs w:val="20"/>
          <w:color w:val="auto"/>
        </w:rPr>
      </w:pPr>
      <w:r>
        <w:rPr>
          <w:rFonts w:ascii="Arial" w:cs="Arial" w:eastAsia="Arial" w:hAnsi="Arial"/>
          <w:sz w:val="20"/>
          <w:szCs w:val="20"/>
          <w:color w:val="auto"/>
        </w:rPr>
        <w:t>Philadelphia, PA 19103</w:t>
      </w:r>
    </w:p>
    <w:p>
      <w:pPr>
        <w:ind w:left="397"/>
        <w:spacing w:after="0"/>
        <w:rPr>
          <w:sz w:val="20"/>
          <w:szCs w:val="20"/>
          <w:color w:val="auto"/>
        </w:rPr>
      </w:pPr>
      <w:r>
        <w:rPr>
          <w:rFonts w:ascii="Arial" w:cs="Arial" w:eastAsia="Arial" w:hAnsi="Arial"/>
          <w:sz w:val="20"/>
          <w:szCs w:val="20"/>
          <w:color w:val="auto"/>
        </w:rPr>
        <w:t>Group will send invoices to the following address:</w:t>
      </w:r>
    </w:p>
    <w:p>
      <w:pPr>
        <w:ind w:left="1817"/>
        <w:spacing w:after="0"/>
        <w:rPr>
          <w:sz w:val="20"/>
          <w:szCs w:val="20"/>
          <w:color w:val="auto"/>
        </w:rPr>
      </w:pPr>
      <w:r>
        <w:rPr>
          <w:rFonts w:ascii="Arial" w:cs="Arial" w:eastAsia="Arial" w:hAnsi="Arial"/>
          <w:sz w:val="20"/>
          <w:szCs w:val="20"/>
          <w:color w:val="auto"/>
        </w:rPr>
        <w:t>Sue Fischer</w:t>
      </w:r>
    </w:p>
    <w:p>
      <w:pPr>
        <w:spacing w:after="0" w:line="4" w:lineRule="exact"/>
        <w:rPr>
          <w:sz w:val="20"/>
          <w:szCs w:val="20"/>
          <w:color w:val="auto"/>
        </w:rPr>
      </w:pPr>
    </w:p>
    <w:p>
      <w:pPr>
        <w:ind w:left="1817"/>
        <w:spacing w:after="0"/>
        <w:rPr>
          <w:sz w:val="20"/>
          <w:szCs w:val="20"/>
          <w:color w:val="auto"/>
        </w:rPr>
      </w:pPr>
      <w:r>
        <w:rPr>
          <w:rFonts w:ascii="Arial" w:cs="Arial" w:eastAsia="Arial" w:hAnsi="Arial"/>
          <w:sz w:val="20"/>
          <w:szCs w:val="20"/>
          <w:color w:val="auto"/>
        </w:rPr>
        <w:t>Vice President, Clinical Operations</w:t>
      </w:r>
    </w:p>
    <w:p>
      <w:pPr>
        <w:spacing w:after="0" w:line="13" w:lineRule="exact"/>
        <w:rPr>
          <w:sz w:val="20"/>
          <w:szCs w:val="20"/>
          <w:color w:val="auto"/>
        </w:rPr>
      </w:pPr>
    </w:p>
    <w:p>
      <w:pPr>
        <w:ind w:left="1817"/>
        <w:spacing w:after="0"/>
        <w:rPr>
          <w:sz w:val="20"/>
          <w:szCs w:val="20"/>
          <w:color w:val="auto"/>
        </w:rPr>
      </w:pPr>
      <w:r>
        <w:rPr>
          <w:rFonts w:ascii="Arial" w:cs="Arial" w:eastAsia="Arial" w:hAnsi="Arial"/>
          <w:sz w:val="20"/>
          <w:szCs w:val="20"/>
          <w:color w:val="auto"/>
        </w:rPr>
        <w:t>Syndax Pharmaceuticals, Inc.</w:t>
      </w:r>
    </w:p>
    <w:p>
      <w:pPr>
        <w:ind w:left="1817"/>
        <w:spacing w:after="0" w:line="184" w:lineRule="auto"/>
        <w:rPr>
          <w:sz w:val="20"/>
          <w:szCs w:val="20"/>
          <w:color w:val="auto"/>
        </w:rPr>
      </w:pPr>
      <w:r>
        <w:rPr>
          <w:rFonts w:ascii="Arial" w:cs="Arial" w:eastAsia="Arial" w:hAnsi="Arial"/>
          <w:sz w:val="18"/>
          <w:szCs w:val="18"/>
          <w:color w:val="auto"/>
        </w:rPr>
        <w:t>35 Gatehouse Drive, Building D,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Flr</w:t>
      </w:r>
    </w:p>
    <w:p>
      <w:pPr>
        <w:ind w:left="1817"/>
        <w:spacing w:after="0"/>
        <w:rPr>
          <w:sz w:val="20"/>
          <w:szCs w:val="20"/>
          <w:color w:val="auto"/>
        </w:rPr>
      </w:pPr>
      <w:r>
        <w:rPr>
          <w:rFonts w:ascii="Arial" w:cs="Arial" w:eastAsia="Arial" w:hAnsi="Arial"/>
          <w:sz w:val="20"/>
          <w:szCs w:val="20"/>
          <w:color w:val="auto"/>
        </w:rPr>
        <w:t>Waltham, MA 02451</w:t>
      </w:r>
    </w:p>
    <w:p>
      <w:pPr>
        <w:spacing w:after="0" w:line="167" w:lineRule="exact"/>
        <w:rPr>
          <w:sz w:val="20"/>
          <w:szCs w:val="20"/>
          <w:color w:val="auto"/>
        </w:rPr>
      </w:pPr>
    </w:p>
    <w:p>
      <w:pPr>
        <w:ind w:left="937" w:hanging="843"/>
        <w:spacing w:after="0"/>
        <w:tabs>
          <w:tab w:leader="none" w:pos="93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Excluding Amendments</w:t>
      </w:r>
    </w:p>
    <w:p>
      <w:pPr>
        <w:spacing w:after="0" w:line="114" w:lineRule="exact"/>
        <w:rPr>
          <w:sz w:val="20"/>
          <w:szCs w:val="20"/>
          <w:color w:val="auto"/>
        </w:rPr>
      </w:pPr>
    </w:p>
    <w:p>
      <w:pPr>
        <w:ind w:left="37"/>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103" w:lineRule="exact"/>
        <w:rPr>
          <w:sz w:val="20"/>
          <w:szCs w:val="20"/>
          <w:color w:val="auto"/>
        </w:rPr>
      </w:pPr>
    </w:p>
    <w:p>
      <w:pPr>
        <w:ind w:left="37"/>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ind w:left="937" w:hanging="843"/>
        <w:spacing w:after="0"/>
        <w:tabs>
          <w:tab w:leader="none" w:pos="93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1</w:t>
      </w:r>
    </w:p>
    <w:p>
      <w:pPr>
        <w:spacing w:after="0" w:line="114" w:lineRule="exact"/>
        <w:rPr>
          <w:sz w:val="20"/>
          <w:szCs w:val="20"/>
          <w:color w:val="auto"/>
        </w:rPr>
      </w:pPr>
    </w:p>
    <w:p>
      <w:pPr>
        <w:ind w:left="37"/>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103" w:lineRule="exact"/>
        <w:rPr>
          <w:sz w:val="20"/>
          <w:szCs w:val="20"/>
          <w:color w:val="auto"/>
        </w:rPr>
      </w:pPr>
    </w:p>
    <w:p>
      <w:pPr>
        <w:ind w:left="37"/>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857" w:hanging="857"/>
        <w:spacing w:after="0"/>
        <w:tabs>
          <w:tab w:leader="none" w:pos="857"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3 (</w:t>
      </w:r>
      <w:r>
        <w:rPr>
          <w:rFonts w:ascii="Arial" w:cs="Arial" w:eastAsia="Arial" w:hAnsi="Arial"/>
          <w:sz w:val="21"/>
          <w:szCs w:val="21"/>
          <w:color w:val="auto"/>
        </w:rPr>
        <w:t>[*]</w:t>
      </w:r>
      <w:r>
        <w:rPr>
          <w:rFonts w:ascii="Arial" w:cs="Arial" w:eastAsia="Arial" w:hAnsi="Arial"/>
          <w:sz w:val="20"/>
          <w:szCs w:val="20"/>
          <w:b w:val="1"/>
          <w:bCs w:val="1"/>
          <w:color w:val="auto"/>
        </w:rPr>
        <w:t>)</w:t>
      </w:r>
    </w:p>
    <w:p>
      <w:pPr>
        <w:spacing w:after="0" w:line="114" w:lineRule="exact"/>
        <w:rPr>
          <w:sz w:val="20"/>
          <w:szCs w:val="20"/>
          <w:color w:val="auto"/>
        </w:rPr>
      </w:pPr>
    </w:p>
    <w:p>
      <w:pPr>
        <w:ind w:left="37"/>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103" w:lineRule="exact"/>
        <w:rPr>
          <w:sz w:val="20"/>
          <w:szCs w:val="20"/>
          <w:color w:val="auto"/>
        </w:rPr>
      </w:pPr>
    </w:p>
    <w:p>
      <w:pPr>
        <w:ind w:left="37"/>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ind w:left="857" w:hanging="857"/>
        <w:spacing w:after="0"/>
        <w:tabs>
          <w:tab w:leader="none" w:pos="85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4</w:t>
      </w:r>
    </w:p>
    <w:p>
      <w:pPr>
        <w:spacing w:after="0" w:line="114" w:lineRule="exact"/>
        <w:rPr>
          <w:sz w:val="20"/>
          <w:szCs w:val="20"/>
          <w:color w:val="auto"/>
        </w:rPr>
      </w:pPr>
    </w:p>
    <w:p>
      <w:pPr>
        <w:ind w:left="37"/>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1" w:lineRule="exact"/>
        <w:rPr>
          <w:sz w:val="20"/>
          <w:szCs w:val="20"/>
          <w:color w:val="auto"/>
        </w:rPr>
      </w:pPr>
    </w:p>
    <w:p>
      <w:pPr>
        <w:jc w:val="center"/>
        <w:ind w:right="-3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200660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97"/>
          </w:cols>
          <w:pgMar w:left="343" w:top="312" w:right="359" w:bottom="1440" w:gutter="0" w:footer="0" w:header="0"/>
        </w:sectPr>
      </w:pPr>
    </w:p>
    <w:bookmarkStart w:id="62" w:name="page63"/>
    <w:bookmarkEnd w:id="62"/>
    <w:p>
      <w:pPr>
        <w:ind w:left="140"/>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ind w:left="960" w:hanging="857"/>
        <w:spacing w:after="0"/>
        <w:tabs>
          <w:tab w:leader="none" w:pos="9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5</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ind w:left="960" w:hanging="857"/>
        <w:spacing w:after="0"/>
        <w:tabs>
          <w:tab w:leader="none" w:pos="9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ind w:left="960" w:hanging="857"/>
        <w:spacing w:after="0"/>
        <w:tabs>
          <w:tab w:leader="none" w:pos="9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ind w:left="960" w:hanging="857"/>
        <w:spacing w:after="0"/>
        <w:tabs>
          <w:tab w:leader="none" w:pos="9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8</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ind w:left="960" w:hanging="857"/>
        <w:spacing w:after="0"/>
        <w:tabs>
          <w:tab w:leader="none" w:pos="9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9</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326" w:lineRule="exact"/>
        <w:rPr>
          <w:sz w:val="20"/>
          <w:szCs w:val="20"/>
          <w:color w:val="auto"/>
        </w:rPr>
      </w:pPr>
    </w:p>
    <w:p>
      <w:pPr>
        <w:ind w:left="960" w:hanging="857"/>
        <w:spacing w:after="0"/>
        <w:tabs>
          <w:tab w:leader="none" w:pos="9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10</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326" w:lineRule="exact"/>
        <w:rPr>
          <w:sz w:val="20"/>
          <w:szCs w:val="20"/>
          <w:color w:val="auto"/>
        </w:rPr>
      </w:pPr>
    </w:p>
    <w:p>
      <w:pPr>
        <w:ind w:left="960" w:hanging="857"/>
        <w:spacing w:after="0"/>
        <w:tabs>
          <w:tab w:leader="none" w:pos="9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11</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63" w:name="page64"/>
    <w:bookmarkEnd w:id="63"/>
    <w:p>
      <w:pPr>
        <w:jc w:val="center"/>
        <w:ind w:right="-499"/>
        <w:spacing w:after="0"/>
        <w:rPr>
          <w:sz w:val="20"/>
          <w:szCs w:val="20"/>
          <w:color w:val="auto"/>
        </w:rPr>
      </w:pPr>
      <w:r>
        <w:rPr>
          <w:rFonts w:ascii="Arial" w:cs="Arial" w:eastAsia="Arial" w:hAnsi="Arial"/>
          <w:sz w:val="25"/>
          <w:szCs w:val="25"/>
          <w:b w:val="1"/>
          <w:bCs w:val="1"/>
          <w:color w:val="auto"/>
        </w:rPr>
        <w:t>EXHIBIT G</w:t>
      </w:r>
    </w:p>
    <w:p>
      <w:pPr>
        <w:spacing w:after="0" w:line="38"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u w:val="single" w:color="auto"/>
          <w:color w:val="auto"/>
        </w:rPr>
        <w:t>E2112 Scope of Work – Amendment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157480</wp:posOffset>
            </wp:positionV>
            <wp:extent cx="400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277495</wp:posOffset>
            </wp:positionV>
            <wp:extent cx="2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Protocol Title: </w:t>
      </w:r>
      <w:r>
        <w:rPr>
          <w:rFonts w:ascii="Arial" w:cs="Arial" w:eastAsia="Arial" w:hAnsi="Arial"/>
          <w:sz w:val="20"/>
          <w:szCs w:val="20"/>
          <w:color w:val="auto"/>
        </w:rPr>
        <w:t>A Randomized Phase III Trial of Endocrine Therapy plus Entinostat/Placebo in Patients with Hormone Receptor-Positive</w:t>
      </w:r>
      <w:r>
        <w:rPr>
          <w:rFonts w:ascii="Arial" w:cs="Arial" w:eastAsia="Arial" w:hAnsi="Arial"/>
          <w:sz w:val="20"/>
          <w:szCs w:val="20"/>
          <w:b w:val="1"/>
          <w:bCs w:val="1"/>
          <w:color w:val="auto"/>
        </w:rPr>
        <w:t xml:space="preserve"> </w:t>
      </w:r>
      <w:r>
        <w:rPr>
          <w:rFonts w:ascii="Arial" w:cs="Arial" w:eastAsia="Arial" w:hAnsi="Arial"/>
          <w:sz w:val="20"/>
          <w:szCs w:val="20"/>
          <w:color w:val="auto"/>
        </w:rPr>
        <w:t>Advanced Breast Cancer</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20"/>
          </w:cols>
          <w:pgMar w:left="240" w:top="117" w:right="739" w:bottom="1440" w:gutter="0" w:footer="0" w:header="0"/>
        </w:sectPr>
      </w:pPr>
    </w:p>
    <w:bookmarkStart w:id="64" w:name="page65"/>
    <w:bookmarkEnd w:id="64"/>
    <w:p>
      <w:pPr>
        <w:ind w:right="500"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is omitted because it is not material and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SYNDAX PHARMACEUTICALS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35 Gatehouse Drive</w:t>
      </w:r>
    </w:p>
    <w:p>
      <w:pPr>
        <w:spacing w:after="0" w:line="234" w:lineRule="auto"/>
        <w:rPr>
          <w:sz w:val="20"/>
          <w:szCs w:val="20"/>
          <w:color w:val="auto"/>
        </w:rPr>
      </w:pPr>
      <w:r>
        <w:rPr>
          <w:rFonts w:ascii="Arial" w:cs="Arial" w:eastAsia="Arial" w:hAnsi="Arial"/>
          <w:sz w:val="18"/>
          <w:szCs w:val="18"/>
          <w:color w:val="auto"/>
        </w:rPr>
        <w:t>Building D, Floor 3</w:t>
      </w:r>
    </w:p>
    <w:p>
      <w:pPr>
        <w:spacing w:after="0" w:line="235" w:lineRule="auto"/>
        <w:rPr>
          <w:sz w:val="20"/>
          <w:szCs w:val="20"/>
          <w:color w:val="auto"/>
        </w:rPr>
      </w:pPr>
      <w:r>
        <w:rPr>
          <w:rFonts w:ascii="Arial" w:cs="Arial" w:eastAsia="Arial" w:hAnsi="Arial"/>
          <w:sz w:val="18"/>
          <w:szCs w:val="18"/>
          <w:color w:val="auto"/>
        </w:rPr>
        <w:t>Waltham,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Massachusetts 02451, USA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President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July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LICENSE AGREEMENT BETWEEN UCB BIOPHARMA SPRL (“UCB”) AND SYNDAX PHARMACEUTICALS INC (“Syndax”) DATED 1 JULY 2016 (“Agreement”)</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refer to the Agreement entered into by UCB and Syndax under which UCB granted Syndax certain license rights to develop and commercialize products containing UCB6352 (now referred to by Syndax as SNDX6352).</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the extent not explicitly defined herein, capitalised terms used in this Amendment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shall have the same meaning as set forth in the Agreement. Any reference to a Section shall be to a section of the Agreement, unless expressly specified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Syndax has requested an extension of the deadline by when clinical development of the Compound [*] shall commence (as set forth in Section 6.3.2), and UCB is prepared to agree to such an extension on a one-off basis on certain terms and conditions. The Parties therefore wish to record the terms and conditions on which such extension shall be granted by UCB in the form of this Amendment in accordance with Section 12.6.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set out in this Amendment, and with effect from 30</w:t>
      </w:r>
      <w:r>
        <w:rPr>
          <w:rFonts w:ascii="Arial" w:cs="Arial" w:eastAsia="Arial" w:hAnsi="Arial"/>
          <w:sz w:val="15"/>
          <w:szCs w:val="15"/>
          <w:color w:val="auto"/>
        </w:rPr>
        <w:t>th</w:t>
      </w:r>
      <w:r>
        <w:rPr>
          <w:rFonts w:ascii="Arial" w:cs="Arial" w:eastAsia="Arial" w:hAnsi="Arial"/>
          <w:sz w:val="18"/>
          <w:szCs w:val="18"/>
          <w:color w:val="auto"/>
        </w:rPr>
        <w:t xml:space="preserve"> June 2019, the Parties agree to amend the</w:t>
      </w:r>
    </w:p>
    <w:p>
      <w:pPr>
        <w:spacing w:after="0"/>
        <w:rPr>
          <w:sz w:val="20"/>
          <w:szCs w:val="20"/>
          <w:color w:val="auto"/>
        </w:rPr>
      </w:pPr>
      <w:r>
        <w:rPr>
          <w:rFonts w:ascii="Arial" w:cs="Arial" w:eastAsia="Arial" w:hAnsi="Arial"/>
          <w:sz w:val="18"/>
          <w:szCs w:val="18"/>
          <w:color w:val="auto"/>
        </w:rPr>
        <w:t>Agreement as follows:</w:t>
      </w:r>
    </w:p>
    <w:p>
      <w:pPr>
        <w:spacing w:after="0" w:line="21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1.1.</w:t>
        <w:tab/>
        <w:t>Section 6.3.2 shall be deleted in its entirety and replaced with the following:</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“Commence clinical development of the Compound [*] from the Effective Date;”</w:t>
      </w:r>
    </w:p>
    <w:p>
      <w:pPr>
        <w:spacing w:after="0" w:line="23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 new Section 6.8 shall be inserted after Section 6.7:</w:t>
      </w:r>
    </w:p>
    <w:p>
      <w:pPr>
        <w:spacing w:after="0" w:line="194" w:lineRule="exact"/>
        <w:rPr>
          <w:sz w:val="20"/>
          <w:szCs w:val="20"/>
          <w:color w:val="auto"/>
        </w:rPr>
      </w:pPr>
    </w:p>
    <w:p>
      <w:pPr>
        <w:jc w:val="both"/>
        <w:ind w:left="1020"/>
        <w:spacing w:after="0" w:line="24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Right to Extend</w:t>
      </w:r>
      <w:r>
        <w:rPr>
          <w:rFonts w:ascii="Arial" w:cs="Arial" w:eastAsia="Arial" w:hAnsi="Arial"/>
          <w:sz w:val="18"/>
          <w:szCs w:val="18"/>
          <w:i w:val="1"/>
          <w:iCs w:val="1"/>
          <w:color w:val="auto"/>
        </w:rPr>
        <w:t>. Without prejudice to Section 6.4 (Right to Terminate), the Company may request an extension of the [*] set forth in Section 6.3.2 (“[*]”), subject to the prior written consent of UCB. In the event that an extension is approved by UCB beyond the [*], interest shall be payable by the Company at the same time as, and on the full value of, [*] (as described in Section 4.2), such interest to be calculated at the rate set forth in Section 4.12 as accrued from the date of the [*] until the date of payment of such [*]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together with the Agreement, constitutes the entire agreement between the Parties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both"/>
        <w:spacing w:after="0" w:line="245" w:lineRule="auto"/>
        <w:rPr>
          <w:sz w:val="20"/>
          <w:szCs w:val="20"/>
          <w:color w:val="auto"/>
        </w:rPr>
      </w:pPr>
      <w:r>
        <w:rPr>
          <w:rFonts w:ascii="Arial" w:cs="Arial" w:eastAsia="Arial" w:hAnsi="Arial"/>
          <w:sz w:val="18"/>
          <w:szCs w:val="18"/>
          <w:color w:val="auto"/>
        </w:rPr>
        <w:t>respect to the subject matter contained therein, and together, supersedes and replaces any and all prior and contemporaneous understandings, arrangements and agreements, whether written or oral, with respect to the subject matter.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Agreement constitutes Confidential Information of both Parties, governed by the terms of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expressly stated herein, all terms and conditions of the Agreement shall remain unchanged and in full force and effect.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Amendment may be executed in any number of counterparts and by the Parties on separate counterparts, each of which is an original but all of which together constitute one and the same instrument. Electronically executed or electronically transmitted signatures (including via fax or by email in “.pdf” format) shall have the full force and effect of original signatures.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Amendment and any non-contractual obligations arising in connection with it shall be governed and construed in accordance with the laws of the State of New York, without regard to its conflict of law principles.</w:t>
      </w:r>
    </w:p>
    <w:p>
      <w:pPr>
        <w:spacing w:after="0" w:line="19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Please acknowledge receipt of this Amendment and confirm your acceptance of its contents by signing and returning to us the enclosed duplicate of this Amendment.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UCB BIOPHARMA SPRL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Signed: /s/ [*]</w:t>
      </w:r>
    </w:p>
    <w:p>
      <w:pPr>
        <w:spacing w:after="0" w:line="234" w:lineRule="auto"/>
        <w:rPr>
          <w:sz w:val="20"/>
          <w:szCs w:val="20"/>
          <w:color w:val="auto"/>
        </w:rPr>
      </w:pPr>
      <w:r>
        <w:rPr>
          <w:rFonts w:ascii="Arial" w:cs="Arial" w:eastAsia="Arial" w:hAnsi="Arial"/>
          <w:sz w:val="18"/>
          <w:szCs w:val="18"/>
          <w:color w:val="auto"/>
        </w:rPr>
        <w:t>Name: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Acknowledgement and Agreement</w:t>
      </w:r>
    </w:p>
    <w:p>
      <w:pPr>
        <w:spacing w:after="0" w:line="19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Receipt of this Amendment is acknowledged by us and we hereby agree to the terms of the Amendment in accordance with the terms set out above.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rPr>
          <w:sz w:val="20"/>
          <w:szCs w:val="20"/>
          <w:color w:val="auto"/>
        </w:rPr>
      </w:pPr>
      <w:r>
        <w:rPr>
          <w:rFonts w:ascii="Arial" w:cs="Arial" w:eastAsia="Arial" w:hAnsi="Arial"/>
          <w:sz w:val="18"/>
          <w:szCs w:val="18"/>
          <w:b w:val="1"/>
          <w:bCs w:val="1"/>
          <w:color w:val="auto"/>
        </w:rPr>
        <w:t>SYNDAX PHARMACEUTICALS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Name: /s/ Luke J. Albrecht</w:t>
      </w:r>
    </w:p>
    <w:p>
      <w:pPr>
        <w:spacing w:after="0" w:line="234" w:lineRule="auto"/>
        <w:rPr>
          <w:sz w:val="20"/>
          <w:szCs w:val="20"/>
          <w:color w:val="auto"/>
        </w:rPr>
      </w:pPr>
      <w:r>
        <w:rPr>
          <w:rFonts w:ascii="Arial" w:cs="Arial" w:eastAsia="Arial" w:hAnsi="Arial"/>
          <w:sz w:val="18"/>
          <w:szCs w:val="18"/>
          <w:color w:val="auto"/>
        </w:rPr>
        <w:t>Title: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July 9,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7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7, 2019</w:t>
            </w:r>
          </w:p>
        </w:tc>
        <w:tc>
          <w:tcPr>
            <w:tcW w:w="7080" w:type="dxa"/>
            <w:vAlign w:val="bottom"/>
            <w:gridSpan w:val="2"/>
          </w:tcPr>
          <w:p>
            <w:pPr>
              <w:ind w:left="2540"/>
              <w:spacing w:after="0"/>
              <w:rPr>
                <w:sz w:val="20"/>
                <w:szCs w:val="20"/>
                <w:color w:val="auto"/>
              </w:rPr>
            </w:pPr>
            <w:r>
              <w:rPr>
                <w:rFonts w:ascii="Arial" w:cs="Arial" w:eastAsia="Arial" w:hAnsi="Arial"/>
                <w:sz w:val="18"/>
                <w:szCs w:val="18"/>
                <w:color w:val="auto"/>
              </w:rPr>
              <w:t>By:  /s/ Briggs W. Morrison, M.D.</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700" w:hanging="17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7, 2019</w:t>
            </w:r>
          </w:p>
        </w:tc>
        <w:tc>
          <w:tcPr>
            <w:tcW w:w="7080" w:type="dxa"/>
            <w:vAlign w:val="bottom"/>
            <w:gridSpan w:val="2"/>
          </w:tcPr>
          <w:p>
            <w:pPr>
              <w:ind w:left="2560"/>
              <w:spacing w:after="0"/>
              <w:rPr>
                <w:sz w:val="20"/>
                <w:szCs w:val="20"/>
                <w:color w:val="auto"/>
              </w:rPr>
            </w:pPr>
            <w:r>
              <w:rPr>
                <w:rFonts w:ascii="Arial" w:cs="Arial" w:eastAsia="Arial" w:hAnsi="Arial"/>
                <w:sz w:val="18"/>
                <w:szCs w:val="18"/>
                <w:color w:val="auto"/>
              </w:rPr>
              <w:t>By:  /s/ Richard P. Shea</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13"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2019,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7, 2019</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340" w:type="dxa"/>
            <w:vAlign w:val="bottom"/>
          </w:tcPr>
          <w:p>
            <w:pPr>
              <w:spacing w:after="0"/>
              <w:rPr>
                <w:sz w:val="20"/>
                <w:szCs w:val="20"/>
                <w:color w:val="auto"/>
              </w:rPr>
            </w:pPr>
            <w:r>
              <w:rPr>
                <w:rFonts w:ascii="Arial" w:cs="Arial" w:eastAsia="Arial" w:hAnsi="Arial"/>
                <w:sz w:val="18"/>
                <w:szCs w:val="18"/>
                <w:color w:val="auto"/>
              </w:rPr>
              <w:t>Date: November 7, 2019</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3"/>
    </w:lvl>
  </w:abstractNum>
  <w:abstractNum w:abstractNumId="4">
    <w:nsid w:val="419AC241"/>
    <w:multiLevelType w:val="hybridMultilevel"/>
    <w:lvl w:ilvl="0">
      <w:lvlJc w:val="left"/>
      <w:lvlText w:val="(%1)"/>
      <w:numFmt w:val="lowerRoman"/>
      <w:start w:val="2"/>
    </w:lvl>
  </w:abstractNum>
  <w:abstractNum w:abstractNumId="5">
    <w:nsid w:val="5577F8E1"/>
    <w:multiLevelType w:val="hybridMultilevel"/>
    <w:lvl w:ilvl="0">
      <w:lvlJc w:val="left"/>
      <w:lvlText w:val="1"/>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0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upperLetter"/>
      <w:start w:val="1"/>
    </w:lvl>
    <w:lvl w:ilvl="1">
      <w:lvlJc w:val="left"/>
      <w:lvlText w:val="%2"/>
      <w:numFmt w:val="upperLetter"/>
      <w:start w:val="1"/>
    </w:lvl>
  </w:abstractNum>
  <w:abstractNum w:abstractNumId="38">
    <w:nsid w:val="79A1DEAA"/>
    <w:multiLevelType w:val="hybridMultilevel"/>
    <w:lvl w:ilvl="0">
      <w:lvlJc w:val="left"/>
      <w:lvlText w:val="%1."/>
      <w:numFmt w:val="upperLetter"/>
      <w:start w:val="5"/>
    </w:lvl>
  </w:abstractNum>
  <w:abstractNum w:abstractNumId="39">
    <w:nsid w:val="75C6C33A"/>
    <w:multiLevelType w:val="hybridMultilevel"/>
    <w:lvl w:ilvl="0">
      <w:lvlJc w:val="left"/>
      <w:lvlText w:val="%1."/>
      <w:numFmt w:val="upperLetter"/>
      <w:start w:val="7"/>
    </w:lvl>
  </w:abstractNum>
  <w:abstractNum w:abstractNumId="40">
    <w:nsid w:val="12E685FB"/>
    <w:multiLevelType w:val="hybridMultilevel"/>
    <w:lvl w:ilvl="0">
      <w:lvlJc w:val="left"/>
      <w:lvlText w:val="%1."/>
      <w:numFmt w:val="upperLetter"/>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2"/>
    </w:lvl>
  </w:abstractNum>
  <w:abstractNum w:abstractNumId="43">
    <w:nsid w:val="374A3FE6"/>
    <w:multiLevelType w:val="hybridMultilevel"/>
    <w:lvl w:ilvl="0">
      <w:lvlJc w:val="left"/>
      <w:lvlText w:val="%1."/>
      <w:numFmt w:val="decimal"/>
      <w:start w:val="3"/>
    </w:lvl>
  </w:abstractNum>
  <w:abstractNum w:abstractNumId="44">
    <w:nsid w:val="4F4EF005"/>
    <w:multiLevelType w:val="hybridMultilevel"/>
    <w:lvl w:ilvl="0">
      <w:lvlJc w:val="left"/>
      <w:lvlText w:val="%1."/>
      <w:numFmt w:val="decimal"/>
      <w:start w:val="4"/>
    </w:lvl>
  </w:abstractNum>
  <w:abstractNum w:abstractNumId="45">
    <w:nsid w:val="23F9C13C"/>
    <w:multiLevelType w:val="hybridMultilevel"/>
    <w:lvl w:ilvl="0">
      <w:lvlJc w:val="left"/>
      <w:lvlText w:val="%1."/>
      <w:numFmt w:val="decimal"/>
      <w:start w:val="5"/>
    </w:lvl>
  </w:abstractNum>
  <w:abstractNum w:abstractNumId="46">
    <w:nsid w:val="649BB77C"/>
    <w:multiLevelType w:val="hybridMultilevel"/>
    <w:lvl w:ilvl="0">
      <w:lvlJc w:val="left"/>
      <w:lvlText w:val="%1."/>
      <w:numFmt w:val="decimal"/>
      <w:start w:val="6"/>
    </w:lvl>
  </w:abstractNum>
  <w:abstractNum w:abstractNumId="47">
    <w:nsid w:val="275AC794"/>
    <w:multiLevelType w:val="hybridMultilevel"/>
    <w:lvl w:ilvl="0">
      <w:lvlJc w:val="left"/>
      <w:lvlText w:val="%1."/>
      <w:numFmt w:val="decimal"/>
      <w:start w:val="7"/>
    </w:lvl>
  </w:abstractNum>
  <w:abstractNum w:abstractNumId="48">
    <w:nsid w:val="39386575"/>
    <w:multiLevelType w:val="hybridMultilevel"/>
    <w:lvl w:ilvl="0">
      <w:lvlJc w:val="left"/>
      <w:lvlText w:val="%1."/>
      <w:numFmt w:val="decimal"/>
      <w:start w:val="9"/>
    </w:lvl>
  </w:abstractNum>
  <w:abstractNum w:abstractNumId="49">
    <w:nsid w:val="1CF10FD8"/>
    <w:multiLevelType w:val="hybridMultilevel"/>
    <w:lvl w:ilvl="0">
      <w:lvlJc w:val="left"/>
      <w:lvlText w:val="%1."/>
      <w:numFmt w:val="upperLetter"/>
      <w:start w:val="2"/>
    </w:lvl>
  </w:abstractNum>
  <w:abstractNum w:abstractNumId="50">
    <w:nsid w:val="180115BE"/>
    <w:multiLevelType w:val="hybridMultilevel"/>
    <w:lvl w:ilvl="0">
      <w:lvlJc w:val="left"/>
      <w:lvlText w:val="%1."/>
      <w:numFmt w:val="upperLetter"/>
      <w:start w:val="3"/>
    </w:lvl>
  </w:abstractNum>
  <w:abstractNum w:abstractNumId="51">
    <w:nsid w:val="235BA861"/>
    <w:multiLevelType w:val="hybridMultilevel"/>
    <w:lvl w:ilvl="0">
      <w:lvlJc w:val="left"/>
      <w:lvlText w:val="%1."/>
      <w:numFmt w:val="upperLetter"/>
      <w:start w:val="4"/>
    </w:lvl>
  </w:abstractNum>
  <w:abstractNum w:abstractNumId="52">
    <w:nsid w:val="47398C89"/>
    <w:multiLevelType w:val="hybridMultilevel"/>
    <w:lvl w:ilvl="0">
      <w:lvlJc w:val="left"/>
      <w:lvlText w:val="%1."/>
      <w:numFmt w:val="upperLetter"/>
      <w:start w:val="5"/>
    </w:lvl>
  </w:abstractNum>
  <w:abstractNum w:abstractNumId="53">
    <w:nsid w:val="354FE9F9"/>
    <w:multiLevelType w:val="hybridMultilevel"/>
    <w:lvl w:ilvl="0">
      <w:lvlJc w:val="left"/>
      <w:lvlText w:val="%1."/>
      <w:numFmt w:val="upperLetter"/>
      <w:start w:val="6"/>
    </w:lvl>
  </w:abstractNum>
  <w:abstractNum w:abstractNumId="54">
    <w:nsid w:val="15B5AF5C"/>
    <w:multiLevelType w:val="hybridMultilevel"/>
    <w:lvl w:ilvl="0">
      <w:lvlJc w:val="left"/>
      <w:lvlText w:val="%1."/>
      <w:numFmt w:val="upperLetter"/>
      <w:start w:val="7"/>
    </w:lvl>
  </w:abstractNum>
  <w:abstractNum w:abstractNumId="55">
    <w:nsid w:val="741226BB"/>
    <w:multiLevelType w:val="hybridMultilevel"/>
    <w:lvl w:ilvl="0">
      <w:lvlJc w:val="left"/>
      <w:lvlText w:val="%1."/>
      <w:numFmt w:val="upperLetter"/>
      <w:start w:val="8"/>
    </w:lvl>
  </w:abstractNum>
  <w:abstractNum w:abstractNumId="56">
    <w:nsid w:val="D34B6A8"/>
    <w:multiLevelType w:val="hybridMultilevel"/>
    <w:lvl w:ilvl="0">
      <w:lvlJc w:val="left"/>
      <w:lvlText w:val="%1."/>
      <w:numFmt w:val="upperLetter"/>
      <w:start w:val="9"/>
    </w:lvl>
  </w:abstractNum>
  <w:abstractNum w:abstractNumId="57">
    <w:nsid w:val="10233C99"/>
    <w:multiLevelType w:val="hybridMultilevel"/>
    <w:lvl w:ilvl="0">
      <w:lvlJc w:val="left"/>
      <w:lvlText w:val="%1."/>
      <w:numFmt w:val="upperLetter"/>
      <w:start w:val="10"/>
    </w:lvl>
  </w:abstractNum>
  <w:abstractNum w:abstractNumId="58">
    <w:nsid w:val="3F6AB60F"/>
    <w:multiLevelType w:val="hybridMultilevel"/>
    <w:lvl w:ilvl="0">
      <w:lvlJc w:val="left"/>
      <w:lvlText w:val="%1."/>
      <w:numFmt w:val="upperLetter"/>
      <w:start w:val="11"/>
    </w:lvl>
  </w:abstractNum>
  <w:abstractNum w:abstractNumId="59">
    <w:nsid w:val="61574095"/>
    <w:multiLevelType w:val="hybridMultilevel"/>
    <w:lvl w:ilvl="0">
      <w:lvlJc w:val="left"/>
      <w:lvlText w:val="%1."/>
      <w:numFmt w:val="upperLetter"/>
      <w:start w:val="12"/>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82" Type="http://schemas.openxmlformats.org/officeDocument/2006/relationships/hyperlink" Target="http://www.sec.gov/Archives/edgar/data/1395937/000119312516496764/d119516dex31.htm" TargetMode="External"/><Relationship Id="rId83" Type="http://schemas.openxmlformats.org/officeDocument/2006/relationships/hyperlink" Target="http://www.sec.gov/Archives/edgar/data/1395937/000119312516496764/d119516dex32.htm" TargetMode="External"/><Relationship Id="rId84" Type="http://schemas.openxmlformats.org/officeDocument/2006/relationships/hyperlink" Target="http://www.sec.gov/Archives/edgar/data/1395937/000119312516457615/d117131dex41.htm" TargetMode="External"/><Relationship Id="rId85" Type="http://schemas.openxmlformats.org/officeDocument/2006/relationships/hyperlink" Target="http://www.sec.gov/Archives/edgar/data/1395937/000119312518197997/d617552dex41.htm" TargetMode="External"/><Relationship Id="rId86" Type="http://schemas.openxmlformats.org/officeDocument/2006/relationships/hyperlink" Target="http://www.sec.gov/Archives/edgar/data/1395937/000119312519092679/d730757dex41.htm" TargetMode="External"/><Relationship Id="rId87" Type="http://schemas.openxmlformats.org/officeDocument/2006/relationships/hyperlink" Target="http://www.sec.gov/Archives/edgar/data/1395937/000119312519092679/d73075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2019-12-28T02:16:53Z</dcterms:created>
  <dcterms:modified xsi:type="dcterms:W3CDTF">2019-12-28T02:16:53Z</dcterms:modified>
</cp:coreProperties>
</file>